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1A26A" w14:textId="71CE5F11" w:rsidR="00387C70" w:rsidRPr="003F23AC" w:rsidRDefault="00485811" w:rsidP="00485811">
      <w:pPr>
        <w:pStyle w:val="Pagedecouverture"/>
        <w:rPr>
          <w:noProof/>
          <w:lang w:val="sk-SK"/>
        </w:rPr>
      </w:pPr>
      <w:bookmarkStart w:id="0" w:name="LW_BM_COVERPAGE"/>
      <w:r>
        <w:rPr>
          <w:noProof/>
          <w:lang w:val="sk-SK"/>
        </w:rPr>
        <w:pict w14:anchorId="6BC52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3BB4D96A-A1DD-4B5A-A6D4-CBD993EEAFA9" style="width:455.25pt;height:396.75pt">
            <v:imagedata r:id="rId11" o:title=""/>
          </v:shape>
        </w:pict>
      </w:r>
    </w:p>
    <w:bookmarkEnd w:id="0"/>
    <w:p w14:paraId="0B51AFC5" w14:textId="77777777" w:rsidR="00387C70" w:rsidRPr="003F23AC" w:rsidRDefault="00387C70" w:rsidP="003F23AC">
      <w:pPr>
        <w:rPr>
          <w:rFonts w:ascii="Times New Roman" w:hAnsi="Times New Roman" w:cs="Times New Roman"/>
          <w:noProof/>
          <w:lang w:val="sk-SK"/>
        </w:rPr>
        <w:sectPr w:rsidR="00387C70" w:rsidRPr="003F23AC" w:rsidSect="00485811">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3D5F6175" w14:textId="152E7379" w:rsidR="00387C70" w:rsidRPr="003F23AC" w:rsidRDefault="000F5AA4" w:rsidP="003F23AC">
      <w:pPr>
        <w:pStyle w:val="P68B1DB1-Normal1"/>
        <w:jc w:val="center"/>
        <w:rPr>
          <w:rFonts w:cs="Times New Roman"/>
          <w:noProof/>
          <w:lang w:val="sk-SK"/>
        </w:rPr>
      </w:pPr>
      <w:bookmarkStart w:id="1" w:name="_GoBack"/>
      <w:bookmarkEnd w:id="1"/>
      <w:r w:rsidRPr="003F23AC">
        <w:rPr>
          <w:rFonts w:cs="Times New Roman"/>
          <w:noProof/>
          <w:lang w:val="sk-SK"/>
        </w:rPr>
        <w:lastRenderedPageBreak/>
        <w:t>PRÍLOHA</w:t>
      </w:r>
    </w:p>
    <w:p w14:paraId="57574ED9" w14:textId="646A1CE1" w:rsidR="00387C70" w:rsidRPr="003F23AC" w:rsidRDefault="000F5AA4" w:rsidP="003F23AC">
      <w:pPr>
        <w:pStyle w:val="P68B1DB1-Normal2"/>
        <w:tabs>
          <w:tab w:val="num" w:pos="850"/>
        </w:tabs>
        <w:spacing w:before="360" w:after="0" w:line="259" w:lineRule="auto"/>
        <w:ind w:left="850" w:hanging="850"/>
        <w:jc w:val="both"/>
        <w:outlineLvl w:val="0"/>
        <w:rPr>
          <w:rFonts w:eastAsiaTheme="majorEastAsia" w:cs="Times New Roman"/>
          <w:noProof/>
          <w:lang w:val="sk-SK"/>
        </w:rPr>
      </w:pPr>
      <w:r w:rsidRPr="003F23AC">
        <w:rPr>
          <w:rFonts w:cs="Times New Roman"/>
          <w:noProof/>
          <w:lang w:val="sk-SK"/>
        </w:rPr>
        <w:t>ODDIEL 1: REFORMY A INVESTÍCIE</w:t>
      </w:r>
      <w:r w:rsidR="00A75B3C" w:rsidRPr="003F23AC">
        <w:rPr>
          <w:rFonts w:cs="Times New Roman"/>
          <w:noProof/>
          <w:lang w:val="sk-SK"/>
        </w:rPr>
        <w:t xml:space="preserve"> V </w:t>
      </w:r>
      <w:r w:rsidRPr="003F23AC">
        <w:rPr>
          <w:rFonts w:cs="Times New Roman"/>
          <w:noProof/>
          <w:lang w:val="sk-SK"/>
        </w:rPr>
        <w:t>RÁMCI PLÁNU OBNOVY A ODOLNOSTI</w:t>
      </w:r>
    </w:p>
    <w:p w14:paraId="4B78C2C2" w14:textId="7392912A"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08E6C9A4" w14:textId="02CFE46C" w:rsidR="00A75B3C" w:rsidRPr="003F23AC" w:rsidRDefault="000F5AA4" w:rsidP="003F23AC">
      <w:pPr>
        <w:pStyle w:val="P68B1DB1-Normal3"/>
        <w:spacing w:before="40" w:after="0" w:line="259" w:lineRule="auto"/>
        <w:ind w:left="130" w:firstLine="720"/>
        <w:jc w:val="both"/>
        <w:outlineLvl w:val="1"/>
        <w:rPr>
          <w:rFonts w:cs="Times New Roman"/>
          <w:noProof/>
          <w:lang w:val="sk-SK"/>
        </w:rPr>
      </w:pPr>
      <w:r w:rsidRPr="003F23AC">
        <w:rPr>
          <w:rFonts w:cs="Times New Roman"/>
          <w:noProof/>
          <w:lang w:val="sk-SK"/>
        </w:rPr>
        <w:t>1. Opis reforiem</w:t>
      </w:r>
      <w:r w:rsidR="00A75B3C" w:rsidRPr="003F23AC">
        <w:rPr>
          <w:rFonts w:cs="Times New Roman"/>
          <w:noProof/>
          <w:lang w:val="sk-SK"/>
        </w:rPr>
        <w:t xml:space="preserve"> a </w:t>
      </w:r>
      <w:r w:rsidRPr="003F23AC">
        <w:rPr>
          <w:rFonts w:cs="Times New Roman"/>
          <w:noProof/>
          <w:lang w:val="sk-SK"/>
        </w:rPr>
        <w:t>investícií</w:t>
      </w:r>
    </w:p>
    <w:p w14:paraId="5907275D" w14:textId="16D1C7B3" w:rsidR="00387C70" w:rsidRPr="003F23AC" w:rsidRDefault="00387C70" w:rsidP="003F23AC">
      <w:pPr>
        <w:spacing w:before="40" w:after="0" w:line="259" w:lineRule="auto"/>
        <w:jc w:val="both"/>
        <w:rPr>
          <w:rFonts w:ascii="Times New Roman" w:eastAsiaTheme="minorEastAsia" w:hAnsi="Times New Roman" w:cs="Times New Roman"/>
          <w:i/>
          <w:noProof/>
          <w:sz w:val="24"/>
          <w:lang w:val="sk-SK"/>
        </w:rPr>
      </w:pPr>
    </w:p>
    <w:p w14:paraId="027E0929" w14:textId="2ADE4C9F"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A</w:t>
      </w:r>
      <w:r w:rsidR="00C32C63" w:rsidRPr="003F23AC">
        <w:rPr>
          <w:rFonts w:cs="Times New Roman"/>
          <w:noProof/>
          <w:lang w:val="sk-SK"/>
        </w:rPr>
        <w:t>. KOMPONENT</w:t>
      </w:r>
      <w:r w:rsidRPr="003F23AC">
        <w:rPr>
          <w:rFonts w:cs="Times New Roman"/>
          <w:noProof/>
          <w:lang w:val="sk-SK"/>
        </w:rPr>
        <w:t xml:space="preserve"> 1: Národná služba zdravotnej starostlivosti</w:t>
      </w:r>
    </w:p>
    <w:p w14:paraId="38320C5D" w14:textId="52C0B756"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zložka portugalského plánu obnovy</w:t>
      </w:r>
      <w:r w:rsidR="00A75B3C" w:rsidRPr="003F23AC">
        <w:rPr>
          <w:rFonts w:cs="Times New Roman"/>
          <w:noProof/>
          <w:lang w:val="sk-SK"/>
        </w:rPr>
        <w:t xml:space="preserve"> a </w:t>
      </w:r>
      <w:r w:rsidRPr="003F23AC">
        <w:rPr>
          <w:rFonts w:cs="Times New Roman"/>
          <w:noProof/>
          <w:lang w:val="sk-SK"/>
        </w:rPr>
        <w:t>odolnosti rieši niekoľko výziev, ktorým portugalský systém zdravotnej starostlivosti</w:t>
      </w:r>
      <w:r w:rsidR="00A75B3C" w:rsidRPr="003F23AC">
        <w:rPr>
          <w:rFonts w:cs="Times New Roman"/>
          <w:noProof/>
          <w:lang w:val="sk-SK"/>
        </w:rPr>
        <w:t xml:space="preserve"> v </w:t>
      </w:r>
      <w:r w:rsidRPr="003F23AC">
        <w:rPr>
          <w:rFonts w:cs="Times New Roman"/>
          <w:noProof/>
          <w:lang w:val="sk-SK"/>
        </w:rPr>
        <w:t>súčasnosti čelí, pokiaľ ide</w:t>
      </w:r>
      <w:r w:rsidR="00A75B3C" w:rsidRPr="003F23AC">
        <w:rPr>
          <w:rFonts w:cs="Times New Roman"/>
          <w:noProof/>
          <w:lang w:val="sk-SK"/>
        </w:rPr>
        <w:t xml:space="preserve"> o </w:t>
      </w:r>
      <w:r w:rsidRPr="003F23AC">
        <w:rPr>
          <w:rFonts w:cs="Times New Roman"/>
          <w:noProof/>
          <w:lang w:val="sk-SK"/>
        </w:rPr>
        <w:t>súčasné</w:t>
      </w:r>
      <w:r w:rsidR="00A75B3C" w:rsidRPr="003F23AC">
        <w:rPr>
          <w:rFonts w:cs="Times New Roman"/>
          <w:noProof/>
          <w:lang w:val="sk-SK"/>
        </w:rPr>
        <w:t xml:space="preserve"> a </w:t>
      </w:r>
      <w:r w:rsidRPr="003F23AC">
        <w:rPr>
          <w:rFonts w:cs="Times New Roman"/>
          <w:noProof/>
          <w:lang w:val="sk-SK"/>
        </w:rPr>
        <w:t>vyvíjajúce sa potreby zdravotnej starostlivosti</w:t>
      </w:r>
      <w:r w:rsidR="00A75B3C" w:rsidRPr="003F23AC">
        <w:rPr>
          <w:rFonts w:cs="Times New Roman"/>
          <w:noProof/>
          <w:lang w:val="sk-SK"/>
        </w:rPr>
        <w:t xml:space="preserve"> a </w:t>
      </w:r>
      <w:r w:rsidRPr="003F23AC">
        <w:rPr>
          <w:rFonts w:cs="Times New Roman"/>
          <w:noProof/>
          <w:lang w:val="sk-SK"/>
        </w:rPr>
        <w:t>súvisiace náklady. Po prvé, nepriaznivé demografické trendy</w:t>
      </w:r>
      <w:r w:rsidR="00A75B3C" w:rsidRPr="003F23AC">
        <w:rPr>
          <w:rFonts w:cs="Times New Roman"/>
          <w:noProof/>
          <w:lang w:val="sk-SK"/>
        </w:rPr>
        <w:t xml:space="preserve"> v </w:t>
      </w:r>
      <w:r w:rsidRPr="003F23AC">
        <w:rPr>
          <w:rFonts w:cs="Times New Roman"/>
          <w:noProof/>
          <w:lang w:val="sk-SK"/>
        </w:rPr>
        <w:t>Portugalsku – charakterizované zrýchleným starnutím obyvateľstva</w:t>
      </w:r>
      <w:r w:rsidR="00A75B3C" w:rsidRPr="003F23AC">
        <w:rPr>
          <w:rFonts w:cs="Times New Roman"/>
          <w:noProof/>
          <w:lang w:val="sk-SK"/>
        </w:rPr>
        <w:t xml:space="preserve"> a </w:t>
      </w:r>
      <w:r w:rsidRPr="003F23AC">
        <w:rPr>
          <w:rFonts w:cs="Times New Roman"/>
          <w:noProof/>
          <w:lang w:val="sk-SK"/>
        </w:rPr>
        <w:t>následnými potrebami dlhodobej starostlivosti – sa zhodujú</w:t>
      </w:r>
      <w:r w:rsidR="00A75B3C" w:rsidRPr="003F23AC">
        <w:rPr>
          <w:rFonts w:cs="Times New Roman"/>
          <w:noProof/>
          <w:lang w:val="sk-SK"/>
        </w:rPr>
        <w:t xml:space="preserve"> s </w:t>
      </w:r>
      <w:r w:rsidRPr="003F23AC">
        <w:rPr>
          <w:rFonts w:cs="Times New Roman"/>
          <w:noProof/>
          <w:lang w:val="sk-SK"/>
        </w:rPr>
        <w:t>meniacimi sa modelmi chorôb, rastúcou záťažou chronických</w:t>
      </w:r>
      <w:r w:rsidR="00A75B3C" w:rsidRPr="003F23AC">
        <w:rPr>
          <w:rFonts w:cs="Times New Roman"/>
          <w:noProof/>
          <w:lang w:val="sk-SK"/>
        </w:rPr>
        <w:t xml:space="preserve"> a </w:t>
      </w:r>
      <w:r w:rsidRPr="003F23AC">
        <w:rPr>
          <w:rFonts w:cs="Times New Roman"/>
          <w:noProof/>
          <w:lang w:val="sk-SK"/>
        </w:rPr>
        <w:t>degeneratívnych chorôb, ako aj</w:t>
      </w:r>
      <w:r w:rsidR="00A75B3C" w:rsidRPr="003F23AC">
        <w:rPr>
          <w:rFonts w:cs="Times New Roman"/>
          <w:noProof/>
          <w:lang w:val="sk-SK"/>
        </w:rPr>
        <w:t xml:space="preserve"> s </w:t>
      </w:r>
      <w:r w:rsidRPr="003F23AC">
        <w:rPr>
          <w:rFonts w:cs="Times New Roman"/>
          <w:noProof/>
          <w:lang w:val="sk-SK"/>
        </w:rPr>
        <w:t>postupným zvyšovaním multimorbidity. Po druhé,</w:t>
      </w:r>
      <w:r w:rsidR="00A75B3C" w:rsidRPr="003F23AC">
        <w:rPr>
          <w:rFonts w:cs="Times New Roman"/>
          <w:noProof/>
          <w:lang w:val="sk-SK"/>
        </w:rPr>
        <w:t xml:space="preserve"> v </w:t>
      </w:r>
      <w:r w:rsidRPr="003F23AC">
        <w:rPr>
          <w:rFonts w:cs="Times New Roman"/>
          <w:noProof/>
          <w:lang w:val="sk-SK"/>
        </w:rPr>
        <w:t>Portugalsku stále existuje značná úmrtnosť, ktorej sa dá predísť,</w:t>
      </w:r>
      <w:r w:rsidR="00A75B3C" w:rsidRPr="003F23AC">
        <w:rPr>
          <w:rFonts w:cs="Times New Roman"/>
          <w:noProof/>
          <w:lang w:val="sk-SK"/>
        </w:rPr>
        <w:t xml:space="preserve"> a </w:t>
      </w:r>
      <w:r w:rsidRPr="003F23AC">
        <w:rPr>
          <w:rFonts w:cs="Times New Roman"/>
          <w:noProof/>
          <w:lang w:val="sk-SK"/>
        </w:rPr>
        <w:t>relatívne nízky počet rokov zdravého života vo veku 65 rokov. Po tretie, existuje priestor na to, aby sa väčší dôraz kládol na podporu zdravia</w:t>
      </w:r>
      <w:r w:rsidR="00A75B3C" w:rsidRPr="003F23AC">
        <w:rPr>
          <w:rFonts w:cs="Times New Roman"/>
          <w:noProof/>
          <w:lang w:val="sk-SK"/>
        </w:rPr>
        <w:t xml:space="preserve"> a </w:t>
      </w:r>
      <w:r w:rsidRPr="003F23AC">
        <w:rPr>
          <w:rFonts w:cs="Times New Roman"/>
          <w:noProof/>
          <w:lang w:val="sk-SK"/>
        </w:rPr>
        <w:t>prevenciu chorôb</w:t>
      </w:r>
      <w:r w:rsidR="00A75B3C" w:rsidRPr="003F23AC">
        <w:rPr>
          <w:rFonts w:cs="Times New Roman"/>
          <w:noProof/>
          <w:lang w:val="sk-SK"/>
        </w:rPr>
        <w:t xml:space="preserve"> v </w:t>
      </w:r>
      <w:r w:rsidRPr="003F23AC">
        <w:rPr>
          <w:rFonts w:cs="Times New Roman"/>
          <w:noProof/>
          <w:lang w:val="sk-SK"/>
        </w:rPr>
        <w:t>kombinácii</w:t>
      </w:r>
      <w:r w:rsidR="00A75B3C" w:rsidRPr="003F23AC">
        <w:rPr>
          <w:rFonts w:cs="Times New Roman"/>
          <w:noProof/>
          <w:lang w:val="sk-SK"/>
        </w:rPr>
        <w:t xml:space="preserve"> s </w:t>
      </w:r>
      <w:r w:rsidRPr="003F23AC">
        <w:rPr>
          <w:rFonts w:cs="Times New Roman"/>
          <w:noProof/>
          <w:lang w:val="sk-SK"/>
        </w:rPr>
        <w:t>riešením fragmentácie služieb zdravotnej starostlivosti</w:t>
      </w:r>
      <w:r w:rsidR="00A75B3C" w:rsidRPr="003F23AC">
        <w:rPr>
          <w:rFonts w:cs="Times New Roman"/>
          <w:noProof/>
          <w:lang w:val="sk-SK"/>
        </w:rPr>
        <w:t xml:space="preserve"> a </w:t>
      </w:r>
      <w:r w:rsidRPr="003F23AC">
        <w:rPr>
          <w:rFonts w:cs="Times New Roman"/>
          <w:noProof/>
          <w:lang w:val="sk-SK"/>
        </w:rPr>
        <w:t>nedostatkov</w:t>
      </w:r>
      <w:r w:rsidR="00A75B3C" w:rsidRPr="003F23AC">
        <w:rPr>
          <w:rFonts w:cs="Times New Roman"/>
          <w:noProof/>
          <w:lang w:val="sk-SK"/>
        </w:rPr>
        <w:t xml:space="preserve"> v </w:t>
      </w:r>
      <w:r w:rsidRPr="003F23AC">
        <w:rPr>
          <w:rFonts w:cs="Times New Roman"/>
          <w:noProof/>
          <w:lang w:val="sk-SK"/>
        </w:rPr>
        <w:t>prístupe</w:t>
      </w:r>
      <w:r w:rsidR="00A75B3C" w:rsidRPr="003F23AC">
        <w:rPr>
          <w:rFonts w:cs="Times New Roman"/>
          <w:noProof/>
          <w:lang w:val="sk-SK"/>
        </w:rPr>
        <w:t xml:space="preserve"> k </w:t>
      </w:r>
      <w:r w:rsidRPr="003F23AC">
        <w:rPr>
          <w:rFonts w:cs="Times New Roman"/>
          <w:noProof/>
          <w:lang w:val="sk-SK"/>
        </w:rPr>
        <w:t>zdravotnej starostlivosti. Po štvrté, vreckové platby za zdravotnú starostlivosť patria medzi najvyššie</w:t>
      </w:r>
      <w:r w:rsidR="00A75B3C" w:rsidRPr="003F23AC">
        <w:rPr>
          <w:rFonts w:cs="Times New Roman"/>
          <w:noProof/>
          <w:lang w:val="sk-SK"/>
        </w:rPr>
        <w:t xml:space="preserve"> v </w:t>
      </w:r>
      <w:r w:rsidRPr="003F23AC">
        <w:rPr>
          <w:rFonts w:cs="Times New Roman"/>
          <w:noProof/>
          <w:lang w:val="sk-SK"/>
        </w:rPr>
        <w:t>EÚ</w:t>
      </w:r>
      <w:r w:rsidR="00A75B3C" w:rsidRPr="003F23AC">
        <w:rPr>
          <w:rFonts w:cs="Times New Roman"/>
          <w:noProof/>
          <w:lang w:val="sk-SK"/>
        </w:rPr>
        <w:t xml:space="preserve"> a </w:t>
      </w:r>
      <w:r w:rsidRPr="003F23AC">
        <w:rPr>
          <w:rFonts w:cs="Times New Roman"/>
          <w:noProof/>
          <w:lang w:val="sk-SK"/>
        </w:rPr>
        <w:t>uvádzaná finančná záťaž zdravotnej starostlivosti je pomerne vysoká. A napokon Národná zdravotná služba Portugalska už niekoľko rokov čelí náročnej finančnej situácii. Portugalsko má najmä záznamy</w:t>
      </w:r>
      <w:r w:rsidR="00A75B3C" w:rsidRPr="003F23AC">
        <w:rPr>
          <w:rFonts w:cs="Times New Roman"/>
          <w:noProof/>
          <w:lang w:val="sk-SK"/>
        </w:rPr>
        <w:t xml:space="preserve"> o </w:t>
      </w:r>
      <w:r w:rsidRPr="003F23AC">
        <w:rPr>
          <w:rFonts w:cs="Times New Roman"/>
          <w:noProof/>
          <w:lang w:val="sk-SK"/>
        </w:rPr>
        <w:t>opakovaných záchranách verejných nemocníc vládou, ktorej sa nepodarilo vyhnúť sa systematickému cyklu zadlženosti nemocníc, čo malo dominový efekt na vzťahy medzi dodávateľským reťazcom.</w:t>
      </w:r>
    </w:p>
    <w:p w14:paraId="7311148A" w14:textId="109F0808"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Hlavným cieľom zložky je posilniť reakčnú kapacitu portugalského národného zdravotníckeho úradu</w:t>
      </w:r>
      <w:r w:rsidR="00A75B3C" w:rsidRPr="003F23AC">
        <w:rPr>
          <w:rFonts w:cs="Times New Roman"/>
          <w:noProof/>
          <w:lang w:val="sk-SK"/>
        </w:rPr>
        <w:t xml:space="preserve"> s </w:t>
      </w:r>
      <w:r w:rsidRPr="003F23AC">
        <w:rPr>
          <w:rFonts w:cs="Times New Roman"/>
          <w:noProof/>
          <w:lang w:val="sk-SK"/>
        </w:rPr>
        <w:t>cieľom reagovať na demografické</w:t>
      </w:r>
      <w:r w:rsidR="00A75B3C" w:rsidRPr="003F23AC">
        <w:rPr>
          <w:rFonts w:cs="Times New Roman"/>
          <w:noProof/>
          <w:lang w:val="sk-SK"/>
        </w:rPr>
        <w:t xml:space="preserve"> a </w:t>
      </w:r>
      <w:r w:rsidRPr="003F23AC">
        <w:rPr>
          <w:rFonts w:cs="Times New Roman"/>
          <w:noProof/>
          <w:lang w:val="sk-SK"/>
        </w:rPr>
        <w:t>epidemiologické zmeny</w:t>
      </w:r>
      <w:r w:rsidR="00A75B3C" w:rsidRPr="003F23AC">
        <w:rPr>
          <w:rFonts w:cs="Times New Roman"/>
          <w:noProof/>
          <w:lang w:val="sk-SK"/>
        </w:rPr>
        <w:t xml:space="preserve"> v </w:t>
      </w:r>
      <w:r w:rsidRPr="003F23AC">
        <w:rPr>
          <w:rFonts w:cs="Times New Roman"/>
          <w:noProof/>
          <w:lang w:val="sk-SK"/>
        </w:rPr>
        <w:t>krajine, na terapeutické</w:t>
      </w:r>
      <w:r w:rsidR="00A75B3C" w:rsidRPr="003F23AC">
        <w:rPr>
          <w:rFonts w:cs="Times New Roman"/>
          <w:noProof/>
          <w:lang w:val="sk-SK"/>
        </w:rPr>
        <w:t xml:space="preserve"> a </w:t>
      </w:r>
      <w:r w:rsidRPr="003F23AC">
        <w:rPr>
          <w:rFonts w:cs="Times New Roman"/>
          <w:noProof/>
          <w:lang w:val="sk-SK"/>
        </w:rPr>
        <w:t>technologické inovácie</w:t>
      </w:r>
      <w:r w:rsidR="00A75B3C" w:rsidRPr="003F23AC">
        <w:rPr>
          <w:rFonts w:cs="Times New Roman"/>
          <w:noProof/>
          <w:lang w:val="sk-SK"/>
        </w:rPr>
        <w:t xml:space="preserve"> a </w:t>
      </w:r>
      <w:r w:rsidRPr="003F23AC">
        <w:rPr>
          <w:rFonts w:cs="Times New Roman"/>
          <w:noProof/>
          <w:lang w:val="sk-SK"/>
        </w:rPr>
        <w:t>na trend rastúceho dopytu po zdravotnej starostlivosti</w:t>
      </w:r>
      <w:r w:rsidR="00A75B3C" w:rsidRPr="003F23AC">
        <w:rPr>
          <w:rFonts w:cs="Times New Roman"/>
          <w:noProof/>
          <w:lang w:val="sk-SK"/>
        </w:rPr>
        <w:t xml:space="preserve"> a </w:t>
      </w:r>
      <w:r w:rsidRPr="003F23AC">
        <w:rPr>
          <w:rFonts w:cs="Times New Roman"/>
          <w:noProof/>
          <w:lang w:val="sk-SK"/>
        </w:rPr>
        <w:t>súvisiacich nákladov. Na tento účel sa zložka zameriava na posilnenie základnej úlohy služieb primárnej zdravotnej starostlivosti</w:t>
      </w:r>
      <w:r w:rsidR="00A75B3C" w:rsidRPr="003F23AC">
        <w:rPr>
          <w:rFonts w:cs="Times New Roman"/>
          <w:noProof/>
          <w:lang w:val="sk-SK"/>
        </w:rPr>
        <w:t xml:space="preserve"> v </w:t>
      </w:r>
      <w:r w:rsidRPr="003F23AC">
        <w:rPr>
          <w:rFonts w:cs="Times New Roman"/>
          <w:noProof/>
          <w:lang w:val="sk-SK"/>
        </w:rPr>
        <w:t>rámci celkovej architektúry Národnej zdravotnej služby, rozšírenie služieb dlhodobej</w:t>
      </w:r>
      <w:r w:rsidR="00A75B3C" w:rsidRPr="003F23AC">
        <w:rPr>
          <w:rFonts w:cs="Times New Roman"/>
          <w:noProof/>
          <w:lang w:val="sk-SK"/>
        </w:rPr>
        <w:t xml:space="preserve"> a </w:t>
      </w:r>
      <w:r w:rsidRPr="003F23AC">
        <w:rPr>
          <w:rFonts w:cs="Times New Roman"/>
          <w:noProof/>
          <w:lang w:val="sk-SK"/>
        </w:rPr>
        <w:t>duševnej zdravotnej starostlivosti</w:t>
      </w:r>
      <w:r w:rsidR="00A75B3C" w:rsidRPr="003F23AC">
        <w:rPr>
          <w:rFonts w:cs="Times New Roman"/>
          <w:noProof/>
          <w:lang w:val="sk-SK"/>
        </w:rPr>
        <w:t xml:space="preserve"> a </w:t>
      </w:r>
      <w:r w:rsidRPr="003F23AC">
        <w:rPr>
          <w:rFonts w:cs="Times New Roman"/>
          <w:noProof/>
          <w:lang w:val="sk-SK"/>
        </w:rPr>
        <w:t>zvýšenie efektívnosti dokončením reformy modelu riadenia verejných nemocníc</w:t>
      </w:r>
      <w:r w:rsidR="00A75B3C" w:rsidRPr="003F23AC">
        <w:rPr>
          <w:rFonts w:cs="Times New Roman"/>
          <w:noProof/>
          <w:lang w:val="sk-SK"/>
        </w:rPr>
        <w:t xml:space="preserve"> a </w:t>
      </w:r>
      <w:r w:rsidRPr="003F23AC">
        <w:rPr>
          <w:rFonts w:cs="Times New Roman"/>
          <w:noProof/>
          <w:lang w:val="sk-SK"/>
        </w:rPr>
        <w:t>urýchlením digitalizácie služieb zdravotnej starostlivosti.</w:t>
      </w:r>
    </w:p>
    <w:p w14:paraId="714DF149" w14:textId="4D32C67E" w:rsidR="00387C70" w:rsidRPr="00FA6988" w:rsidRDefault="000F5AA4" w:rsidP="003F23AC">
      <w:pPr>
        <w:pStyle w:val="P68B1DB1-Normal4"/>
        <w:spacing w:before="40" w:after="120" w:line="259" w:lineRule="auto"/>
        <w:jc w:val="both"/>
        <w:rPr>
          <w:rFonts w:eastAsiaTheme="minorEastAsia" w:cs="Times New Roman"/>
          <w:noProof/>
          <w:spacing w:val="-4"/>
          <w:lang w:val="sk-SK"/>
        </w:rPr>
      </w:pPr>
      <w:r w:rsidRPr="00FA6988">
        <w:rPr>
          <w:rFonts w:cs="Times New Roman"/>
          <w:noProof/>
          <w:spacing w:val="-4"/>
          <w:lang w:val="sk-SK"/>
        </w:rPr>
        <w:t>Táto zložka podporuje plnenie odporúčania pre jednotlivé krajiny týkajúceho sa posilnenia kontroly celkových výdavkov, nákladovej efektívnosti</w:t>
      </w:r>
      <w:r w:rsidR="00A75B3C" w:rsidRPr="00FA6988">
        <w:rPr>
          <w:rFonts w:cs="Times New Roman"/>
          <w:noProof/>
          <w:spacing w:val="-4"/>
          <w:lang w:val="sk-SK"/>
        </w:rPr>
        <w:t xml:space="preserve"> a </w:t>
      </w:r>
      <w:r w:rsidRPr="00FA6988">
        <w:rPr>
          <w:rFonts w:cs="Times New Roman"/>
          <w:noProof/>
          <w:spacing w:val="-4"/>
          <w:lang w:val="sk-SK"/>
        </w:rPr>
        <w:t>primeraného rozpočtovania so zameraním na trvalé zníženie nedoplatkov</w:t>
      </w:r>
      <w:r w:rsidR="00A75B3C" w:rsidRPr="00FA6988">
        <w:rPr>
          <w:rFonts w:cs="Times New Roman"/>
          <w:noProof/>
          <w:spacing w:val="-4"/>
          <w:lang w:val="sk-SK"/>
        </w:rPr>
        <w:t xml:space="preserve"> v </w:t>
      </w:r>
      <w:r w:rsidRPr="00FA6988">
        <w:rPr>
          <w:rFonts w:cs="Times New Roman"/>
          <w:noProof/>
          <w:spacing w:val="-4"/>
          <w:lang w:val="sk-SK"/>
        </w:rPr>
        <w:t>nemocniciach (odporúčanie pre jednotlivé krajiny 1 2019), ako aj odporúčania pre jednotlivé krajiny týkajúce sa posilnenia odolnosti systému zdravotnej starostlivosti</w:t>
      </w:r>
      <w:r w:rsidR="00A75B3C" w:rsidRPr="00FA6988">
        <w:rPr>
          <w:rFonts w:cs="Times New Roman"/>
          <w:noProof/>
          <w:spacing w:val="-4"/>
          <w:lang w:val="sk-SK"/>
        </w:rPr>
        <w:t xml:space="preserve"> a </w:t>
      </w:r>
      <w:r w:rsidRPr="00FA6988">
        <w:rPr>
          <w:rFonts w:cs="Times New Roman"/>
          <w:noProof/>
          <w:spacing w:val="-4"/>
          <w:lang w:val="sk-SK"/>
        </w:rPr>
        <w:t>zabezpečenia rovnakého prístupu ku kvalitnej zdravotnej</w:t>
      </w:r>
      <w:r w:rsidR="00A75B3C" w:rsidRPr="00FA6988">
        <w:rPr>
          <w:rFonts w:cs="Times New Roman"/>
          <w:noProof/>
          <w:spacing w:val="-4"/>
          <w:lang w:val="sk-SK"/>
        </w:rPr>
        <w:t xml:space="preserve"> a </w:t>
      </w:r>
      <w:r w:rsidRPr="00FA6988">
        <w:rPr>
          <w:rFonts w:cs="Times New Roman"/>
          <w:noProof/>
          <w:spacing w:val="-4"/>
          <w:lang w:val="sk-SK"/>
        </w:rPr>
        <w:t>dlhodobej starostlivosti (odporúčanie pre jednotlivé krajiny 1 2020). Táto zložka prispieva aj</w:t>
      </w:r>
      <w:r w:rsidR="00A75B3C" w:rsidRPr="00FA6988">
        <w:rPr>
          <w:rFonts w:cs="Times New Roman"/>
          <w:noProof/>
          <w:spacing w:val="-4"/>
          <w:lang w:val="sk-SK"/>
        </w:rPr>
        <w:t xml:space="preserve"> k </w:t>
      </w:r>
      <w:r w:rsidRPr="00FA6988">
        <w:rPr>
          <w:rFonts w:cs="Times New Roman"/>
          <w:noProof/>
          <w:spacing w:val="-4"/>
          <w:lang w:val="sk-SK"/>
        </w:rPr>
        <w:t>plneniu odporúčania pre jednotlivé krajiny</w:t>
      </w:r>
      <w:r w:rsidR="00A75B3C" w:rsidRPr="00FA6988">
        <w:rPr>
          <w:rFonts w:cs="Times New Roman"/>
          <w:noProof/>
          <w:spacing w:val="-4"/>
          <w:lang w:val="sk-SK"/>
        </w:rPr>
        <w:t xml:space="preserve"> s </w:t>
      </w:r>
      <w:r w:rsidRPr="00FA6988">
        <w:rPr>
          <w:rFonts w:cs="Times New Roman"/>
          <w:noProof/>
          <w:spacing w:val="-4"/>
          <w:lang w:val="sk-SK"/>
        </w:rPr>
        <w:t>cieľom zamerať investície na zelenú</w:t>
      </w:r>
      <w:r w:rsidR="00A75B3C" w:rsidRPr="00FA6988">
        <w:rPr>
          <w:rFonts w:cs="Times New Roman"/>
          <w:noProof/>
          <w:spacing w:val="-4"/>
          <w:lang w:val="sk-SK"/>
        </w:rPr>
        <w:t xml:space="preserve"> a </w:t>
      </w:r>
      <w:r w:rsidRPr="00FA6988">
        <w:rPr>
          <w:rFonts w:cs="Times New Roman"/>
          <w:noProof/>
          <w:spacing w:val="-4"/>
          <w:lang w:val="sk-SK"/>
        </w:rPr>
        <w:t>digitálnu transformáciu (odporúčanie pre jednotlivé krajiny 3 2020).</w:t>
      </w:r>
    </w:p>
    <w:p w14:paraId="562E60CC" w14:textId="7D480B6A" w:rsidR="00387C70" w:rsidRPr="003F23AC" w:rsidRDefault="000F5AA4" w:rsidP="003F23AC">
      <w:pPr>
        <w:pStyle w:val="P68B1DB1-Normal4"/>
        <w:spacing w:before="40" w:after="120" w:line="259" w:lineRule="auto"/>
        <w:jc w:val="both"/>
        <w:rPr>
          <w:rFonts w:eastAsiaTheme="minorEastAsia" w:cs="Times New Roman"/>
          <w:b/>
          <w:noProof/>
          <w:u w:val="single"/>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p>
    <w:p w14:paraId="4C4465E0" w14:textId="7D49FE3F" w:rsidR="00387C70" w:rsidRPr="003F23AC" w:rsidRDefault="000F5AA4" w:rsidP="003F23AC">
      <w:pPr>
        <w:pStyle w:val="P68B1DB1-Normal3"/>
        <w:spacing w:before="40" w:after="120" w:line="259" w:lineRule="auto"/>
        <w:ind w:left="130" w:firstLine="720"/>
        <w:jc w:val="both"/>
        <w:outlineLvl w:val="1"/>
        <w:rPr>
          <w:rFonts w:eastAsiaTheme="minorEastAsia" w:cs="Times New Roman"/>
          <w:noProof/>
          <w:lang w:val="sk-SK"/>
        </w:rPr>
      </w:pPr>
      <w:r w:rsidRPr="003F23AC">
        <w:rPr>
          <w:rFonts w:cs="Times New Roman"/>
          <w:noProof/>
          <w:lang w:val="sk-SK"/>
        </w:rPr>
        <w:t>A.1.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77050E33"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Reforma RE-r01: Reforma primárnej zdravotnej starostlivosti</w:t>
      </w:r>
    </w:p>
    <w:p w14:paraId="17FEB3D7" w14:textId="5DDAC1CF" w:rsidR="00387C70" w:rsidRPr="003F23AC" w:rsidRDefault="000F5AA4" w:rsidP="003F23AC">
      <w:pPr>
        <w:pStyle w:val="P68B1DB1-Normal4"/>
        <w:spacing w:before="40" w:after="0" w:line="259" w:lineRule="auto"/>
        <w:jc w:val="both"/>
        <w:rPr>
          <w:rFonts w:eastAsiaTheme="minorEastAsia" w:cs="Times New Roman"/>
          <w:noProof/>
          <w:u w:val="single"/>
          <w:lang w:val="sk-SK"/>
        </w:rPr>
      </w:pPr>
      <w:r w:rsidRPr="003F23AC">
        <w:rPr>
          <w:rFonts w:cs="Times New Roman"/>
          <w:noProof/>
          <w:lang w:val="sk-SK"/>
        </w:rPr>
        <w:t>Hlavným cieľom reformy je posilniť základnú úlohu služieb primárnej zdravotnej starostlivosti pri reagovaní na zdravotné potreby obyvateľstva</w:t>
      </w:r>
      <w:r w:rsidR="00A75B3C" w:rsidRPr="003F23AC">
        <w:rPr>
          <w:rFonts w:cs="Times New Roman"/>
          <w:noProof/>
          <w:lang w:val="sk-SK"/>
        </w:rPr>
        <w:t xml:space="preserve"> v </w:t>
      </w:r>
      <w:r w:rsidRPr="003F23AC">
        <w:rPr>
          <w:rFonts w:cs="Times New Roman"/>
          <w:noProof/>
          <w:lang w:val="sk-SK"/>
        </w:rPr>
        <w:t>rámci celkovej štruktúry Národnej zdravotnej služby. Na tento účel je cieľom reformy riešiť šesť priorít: I) prehlbovanie kapacity skríningu</w:t>
      </w:r>
      <w:r w:rsidR="00A75B3C" w:rsidRPr="003F23AC">
        <w:rPr>
          <w:rFonts w:cs="Times New Roman"/>
          <w:noProof/>
          <w:lang w:val="sk-SK"/>
        </w:rPr>
        <w:t xml:space="preserve"> a </w:t>
      </w:r>
      <w:r w:rsidRPr="003F23AC">
        <w:rPr>
          <w:rFonts w:cs="Times New Roman"/>
          <w:noProof/>
          <w:lang w:val="sk-SK"/>
        </w:rPr>
        <w:t>včasnej diagnostiky, konkrétne najčastejších patológií; II) posilnenie schopnosti reagovať na primárnu starostlivosť prostredníctvom vytvorenia proaktívnejších zdravotníckych centier</w:t>
      </w:r>
      <w:r w:rsidR="00A75B3C" w:rsidRPr="003F23AC">
        <w:rPr>
          <w:rFonts w:cs="Times New Roman"/>
          <w:noProof/>
          <w:lang w:val="sk-SK"/>
        </w:rPr>
        <w:t xml:space="preserve"> s </w:t>
      </w:r>
      <w:r w:rsidRPr="003F23AC">
        <w:rPr>
          <w:rFonts w:cs="Times New Roman"/>
          <w:noProof/>
          <w:lang w:val="sk-SK"/>
        </w:rPr>
        <w:t>rozšíreným portfóliom služieb</w:t>
      </w:r>
      <w:r w:rsidR="00A75B3C" w:rsidRPr="003F23AC">
        <w:rPr>
          <w:rFonts w:cs="Times New Roman"/>
          <w:noProof/>
          <w:lang w:val="sk-SK"/>
        </w:rPr>
        <w:t xml:space="preserve"> a </w:t>
      </w:r>
      <w:r w:rsidRPr="003F23AC">
        <w:rPr>
          <w:rFonts w:cs="Times New Roman"/>
          <w:noProof/>
          <w:lang w:val="sk-SK"/>
        </w:rPr>
        <w:t>oblasťami intervencie, ako aj väčšej integrácie</w:t>
      </w:r>
      <w:r w:rsidR="00A75B3C" w:rsidRPr="003F23AC">
        <w:rPr>
          <w:rFonts w:cs="Times New Roman"/>
          <w:noProof/>
          <w:lang w:val="sk-SK"/>
        </w:rPr>
        <w:t xml:space="preserve"> s </w:t>
      </w:r>
      <w:r w:rsidRPr="003F23AC">
        <w:rPr>
          <w:rFonts w:cs="Times New Roman"/>
          <w:noProof/>
          <w:lang w:val="sk-SK"/>
        </w:rPr>
        <w:t>inými úrovňami starostlivosti,</w:t>
      </w:r>
      <w:r w:rsidR="00A75B3C" w:rsidRPr="003F23AC">
        <w:rPr>
          <w:rFonts w:cs="Times New Roman"/>
          <w:noProof/>
          <w:lang w:val="sk-SK"/>
        </w:rPr>
        <w:t xml:space="preserve"> a </w:t>
      </w:r>
      <w:r w:rsidRPr="003F23AC">
        <w:rPr>
          <w:rFonts w:cs="Times New Roman"/>
          <w:noProof/>
          <w:lang w:val="sk-SK"/>
        </w:rPr>
        <w:t>prispôsobením procesov individuálnym charakteristikám každého používateľa</w:t>
      </w:r>
      <w:r w:rsidR="00A75B3C" w:rsidRPr="003F23AC">
        <w:rPr>
          <w:rFonts w:cs="Times New Roman"/>
          <w:noProof/>
          <w:lang w:val="sk-SK"/>
        </w:rPr>
        <w:t xml:space="preserve"> a </w:t>
      </w:r>
      <w:r w:rsidRPr="003F23AC">
        <w:rPr>
          <w:rFonts w:cs="Times New Roman"/>
          <w:noProof/>
          <w:lang w:val="sk-SK"/>
        </w:rPr>
        <w:t>súvisiacim životným dráham, znížením vysokej variability klinických postupov (a to aj pokiaľ ide</w:t>
      </w:r>
      <w:r w:rsidR="00A75B3C" w:rsidRPr="003F23AC">
        <w:rPr>
          <w:rFonts w:cs="Times New Roman"/>
          <w:noProof/>
          <w:lang w:val="sk-SK"/>
        </w:rPr>
        <w:t xml:space="preserve"> o </w:t>
      </w:r>
      <w:r w:rsidRPr="003F23AC">
        <w:rPr>
          <w:rFonts w:cs="Times New Roman"/>
          <w:noProof/>
          <w:lang w:val="sk-SK"/>
        </w:rPr>
        <w:t>predpisovanie ambulantných liekov), zlepšením klinického poradenstva medzi rôznymi úrovňami zdravotnej starostlivosti</w:t>
      </w:r>
      <w:r w:rsidR="00A75B3C" w:rsidRPr="003F23AC">
        <w:rPr>
          <w:rFonts w:cs="Times New Roman"/>
          <w:noProof/>
          <w:lang w:val="sk-SK"/>
        </w:rPr>
        <w:t xml:space="preserve"> a </w:t>
      </w:r>
      <w:r w:rsidRPr="003F23AC">
        <w:rPr>
          <w:rFonts w:cs="Times New Roman"/>
          <w:noProof/>
          <w:lang w:val="sk-SK"/>
        </w:rPr>
        <w:t>úsilím</w:t>
      </w:r>
      <w:r w:rsidR="00A75B3C" w:rsidRPr="003F23AC">
        <w:rPr>
          <w:rFonts w:cs="Times New Roman"/>
          <w:noProof/>
          <w:lang w:val="sk-SK"/>
        </w:rPr>
        <w:t xml:space="preserve"> o </w:t>
      </w:r>
      <w:r w:rsidRPr="003F23AC">
        <w:rPr>
          <w:rFonts w:cs="Times New Roman"/>
          <w:noProof/>
          <w:lang w:val="sk-SK"/>
        </w:rPr>
        <w:t>zvýšenie efektívnosti obmedzením duplicity služieb alebo poskytovania neúčinnej, neprimeranej alebo nízkohodnotnej starostlivosti; III) náprava regionálnych</w:t>
      </w:r>
      <w:r w:rsidR="00A75B3C" w:rsidRPr="003F23AC">
        <w:rPr>
          <w:rFonts w:cs="Times New Roman"/>
          <w:noProof/>
          <w:lang w:val="sk-SK"/>
        </w:rPr>
        <w:t xml:space="preserve"> a </w:t>
      </w:r>
      <w:r w:rsidRPr="003F23AC">
        <w:rPr>
          <w:rFonts w:cs="Times New Roman"/>
          <w:noProof/>
          <w:lang w:val="sk-SK"/>
        </w:rPr>
        <w:t>miestnych asymetrií, pokiaľ ide</w:t>
      </w:r>
      <w:r w:rsidR="00A75B3C" w:rsidRPr="003F23AC">
        <w:rPr>
          <w:rFonts w:cs="Times New Roman"/>
          <w:noProof/>
          <w:lang w:val="sk-SK"/>
        </w:rPr>
        <w:t xml:space="preserve"> o </w:t>
      </w:r>
      <w:r w:rsidRPr="003F23AC">
        <w:rPr>
          <w:rFonts w:cs="Times New Roman"/>
          <w:noProof/>
          <w:lang w:val="sk-SK"/>
        </w:rPr>
        <w:t>zariadenia</w:t>
      </w:r>
      <w:r w:rsidR="00A75B3C" w:rsidRPr="003F23AC">
        <w:rPr>
          <w:rFonts w:cs="Times New Roman"/>
          <w:noProof/>
          <w:lang w:val="sk-SK"/>
        </w:rPr>
        <w:t xml:space="preserve"> a </w:t>
      </w:r>
      <w:r w:rsidRPr="003F23AC">
        <w:rPr>
          <w:rFonts w:cs="Times New Roman"/>
          <w:noProof/>
          <w:lang w:val="sk-SK"/>
        </w:rPr>
        <w:t>vybavenie dostupné</w:t>
      </w:r>
      <w:r w:rsidR="00A75B3C" w:rsidRPr="003F23AC">
        <w:rPr>
          <w:rFonts w:cs="Times New Roman"/>
          <w:noProof/>
          <w:lang w:val="sk-SK"/>
        </w:rPr>
        <w:t xml:space="preserve"> v </w:t>
      </w:r>
      <w:r w:rsidRPr="003F23AC">
        <w:rPr>
          <w:rFonts w:cs="Times New Roman"/>
          <w:noProof/>
          <w:lang w:val="sk-SK"/>
        </w:rPr>
        <w:t>službách primárnej zdravotnej starostlivosti; IV) podpora komunitných reakcií</w:t>
      </w:r>
      <w:r w:rsidR="00A75B3C" w:rsidRPr="003F23AC">
        <w:rPr>
          <w:rFonts w:cs="Times New Roman"/>
          <w:noProof/>
          <w:lang w:val="sk-SK"/>
        </w:rPr>
        <w:t xml:space="preserve"> a </w:t>
      </w:r>
      <w:r w:rsidRPr="003F23AC">
        <w:rPr>
          <w:rFonts w:cs="Times New Roman"/>
          <w:noProof/>
          <w:lang w:val="sk-SK"/>
        </w:rPr>
        <w:t>vytváranie podporných programov pre používateľov</w:t>
      </w:r>
      <w:r w:rsidR="00A75B3C" w:rsidRPr="003F23AC">
        <w:rPr>
          <w:rFonts w:cs="Times New Roman"/>
          <w:noProof/>
          <w:lang w:val="sk-SK"/>
        </w:rPr>
        <w:t xml:space="preserve"> a </w:t>
      </w:r>
      <w:r w:rsidRPr="003F23AC">
        <w:rPr>
          <w:rFonts w:cs="Times New Roman"/>
          <w:noProof/>
          <w:lang w:val="sk-SK"/>
        </w:rPr>
        <w:t>ich rodiny, lepšie zapojenie občanov</w:t>
      </w:r>
      <w:r w:rsidR="00A75B3C" w:rsidRPr="003F23AC">
        <w:rPr>
          <w:rFonts w:cs="Times New Roman"/>
          <w:noProof/>
          <w:lang w:val="sk-SK"/>
        </w:rPr>
        <w:t xml:space="preserve"> a </w:t>
      </w:r>
      <w:r w:rsidRPr="003F23AC">
        <w:rPr>
          <w:rFonts w:cs="Times New Roman"/>
          <w:noProof/>
          <w:lang w:val="sk-SK"/>
        </w:rPr>
        <w:t>komunít,</w:t>
      </w:r>
      <w:r w:rsidR="00A75B3C" w:rsidRPr="003F23AC">
        <w:rPr>
          <w:rFonts w:cs="Times New Roman"/>
          <w:noProof/>
          <w:lang w:val="sk-SK"/>
        </w:rPr>
        <w:t xml:space="preserve"> a </w:t>
      </w:r>
      <w:r w:rsidRPr="003F23AC">
        <w:rPr>
          <w:rFonts w:cs="Times New Roman"/>
          <w:noProof/>
          <w:lang w:val="sk-SK"/>
        </w:rPr>
        <w:t>to aj prostredníctvom dokončenia odovzdania zodpovednosti</w:t>
      </w:r>
      <w:r w:rsidR="00A75B3C" w:rsidRPr="003F23AC">
        <w:rPr>
          <w:rFonts w:cs="Times New Roman"/>
          <w:noProof/>
          <w:lang w:val="sk-SK"/>
        </w:rPr>
        <w:t xml:space="preserve"> v </w:t>
      </w:r>
      <w:r w:rsidRPr="003F23AC">
        <w:rPr>
          <w:rFonts w:cs="Times New Roman"/>
          <w:noProof/>
          <w:lang w:val="sk-SK"/>
        </w:rPr>
        <w:t>oblasti zdravia</w:t>
      </w:r>
      <w:r w:rsidR="00A75B3C" w:rsidRPr="003F23AC">
        <w:rPr>
          <w:rFonts w:cs="Times New Roman"/>
          <w:noProof/>
          <w:lang w:val="sk-SK"/>
        </w:rPr>
        <w:t xml:space="preserve"> z </w:t>
      </w:r>
      <w:r w:rsidRPr="003F23AC">
        <w:rPr>
          <w:rFonts w:cs="Times New Roman"/>
          <w:noProof/>
          <w:lang w:val="sk-SK"/>
        </w:rPr>
        <w:t>ústredných orgánov na miestne samosprávy; zlepšenie zručností pracovnej sily</w:t>
      </w:r>
      <w:r w:rsidR="00A75B3C" w:rsidRPr="003F23AC">
        <w:rPr>
          <w:rFonts w:cs="Times New Roman"/>
          <w:noProof/>
          <w:lang w:val="sk-SK"/>
        </w:rPr>
        <w:t xml:space="preserve"> v </w:t>
      </w:r>
      <w:r w:rsidRPr="003F23AC">
        <w:rPr>
          <w:rFonts w:cs="Times New Roman"/>
          <w:noProof/>
          <w:lang w:val="sk-SK"/>
        </w:rPr>
        <w:t>zdravotníctve, posilnenie multidisciplinárnej tímovej práce</w:t>
      </w:r>
      <w:r w:rsidR="00A75B3C" w:rsidRPr="003F23AC">
        <w:rPr>
          <w:rFonts w:cs="Times New Roman"/>
          <w:noProof/>
          <w:lang w:val="sk-SK"/>
        </w:rPr>
        <w:t xml:space="preserve"> a </w:t>
      </w:r>
      <w:r w:rsidRPr="003F23AC">
        <w:rPr>
          <w:rFonts w:cs="Times New Roman"/>
          <w:noProof/>
          <w:lang w:val="sk-SK"/>
        </w:rPr>
        <w:t>rozšírenie počtu odborníkov vrátane špecialistov;</w:t>
      </w:r>
      <w:r w:rsidR="00A75B3C" w:rsidRPr="003F23AC">
        <w:rPr>
          <w:rFonts w:cs="Times New Roman"/>
          <w:noProof/>
          <w:lang w:val="sk-SK"/>
        </w:rPr>
        <w:t xml:space="preserve"> a </w:t>
      </w:r>
      <w:r w:rsidRPr="003F23AC">
        <w:rPr>
          <w:rFonts w:cs="Times New Roman"/>
          <w:noProof/>
          <w:lang w:val="sk-SK"/>
        </w:rPr>
        <w:t>vi) realizácia digitálnej transformácie Národnej zdravotnej služby</w:t>
      </w:r>
      <w:r w:rsidR="00A75B3C" w:rsidRPr="003F23AC">
        <w:rPr>
          <w:rFonts w:cs="Times New Roman"/>
          <w:noProof/>
          <w:lang w:val="sk-SK"/>
        </w:rPr>
        <w:t xml:space="preserve"> a </w:t>
      </w:r>
      <w:r w:rsidRPr="003F23AC">
        <w:rPr>
          <w:rFonts w:cs="Times New Roman"/>
          <w:noProof/>
          <w:lang w:val="sk-SK"/>
        </w:rPr>
        <w:t>využívanie jej potenciálu na modernizáciu</w:t>
      </w:r>
      <w:r w:rsidR="00A75B3C" w:rsidRPr="003F23AC">
        <w:rPr>
          <w:rFonts w:cs="Times New Roman"/>
          <w:noProof/>
          <w:lang w:val="sk-SK"/>
        </w:rPr>
        <w:t xml:space="preserve"> a </w:t>
      </w:r>
      <w:r w:rsidRPr="003F23AC">
        <w:rPr>
          <w:rFonts w:cs="Times New Roman"/>
          <w:noProof/>
          <w:lang w:val="sk-SK"/>
        </w:rPr>
        <w:t>zjednodušenie využívania služieb zdravotnej starostlivosti. Touto reformou sa pritom zabezpečia lepšie rámcové podmienky pre súvisiace investície do služieb primárnej zdravotnej starostlivosti.</w:t>
      </w:r>
    </w:p>
    <w:p w14:paraId="2145F595" w14:textId="7DD41C8A"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Reforma pozostáva</w:t>
      </w:r>
      <w:r w:rsidR="00A75B3C" w:rsidRPr="003F23AC">
        <w:rPr>
          <w:rFonts w:cs="Times New Roman"/>
          <w:noProof/>
          <w:lang w:val="sk-SK"/>
        </w:rPr>
        <w:t xml:space="preserve"> z </w:t>
      </w:r>
      <w:r w:rsidRPr="003F23AC">
        <w:rPr>
          <w:rFonts w:cs="Times New Roman"/>
          <w:noProof/>
          <w:lang w:val="sk-SK"/>
        </w:rPr>
        <w:t>vykonávania niekoľkých legislatívnych</w:t>
      </w:r>
      <w:r w:rsidR="00A75B3C" w:rsidRPr="003F23AC">
        <w:rPr>
          <w:rFonts w:cs="Times New Roman"/>
          <w:noProof/>
          <w:lang w:val="sk-SK"/>
        </w:rPr>
        <w:t xml:space="preserve"> a </w:t>
      </w:r>
      <w:r w:rsidRPr="003F23AC">
        <w:rPr>
          <w:rFonts w:cs="Times New Roman"/>
          <w:noProof/>
          <w:lang w:val="sk-SK"/>
        </w:rPr>
        <w:t>regulačných opatrení</w:t>
      </w:r>
      <w:r w:rsidR="00A75B3C" w:rsidRPr="003F23AC">
        <w:rPr>
          <w:rFonts w:cs="Times New Roman"/>
          <w:noProof/>
          <w:lang w:val="sk-SK"/>
        </w:rPr>
        <w:t xml:space="preserve"> s </w:t>
      </w:r>
      <w:r w:rsidRPr="003F23AC">
        <w:rPr>
          <w:rFonts w:cs="Times New Roman"/>
          <w:noProof/>
          <w:lang w:val="sk-SK"/>
        </w:rPr>
        <w:t>cieľom: I) rozšírenie zodpovednosti</w:t>
      </w:r>
      <w:r w:rsidR="00A75B3C" w:rsidRPr="003F23AC">
        <w:rPr>
          <w:rFonts w:cs="Times New Roman"/>
          <w:noProof/>
          <w:lang w:val="sk-SK"/>
        </w:rPr>
        <w:t xml:space="preserve"> a </w:t>
      </w:r>
      <w:r w:rsidRPr="003F23AC">
        <w:rPr>
          <w:rFonts w:cs="Times New Roman"/>
          <w:noProof/>
          <w:lang w:val="sk-SK"/>
        </w:rPr>
        <w:t>rozsahu intervencie skupín zdravotníckych stredísk, ako aj typológie funkčných jednotiek, ktoré ich tvoria; II) preskúmanie právneho režimu organizácie</w:t>
      </w:r>
      <w:r w:rsidR="00A75B3C" w:rsidRPr="003F23AC">
        <w:rPr>
          <w:rFonts w:cs="Times New Roman"/>
          <w:noProof/>
          <w:lang w:val="sk-SK"/>
        </w:rPr>
        <w:t xml:space="preserve"> a </w:t>
      </w:r>
      <w:r w:rsidRPr="003F23AC">
        <w:rPr>
          <w:rFonts w:cs="Times New Roman"/>
          <w:noProof/>
          <w:lang w:val="sk-SK"/>
        </w:rPr>
        <w:t>fungovania funkčných jednotiek, ako aj systému stimulov, ktoré sa majú poskytnúť prvkom, ktoré ich tvoria; III) vývoj nástroja na stratifikáciu rizík na podporu klinického riadenia vo funkčných jednotkách skupín zdravotníckych stredísk;</w:t>
      </w:r>
      <w:r w:rsidR="00A75B3C" w:rsidRPr="003F23AC">
        <w:rPr>
          <w:rFonts w:cs="Times New Roman"/>
          <w:noProof/>
          <w:lang w:val="sk-SK"/>
        </w:rPr>
        <w:t xml:space="preserve"> a </w:t>
      </w:r>
      <w:r w:rsidRPr="003F23AC">
        <w:rPr>
          <w:rFonts w:cs="Times New Roman"/>
          <w:noProof/>
          <w:lang w:val="sk-SK"/>
        </w:rPr>
        <w:t>iv) dokončenie prenosu zodpovednosti</w:t>
      </w:r>
      <w:r w:rsidR="00A75B3C" w:rsidRPr="003F23AC">
        <w:rPr>
          <w:rFonts w:cs="Times New Roman"/>
          <w:noProof/>
          <w:lang w:val="sk-SK"/>
        </w:rPr>
        <w:t xml:space="preserve"> v </w:t>
      </w:r>
      <w:r w:rsidRPr="003F23AC">
        <w:rPr>
          <w:rFonts w:cs="Times New Roman"/>
          <w:noProof/>
          <w:lang w:val="sk-SK"/>
        </w:rPr>
        <w:t>oblasti zdravotníctva</w:t>
      </w:r>
      <w:r w:rsidR="00A75B3C" w:rsidRPr="003F23AC">
        <w:rPr>
          <w:rFonts w:cs="Times New Roman"/>
          <w:noProof/>
          <w:lang w:val="sk-SK"/>
        </w:rPr>
        <w:t xml:space="preserve"> z </w:t>
      </w:r>
      <w:r w:rsidRPr="003F23AC">
        <w:rPr>
          <w:rFonts w:cs="Times New Roman"/>
          <w:noProof/>
          <w:lang w:val="sk-SK"/>
        </w:rPr>
        <w:t>ústrednej správy na obce.</w:t>
      </w:r>
    </w:p>
    <w:p w14:paraId="13EB0AA1" w14:textId="4E9ADB6E"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Míľnik</w:t>
      </w:r>
      <w:r w:rsidR="00A75B3C" w:rsidRPr="003F23AC">
        <w:rPr>
          <w:rFonts w:cs="Times New Roman"/>
          <w:noProof/>
          <w:lang w:val="sk-SK"/>
        </w:rPr>
        <w:t xml:space="preserve"> a </w:t>
      </w:r>
      <w:r w:rsidRPr="003F23AC">
        <w:rPr>
          <w:rFonts w:cs="Times New Roman"/>
          <w:noProof/>
          <w:lang w:val="sk-SK"/>
        </w:rPr>
        <w:t>ciele súvisiace</w:t>
      </w:r>
      <w:r w:rsidR="00A75B3C" w:rsidRPr="003F23AC">
        <w:rPr>
          <w:rFonts w:cs="Times New Roman"/>
          <w:noProof/>
          <w:lang w:val="sk-SK"/>
        </w:rPr>
        <w:t xml:space="preserve"> s </w:t>
      </w:r>
      <w:r w:rsidRPr="003F23AC">
        <w:rPr>
          <w:rFonts w:cs="Times New Roman"/>
          <w:noProof/>
          <w:lang w:val="sk-SK"/>
        </w:rPr>
        <w:t>vykonávaním reformy sa dokončia do 31</w:t>
      </w:r>
      <w:r w:rsidR="00A75B3C" w:rsidRPr="003F23AC">
        <w:rPr>
          <w:rFonts w:cs="Times New Roman"/>
          <w:noProof/>
          <w:lang w:val="sk-SK"/>
        </w:rPr>
        <w:t>. decembra</w:t>
      </w:r>
      <w:r w:rsidRPr="003F23AC">
        <w:rPr>
          <w:rFonts w:cs="Times New Roman"/>
          <w:noProof/>
          <w:lang w:val="sk-SK"/>
        </w:rPr>
        <w:t xml:space="preserve"> 2023.</w:t>
      </w:r>
    </w:p>
    <w:p w14:paraId="3B03907D"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Reforma RE-r02: Reforma duševného zdravia</w:t>
      </w:r>
    </w:p>
    <w:p w14:paraId="12CAE8A0" w14:textId="5249A180"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Hlavným cieľom tejto reformy je zlepšiť duševné zdravie</w:t>
      </w:r>
      <w:r w:rsidR="00A75B3C" w:rsidRPr="003F23AC">
        <w:rPr>
          <w:rFonts w:cs="Times New Roman"/>
          <w:noProof/>
          <w:lang w:val="sk-SK"/>
        </w:rPr>
        <w:t xml:space="preserve"> v </w:t>
      </w:r>
      <w:r w:rsidRPr="003F23AC">
        <w:rPr>
          <w:rFonts w:cs="Times New Roman"/>
          <w:noProof/>
          <w:lang w:val="sk-SK"/>
        </w:rPr>
        <w:t>Portugalsku. Na tento účel je reforma štruktúrovaná podľa piatich intervenčných osí: deinštitucionalizácia pacientov žijúcich</w:t>
      </w:r>
      <w:r w:rsidR="00A75B3C" w:rsidRPr="003F23AC">
        <w:rPr>
          <w:rFonts w:cs="Times New Roman"/>
          <w:noProof/>
          <w:lang w:val="sk-SK"/>
        </w:rPr>
        <w:t xml:space="preserve"> v </w:t>
      </w:r>
      <w:r w:rsidRPr="003F23AC">
        <w:rPr>
          <w:rFonts w:cs="Times New Roman"/>
          <w:noProof/>
          <w:lang w:val="sk-SK"/>
        </w:rPr>
        <w:t>psychiatrických nemocniciach alebo inštitúciách sociálneho sektora; II) dokončenie vnútroštátneho pokrytia miestnych služieb</w:t>
      </w:r>
      <w:r w:rsidR="00A75B3C" w:rsidRPr="003F23AC">
        <w:rPr>
          <w:rFonts w:cs="Times New Roman"/>
          <w:noProof/>
          <w:lang w:val="sk-SK"/>
        </w:rPr>
        <w:t xml:space="preserve"> v </w:t>
      </w:r>
      <w:r w:rsidRPr="003F23AC">
        <w:rPr>
          <w:rFonts w:cs="Times New Roman"/>
          <w:noProof/>
          <w:lang w:val="sk-SK"/>
        </w:rPr>
        <w:t>oblasti duševného zdravia</w:t>
      </w:r>
      <w:r w:rsidR="00A75B3C" w:rsidRPr="003F23AC">
        <w:rPr>
          <w:rFonts w:cs="Times New Roman"/>
          <w:noProof/>
          <w:lang w:val="sk-SK"/>
        </w:rPr>
        <w:t xml:space="preserve"> v </w:t>
      </w:r>
      <w:r w:rsidRPr="003F23AC">
        <w:rPr>
          <w:rFonts w:cs="Times New Roman"/>
          <w:noProof/>
          <w:lang w:val="sk-SK"/>
        </w:rPr>
        <w:t>oblasti ústavnej, ambulantnej</w:t>
      </w:r>
      <w:r w:rsidR="00A75B3C" w:rsidRPr="003F23AC">
        <w:rPr>
          <w:rFonts w:cs="Times New Roman"/>
          <w:noProof/>
          <w:lang w:val="sk-SK"/>
        </w:rPr>
        <w:t xml:space="preserve"> a </w:t>
      </w:r>
      <w:r w:rsidRPr="003F23AC">
        <w:rPr>
          <w:rFonts w:cs="Times New Roman"/>
          <w:noProof/>
          <w:lang w:val="sk-SK"/>
        </w:rPr>
        <w:t>komunitnej starostlivosti; III) rozšírenie vnútroštátnej siete integrovanej nepretržitej starostlivosti so zameraním na duševné zdravie; reorganizácia forenzných psychiatrických služieb;</w:t>
      </w:r>
      <w:r w:rsidR="00A75B3C" w:rsidRPr="003F23AC">
        <w:rPr>
          <w:rFonts w:cs="Times New Roman"/>
          <w:noProof/>
          <w:lang w:val="sk-SK"/>
        </w:rPr>
        <w:t xml:space="preserve"> a </w:t>
      </w:r>
      <w:r w:rsidRPr="003F23AC">
        <w:rPr>
          <w:rFonts w:cs="Times New Roman"/>
          <w:noProof/>
          <w:lang w:val="sk-SK"/>
        </w:rPr>
        <w:t>v) vykonávanie regionálnych zdravotných plánov týkajúcich sa demencie.</w:t>
      </w:r>
    </w:p>
    <w:p w14:paraId="0D4AF41B" w14:textId="7FEEC322"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Reforma bude konkrétne pozostávať</w:t>
      </w:r>
      <w:r w:rsidR="00A75B3C" w:rsidRPr="003F23AC">
        <w:rPr>
          <w:rFonts w:cs="Times New Roman"/>
          <w:noProof/>
          <w:lang w:val="sk-SK"/>
        </w:rPr>
        <w:t xml:space="preserve"> z </w:t>
      </w:r>
      <w:r w:rsidRPr="003F23AC">
        <w:rPr>
          <w:rFonts w:cs="Times New Roman"/>
          <w:noProof/>
          <w:lang w:val="sk-SK"/>
        </w:rPr>
        <w:t>preskúmania súčasného zákona</w:t>
      </w:r>
      <w:r w:rsidR="00A75B3C" w:rsidRPr="003F23AC">
        <w:rPr>
          <w:rFonts w:cs="Times New Roman"/>
          <w:noProof/>
          <w:lang w:val="sk-SK"/>
        </w:rPr>
        <w:t xml:space="preserve"> o </w:t>
      </w:r>
      <w:r w:rsidRPr="003F23AC">
        <w:rPr>
          <w:rFonts w:cs="Times New Roman"/>
          <w:noProof/>
          <w:lang w:val="sk-SK"/>
        </w:rPr>
        <w:t>duševnom zdraví, ktorým sa stanovia všeobecné zásady politiky</w:t>
      </w:r>
      <w:r w:rsidR="00A75B3C" w:rsidRPr="003F23AC">
        <w:rPr>
          <w:rFonts w:cs="Times New Roman"/>
          <w:noProof/>
          <w:lang w:val="sk-SK"/>
        </w:rPr>
        <w:t xml:space="preserve"> v </w:t>
      </w:r>
      <w:r w:rsidRPr="003F23AC">
        <w:rPr>
          <w:rFonts w:cs="Times New Roman"/>
          <w:noProof/>
          <w:lang w:val="sk-SK"/>
        </w:rPr>
        <w:t>oblasti duševného zdravia</w:t>
      </w:r>
      <w:r w:rsidR="00A75B3C" w:rsidRPr="003F23AC">
        <w:rPr>
          <w:rFonts w:cs="Times New Roman"/>
          <w:noProof/>
          <w:lang w:val="sk-SK"/>
        </w:rPr>
        <w:t xml:space="preserve"> v </w:t>
      </w:r>
      <w:r w:rsidRPr="003F23AC">
        <w:rPr>
          <w:rFonts w:cs="Times New Roman"/>
          <w:noProof/>
          <w:lang w:val="sk-SK"/>
        </w:rPr>
        <w:t>Portugalsku</w:t>
      </w:r>
      <w:r w:rsidR="00A75B3C" w:rsidRPr="003F23AC">
        <w:rPr>
          <w:rFonts w:cs="Times New Roman"/>
          <w:noProof/>
          <w:lang w:val="sk-SK"/>
        </w:rPr>
        <w:t xml:space="preserve"> a </w:t>
      </w:r>
      <w:r w:rsidRPr="003F23AC">
        <w:rPr>
          <w:rFonts w:cs="Times New Roman"/>
          <w:noProof/>
          <w:lang w:val="sk-SK"/>
        </w:rPr>
        <w:t>upravuje povinná stáž osôb</w:t>
      </w:r>
      <w:r w:rsidR="00A75B3C" w:rsidRPr="003F23AC">
        <w:rPr>
          <w:rFonts w:cs="Times New Roman"/>
          <w:noProof/>
          <w:lang w:val="sk-SK"/>
        </w:rPr>
        <w:t xml:space="preserve"> s </w:t>
      </w:r>
      <w:r w:rsidRPr="003F23AC">
        <w:rPr>
          <w:rFonts w:cs="Times New Roman"/>
          <w:noProof/>
          <w:lang w:val="sk-SK"/>
        </w:rPr>
        <w:t>psychickými poruchami –</w:t>
      </w:r>
      <w:r w:rsidR="00A75B3C" w:rsidRPr="003F23AC">
        <w:rPr>
          <w:rFonts w:cs="Times New Roman"/>
          <w:noProof/>
          <w:lang w:val="sk-SK"/>
        </w:rPr>
        <w:t xml:space="preserve"> a </w:t>
      </w:r>
      <w:r w:rsidRPr="003F23AC">
        <w:rPr>
          <w:rFonts w:cs="Times New Roman"/>
          <w:noProof/>
          <w:lang w:val="sk-SK"/>
        </w:rPr>
        <w:t>zákonného dekrétu</w:t>
      </w:r>
      <w:r w:rsidR="00A75B3C" w:rsidRPr="003F23AC">
        <w:rPr>
          <w:rFonts w:cs="Times New Roman"/>
          <w:noProof/>
          <w:lang w:val="sk-SK"/>
        </w:rPr>
        <w:t xml:space="preserve"> o </w:t>
      </w:r>
      <w:r w:rsidRPr="003F23AC">
        <w:rPr>
          <w:rFonts w:cs="Times New Roman"/>
          <w:noProof/>
          <w:lang w:val="sk-SK"/>
        </w:rPr>
        <w:t>duševnom zdraví,</w:t>
      </w:r>
      <w:r w:rsidR="00A75B3C" w:rsidRPr="003F23AC">
        <w:rPr>
          <w:rFonts w:cs="Times New Roman"/>
          <w:noProof/>
          <w:lang w:val="sk-SK"/>
        </w:rPr>
        <w:t xml:space="preserve"> v </w:t>
      </w:r>
      <w:r w:rsidRPr="003F23AC">
        <w:rPr>
          <w:rFonts w:cs="Times New Roman"/>
          <w:noProof/>
          <w:lang w:val="sk-SK"/>
        </w:rPr>
        <w:t>ktorom sa vymedzia hlavné zásady organizácie, riadenia</w:t>
      </w:r>
      <w:r w:rsidR="00A75B3C" w:rsidRPr="003F23AC">
        <w:rPr>
          <w:rFonts w:cs="Times New Roman"/>
          <w:noProof/>
          <w:lang w:val="sk-SK"/>
        </w:rPr>
        <w:t xml:space="preserve"> a </w:t>
      </w:r>
      <w:r w:rsidRPr="003F23AC">
        <w:rPr>
          <w:rFonts w:cs="Times New Roman"/>
          <w:noProof/>
          <w:lang w:val="sk-SK"/>
        </w:rPr>
        <w:t>hodnotenia služieb</w:t>
      </w:r>
      <w:r w:rsidR="00A75B3C" w:rsidRPr="003F23AC">
        <w:rPr>
          <w:rFonts w:cs="Times New Roman"/>
          <w:noProof/>
          <w:lang w:val="sk-SK"/>
        </w:rPr>
        <w:t xml:space="preserve"> v </w:t>
      </w:r>
      <w:r w:rsidRPr="003F23AC">
        <w:rPr>
          <w:rFonts w:cs="Times New Roman"/>
          <w:noProof/>
          <w:lang w:val="sk-SK"/>
        </w:rPr>
        <w:t>oblasti duševného zdravia.</w:t>
      </w:r>
      <w:r w:rsidR="00A75B3C" w:rsidRPr="003F23AC">
        <w:rPr>
          <w:rFonts w:cs="Times New Roman"/>
          <w:noProof/>
          <w:lang w:val="sk-SK"/>
        </w:rPr>
        <w:t xml:space="preserve"> V </w:t>
      </w:r>
      <w:r w:rsidRPr="003F23AC">
        <w:rPr>
          <w:rFonts w:cs="Times New Roman"/>
          <w:noProof/>
          <w:lang w:val="sk-SK"/>
        </w:rPr>
        <w:t>týchto právnych ustanoveniach sa okrem iného zavedú tieto zmeny: I) začlenenie zásad Dohovoru Organizácie Spojených národov</w:t>
      </w:r>
      <w:r w:rsidR="00A75B3C" w:rsidRPr="003F23AC">
        <w:rPr>
          <w:rFonts w:cs="Times New Roman"/>
          <w:noProof/>
          <w:lang w:val="sk-SK"/>
        </w:rPr>
        <w:t xml:space="preserve"> o </w:t>
      </w:r>
      <w:r w:rsidRPr="003F23AC">
        <w:rPr>
          <w:rFonts w:cs="Times New Roman"/>
          <w:noProof/>
          <w:lang w:val="sk-SK"/>
        </w:rPr>
        <w:t>právach osôb so zdravotným postihnutím do právnych predpisov;</w:t>
      </w:r>
      <w:r w:rsidR="00A75B3C" w:rsidRPr="003F23AC">
        <w:rPr>
          <w:rFonts w:cs="Times New Roman"/>
          <w:noProof/>
          <w:lang w:val="sk-SK"/>
        </w:rPr>
        <w:t xml:space="preserve"> a </w:t>
      </w:r>
      <w:r w:rsidRPr="003F23AC">
        <w:rPr>
          <w:rFonts w:cs="Times New Roman"/>
          <w:noProof/>
          <w:lang w:val="sk-SK"/>
        </w:rPr>
        <w:t>ii) zvýšiť samostatnosť</w:t>
      </w:r>
      <w:r w:rsidR="00A75B3C" w:rsidRPr="003F23AC">
        <w:rPr>
          <w:rFonts w:cs="Times New Roman"/>
          <w:noProof/>
          <w:lang w:val="sk-SK"/>
        </w:rPr>
        <w:t xml:space="preserve"> a </w:t>
      </w:r>
      <w:r w:rsidRPr="003F23AC">
        <w:rPr>
          <w:rFonts w:cs="Times New Roman"/>
          <w:noProof/>
          <w:lang w:val="sk-SK"/>
        </w:rPr>
        <w:t>správne riadenie miestnych služieb</w:t>
      </w:r>
      <w:r w:rsidR="00A75B3C" w:rsidRPr="003F23AC">
        <w:rPr>
          <w:rFonts w:cs="Times New Roman"/>
          <w:noProof/>
          <w:lang w:val="sk-SK"/>
        </w:rPr>
        <w:t xml:space="preserve"> v </w:t>
      </w:r>
      <w:r w:rsidRPr="003F23AC">
        <w:rPr>
          <w:rFonts w:cs="Times New Roman"/>
          <w:noProof/>
          <w:lang w:val="sk-SK"/>
        </w:rPr>
        <w:t>oblasti duševného zdravia prostredníctvom vytvorenia integrovaných centier zodpovednosti. Touto reformou sa pritom zabezpečia lepšie rámcové podmienky pre súvisiace investície do služieb starostlivosti</w:t>
      </w:r>
      <w:r w:rsidR="00A75B3C" w:rsidRPr="003F23AC">
        <w:rPr>
          <w:rFonts w:cs="Times New Roman"/>
          <w:noProof/>
          <w:lang w:val="sk-SK"/>
        </w:rPr>
        <w:t xml:space="preserve"> o </w:t>
      </w:r>
      <w:r w:rsidRPr="003F23AC">
        <w:rPr>
          <w:rFonts w:cs="Times New Roman"/>
          <w:noProof/>
          <w:lang w:val="sk-SK"/>
        </w:rPr>
        <w:t>duševné zdravie.</w:t>
      </w:r>
    </w:p>
    <w:p w14:paraId="10338A6D" w14:textId="060473AF" w:rsidR="00387C70" w:rsidRPr="003F23AC" w:rsidRDefault="000F5AA4" w:rsidP="003F23AC">
      <w:pPr>
        <w:pStyle w:val="P68B1DB1-Normal4"/>
        <w:spacing w:before="40" w:after="0" w:line="259" w:lineRule="auto"/>
        <w:jc w:val="both"/>
        <w:rPr>
          <w:rFonts w:eastAsiaTheme="minorEastAsia" w:cs="Times New Roman"/>
          <w:noProof/>
          <w:lang w:val="sk-SK"/>
        </w:rPr>
        <w:sectPr w:rsidR="00387C70" w:rsidRPr="003F23AC" w:rsidSect="00787826">
          <w:headerReference w:type="even" r:id="rId18"/>
          <w:headerReference w:type="default" r:id="rId19"/>
          <w:footerReference w:type="even" r:id="rId20"/>
          <w:footerReference w:type="default" r:id="rId21"/>
          <w:headerReference w:type="first" r:id="rId22"/>
          <w:footerReference w:type="first" r:id="rId23"/>
          <w:pgSz w:w="11907" w:h="16839"/>
          <w:pgMar w:top="1134" w:right="1134" w:bottom="1134" w:left="1134" w:header="567" w:footer="567" w:gutter="0"/>
          <w:cols w:space="720"/>
          <w:docGrid w:linePitch="360"/>
        </w:sectPr>
      </w:pPr>
      <w:r w:rsidRPr="003F23AC">
        <w:rPr>
          <w:rFonts w:cs="Times New Roman"/>
          <w:noProof/>
          <w:lang w:val="sk-SK"/>
        </w:rPr>
        <w:t>Míľniky súvisiace</w:t>
      </w:r>
      <w:r w:rsidR="00A75B3C" w:rsidRPr="003F23AC">
        <w:rPr>
          <w:rFonts w:cs="Times New Roman"/>
          <w:noProof/>
          <w:lang w:val="sk-SK"/>
        </w:rPr>
        <w:t xml:space="preserve"> s </w:t>
      </w:r>
      <w:r w:rsidRPr="003F23AC">
        <w:rPr>
          <w:rFonts w:cs="Times New Roman"/>
          <w:noProof/>
          <w:lang w:val="sk-SK"/>
        </w:rPr>
        <w:t>vykonávaním reformy sa dokončia do 31</w:t>
      </w:r>
      <w:r w:rsidR="00A75B3C" w:rsidRPr="003F23AC">
        <w:rPr>
          <w:rFonts w:cs="Times New Roman"/>
          <w:noProof/>
          <w:lang w:val="sk-SK"/>
        </w:rPr>
        <w:t>. marca</w:t>
      </w:r>
      <w:r w:rsidRPr="003F23AC">
        <w:rPr>
          <w:rFonts w:cs="Times New Roman"/>
          <w:noProof/>
          <w:lang w:val="sk-SK"/>
        </w:rPr>
        <w:t xml:space="preserve"> 2023.</w:t>
      </w:r>
    </w:p>
    <w:p w14:paraId="3F67CEFA"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Reforma RE-r03: Dokončenie reformy modelu riadenia verejných nemocníc</w:t>
      </w:r>
    </w:p>
    <w:p w14:paraId="0C7C138E" w14:textId="7CC91EE8"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Hlavným cieľom reformy je zvýšiť efektívnosť nemocníc Národnej zdravotnej služby. Na tento účel sa zameriava na: I) reforma organizácie</w:t>
      </w:r>
      <w:r w:rsidR="00A75B3C" w:rsidRPr="003F23AC">
        <w:rPr>
          <w:rFonts w:cs="Times New Roman"/>
          <w:noProof/>
          <w:lang w:val="sk-SK"/>
        </w:rPr>
        <w:t xml:space="preserve"> a </w:t>
      </w:r>
      <w:r w:rsidRPr="003F23AC">
        <w:rPr>
          <w:rFonts w:cs="Times New Roman"/>
          <w:noProof/>
          <w:lang w:val="sk-SK"/>
        </w:rPr>
        <w:t>vnútorného riadenia verejných nemocníc; II) rekonfigurovať sieť nemocníc podľa plánovania kapacít, pokiaľ ide</w:t>
      </w:r>
      <w:r w:rsidR="00A75B3C" w:rsidRPr="003F23AC">
        <w:rPr>
          <w:rFonts w:cs="Times New Roman"/>
          <w:noProof/>
          <w:lang w:val="sk-SK"/>
        </w:rPr>
        <w:t xml:space="preserve"> o </w:t>
      </w:r>
      <w:r w:rsidRPr="003F23AC">
        <w:rPr>
          <w:rFonts w:cs="Times New Roman"/>
          <w:noProof/>
          <w:lang w:val="sk-SK"/>
        </w:rPr>
        <w:t>dopyt po službách</w:t>
      </w:r>
      <w:r w:rsidR="00A75B3C" w:rsidRPr="003F23AC">
        <w:rPr>
          <w:rFonts w:cs="Times New Roman"/>
          <w:noProof/>
          <w:lang w:val="sk-SK"/>
        </w:rPr>
        <w:t xml:space="preserve"> a </w:t>
      </w:r>
      <w:r w:rsidRPr="003F23AC">
        <w:rPr>
          <w:rFonts w:cs="Times New Roman"/>
          <w:noProof/>
          <w:lang w:val="sk-SK"/>
        </w:rPr>
        <w:t>ponuku ľudských zdrojov</w:t>
      </w:r>
      <w:r w:rsidR="00A75B3C" w:rsidRPr="003F23AC">
        <w:rPr>
          <w:rFonts w:cs="Times New Roman"/>
          <w:noProof/>
          <w:lang w:val="sk-SK"/>
        </w:rPr>
        <w:t xml:space="preserve"> a </w:t>
      </w:r>
      <w:r w:rsidRPr="003F23AC">
        <w:rPr>
          <w:rFonts w:cs="Times New Roman"/>
          <w:noProof/>
          <w:lang w:val="sk-SK"/>
        </w:rPr>
        <w:t>infraštruktúry; III) zlepšenie prepojenia</w:t>
      </w:r>
      <w:r w:rsidR="00A75B3C" w:rsidRPr="003F23AC">
        <w:rPr>
          <w:rFonts w:cs="Times New Roman"/>
          <w:noProof/>
          <w:lang w:val="sk-SK"/>
        </w:rPr>
        <w:t xml:space="preserve"> s </w:t>
      </w:r>
      <w:r w:rsidRPr="003F23AC">
        <w:rPr>
          <w:rFonts w:cs="Times New Roman"/>
          <w:noProof/>
          <w:lang w:val="sk-SK"/>
        </w:rPr>
        <w:t>ostatnými prvkami Národnej zdravotnej služby, konkrétne so službami primárnej</w:t>
      </w:r>
      <w:r w:rsidR="00A75B3C" w:rsidRPr="003F23AC">
        <w:rPr>
          <w:rFonts w:cs="Times New Roman"/>
          <w:noProof/>
          <w:lang w:val="sk-SK"/>
        </w:rPr>
        <w:t xml:space="preserve"> a </w:t>
      </w:r>
      <w:r w:rsidRPr="003F23AC">
        <w:rPr>
          <w:rFonts w:cs="Times New Roman"/>
          <w:noProof/>
          <w:lang w:val="sk-SK"/>
        </w:rPr>
        <w:t>duševnej zdravotnej starostlivosti, ako aj</w:t>
      </w:r>
      <w:r w:rsidR="00A75B3C" w:rsidRPr="003F23AC">
        <w:rPr>
          <w:rFonts w:cs="Times New Roman"/>
          <w:noProof/>
          <w:lang w:val="sk-SK"/>
        </w:rPr>
        <w:t xml:space="preserve"> s </w:t>
      </w:r>
      <w:r w:rsidRPr="003F23AC">
        <w:rPr>
          <w:rFonts w:cs="Times New Roman"/>
          <w:noProof/>
          <w:lang w:val="sk-SK"/>
        </w:rPr>
        <w:t>paliatívnymi</w:t>
      </w:r>
      <w:r w:rsidR="00A75B3C" w:rsidRPr="003F23AC">
        <w:rPr>
          <w:rFonts w:cs="Times New Roman"/>
          <w:noProof/>
          <w:lang w:val="sk-SK"/>
        </w:rPr>
        <w:t xml:space="preserve"> a </w:t>
      </w:r>
      <w:r w:rsidRPr="003F23AC">
        <w:rPr>
          <w:rFonts w:cs="Times New Roman"/>
          <w:noProof/>
          <w:lang w:val="sk-SK"/>
        </w:rPr>
        <w:t>integrovanými sieťami nepretržitej starostlivosti; IV) zapojenie zdravotníckych pracovníkov</w:t>
      </w:r>
      <w:r w:rsidR="00A75B3C" w:rsidRPr="003F23AC">
        <w:rPr>
          <w:rFonts w:cs="Times New Roman"/>
          <w:noProof/>
          <w:lang w:val="sk-SK"/>
        </w:rPr>
        <w:t xml:space="preserve"> a </w:t>
      </w:r>
      <w:r w:rsidRPr="003F23AC">
        <w:rPr>
          <w:rFonts w:cs="Times New Roman"/>
          <w:noProof/>
          <w:lang w:val="sk-SK"/>
        </w:rPr>
        <w:t>sprostredkovateľských štruktúr do riadenia verejných nemocníc;</w:t>
      </w:r>
      <w:r w:rsidR="00A75B3C" w:rsidRPr="003F23AC">
        <w:rPr>
          <w:rFonts w:cs="Times New Roman"/>
          <w:noProof/>
          <w:lang w:val="sk-SK"/>
        </w:rPr>
        <w:t xml:space="preserve"> a </w:t>
      </w:r>
      <w:r w:rsidRPr="003F23AC">
        <w:rPr>
          <w:rFonts w:cs="Times New Roman"/>
          <w:noProof/>
          <w:lang w:val="sk-SK"/>
        </w:rPr>
        <w:t>v) zameranie reakcií na skutočné potreby občanov</w:t>
      </w:r>
      <w:r w:rsidR="00A75B3C" w:rsidRPr="003F23AC">
        <w:rPr>
          <w:rFonts w:cs="Times New Roman"/>
          <w:noProof/>
          <w:lang w:val="sk-SK"/>
        </w:rPr>
        <w:t xml:space="preserve"> v </w:t>
      </w:r>
      <w:r w:rsidRPr="003F23AC">
        <w:rPr>
          <w:rFonts w:cs="Times New Roman"/>
          <w:noProof/>
          <w:lang w:val="sk-SK"/>
        </w:rPr>
        <w:t>oblasti zdravia</w:t>
      </w:r>
      <w:r w:rsidR="00A75B3C" w:rsidRPr="003F23AC">
        <w:rPr>
          <w:rFonts w:cs="Times New Roman"/>
          <w:noProof/>
          <w:lang w:val="sk-SK"/>
        </w:rPr>
        <w:t xml:space="preserve"> a </w:t>
      </w:r>
      <w:r w:rsidRPr="003F23AC">
        <w:rPr>
          <w:rFonts w:cs="Times New Roman"/>
          <w:noProof/>
          <w:lang w:val="sk-SK"/>
        </w:rPr>
        <w:t>dobrých životných podmienok.</w:t>
      </w:r>
    </w:p>
    <w:p w14:paraId="0F06F40C" w14:textId="57DB9C5D"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Objektívne metriky na hodnotenie výkonnosti vedúcich nemocníc sa zahrnú do zmlúv</w:t>
      </w:r>
      <w:r w:rsidR="00A75B3C" w:rsidRPr="003F23AC">
        <w:rPr>
          <w:rFonts w:cs="Times New Roman"/>
          <w:noProof/>
          <w:lang w:val="sk-SK"/>
        </w:rPr>
        <w:t xml:space="preserve"> o </w:t>
      </w:r>
      <w:r w:rsidRPr="003F23AC">
        <w:rPr>
          <w:rFonts w:cs="Times New Roman"/>
          <w:noProof/>
          <w:lang w:val="sk-SK"/>
        </w:rPr>
        <w:t>riadení,</w:t>
      </w:r>
      <w:r w:rsidR="00A75B3C" w:rsidRPr="003F23AC">
        <w:rPr>
          <w:rFonts w:cs="Times New Roman"/>
          <w:noProof/>
          <w:lang w:val="sk-SK"/>
        </w:rPr>
        <w:t xml:space="preserve"> v </w:t>
      </w:r>
      <w:r w:rsidRPr="003F23AC">
        <w:rPr>
          <w:rFonts w:cs="Times New Roman"/>
          <w:noProof/>
          <w:lang w:val="sk-SK"/>
        </w:rPr>
        <w:t>ktorých sa posudzuje kvalita služieb, ako aj finančná situácia verejných nemocníc. To prispeje</w:t>
      </w:r>
      <w:r w:rsidR="00A75B3C" w:rsidRPr="003F23AC">
        <w:rPr>
          <w:rFonts w:cs="Times New Roman"/>
          <w:noProof/>
          <w:lang w:val="sk-SK"/>
        </w:rPr>
        <w:t xml:space="preserve"> k </w:t>
      </w:r>
      <w:r w:rsidRPr="003F23AC">
        <w:rPr>
          <w:rFonts w:cs="Times New Roman"/>
          <w:noProof/>
          <w:lang w:val="sk-SK"/>
        </w:rPr>
        <w:t>zabezpečeniu súladu</w:t>
      </w:r>
      <w:r w:rsidR="00A75B3C" w:rsidRPr="003F23AC">
        <w:rPr>
          <w:rFonts w:cs="Times New Roman"/>
          <w:noProof/>
          <w:lang w:val="sk-SK"/>
        </w:rPr>
        <w:t xml:space="preserve"> s </w:t>
      </w:r>
      <w:r w:rsidRPr="003F23AC">
        <w:rPr>
          <w:rFonts w:cs="Times New Roman"/>
          <w:noProof/>
          <w:lang w:val="sk-SK"/>
        </w:rPr>
        <w:t>prioritami vládnej politiky</w:t>
      </w:r>
      <w:r w:rsidR="00A75B3C" w:rsidRPr="003F23AC">
        <w:rPr>
          <w:rFonts w:cs="Times New Roman"/>
          <w:noProof/>
          <w:lang w:val="sk-SK"/>
        </w:rPr>
        <w:t xml:space="preserve"> v </w:t>
      </w:r>
      <w:r w:rsidRPr="003F23AC">
        <w:rPr>
          <w:rFonts w:cs="Times New Roman"/>
          <w:noProof/>
          <w:lang w:val="sk-SK"/>
        </w:rPr>
        <w:t>oblasti zdravia</w:t>
      </w:r>
      <w:r w:rsidR="00A75B3C" w:rsidRPr="003F23AC">
        <w:rPr>
          <w:rFonts w:cs="Times New Roman"/>
          <w:noProof/>
          <w:lang w:val="sk-SK"/>
        </w:rPr>
        <w:t xml:space="preserve"> a k </w:t>
      </w:r>
      <w:r w:rsidRPr="003F23AC">
        <w:rPr>
          <w:rFonts w:cs="Times New Roman"/>
          <w:noProof/>
          <w:lang w:val="sk-SK"/>
        </w:rPr>
        <w:t>predvídateľnejšiemu riadeniu nemocničných zdrojov, pričom samostatnosť bude spojená</w:t>
      </w:r>
      <w:r w:rsidR="00A75B3C" w:rsidRPr="003F23AC">
        <w:rPr>
          <w:rFonts w:cs="Times New Roman"/>
          <w:noProof/>
          <w:lang w:val="sk-SK"/>
        </w:rPr>
        <w:t xml:space="preserve"> s </w:t>
      </w:r>
      <w:r w:rsidRPr="003F23AC">
        <w:rPr>
          <w:rFonts w:cs="Times New Roman"/>
          <w:noProof/>
          <w:lang w:val="sk-SK"/>
        </w:rPr>
        <w:t>posilneným monitorovaním</w:t>
      </w:r>
      <w:r w:rsidR="00A75B3C" w:rsidRPr="003F23AC">
        <w:rPr>
          <w:rFonts w:cs="Times New Roman"/>
          <w:noProof/>
          <w:lang w:val="sk-SK"/>
        </w:rPr>
        <w:t xml:space="preserve"> a </w:t>
      </w:r>
      <w:r w:rsidRPr="003F23AC">
        <w:rPr>
          <w:rFonts w:cs="Times New Roman"/>
          <w:noProof/>
          <w:lang w:val="sk-SK"/>
        </w:rPr>
        <w:t>zodpovednosťou. Vykonávanie prepracovaných zmlúv</w:t>
      </w:r>
      <w:r w:rsidR="00A75B3C" w:rsidRPr="003F23AC">
        <w:rPr>
          <w:rFonts w:cs="Times New Roman"/>
          <w:noProof/>
          <w:lang w:val="sk-SK"/>
        </w:rPr>
        <w:t xml:space="preserve"> o </w:t>
      </w:r>
      <w:r w:rsidRPr="003F23AC">
        <w:rPr>
          <w:rFonts w:cs="Times New Roman"/>
          <w:noProof/>
          <w:lang w:val="sk-SK"/>
        </w:rPr>
        <w:t>riadení je postupné</w:t>
      </w:r>
      <w:r w:rsidR="00A75B3C" w:rsidRPr="003F23AC">
        <w:rPr>
          <w:rFonts w:cs="Times New Roman"/>
          <w:noProof/>
          <w:lang w:val="sk-SK"/>
        </w:rPr>
        <w:t xml:space="preserve"> a </w:t>
      </w:r>
      <w:r w:rsidRPr="003F23AC">
        <w:rPr>
          <w:rFonts w:cs="Times New Roman"/>
          <w:noProof/>
          <w:lang w:val="sk-SK"/>
        </w:rPr>
        <w:t>prioritizované podľa úrovne efektívnosti, rozmeru</w:t>
      </w:r>
      <w:r w:rsidR="00A75B3C" w:rsidRPr="003F23AC">
        <w:rPr>
          <w:rFonts w:cs="Times New Roman"/>
          <w:noProof/>
          <w:lang w:val="sk-SK"/>
        </w:rPr>
        <w:t xml:space="preserve"> a </w:t>
      </w:r>
      <w:r w:rsidRPr="003F23AC">
        <w:rPr>
          <w:rFonts w:cs="Times New Roman"/>
          <w:noProof/>
          <w:lang w:val="sk-SK"/>
        </w:rPr>
        <w:t>geografického rozloženia verejných nemocníc. Okrem toho sa posilní monitorovacia úloha ministerstiev zdravotníctva</w:t>
      </w:r>
      <w:r w:rsidR="00A75B3C" w:rsidRPr="003F23AC">
        <w:rPr>
          <w:rFonts w:cs="Times New Roman"/>
          <w:noProof/>
          <w:lang w:val="sk-SK"/>
        </w:rPr>
        <w:t xml:space="preserve"> a </w:t>
      </w:r>
      <w:r w:rsidRPr="003F23AC">
        <w:rPr>
          <w:rFonts w:cs="Times New Roman"/>
          <w:noProof/>
          <w:lang w:val="sk-SK"/>
        </w:rPr>
        <w:t>financií</w:t>
      </w:r>
      <w:r w:rsidR="00A75B3C" w:rsidRPr="003F23AC">
        <w:rPr>
          <w:rFonts w:cs="Times New Roman"/>
          <w:noProof/>
          <w:lang w:val="sk-SK"/>
        </w:rPr>
        <w:t xml:space="preserve"> s </w:t>
      </w:r>
      <w:r w:rsidRPr="003F23AC">
        <w:rPr>
          <w:rFonts w:cs="Times New Roman"/>
          <w:noProof/>
          <w:lang w:val="sk-SK"/>
        </w:rPr>
        <w:t>cieľom zabezpečiť integrovaný</w:t>
      </w:r>
      <w:r w:rsidR="00A75B3C" w:rsidRPr="003F23AC">
        <w:rPr>
          <w:rFonts w:cs="Times New Roman"/>
          <w:noProof/>
          <w:lang w:val="sk-SK"/>
        </w:rPr>
        <w:t xml:space="preserve"> a </w:t>
      </w:r>
      <w:r w:rsidRPr="003F23AC">
        <w:rPr>
          <w:rFonts w:cs="Times New Roman"/>
          <w:noProof/>
          <w:lang w:val="sk-SK"/>
        </w:rPr>
        <w:t>koherentný prístup</w:t>
      </w:r>
      <w:r w:rsidR="00A75B3C" w:rsidRPr="003F23AC">
        <w:rPr>
          <w:rFonts w:cs="Times New Roman"/>
          <w:noProof/>
          <w:lang w:val="sk-SK"/>
        </w:rPr>
        <w:t xml:space="preserve"> k </w:t>
      </w:r>
      <w:r w:rsidRPr="003F23AC">
        <w:rPr>
          <w:rFonts w:cs="Times New Roman"/>
          <w:noProof/>
          <w:lang w:val="sk-SK"/>
        </w:rPr>
        <w:t>posudzovaniu výkonnosti nemocníc</w:t>
      </w:r>
      <w:r w:rsidR="00A75B3C" w:rsidRPr="003F23AC">
        <w:rPr>
          <w:rFonts w:cs="Times New Roman"/>
          <w:noProof/>
          <w:lang w:val="sk-SK"/>
        </w:rPr>
        <w:t xml:space="preserve"> a </w:t>
      </w:r>
      <w:r w:rsidRPr="003F23AC">
        <w:rPr>
          <w:rFonts w:cs="Times New Roman"/>
          <w:noProof/>
          <w:lang w:val="sk-SK"/>
        </w:rPr>
        <w:t>včasnému odstráneniu odchýlok od schválených rozpočtov.</w:t>
      </w:r>
    </w:p>
    <w:p w14:paraId="18CD3273" w14:textId="4E000228"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Okrem toho sa posilní centralizovaný nákup</w:t>
      </w:r>
      <w:r w:rsidR="00A75B3C" w:rsidRPr="003F23AC">
        <w:rPr>
          <w:rFonts w:cs="Times New Roman"/>
          <w:noProof/>
          <w:lang w:val="sk-SK"/>
        </w:rPr>
        <w:t xml:space="preserve"> s </w:t>
      </w:r>
      <w:r w:rsidRPr="003F23AC">
        <w:rPr>
          <w:rFonts w:cs="Times New Roman"/>
          <w:noProof/>
          <w:lang w:val="sk-SK"/>
        </w:rPr>
        <w:t>cieľom dosiahnuť ďalšie úspory vyplývajúce</w:t>
      </w:r>
      <w:r w:rsidR="00A75B3C" w:rsidRPr="003F23AC">
        <w:rPr>
          <w:rFonts w:cs="Times New Roman"/>
          <w:noProof/>
          <w:lang w:val="sk-SK"/>
        </w:rPr>
        <w:t xml:space="preserve"> z </w:t>
      </w:r>
      <w:r w:rsidRPr="003F23AC">
        <w:rPr>
          <w:rFonts w:cs="Times New Roman"/>
          <w:noProof/>
          <w:lang w:val="sk-SK"/>
        </w:rPr>
        <w:t>efektívnosti,</w:t>
      </w:r>
      <w:r w:rsidR="00A75B3C" w:rsidRPr="003F23AC">
        <w:rPr>
          <w:rFonts w:cs="Times New Roman"/>
          <w:noProof/>
          <w:lang w:val="sk-SK"/>
        </w:rPr>
        <w:t xml:space="preserve"> a </w:t>
      </w:r>
      <w:r w:rsidRPr="003F23AC">
        <w:rPr>
          <w:rFonts w:cs="Times New Roman"/>
          <w:noProof/>
          <w:lang w:val="sk-SK"/>
        </w:rPr>
        <w:t>to najmä riešením odporúčaní vyplývajúcich</w:t>
      </w:r>
      <w:r w:rsidR="00A75B3C" w:rsidRPr="003F23AC">
        <w:rPr>
          <w:rFonts w:cs="Times New Roman"/>
          <w:noProof/>
          <w:lang w:val="sk-SK"/>
        </w:rPr>
        <w:t xml:space="preserve"> z </w:t>
      </w:r>
      <w:r w:rsidRPr="003F23AC">
        <w:rPr>
          <w:rFonts w:cs="Times New Roman"/>
          <w:noProof/>
          <w:lang w:val="sk-SK"/>
        </w:rPr>
        <w:t>nedávneho nezávislého hodnotenia. Najmä centralizovaný nákup sa má rozšíriť na zdravotnícke vybavenie</w:t>
      </w:r>
      <w:r w:rsidR="00A75B3C" w:rsidRPr="003F23AC">
        <w:rPr>
          <w:rFonts w:cs="Times New Roman"/>
          <w:noProof/>
          <w:lang w:val="sk-SK"/>
        </w:rPr>
        <w:t xml:space="preserve"> a </w:t>
      </w:r>
      <w:r w:rsidRPr="003F23AC">
        <w:rPr>
          <w:rFonts w:cs="Times New Roman"/>
          <w:noProof/>
          <w:lang w:val="sk-SK"/>
        </w:rPr>
        <w:t>pomôcky. Okrem toho sa plánuje zlepšenie vnútorného riadenia verejných nemocníc,</w:t>
      </w:r>
      <w:r w:rsidR="00A75B3C" w:rsidRPr="003F23AC">
        <w:rPr>
          <w:rFonts w:cs="Times New Roman"/>
          <w:noProof/>
          <w:lang w:val="sk-SK"/>
        </w:rPr>
        <w:t xml:space="preserve"> a </w:t>
      </w:r>
      <w:r w:rsidRPr="003F23AC">
        <w:rPr>
          <w:rFonts w:cs="Times New Roman"/>
          <w:noProof/>
          <w:lang w:val="sk-SK"/>
        </w:rPr>
        <w:t>to najmä vytvorením integrovaných centier zodpovednosti</w:t>
      </w:r>
      <w:r w:rsidR="00A75B3C" w:rsidRPr="003F23AC">
        <w:rPr>
          <w:rFonts w:cs="Times New Roman"/>
          <w:noProof/>
          <w:lang w:val="sk-SK"/>
        </w:rPr>
        <w:t xml:space="preserve"> a </w:t>
      </w:r>
      <w:r w:rsidRPr="003F23AC">
        <w:rPr>
          <w:rFonts w:cs="Times New Roman"/>
          <w:noProof/>
          <w:lang w:val="sk-SK"/>
        </w:rPr>
        <w:t>zavedením režimov odmeňovania založených na výkonnosti, ktoré sa vzťahujú na jednotky pridružené</w:t>
      </w:r>
      <w:r w:rsidR="00A75B3C" w:rsidRPr="003F23AC">
        <w:rPr>
          <w:rFonts w:cs="Times New Roman"/>
          <w:noProof/>
          <w:lang w:val="sk-SK"/>
        </w:rPr>
        <w:t xml:space="preserve"> k </w:t>
      </w:r>
      <w:r w:rsidRPr="003F23AC">
        <w:rPr>
          <w:rFonts w:cs="Times New Roman"/>
          <w:noProof/>
          <w:lang w:val="sk-SK"/>
        </w:rPr>
        <w:t>takýmto centrám.</w:t>
      </w:r>
      <w:r w:rsidR="00A75B3C" w:rsidRPr="003F23AC">
        <w:rPr>
          <w:rFonts w:cs="Times New Roman"/>
          <w:noProof/>
          <w:lang w:val="sk-SK"/>
        </w:rPr>
        <w:t xml:space="preserve"> V </w:t>
      </w:r>
      <w:r w:rsidRPr="003F23AC">
        <w:rPr>
          <w:rFonts w:cs="Times New Roman"/>
          <w:noProof/>
          <w:lang w:val="sk-SK"/>
        </w:rPr>
        <w:t>súvislosti</w:t>
      </w:r>
      <w:r w:rsidR="00A75B3C" w:rsidRPr="003F23AC">
        <w:rPr>
          <w:rFonts w:cs="Times New Roman"/>
          <w:noProof/>
          <w:lang w:val="sk-SK"/>
        </w:rPr>
        <w:t xml:space="preserve"> s </w:t>
      </w:r>
      <w:r w:rsidRPr="003F23AC">
        <w:rPr>
          <w:rFonts w:cs="Times New Roman"/>
          <w:noProof/>
          <w:lang w:val="sk-SK"/>
        </w:rPr>
        <w:t>tým nadobudne účinnosť režim úplného oddávania do Národnej zdravotnej služby pre zdravotníckych pracovníkov.</w:t>
      </w:r>
    </w:p>
    <w:p w14:paraId="13152133" w14:textId="37D66D48"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Okrem toho opatrenie zahŕňa iniciatívy na prepracovanie siete nemocníc</w:t>
      </w:r>
      <w:r w:rsidR="00A75B3C" w:rsidRPr="003F23AC">
        <w:rPr>
          <w:rFonts w:cs="Times New Roman"/>
          <w:noProof/>
          <w:lang w:val="sk-SK"/>
        </w:rPr>
        <w:t xml:space="preserve"> s </w:t>
      </w:r>
      <w:r w:rsidRPr="003F23AC">
        <w:rPr>
          <w:rFonts w:cs="Times New Roman"/>
          <w:noProof/>
          <w:lang w:val="sk-SK"/>
        </w:rPr>
        <w:t>cieľom zabezpečiť lepšie prepojenie medzi službami. Predovšetkým by sa mali ďalej rozvíjať reakcie na hospitalizáciu</w:t>
      </w:r>
      <w:r w:rsidR="00A75B3C" w:rsidRPr="003F23AC">
        <w:rPr>
          <w:rFonts w:cs="Times New Roman"/>
          <w:noProof/>
          <w:lang w:val="sk-SK"/>
        </w:rPr>
        <w:t xml:space="preserve"> v </w:t>
      </w:r>
      <w:r w:rsidRPr="003F23AC">
        <w:rPr>
          <w:rFonts w:cs="Times New Roman"/>
          <w:noProof/>
          <w:lang w:val="sk-SK"/>
        </w:rPr>
        <w:t>domácnosti</w:t>
      </w:r>
      <w:r w:rsidR="00A75B3C" w:rsidRPr="003F23AC">
        <w:rPr>
          <w:rFonts w:cs="Times New Roman"/>
          <w:noProof/>
          <w:lang w:val="sk-SK"/>
        </w:rPr>
        <w:t xml:space="preserve"> s </w:t>
      </w:r>
      <w:r w:rsidRPr="003F23AC">
        <w:rPr>
          <w:rFonts w:cs="Times New Roman"/>
          <w:noProof/>
          <w:lang w:val="sk-SK"/>
        </w:rPr>
        <w:t>cieľom poskytovať nemocničnú starostlivosť</w:t>
      </w:r>
      <w:r w:rsidR="00A75B3C" w:rsidRPr="003F23AC">
        <w:rPr>
          <w:rFonts w:cs="Times New Roman"/>
          <w:noProof/>
          <w:lang w:val="sk-SK"/>
        </w:rPr>
        <w:t xml:space="preserve"> v </w:t>
      </w:r>
      <w:r w:rsidRPr="003F23AC">
        <w:rPr>
          <w:rFonts w:cs="Times New Roman"/>
          <w:noProof/>
          <w:lang w:val="sk-SK"/>
        </w:rPr>
        <w:t>domácnosti pacienta</w:t>
      </w:r>
      <w:r w:rsidR="00A75B3C" w:rsidRPr="003F23AC">
        <w:rPr>
          <w:rFonts w:cs="Times New Roman"/>
          <w:noProof/>
          <w:lang w:val="sk-SK"/>
        </w:rPr>
        <w:t xml:space="preserve"> v </w:t>
      </w:r>
      <w:r w:rsidRPr="003F23AC">
        <w:rPr>
          <w:rFonts w:cs="Times New Roman"/>
          <w:noProof/>
          <w:lang w:val="sk-SK"/>
        </w:rPr>
        <w:t>úzkom spojení so službami primárnej zdravotnej starostlivosti, národnou sieťou integrovaných služieb nepretržitej starostlivosti, sociálnym sektorom</w:t>
      </w:r>
      <w:r w:rsidR="00A75B3C" w:rsidRPr="003F23AC">
        <w:rPr>
          <w:rFonts w:cs="Times New Roman"/>
          <w:noProof/>
          <w:lang w:val="sk-SK"/>
        </w:rPr>
        <w:t xml:space="preserve"> a </w:t>
      </w:r>
      <w:r w:rsidRPr="003F23AC">
        <w:rPr>
          <w:rFonts w:cs="Times New Roman"/>
          <w:noProof/>
          <w:lang w:val="sk-SK"/>
        </w:rPr>
        <w:t>miestnymi komunitami. Okrem toho sa posilní laboratórna kapacita Národnej zdravotnej služby na diagnostiku infekčných chorôb</w:t>
      </w:r>
      <w:r w:rsidR="00A75B3C" w:rsidRPr="003F23AC">
        <w:rPr>
          <w:rFonts w:cs="Times New Roman"/>
          <w:noProof/>
          <w:lang w:val="sk-SK"/>
        </w:rPr>
        <w:t xml:space="preserve"> a </w:t>
      </w:r>
      <w:r w:rsidRPr="003F23AC">
        <w:rPr>
          <w:rFonts w:cs="Times New Roman"/>
          <w:noProof/>
          <w:lang w:val="sk-SK"/>
        </w:rPr>
        <w:t>zvýši sa jej kapacita</w:t>
      </w:r>
      <w:r w:rsidR="00A75B3C" w:rsidRPr="003F23AC">
        <w:rPr>
          <w:rFonts w:cs="Times New Roman"/>
          <w:noProof/>
          <w:lang w:val="sk-SK"/>
        </w:rPr>
        <w:t xml:space="preserve"> v </w:t>
      </w:r>
      <w:r w:rsidRPr="003F23AC">
        <w:rPr>
          <w:rFonts w:cs="Times New Roman"/>
          <w:noProof/>
          <w:lang w:val="sk-SK"/>
        </w:rPr>
        <w:t>oblasti intenzívnej lekárskej starostlivosti.</w:t>
      </w:r>
    </w:p>
    <w:p w14:paraId="2CA75694" w14:textId="27F61E13"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tejto reformy sa dokončí do 31</w:t>
      </w:r>
      <w:r w:rsidR="00A75B3C" w:rsidRPr="003F23AC">
        <w:rPr>
          <w:rFonts w:cs="Times New Roman"/>
          <w:noProof/>
          <w:lang w:val="sk-SK"/>
        </w:rPr>
        <w:t>. decembra</w:t>
      </w:r>
      <w:r w:rsidRPr="003F23AC">
        <w:rPr>
          <w:rFonts w:cs="Times New Roman"/>
          <w:noProof/>
          <w:lang w:val="sk-SK"/>
        </w:rPr>
        <w:t xml:space="preserve"> 2025.</w:t>
      </w:r>
    </w:p>
    <w:p w14:paraId="2AB13652" w14:textId="382476CB"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RE-C01-i01: Služby primárnej zdravotnej starostlivosti</w:t>
      </w:r>
      <w:r w:rsidR="00A75B3C" w:rsidRPr="003F23AC">
        <w:rPr>
          <w:rFonts w:cs="Times New Roman"/>
          <w:noProof/>
          <w:lang w:val="sk-SK"/>
        </w:rPr>
        <w:t xml:space="preserve"> s </w:t>
      </w:r>
      <w:r w:rsidRPr="003F23AC">
        <w:rPr>
          <w:rFonts w:cs="Times New Roman"/>
          <w:noProof/>
          <w:lang w:val="sk-SK"/>
        </w:rPr>
        <w:t>ďalšími odpoveďami</w:t>
      </w:r>
    </w:p>
    <w:p w14:paraId="6B7DB75C" w14:textId="6DE3F367"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Cieľom tejto investície je rozšíriť služby primárnej zdravotnej starostlivosti</w:t>
      </w:r>
      <w:r w:rsidR="00A75B3C" w:rsidRPr="003F23AC">
        <w:rPr>
          <w:rFonts w:cs="Times New Roman"/>
          <w:noProof/>
          <w:lang w:val="sk-SK"/>
        </w:rPr>
        <w:t xml:space="preserve"> a </w:t>
      </w:r>
      <w:r w:rsidRPr="003F23AC">
        <w:rPr>
          <w:rFonts w:cs="Times New Roman"/>
          <w:noProof/>
          <w:lang w:val="sk-SK"/>
        </w:rPr>
        <w:t>posilniť základnú úlohu služieb primárnej zdravotnej starostlivosti pri reagovaní na zdravotné potreby obyvateľstva</w:t>
      </w:r>
      <w:r w:rsidR="00A75B3C" w:rsidRPr="003F23AC">
        <w:rPr>
          <w:rFonts w:cs="Times New Roman"/>
          <w:noProof/>
          <w:lang w:val="sk-SK"/>
        </w:rPr>
        <w:t xml:space="preserve"> v </w:t>
      </w:r>
      <w:r w:rsidRPr="003F23AC">
        <w:rPr>
          <w:rFonts w:cs="Times New Roman"/>
          <w:noProof/>
          <w:lang w:val="sk-SK"/>
        </w:rPr>
        <w:t>rámci celkovej štruktúry Národnej zdravotnej služby. Investície vychádzajú</w:t>
      </w:r>
      <w:r w:rsidR="00A75B3C" w:rsidRPr="003F23AC">
        <w:rPr>
          <w:rFonts w:cs="Times New Roman"/>
          <w:noProof/>
          <w:lang w:val="sk-SK"/>
        </w:rPr>
        <w:t xml:space="preserve"> z </w:t>
      </w:r>
      <w:r w:rsidRPr="003F23AC">
        <w:rPr>
          <w:rFonts w:cs="Times New Roman"/>
          <w:noProof/>
          <w:lang w:val="sk-SK"/>
        </w:rPr>
        <w:t>reformy služieb primárnej zdravotnej starostlivosti.</w:t>
      </w:r>
    </w:p>
    <w:p w14:paraId="50F040E1" w14:textId="77777777"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Investícia zahŕňa tieto iniciatívy:</w:t>
      </w:r>
    </w:p>
    <w:p w14:paraId="2BF5C657" w14:textId="02344506" w:rsidR="00387C70" w:rsidRPr="003F23AC" w:rsidRDefault="000F5AA4" w:rsidP="003F23AC">
      <w:pPr>
        <w:pStyle w:val="P68B1DB1-Normal4"/>
        <w:numPr>
          <w:ilvl w:val="0"/>
          <w:numId w:val="55"/>
        </w:numPr>
        <w:tabs>
          <w:tab w:val="left" w:pos="426"/>
        </w:tabs>
        <w:spacing w:before="40" w:after="160" w:line="259" w:lineRule="auto"/>
        <w:jc w:val="both"/>
        <w:rPr>
          <w:rFonts w:eastAsia="Times New Roman" w:cs="Times New Roman"/>
          <w:noProof/>
          <w:lang w:val="sk-SK"/>
        </w:rPr>
      </w:pPr>
      <w:r w:rsidRPr="003F23AC">
        <w:rPr>
          <w:rFonts w:cs="Times New Roman"/>
          <w:noProof/>
          <w:lang w:val="sk-SK"/>
        </w:rPr>
        <w:t>Po prvé, niekoľko čiastkových investícií zlepší prístup, kvalitu</w:t>
      </w:r>
      <w:r w:rsidR="00A75B3C" w:rsidRPr="003F23AC">
        <w:rPr>
          <w:rFonts w:cs="Times New Roman"/>
          <w:noProof/>
          <w:lang w:val="sk-SK"/>
        </w:rPr>
        <w:t xml:space="preserve"> a </w:t>
      </w:r>
      <w:r w:rsidRPr="003F23AC">
        <w:rPr>
          <w:rFonts w:cs="Times New Roman"/>
          <w:noProof/>
          <w:lang w:val="sk-SK"/>
        </w:rPr>
        <w:t>efektívnosť služieb primárnej zdravotnej starostlivosti, čím prispeje</w:t>
      </w:r>
      <w:r w:rsidR="00A75B3C" w:rsidRPr="003F23AC">
        <w:rPr>
          <w:rFonts w:cs="Times New Roman"/>
          <w:noProof/>
          <w:lang w:val="sk-SK"/>
        </w:rPr>
        <w:t xml:space="preserve"> k </w:t>
      </w:r>
      <w:r w:rsidRPr="003F23AC">
        <w:rPr>
          <w:rFonts w:cs="Times New Roman"/>
          <w:noProof/>
          <w:lang w:val="sk-SK"/>
        </w:rPr>
        <w:t>dokončeniu vnútroštátneho pokrytia skríningových programov</w:t>
      </w:r>
      <w:r w:rsidR="00A75B3C" w:rsidRPr="003F23AC">
        <w:rPr>
          <w:rFonts w:cs="Times New Roman"/>
          <w:noProof/>
          <w:lang w:val="sk-SK"/>
        </w:rPr>
        <w:t xml:space="preserve"> a </w:t>
      </w:r>
      <w:r w:rsidRPr="003F23AC">
        <w:rPr>
          <w:rFonts w:cs="Times New Roman"/>
          <w:noProof/>
          <w:lang w:val="sk-SK"/>
        </w:rPr>
        <w:t>posilní kapacitu na včasnú diagnostiku. Tieto zahŕňajú: I) rozšírenie skríningu rakoviny na všetky zdravotnícke strediská vrátane rakoviny hrubého čreva</w:t>
      </w:r>
      <w:r w:rsidR="00A75B3C" w:rsidRPr="003F23AC">
        <w:rPr>
          <w:rFonts w:cs="Times New Roman"/>
          <w:noProof/>
          <w:lang w:val="sk-SK"/>
        </w:rPr>
        <w:t xml:space="preserve"> a </w:t>
      </w:r>
      <w:r w:rsidRPr="003F23AC">
        <w:rPr>
          <w:rFonts w:cs="Times New Roman"/>
          <w:noProof/>
          <w:lang w:val="sk-SK"/>
        </w:rPr>
        <w:t>konečníka</w:t>
      </w:r>
      <w:r w:rsidR="00A75B3C" w:rsidRPr="003F23AC">
        <w:rPr>
          <w:rFonts w:cs="Times New Roman"/>
          <w:noProof/>
          <w:lang w:val="sk-SK"/>
        </w:rPr>
        <w:t xml:space="preserve"> a </w:t>
      </w:r>
      <w:r w:rsidRPr="003F23AC">
        <w:rPr>
          <w:rFonts w:cs="Times New Roman"/>
          <w:noProof/>
          <w:lang w:val="sk-SK"/>
        </w:rPr>
        <w:t>rakoviny krčka maternice; II) rozšírenie skríningu na diabetickú retinopatiu na všetky zdravotné strediská; III) poskytnúť všetkým zdravotníckym strediskám kapacitu na meranie C-reaktívneho proteínu; IV) vybavenie skupín zdravotníckych stredísk spirometre na včasnú diagnostiku, monitorovanie</w:t>
      </w:r>
      <w:r w:rsidR="00A75B3C" w:rsidRPr="003F23AC">
        <w:rPr>
          <w:rFonts w:cs="Times New Roman"/>
          <w:noProof/>
          <w:lang w:val="sk-SK"/>
        </w:rPr>
        <w:t xml:space="preserve"> a </w:t>
      </w:r>
      <w:r w:rsidRPr="003F23AC">
        <w:rPr>
          <w:rFonts w:cs="Times New Roman"/>
          <w:noProof/>
          <w:lang w:val="sk-SK"/>
        </w:rPr>
        <w:t>liečbu astmy, chronickej obštrukčnej choroby pľúc</w:t>
      </w:r>
      <w:r w:rsidR="00A75B3C" w:rsidRPr="003F23AC">
        <w:rPr>
          <w:rFonts w:cs="Times New Roman"/>
          <w:noProof/>
          <w:lang w:val="sk-SK"/>
        </w:rPr>
        <w:t xml:space="preserve"> a </w:t>
      </w:r>
      <w:r w:rsidRPr="003F23AC">
        <w:rPr>
          <w:rFonts w:cs="Times New Roman"/>
          <w:noProof/>
          <w:lang w:val="sk-SK"/>
        </w:rPr>
        <w:t>fajčenia; poskytovanie zariadení zdravotnej starostlivosti Holterovým zariadením</w:t>
      </w:r>
      <w:r w:rsidR="00A75B3C" w:rsidRPr="003F23AC">
        <w:rPr>
          <w:rFonts w:cs="Times New Roman"/>
          <w:noProof/>
          <w:lang w:val="sk-SK"/>
        </w:rPr>
        <w:t xml:space="preserve"> a </w:t>
      </w:r>
      <w:r w:rsidRPr="003F23AC">
        <w:rPr>
          <w:rFonts w:cs="Times New Roman"/>
          <w:noProof/>
          <w:lang w:val="sk-SK"/>
        </w:rPr>
        <w:t>ambulačným monitorovaním krvného tlaku; VI) rozšírenie konzultácií</w:t>
      </w:r>
      <w:r w:rsidR="00A75B3C" w:rsidRPr="003F23AC">
        <w:rPr>
          <w:rFonts w:cs="Times New Roman"/>
          <w:noProof/>
          <w:lang w:val="sk-SK"/>
        </w:rPr>
        <w:t xml:space="preserve"> s </w:t>
      </w:r>
      <w:r w:rsidRPr="003F23AC">
        <w:rPr>
          <w:rFonts w:cs="Times New Roman"/>
          <w:noProof/>
          <w:lang w:val="sk-SK"/>
        </w:rPr>
        <w:t>diabetickou stopou na všetky skupiny zdravotníckych stredísk; VII) prijatie individuálnych plánov starostlivosti</w:t>
      </w:r>
      <w:r w:rsidR="00A75B3C" w:rsidRPr="003F23AC">
        <w:rPr>
          <w:rFonts w:cs="Times New Roman"/>
          <w:noProof/>
          <w:lang w:val="sk-SK"/>
        </w:rPr>
        <w:t xml:space="preserve"> o </w:t>
      </w:r>
      <w:r w:rsidRPr="003F23AC">
        <w:rPr>
          <w:rFonts w:cs="Times New Roman"/>
          <w:noProof/>
          <w:lang w:val="sk-SK"/>
        </w:rPr>
        <w:t>zložitých</w:t>
      </w:r>
      <w:r w:rsidR="00A75B3C" w:rsidRPr="003F23AC">
        <w:rPr>
          <w:rFonts w:cs="Times New Roman"/>
          <w:noProof/>
          <w:lang w:val="sk-SK"/>
        </w:rPr>
        <w:t xml:space="preserve"> a </w:t>
      </w:r>
      <w:r w:rsidRPr="003F23AC">
        <w:rPr>
          <w:rFonts w:cs="Times New Roman"/>
          <w:noProof/>
          <w:lang w:val="sk-SK"/>
        </w:rPr>
        <w:t>multimorbidových pacientov; VIII) vymedzenie referenčných protokolov</w:t>
      </w:r>
      <w:r w:rsidR="00A75B3C" w:rsidRPr="003F23AC">
        <w:rPr>
          <w:rFonts w:cs="Times New Roman"/>
          <w:noProof/>
          <w:lang w:val="sk-SK"/>
        </w:rPr>
        <w:t xml:space="preserve"> v </w:t>
      </w:r>
      <w:r w:rsidRPr="003F23AC">
        <w:rPr>
          <w:rFonts w:cs="Times New Roman"/>
          <w:noProof/>
          <w:lang w:val="sk-SK"/>
        </w:rPr>
        <w:t>najhľadanejších oblastiach starostlivosti, konkrétne</w:t>
      </w:r>
      <w:r w:rsidR="00A75B3C" w:rsidRPr="003F23AC">
        <w:rPr>
          <w:rFonts w:cs="Times New Roman"/>
          <w:noProof/>
          <w:lang w:val="sk-SK"/>
        </w:rPr>
        <w:t xml:space="preserve"> v </w:t>
      </w:r>
      <w:r w:rsidRPr="003F23AC">
        <w:rPr>
          <w:rFonts w:cs="Times New Roman"/>
          <w:noProof/>
          <w:lang w:val="sk-SK"/>
        </w:rPr>
        <w:t>oftalmológii, otorinolaryngológii, ortopedike</w:t>
      </w:r>
      <w:r w:rsidR="00A75B3C" w:rsidRPr="003F23AC">
        <w:rPr>
          <w:rFonts w:cs="Times New Roman"/>
          <w:noProof/>
          <w:lang w:val="sk-SK"/>
        </w:rPr>
        <w:t xml:space="preserve"> a </w:t>
      </w:r>
      <w:r w:rsidRPr="003F23AC">
        <w:rPr>
          <w:rFonts w:cs="Times New Roman"/>
          <w:noProof/>
          <w:lang w:val="sk-SK"/>
        </w:rPr>
        <w:t>urológii;</w:t>
      </w:r>
      <w:r w:rsidR="00A75B3C" w:rsidRPr="003F23AC">
        <w:rPr>
          <w:rFonts w:cs="Times New Roman"/>
          <w:noProof/>
          <w:lang w:val="sk-SK"/>
        </w:rPr>
        <w:t xml:space="preserve"> a </w:t>
      </w:r>
      <w:r w:rsidRPr="003F23AC">
        <w:rPr>
          <w:rFonts w:cs="Times New Roman"/>
          <w:noProof/>
          <w:lang w:val="sk-SK"/>
        </w:rPr>
        <w:t>ix) dokončenie integrovaného informačného systému, ktorý uľahčí postúpenie pacientov medzi úrovňami zdravotnej starostlivosti.</w:t>
      </w:r>
    </w:p>
    <w:p w14:paraId="0EC6BFD7" w14:textId="4C9F04AA" w:rsidR="00387C70" w:rsidRPr="003F23AC" w:rsidRDefault="000F5AA4" w:rsidP="003F23AC">
      <w:pPr>
        <w:pStyle w:val="P68B1DB1-Normal4"/>
        <w:numPr>
          <w:ilvl w:val="0"/>
          <w:numId w:val="55"/>
        </w:numPr>
        <w:tabs>
          <w:tab w:val="left" w:pos="426"/>
        </w:tabs>
        <w:spacing w:before="40" w:after="160" w:line="259" w:lineRule="auto"/>
        <w:jc w:val="both"/>
        <w:rPr>
          <w:rFonts w:eastAsia="Times New Roman" w:cs="Times New Roman"/>
          <w:noProof/>
          <w:lang w:val="sk-SK"/>
        </w:rPr>
      </w:pPr>
      <w:r w:rsidRPr="003F23AC">
        <w:rPr>
          <w:rFonts w:cs="Times New Roman"/>
          <w:noProof/>
          <w:lang w:val="sk-SK"/>
        </w:rPr>
        <w:t>Po druhé, ďalšie čiastkové investície sa zamerajú na rozšírenie oblastí intervencie skupín zdravotníckych stredísk, čím sa zvýši schopnosť reagovať na túto úroveň zdravotnej starostlivosti</w:t>
      </w:r>
      <w:r w:rsidR="00A75B3C" w:rsidRPr="003F23AC">
        <w:rPr>
          <w:rFonts w:cs="Times New Roman"/>
          <w:noProof/>
          <w:lang w:val="sk-SK"/>
        </w:rPr>
        <w:t xml:space="preserve"> a </w:t>
      </w:r>
      <w:r w:rsidRPr="003F23AC">
        <w:rPr>
          <w:rFonts w:cs="Times New Roman"/>
          <w:noProof/>
          <w:lang w:val="sk-SK"/>
        </w:rPr>
        <w:t>posilní ponuka lekárskych špecializácií posilnením špecializovanej</w:t>
      </w:r>
      <w:r w:rsidR="00A75B3C" w:rsidRPr="003F23AC">
        <w:rPr>
          <w:rFonts w:cs="Times New Roman"/>
          <w:noProof/>
          <w:lang w:val="sk-SK"/>
        </w:rPr>
        <w:t xml:space="preserve"> a </w:t>
      </w:r>
      <w:r w:rsidRPr="003F23AC">
        <w:rPr>
          <w:rFonts w:cs="Times New Roman"/>
          <w:noProof/>
          <w:lang w:val="sk-SK"/>
        </w:rPr>
        <w:t>tímovej práce</w:t>
      </w:r>
      <w:r w:rsidR="00A75B3C" w:rsidRPr="003F23AC">
        <w:rPr>
          <w:rFonts w:cs="Times New Roman"/>
          <w:noProof/>
          <w:lang w:val="sk-SK"/>
        </w:rPr>
        <w:t xml:space="preserve"> v </w:t>
      </w:r>
      <w:r w:rsidRPr="003F23AC">
        <w:rPr>
          <w:rFonts w:cs="Times New Roman"/>
          <w:noProof/>
          <w:lang w:val="sk-SK"/>
        </w:rPr>
        <w:t>zdravotníckych útvaroch. Podrobné informácie zahŕňajú: I) inštalácia stomatologických úradov</w:t>
      </w:r>
      <w:r w:rsidR="00A75B3C" w:rsidRPr="003F23AC">
        <w:rPr>
          <w:rFonts w:cs="Times New Roman"/>
          <w:noProof/>
          <w:lang w:val="sk-SK"/>
        </w:rPr>
        <w:t xml:space="preserve"> v </w:t>
      </w:r>
      <w:r w:rsidRPr="003F23AC">
        <w:rPr>
          <w:rFonts w:cs="Times New Roman"/>
          <w:noProof/>
          <w:lang w:val="sk-SK"/>
        </w:rPr>
        <w:t>zdravotníckych strediskách; II) vytvorenie integrovaných diagnostických centier (vrátane aspoň röntgenových</w:t>
      </w:r>
      <w:r w:rsidR="00A75B3C" w:rsidRPr="003F23AC">
        <w:rPr>
          <w:rFonts w:cs="Times New Roman"/>
          <w:noProof/>
          <w:lang w:val="sk-SK"/>
        </w:rPr>
        <w:t xml:space="preserve"> a </w:t>
      </w:r>
      <w:r w:rsidRPr="003F23AC">
        <w:rPr>
          <w:rFonts w:cs="Times New Roman"/>
          <w:noProof/>
          <w:lang w:val="sk-SK"/>
        </w:rPr>
        <w:t>klinických analýz)</w:t>
      </w:r>
      <w:r w:rsidR="00A75B3C" w:rsidRPr="003F23AC">
        <w:rPr>
          <w:rFonts w:cs="Times New Roman"/>
          <w:noProof/>
          <w:lang w:val="sk-SK"/>
        </w:rPr>
        <w:t xml:space="preserve"> v </w:t>
      </w:r>
      <w:r w:rsidRPr="003F23AC">
        <w:rPr>
          <w:rFonts w:cs="Times New Roman"/>
          <w:noProof/>
          <w:lang w:val="sk-SK"/>
        </w:rPr>
        <w:t>skupinách zdravotníckych stredísk; III) vytváranie rehabilitačných služieb</w:t>
      </w:r>
      <w:r w:rsidR="00A75B3C" w:rsidRPr="003F23AC">
        <w:rPr>
          <w:rFonts w:cs="Times New Roman"/>
          <w:noProof/>
          <w:lang w:val="sk-SK"/>
        </w:rPr>
        <w:t xml:space="preserve"> v </w:t>
      </w:r>
      <w:r w:rsidRPr="003F23AC">
        <w:rPr>
          <w:rFonts w:cs="Times New Roman"/>
          <w:noProof/>
          <w:lang w:val="sk-SK"/>
        </w:rPr>
        <w:t>zdravotníckych strediskách (primerané fyzické priestory</w:t>
      </w:r>
      <w:r w:rsidR="00A75B3C" w:rsidRPr="003F23AC">
        <w:rPr>
          <w:rFonts w:cs="Times New Roman"/>
          <w:noProof/>
          <w:lang w:val="sk-SK"/>
        </w:rPr>
        <w:t xml:space="preserve"> a </w:t>
      </w:r>
      <w:r w:rsidRPr="003F23AC">
        <w:rPr>
          <w:rFonts w:cs="Times New Roman"/>
          <w:noProof/>
          <w:lang w:val="sk-SK"/>
        </w:rPr>
        <w:t>rehabilitácia, multidisciplinárne</w:t>
      </w:r>
      <w:r w:rsidR="00A75B3C" w:rsidRPr="003F23AC">
        <w:rPr>
          <w:rFonts w:cs="Times New Roman"/>
          <w:noProof/>
          <w:lang w:val="sk-SK"/>
        </w:rPr>
        <w:t xml:space="preserve"> a </w:t>
      </w:r>
      <w:r w:rsidRPr="003F23AC">
        <w:rPr>
          <w:rFonts w:cs="Times New Roman"/>
          <w:noProof/>
          <w:lang w:val="sk-SK"/>
        </w:rPr>
        <w:t>interdisciplinárne tímy); IV) poskytnúť všetkým zdravotníckym strediskám vybavenie (núdzové tašky, defibrilátor</w:t>
      </w:r>
      <w:r w:rsidR="00A75B3C" w:rsidRPr="003F23AC">
        <w:rPr>
          <w:rFonts w:cs="Times New Roman"/>
          <w:noProof/>
          <w:lang w:val="sk-SK"/>
        </w:rPr>
        <w:t xml:space="preserve"> a </w:t>
      </w:r>
      <w:r w:rsidRPr="003F23AC">
        <w:rPr>
          <w:rFonts w:cs="Times New Roman"/>
          <w:noProof/>
          <w:lang w:val="sk-SK"/>
        </w:rPr>
        <w:t>vitálne značenie) na kvalifikovanú reakciu na núdzové situácie (základná životná podpora);</w:t>
      </w:r>
      <w:r w:rsidR="00A75B3C" w:rsidRPr="003F23AC">
        <w:rPr>
          <w:rFonts w:cs="Times New Roman"/>
          <w:noProof/>
          <w:lang w:val="sk-SK"/>
        </w:rPr>
        <w:t xml:space="preserve"> a </w:t>
      </w:r>
      <w:r w:rsidRPr="003F23AC">
        <w:rPr>
          <w:rFonts w:cs="Times New Roman"/>
          <w:noProof/>
          <w:lang w:val="sk-SK"/>
        </w:rPr>
        <w:t>v) zvýšenie dynamiky programu na zníženie neprimeraného využívania pohotovostných služieb zdravotnej starostlivosti a/alebo ich využívania, ktorým sa dá predísť.</w:t>
      </w:r>
    </w:p>
    <w:p w14:paraId="79BA5279" w14:textId="6E0A29B7" w:rsidR="00387C70" w:rsidRPr="003F23AC" w:rsidRDefault="000F5AA4" w:rsidP="003F23AC">
      <w:pPr>
        <w:pStyle w:val="P68B1DB1-Normal4"/>
        <w:numPr>
          <w:ilvl w:val="0"/>
          <w:numId w:val="55"/>
        </w:numPr>
        <w:tabs>
          <w:tab w:val="left" w:pos="426"/>
        </w:tabs>
        <w:spacing w:before="40" w:after="160" w:line="259" w:lineRule="auto"/>
        <w:jc w:val="both"/>
        <w:rPr>
          <w:rFonts w:eastAsia="Times New Roman" w:cs="Times New Roman"/>
          <w:noProof/>
          <w:lang w:val="sk-SK"/>
        </w:rPr>
      </w:pPr>
      <w:r w:rsidRPr="003F23AC">
        <w:rPr>
          <w:rFonts w:cs="Times New Roman"/>
          <w:noProof/>
          <w:lang w:val="sk-SK"/>
        </w:rPr>
        <w:t>Po tretie, ďalšie čiastkové investície zabezpečia modernizáciu zariadení</w:t>
      </w:r>
      <w:r w:rsidR="00A75B3C" w:rsidRPr="003F23AC">
        <w:rPr>
          <w:rFonts w:cs="Times New Roman"/>
          <w:noProof/>
          <w:lang w:val="sk-SK"/>
        </w:rPr>
        <w:t xml:space="preserve"> a </w:t>
      </w:r>
      <w:r w:rsidRPr="003F23AC">
        <w:rPr>
          <w:rFonts w:cs="Times New Roman"/>
          <w:noProof/>
          <w:lang w:val="sk-SK"/>
        </w:rPr>
        <w:t>vybavenia zdravotníckych stredísk, zvýšenie energetickej efektívnosti, zabezpečenie podmienok prístupnosti, kvality, pohodlia</w:t>
      </w:r>
      <w:r w:rsidR="00A75B3C" w:rsidRPr="003F23AC">
        <w:rPr>
          <w:rFonts w:cs="Times New Roman"/>
          <w:noProof/>
          <w:lang w:val="sk-SK"/>
        </w:rPr>
        <w:t xml:space="preserve"> a </w:t>
      </w:r>
      <w:r w:rsidRPr="003F23AC">
        <w:rPr>
          <w:rFonts w:cs="Times New Roman"/>
          <w:noProof/>
          <w:lang w:val="sk-SK"/>
        </w:rPr>
        <w:t>bezpečnosti pacientov</w:t>
      </w:r>
      <w:r w:rsidR="00A75B3C" w:rsidRPr="003F23AC">
        <w:rPr>
          <w:rFonts w:cs="Times New Roman"/>
          <w:noProof/>
          <w:lang w:val="sk-SK"/>
        </w:rPr>
        <w:t xml:space="preserve"> a </w:t>
      </w:r>
      <w:r w:rsidRPr="003F23AC">
        <w:rPr>
          <w:rFonts w:cs="Times New Roman"/>
          <w:noProof/>
          <w:lang w:val="sk-SK"/>
        </w:rPr>
        <w:t>odborníkov</w:t>
      </w:r>
      <w:r w:rsidR="00A75B3C" w:rsidRPr="003F23AC">
        <w:rPr>
          <w:rFonts w:cs="Times New Roman"/>
          <w:noProof/>
          <w:lang w:val="sk-SK"/>
        </w:rPr>
        <w:t xml:space="preserve"> a </w:t>
      </w:r>
      <w:r w:rsidRPr="003F23AC">
        <w:rPr>
          <w:rFonts w:cs="Times New Roman"/>
          <w:noProof/>
          <w:lang w:val="sk-SK"/>
        </w:rPr>
        <w:t>ich prispôsobenie novým modelom poskytovania zdravotnej starostlivosti. Podrobné informácie zahŕňajú okrem iného: I) vybudovanie 124 nových zdravotníckych stredísk; II) renovácia alebo prispôsobenie 347 zdravotníckych zariadení</w:t>
      </w:r>
      <w:r w:rsidR="00A75B3C" w:rsidRPr="003F23AC">
        <w:rPr>
          <w:rFonts w:cs="Times New Roman"/>
          <w:noProof/>
          <w:lang w:val="sk-SK"/>
        </w:rPr>
        <w:t xml:space="preserve"> s </w:t>
      </w:r>
      <w:r w:rsidRPr="003F23AC">
        <w:rPr>
          <w:rFonts w:cs="Times New Roman"/>
          <w:noProof/>
          <w:lang w:val="sk-SK"/>
        </w:rPr>
        <w:t>cieľom zvýšiť energetickú efektívnosť, dodržiavať pohotovostné plány</w:t>
      </w:r>
      <w:r w:rsidR="00A75B3C" w:rsidRPr="003F23AC">
        <w:rPr>
          <w:rFonts w:cs="Times New Roman"/>
          <w:noProof/>
          <w:lang w:val="sk-SK"/>
        </w:rPr>
        <w:t xml:space="preserve"> a </w:t>
      </w:r>
      <w:r w:rsidRPr="003F23AC">
        <w:rPr>
          <w:rFonts w:cs="Times New Roman"/>
          <w:noProof/>
          <w:lang w:val="sk-SK"/>
        </w:rPr>
        <w:t>zabezpečiť prístupnosť, hygienickú bezpečnosť</w:t>
      </w:r>
      <w:r w:rsidR="00A75B3C" w:rsidRPr="003F23AC">
        <w:rPr>
          <w:rFonts w:cs="Times New Roman"/>
          <w:noProof/>
          <w:lang w:val="sk-SK"/>
        </w:rPr>
        <w:t xml:space="preserve"> a </w:t>
      </w:r>
      <w:r w:rsidRPr="003F23AC">
        <w:rPr>
          <w:rFonts w:cs="Times New Roman"/>
          <w:noProof/>
          <w:lang w:val="sk-SK"/>
        </w:rPr>
        <w:t>pohodlie;</w:t>
      </w:r>
      <w:r w:rsidR="00A75B3C" w:rsidRPr="003F23AC">
        <w:rPr>
          <w:rFonts w:cs="Times New Roman"/>
          <w:noProof/>
          <w:lang w:val="sk-SK"/>
        </w:rPr>
        <w:t xml:space="preserve"> a </w:t>
      </w:r>
      <w:r w:rsidRPr="003F23AC">
        <w:rPr>
          <w:rFonts w:cs="Times New Roman"/>
          <w:noProof/>
          <w:lang w:val="sk-SK"/>
        </w:rPr>
        <w:t>iii) modernizácia zdravotníckeho vybavenia.</w:t>
      </w:r>
    </w:p>
    <w:p w14:paraId="7BFAF513" w14:textId="2DC9CB8D" w:rsidR="00387C70" w:rsidRPr="003F23AC" w:rsidRDefault="000F5AA4" w:rsidP="003F23AC">
      <w:pPr>
        <w:pStyle w:val="P68B1DB1-Normal4"/>
        <w:numPr>
          <w:ilvl w:val="0"/>
          <w:numId w:val="55"/>
        </w:numPr>
        <w:tabs>
          <w:tab w:val="left" w:pos="426"/>
        </w:tabs>
        <w:spacing w:before="40" w:after="160" w:line="259" w:lineRule="auto"/>
        <w:jc w:val="both"/>
        <w:rPr>
          <w:rFonts w:eastAsia="Times New Roman" w:cs="Times New Roman"/>
          <w:noProof/>
          <w:lang w:val="sk-SK"/>
        </w:rPr>
      </w:pPr>
      <w:r w:rsidRPr="003F23AC">
        <w:rPr>
          <w:rFonts w:cs="Times New Roman"/>
          <w:noProof/>
          <w:lang w:val="sk-SK"/>
        </w:rPr>
        <w:t>Po štvrté, ďalšie čiastkové investície sa zamerajú na zlepšenie reakcií na blízkosť</w:t>
      </w:r>
      <w:r w:rsidR="00A75B3C" w:rsidRPr="003F23AC">
        <w:rPr>
          <w:rFonts w:cs="Times New Roman"/>
          <w:noProof/>
          <w:lang w:val="sk-SK"/>
        </w:rPr>
        <w:t xml:space="preserve"> s </w:t>
      </w:r>
      <w:r w:rsidRPr="003F23AC">
        <w:rPr>
          <w:rFonts w:cs="Times New Roman"/>
          <w:noProof/>
          <w:lang w:val="sk-SK"/>
        </w:rPr>
        <w:t>dôrazom na domácu</w:t>
      </w:r>
      <w:r w:rsidR="00A75B3C" w:rsidRPr="003F23AC">
        <w:rPr>
          <w:rFonts w:cs="Times New Roman"/>
          <w:noProof/>
          <w:lang w:val="sk-SK"/>
        </w:rPr>
        <w:t xml:space="preserve"> a </w:t>
      </w:r>
      <w:r w:rsidRPr="003F23AC">
        <w:rPr>
          <w:rFonts w:cs="Times New Roman"/>
          <w:noProof/>
          <w:lang w:val="sk-SK"/>
        </w:rPr>
        <w:t>komunitnú starostlivosť, zásahy do najviac ohrozeného obyvateľstva</w:t>
      </w:r>
      <w:r w:rsidR="00A75B3C" w:rsidRPr="003F23AC">
        <w:rPr>
          <w:rFonts w:cs="Times New Roman"/>
          <w:noProof/>
          <w:lang w:val="sk-SK"/>
        </w:rPr>
        <w:t xml:space="preserve"> a </w:t>
      </w:r>
      <w:r w:rsidRPr="003F23AC">
        <w:rPr>
          <w:rFonts w:cs="Times New Roman"/>
          <w:noProof/>
          <w:lang w:val="sk-SK"/>
        </w:rPr>
        <w:t>podporu deinštitucionalizácie</w:t>
      </w:r>
      <w:r w:rsidR="00A75B3C" w:rsidRPr="003F23AC">
        <w:rPr>
          <w:rFonts w:cs="Times New Roman"/>
          <w:noProof/>
          <w:lang w:val="sk-SK"/>
        </w:rPr>
        <w:t xml:space="preserve"> a </w:t>
      </w:r>
      <w:r w:rsidRPr="003F23AC">
        <w:rPr>
          <w:rFonts w:cs="Times New Roman"/>
          <w:noProof/>
          <w:lang w:val="sk-SK"/>
        </w:rPr>
        <w:t>ambulantnej starostlivosti. Podrobné informácie zahŕňajú: I) poskytovanie elektrických vozidiel zdravotníckym zariadeniam na podporu poskytovania domácej starostlivosti; II) rozšírenie počtu mobilných jednotiek na regióny</w:t>
      </w:r>
      <w:r w:rsidR="00A75B3C" w:rsidRPr="003F23AC">
        <w:rPr>
          <w:rFonts w:cs="Times New Roman"/>
          <w:noProof/>
          <w:lang w:val="sk-SK"/>
        </w:rPr>
        <w:t xml:space="preserve"> s </w:t>
      </w:r>
      <w:r w:rsidRPr="003F23AC">
        <w:rPr>
          <w:rFonts w:cs="Times New Roman"/>
          <w:noProof/>
          <w:lang w:val="sk-SK"/>
        </w:rPr>
        <w:t>nízkou hustotou; III) poskytovanie technických podmienok zdravotníckym strediskám na vykonávanie konzultácií na diaľku</w:t>
      </w:r>
      <w:r w:rsidR="00A75B3C" w:rsidRPr="003F23AC">
        <w:rPr>
          <w:rFonts w:cs="Times New Roman"/>
          <w:noProof/>
          <w:lang w:val="sk-SK"/>
        </w:rPr>
        <w:t xml:space="preserve"> a </w:t>
      </w:r>
      <w:r w:rsidRPr="003F23AC">
        <w:rPr>
          <w:rFonts w:cs="Times New Roman"/>
          <w:noProof/>
          <w:lang w:val="sk-SK"/>
        </w:rPr>
        <w:t>telemonitorovania chronických chorôb, ako je zlyhanie srdca; IV) posilnenie jednotiek komunitnej starostlivosti</w:t>
      </w:r>
      <w:r w:rsidR="00A75B3C" w:rsidRPr="003F23AC">
        <w:rPr>
          <w:rFonts w:cs="Times New Roman"/>
          <w:noProof/>
          <w:lang w:val="sk-SK"/>
        </w:rPr>
        <w:t xml:space="preserve"> a </w:t>
      </w:r>
      <w:r w:rsidRPr="003F23AC">
        <w:rPr>
          <w:rFonts w:cs="Times New Roman"/>
          <w:noProof/>
          <w:lang w:val="sk-SK"/>
        </w:rPr>
        <w:t>tímov integrovanej nepretržitej starostlivosti; v) vytváranie komunitných tímov na podporu paliatívnej starostlivosti</w:t>
      </w:r>
      <w:r w:rsidR="00A75B3C" w:rsidRPr="003F23AC">
        <w:rPr>
          <w:rFonts w:cs="Times New Roman"/>
          <w:noProof/>
          <w:lang w:val="sk-SK"/>
        </w:rPr>
        <w:t xml:space="preserve"> v </w:t>
      </w:r>
      <w:r w:rsidRPr="003F23AC">
        <w:rPr>
          <w:rFonts w:cs="Times New Roman"/>
          <w:noProof/>
          <w:lang w:val="sk-SK"/>
        </w:rPr>
        <w:t>skupinách zdravotníckych centier;</w:t>
      </w:r>
      <w:r w:rsidR="00A75B3C" w:rsidRPr="003F23AC">
        <w:rPr>
          <w:rFonts w:cs="Times New Roman"/>
          <w:noProof/>
          <w:lang w:val="sk-SK"/>
        </w:rPr>
        <w:t xml:space="preserve"> a </w:t>
      </w:r>
      <w:r w:rsidRPr="003F23AC">
        <w:rPr>
          <w:rFonts w:cs="Times New Roman"/>
          <w:noProof/>
          <w:lang w:val="sk-SK"/>
        </w:rPr>
        <w:t>vi) vytvorenie psychosociálnych intervenčných programov</w:t>
      </w:r>
      <w:r w:rsidR="00A75B3C" w:rsidRPr="003F23AC">
        <w:rPr>
          <w:rFonts w:cs="Times New Roman"/>
          <w:noProof/>
          <w:lang w:val="sk-SK"/>
        </w:rPr>
        <w:t xml:space="preserve"> v </w:t>
      </w:r>
      <w:r w:rsidRPr="003F23AC">
        <w:rPr>
          <w:rFonts w:cs="Times New Roman"/>
          <w:noProof/>
          <w:lang w:val="sk-SK"/>
        </w:rPr>
        <w:t>prípade bežných duševných chorôb (depresie</w:t>
      </w:r>
      <w:r w:rsidR="00A75B3C" w:rsidRPr="003F23AC">
        <w:rPr>
          <w:rFonts w:cs="Times New Roman"/>
          <w:noProof/>
          <w:lang w:val="sk-SK"/>
        </w:rPr>
        <w:t xml:space="preserve"> a </w:t>
      </w:r>
      <w:r w:rsidRPr="003F23AC">
        <w:rPr>
          <w:rFonts w:cs="Times New Roman"/>
          <w:noProof/>
          <w:lang w:val="sk-SK"/>
        </w:rPr>
        <w:t>úzkosť)</w:t>
      </w:r>
      <w:r w:rsidR="00A75B3C" w:rsidRPr="003F23AC">
        <w:rPr>
          <w:rFonts w:cs="Times New Roman"/>
          <w:noProof/>
          <w:lang w:val="sk-SK"/>
        </w:rPr>
        <w:t xml:space="preserve"> v </w:t>
      </w:r>
      <w:r w:rsidRPr="003F23AC">
        <w:rPr>
          <w:rFonts w:cs="Times New Roman"/>
          <w:noProof/>
          <w:lang w:val="sk-SK"/>
        </w:rPr>
        <w:t>skupinách zdravotníckych centier.</w:t>
      </w:r>
    </w:p>
    <w:p w14:paraId="6598C353" w14:textId="0328F8F5" w:rsidR="00387C70" w:rsidRPr="003F23AC" w:rsidRDefault="000F5AA4" w:rsidP="003F23AC">
      <w:pPr>
        <w:pStyle w:val="P68B1DB1-Normal4"/>
        <w:tabs>
          <w:tab w:val="left" w:pos="426"/>
        </w:tabs>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2354E762" w14:textId="0B3D6010" w:rsidR="00387C70" w:rsidRPr="003F23AC" w:rsidRDefault="00387C70" w:rsidP="003F23AC">
      <w:pPr>
        <w:tabs>
          <w:tab w:val="left" w:pos="426"/>
        </w:tabs>
        <w:spacing w:before="40" w:after="0" w:line="259" w:lineRule="auto"/>
        <w:jc w:val="both"/>
        <w:rPr>
          <w:rFonts w:ascii="Times New Roman" w:eastAsiaTheme="minorEastAsia" w:hAnsi="Times New Roman" w:cs="Times New Roman"/>
          <w:noProof/>
          <w:sz w:val="24"/>
          <w:lang w:val="sk-SK"/>
        </w:rPr>
      </w:pPr>
    </w:p>
    <w:p w14:paraId="4C9B07E6" w14:textId="77777777" w:rsidR="00387C70" w:rsidRPr="003F23AC" w:rsidRDefault="00387C70" w:rsidP="003F23AC">
      <w:pPr>
        <w:tabs>
          <w:tab w:val="left" w:pos="426"/>
        </w:tabs>
        <w:spacing w:before="40" w:after="0" w:line="259" w:lineRule="auto"/>
        <w:jc w:val="both"/>
        <w:rPr>
          <w:rFonts w:ascii="Times New Roman" w:eastAsia="Times New Roman" w:hAnsi="Times New Roman" w:cs="Times New Roman"/>
          <w:noProof/>
          <w:sz w:val="24"/>
          <w:lang w:val="sk-SK"/>
        </w:rPr>
      </w:pPr>
    </w:p>
    <w:p w14:paraId="308A36DF" w14:textId="2FD57961" w:rsidR="00387C70" w:rsidRPr="003F23AC" w:rsidRDefault="000F5AA4" w:rsidP="003F23AC">
      <w:pPr>
        <w:pStyle w:val="P68B1DB1-Normal5"/>
        <w:spacing w:before="240" w:after="0" w:line="259" w:lineRule="auto"/>
        <w:ind w:left="851"/>
        <w:jc w:val="both"/>
        <w:outlineLvl w:val="2"/>
        <w:rPr>
          <w:rFonts w:eastAsia="Times New Roman" w:cs="Times New Roman"/>
          <w:noProof/>
          <w:lang w:val="sk-SK"/>
        </w:rPr>
      </w:pPr>
      <w:r w:rsidRPr="003F23AC">
        <w:rPr>
          <w:rFonts w:cs="Times New Roman"/>
          <w:noProof/>
          <w:lang w:val="sk-SK"/>
        </w:rPr>
        <w:t>Investície RE-C01-i02: Národná sieť integrovanej</w:t>
      </w:r>
      <w:r w:rsidR="00A75B3C" w:rsidRPr="003F23AC">
        <w:rPr>
          <w:rFonts w:cs="Times New Roman"/>
          <w:noProof/>
          <w:lang w:val="sk-SK"/>
        </w:rPr>
        <w:t xml:space="preserve"> a </w:t>
      </w:r>
      <w:r w:rsidRPr="003F23AC">
        <w:rPr>
          <w:rFonts w:cs="Times New Roman"/>
          <w:noProof/>
          <w:lang w:val="sk-SK"/>
        </w:rPr>
        <w:t>nepretržitej starostlivosti</w:t>
      </w:r>
      <w:r w:rsidR="00A75B3C" w:rsidRPr="003F23AC">
        <w:rPr>
          <w:rFonts w:cs="Times New Roman"/>
          <w:noProof/>
          <w:lang w:val="sk-SK"/>
        </w:rPr>
        <w:t xml:space="preserve"> a </w:t>
      </w:r>
      <w:r w:rsidRPr="003F23AC">
        <w:rPr>
          <w:rFonts w:cs="Times New Roman"/>
          <w:noProof/>
          <w:lang w:val="sk-SK"/>
        </w:rPr>
        <w:t>národná sieť paliatívnej starostlivosti</w:t>
      </w:r>
    </w:p>
    <w:p w14:paraId="4167DC2F" w14:textId="31FF1FB1"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Cieľom investície je rozšíriť vnútroštátne siete paliatívnej</w:t>
      </w:r>
      <w:r w:rsidR="00A75B3C" w:rsidRPr="003F23AC">
        <w:rPr>
          <w:rFonts w:cs="Times New Roman"/>
          <w:noProof/>
          <w:lang w:val="sk-SK"/>
        </w:rPr>
        <w:t xml:space="preserve"> a </w:t>
      </w:r>
      <w:r w:rsidRPr="003F23AC">
        <w:rPr>
          <w:rFonts w:cs="Times New Roman"/>
          <w:noProof/>
          <w:lang w:val="sk-SK"/>
        </w:rPr>
        <w:t>integrovanej nepretržitej starostlivosti, pokiaľ ide</w:t>
      </w:r>
      <w:r w:rsidR="00A75B3C" w:rsidRPr="003F23AC">
        <w:rPr>
          <w:rFonts w:cs="Times New Roman"/>
          <w:noProof/>
          <w:lang w:val="sk-SK"/>
        </w:rPr>
        <w:t xml:space="preserve"> o </w:t>
      </w:r>
      <w:r w:rsidRPr="003F23AC">
        <w:rPr>
          <w:rFonts w:cs="Times New Roman"/>
          <w:noProof/>
          <w:lang w:val="sk-SK"/>
        </w:rPr>
        <w:t>nemocničnú aj ambulantnú starostlivosť, ako aj domácu starostlivosť. Investícia sa opiera</w:t>
      </w:r>
      <w:r w:rsidR="00A75B3C" w:rsidRPr="003F23AC">
        <w:rPr>
          <w:rFonts w:cs="Times New Roman"/>
          <w:noProof/>
          <w:lang w:val="sk-SK"/>
        </w:rPr>
        <w:t xml:space="preserve"> o </w:t>
      </w:r>
      <w:r w:rsidRPr="003F23AC">
        <w:rPr>
          <w:rFonts w:cs="Times New Roman"/>
          <w:noProof/>
          <w:lang w:val="sk-SK"/>
        </w:rPr>
        <w:t>reformu národnej stratégie začleňovania osôb so zdravotným postihnutím predloženú</w:t>
      </w:r>
      <w:r w:rsidR="00A75B3C" w:rsidRPr="003F23AC">
        <w:rPr>
          <w:rFonts w:cs="Times New Roman"/>
          <w:noProof/>
          <w:lang w:val="sk-SK"/>
        </w:rPr>
        <w:t xml:space="preserve"> v </w:t>
      </w:r>
      <w:r w:rsidRPr="003F23AC">
        <w:rPr>
          <w:rFonts w:cs="Times New Roman"/>
          <w:noProof/>
          <w:lang w:val="sk-SK"/>
        </w:rPr>
        <w:t>zložke 3</w:t>
      </w:r>
      <w:r w:rsidR="00A75B3C" w:rsidRPr="003F23AC">
        <w:rPr>
          <w:rFonts w:cs="Times New Roman"/>
          <w:noProof/>
          <w:lang w:val="sk-SK"/>
        </w:rPr>
        <w:t xml:space="preserve"> o </w:t>
      </w:r>
      <w:r w:rsidRPr="003F23AC">
        <w:rPr>
          <w:rFonts w:cs="Times New Roman"/>
          <w:noProof/>
          <w:lang w:val="sk-SK"/>
        </w:rPr>
        <w:t>sociálnych reakciách</w:t>
      </w:r>
      <w:r w:rsidR="00A75B3C" w:rsidRPr="003F23AC">
        <w:rPr>
          <w:rFonts w:cs="Times New Roman"/>
          <w:noProof/>
          <w:lang w:val="sk-SK"/>
        </w:rPr>
        <w:t xml:space="preserve"> a </w:t>
      </w:r>
      <w:r w:rsidRPr="003F23AC">
        <w:rPr>
          <w:rFonts w:cs="Times New Roman"/>
          <w:noProof/>
          <w:lang w:val="sk-SK"/>
        </w:rPr>
        <w:t>je súčasťou stratégie Portugalska</w:t>
      </w:r>
      <w:r w:rsidR="00A75B3C" w:rsidRPr="003F23AC">
        <w:rPr>
          <w:rFonts w:cs="Times New Roman"/>
          <w:noProof/>
          <w:lang w:val="sk-SK"/>
        </w:rPr>
        <w:t xml:space="preserve"> v </w:t>
      </w:r>
      <w:r w:rsidRPr="003F23AC">
        <w:rPr>
          <w:rFonts w:cs="Times New Roman"/>
          <w:noProof/>
          <w:lang w:val="sk-SK"/>
        </w:rPr>
        <w:t>oblasti deinštitucionalizácie</w:t>
      </w:r>
      <w:r w:rsidR="00A75B3C" w:rsidRPr="003F23AC">
        <w:rPr>
          <w:rFonts w:cs="Times New Roman"/>
          <w:noProof/>
          <w:lang w:val="sk-SK"/>
        </w:rPr>
        <w:t xml:space="preserve"> a </w:t>
      </w:r>
      <w:r w:rsidRPr="003F23AC">
        <w:rPr>
          <w:rFonts w:cs="Times New Roman"/>
          <w:noProof/>
          <w:lang w:val="sk-SK"/>
        </w:rPr>
        <w:t>celkového úsilia riešiť nepriaznivé demografické trendy, ktorým krajina čelí.</w:t>
      </w:r>
    </w:p>
    <w:p w14:paraId="4876C261" w14:textId="7A67D786"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Investícia pozostáva zo štruktúrovaného</w:t>
      </w:r>
      <w:r w:rsidR="00A75B3C" w:rsidRPr="003F23AC">
        <w:rPr>
          <w:rFonts w:cs="Times New Roman"/>
          <w:noProof/>
          <w:lang w:val="sk-SK"/>
        </w:rPr>
        <w:t xml:space="preserve"> a </w:t>
      </w:r>
      <w:r w:rsidRPr="003F23AC">
        <w:rPr>
          <w:rFonts w:cs="Times New Roman"/>
          <w:noProof/>
          <w:lang w:val="sk-SK"/>
        </w:rPr>
        <w:t>postupného programu na poskytovanie finančnej podpory navrhovateľom</w:t>
      </w:r>
      <w:r w:rsidR="00A75B3C" w:rsidRPr="003F23AC">
        <w:rPr>
          <w:rFonts w:cs="Times New Roman"/>
          <w:noProof/>
          <w:lang w:val="sk-SK"/>
        </w:rPr>
        <w:t xml:space="preserve"> z </w:t>
      </w:r>
      <w:r w:rsidRPr="003F23AC">
        <w:rPr>
          <w:rFonts w:cs="Times New Roman"/>
          <w:noProof/>
          <w:lang w:val="sk-SK"/>
        </w:rPr>
        <w:t>verejného, sociálneho alebo súkromného sektora</w:t>
      </w:r>
      <w:r w:rsidR="00A75B3C" w:rsidRPr="003F23AC">
        <w:rPr>
          <w:rFonts w:cs="Times New Roman"/>
          <w:noProof/>
          <w:lang w:val="sk-SK"/>
        </w:rPr>
        <w:t xml:space="preserve"> s </w:t>
      </w:r>
      <w:r w:rsidRPr="003F23AC">
        <w:rPr>
          <w:rFonts w:cs="Times New Roman"/>
          <w:noProof/>
          <w:lang w:val="sk-SK"/>
        </w:rPr>
        <w:t>cieľom: I) rozšíriť vnútroštátnu sieť integrovanej nepretržitej starostlivosti</w:t>
      </w:r>
      <w:r w:rsidR="00A75B3C" w:rsidRPr="003F23AC">
        <w:rPr>
          <w:rFonts w:cs="Times New Roman"/>
          <w:noProof/>
          <w:lang w:val="sk-SK"/>
        </w:rPr>
        <w:t xml:space="preserve"> o </w:t>
      </w:r>
      <w:r w:rsidRPr="003F23AC">
        <w:rPr>
          <w:rFonts w:cs="Times New Roman"/>
          <w:noProof/>
          <w:lang w:val="sk-SK"/>
        </w:rPr>
        <w:t>5500 lôžok (buď</w:t>
      </w:r>
      <w:r w:rsidR="00A75B3C" w:rsidRPr="003F23AC">
        <w:rPr>
          <w:rFonts w:cs="Times New Roman"/>
          <w:noProof/>
          <w:lang w:val="sk-SK"/>
        </w:rPr>
        <w:t xml:space="preserve"> v </w:t>
      </w:r>
      <w:r w:rsidRPr="003F23AC">
        <w:rPr>
          <w:rFonts w:cs="Times New Roman"/>
          <w:noProof/>
          <w:lang w:val="sk-SK"/>
        </w:rPr>
        <w:t>existujúcich alebo nových jednotkách); II) vytvoriť 20-dňové jednotky na podporu samostatnosti</w:t>
      </w:r>
      <w:r w:rsidR="00A75B3C" w:rsidRPr="003F23AC">
        <w:rPr>
          <w:rFonts w:cs="Times New Roman"/>
          <w:noProof/>
          <w:lang w:val="sk-SK"/>
        </w:rPr>
        <w:t xml:space="preserve"> s </w:t>
      </w:r>
      <w:r w:rsidRPr="003F23AC">
        <w:rPr>
          <w:rFonts w:cs="Times New Roman"/>
          <w:noProof/>
          <w:lang w:val="sk-SK"/>
        </w:rPr>
        <w:t>cieľom monitorovať 500 ambulantných pacientov; III) zriadiť 50 domácich tímov integrovanej nepretržitej starostlivosti</w:t>
      </w:r>
      <w:r w:rsidR="00A75B3C" w:rsidRPr="003F23AC">
        <w:rPr>
          <w:rFonts w:cs="Times New Roman"/>
          <w:noProof/>
          <w:lang w:val="sk-SK"/>
        </w:rPr>
        <w:t xml:space="preserve"> s </w:t>
      </w:r>
      <w:r w:rsidRPr="003F23AC">
        <w:rPr>
          <w:rFonts w:cs="Times New Roman"/>
          <w:noProof/>
          <w:lang w:val="sk-SK"/>
        </w:rPr>
        <w:t>cieľom reagovať na 1000 pacientov doma (vrátane vybavenia</w:t>
      </w:r>
      <w:r w:rsidR="00A75B3C" w:rsidRPr="003F23AC">
        <w:rPr>
          <w:rFonts w:cs="Times New Roman"/>
          <w:noProof/>
          <w:lang w:val="sk-SK"/>
        </w:rPr>
        <w:t xml:space="preserve"> a </w:t>
      </w:r>
      <w:r w:rsidRPr="003F23AC">
        <w:rPr>
          <w:rFonts w:cs="Times New Roman"/>
          <w:noProof/>
          <w:lang w:val="sk-SK"/>
        </w:rPr>
        <w:t>elektrických vozidiel); IV) rozšíriť integrovanú reakciu</w:t>
      </w:r>
      <w:r w:rsidR="00A75B3C" w:rsidRPr="003F23AC">
        <w:rPr>
          <w:rFonts w:cs="Times New Roman"/>
          <w:noProof/>
          <w:lang w:val="sk-SK"/>
        </w:rPr>
        <w:t xml:space="preserve"> v </w:t>
      </w:r>
      <w:r w:rsidRPr="003F23AC">
        <w:rPr>
          <w:rFonts w:cs="Times New Roman"/>
          <w:noProof/>
          <w:lang w:val="sk-SK"/>
        </w:rPr>
        <w:t>oblasti starostlivosti</w:t>
      </w:r>
      <w:r w:rsidR="00A75B3C" w:rsidRPr="003F23AC">
        <w:rPr>
          <w:rFonts w:cs="Times New Roman"/>
          <w:noProof/>
          <w:lang w:val="sk-SK"/>
        </w:rPr>
        <w:t xml:space="preserve"> o </w:t>
      </w:r>
      <w:r w:rsidRPr="003F23AC">
        <w:rPr>
          <w:rFonts w:cs="Times New Roman"/>
          <w:noProof/>
          <w:lang w:val="sk-SK"/>
        </w:rPr>
        <w:t>duševné zdravie na 1000 miest,</w:t>
      </w:r>
      <w:r w:rsidR="00A75B3C" w:rsidRPr="003F23AC">
        <w:rPr>
          <w:rFonts w:cs="Times New Roman"/>
          <w:noProof/>
          <w:lang w:val="sk-SK"/>
        </w:rPr>
        <w:t xml:space="preserve"> v </w:t>
      </w:r>
      <w:r w:rsidRPr="003F23AC">
        <w:rPr>
          <w:rFonts w:cs="Times New Roman"/>
          <w:noProof/>
          <w:lang w:val="sk-SK"/>
        </w:rPr>
        <w:t>50 obydliach</w:t>
      </w:r>
      <w:r w:rsidR="00A75B3C" w:rsidRPr="003F23AC">
        <w:rPr>
          <w:rFonts w:cs="Times New Roman"/>
          <w:noProof/>
          <w:lang w:val="sk-SK"/>
        </w:rPr>
        <w:t xml:space="preserve"> a </w:t>
      </w:r>
      <w:r w:rsidRPr="003F23AC">
        <w:rPr>
          <w:rFonts w:cs="Times New Roman"/>
          <w:noProof/>
          <w:lang w:val="sk-SK"/>
        </w:rPr>
        <w:t>sociálno-pracovných jednotkách (podpora pri vytváraní nových reakcií alebo rozšírení existujúcich reakcií); vytvoriť až 100 miest</w:t>
      </w:r>
      <w:r w:rsidR="00A75B3C" w:rsidRPr="003F23AC">
        <w:rPr>
          <w:rFonts w:cs="Times New Roman"/>
          <w:noProof/>
          <w:lang w:val="sk-SK"/>
        </w:rPr>
        <w:t xml:space="preserve"> v </w:t>
      </w:r>
      <w:r w:rsidRPr="003F23AC">
        <w:rPr>
          <w:rFonts w:cs="Times New Roman"/>
          <w:noProof/>
          <w:lang w:val="sk-SK"/>
        </w:rPr>
        <w:t>10 tímoch na podporu duševného zdravia</w:t>
      </w:r>
      <w:r w:rsidR="00A75B3C" w:rsidRPr="003F23AC">
        <w:rPr>
          <w:rFonts w:cs="Times New Roman"/>
          <w:noProof/>
          <w:lang w:val="sk-SK"/>
        </w:rPr>
        <w:t xml:space="preserve"> v </w:t>
      </w:r>
      <w:r w:rsidRPr="003F23AC">
        <w:rPr>
          <w:rFonts w:cs="Times New Roman"/>
          <w:noProof/>
          <w:lang w:val="sk-SK"/>
        </w:rPr>
        <w:t>domácnosti (podpora na získanie potrebných materiálnych zdrojov</w:t>
      </w:r>
      <w:r w:rsidR="00A75B3C" w:rsidRPr="003F23AC">
        <w:rPr>
          <w:rFonts w:cs="Times New Roman"/>
          <w:noProof/>
          <w:lang w:val="sk-SK"/>
        </w:rPr>
        <w:t xml:space="preserve"> a </w:t>
      </w:r>
      <w:r w:rsidRPr="003F23AC">
        <w:rPr>
          <w:rFonts w:cs="Times New Roman"/>
          <w:noProof/>
          <w:lang w:val="sk-SK"/>
        </w:rPr>
        <w:t>elektrických vozidiel na činnosť tímov); VI) rozšíriť národnú sieť paliatívnej starostlivosti</w:t>
      </w:r>
      <w:r w:rsidR="00A75B3C" w:rsidRPr="003F23AC">
        <w:rPr>
          <w:rFonts w:cs="Times New Roman"/>
          <w:noProof/>
          <w:lang w:val="sk-SK"/>
        </w:rPr>
        <w:t xml:space="preserve"> o </w:t>
      </w:r>
      <w:r w:rsidRPr="003F23AC">
        <w:rPr>
          <w:rFonts w:cs="Times New Roman"/>
          <w:noProof/>
          <w:lang w:val="sk-SK"/>
        </w:rPr>
        <w:t>20 nízkokomplexných nemocničných jednotiek paliatívnej starostlivosti</w:t>
      </w:r>
      <w:r w:rsidR="00A75B3C" w:rsidRPr="003F23AC">
        <w:rPr>
          <w:rFonts w:cs="Times New Roman"/>
          <w:noProof/>
          <w:lang w:val="sk-SK"/>
        </w:rPr>
        <w:t xml:space="preserve"> s </w:t>
      </w:r>
      <w:r w:rsidRPr="003F23AC">
        <w:rPr>
          <w:rFonts w:cs="Times New Roman"/>
          <w:noProof/>
          <w:lang w:val="sk-SK"/>
        </w:rPr>
        <w:t>cieľom reagovať na 400 pacientov;</w:t>
      </w:r>
      <w:r w:rsidR="00A75B3C" w:rsidRPr="003F23AC">
        <w:rPr>
          <w:rFonts w:cs="Times New Roman"/>
          <w:noProof/>
          <w:lang w:val="sk-SK"/>
        </w:rPr>
        <w:t xml:space="preserve"> a </w:t>
      </w:r>
      <w:r w:rsidRPr="003F23AC">
        <w:rPr>
          <w:rFonts w:cs="Times New Roman"/>
          <w:noProof/>
          <w:lang w:val="sk-SK"/>
        </w:rPr>
        <w:t>vii) vytvoriť až 100 miest</w:t>
      </w:r>
      <w:r w:rsidR="00A75B3C" w:rsidRPr="003F23AC">
        <w:rPr>
          <w:rFonts w:cs="Times New Roman"/>
          <w:noProof/>
          <w:lang w:val="sk-SK"/>
        </w:rPr>
        <w:t xml:space="preserve"> v </w:t>
      </w:r>
      <w:r w:rsidRPr="003F23AC">
        <w:rPr>
          <w:rFonts w:cs="Times New Roman"/>
          <w:noProof/>
          <w:lang w:val="sk-SK"/>
        </w:rPr>
        <w:t>10 tímoch komunitnej paliatívnej starostlivosti (podpora získavania potrebných materiálnych zdrojov</w:t>
      </w:r>
      <w:r w:rsidR="00A75B3C" w:rsidRPr="003F23AC">
        <w:rPr>
          <w:rFonts w:cs="Times New Roman"/>
          <w:noProof/>
          <w:lang w:val="sk-SK"/>
        </w:rPr>
        <w:t xml:space="preserve"> a </w:t>
      </w:r>
      <w:r w:rsidRPr="003F23AC">
        <w:rPr>
          <w:rFonts w:cs="Times New Roman"/>
          <w:noProof/>
          <w:lang w:val="sk-SK"/>
        </w:rPr>
        <w:t>elektrických vozidiel na činnosť tímov).</w:t>
      </w:r>
    </w:p>
    <w:p w14:paraId="0F0BCBC6" w14:textId="3AD4C0E3"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529517D0" w14:textId="0D0367B6" w:rsidR="00387C70" w:rsidRPr="003F23AC" w:rsidRDefault="000F5AA4" w:rsidP="003F23AC">
      <w:pPr>
        <w:pStyle w:val="P68B1DB1-Normal5"/>
        <w:spacing w:before="240" w:after="0" w:line="259" w:lineRule="auto"/>
        <w:ind w:left="851"/>
        <w:jc w:val="both"/>
        <w:outlineLvl w:val="2"/>
        <w:rPr>
          <w:rFonts w:eastAsia="Times New Roman" w:cs="Times New Roman"/>
          <w:noProof/>
          <w:lang w:val="sk-SK"/>
        </w:rPr>
      </w:pPr>
      <w:r w:rsidRPr="003F23AC">
        <w:rPr>
          <w:rFonts w:cs="Times New Roman"/>
          <w:noProof/>
          <w:lang w:val="sk-SK"/>
        </w:rPr>
        <w:t>Investície RE-C01-i03: Dokončenie reformy</w:t>
      </w:r>
      <w:r w:rsidR="00A75B3C" w:rsidRPr="003F23AC">
        <w:rPr>
          <w:rFonts w:cs="Times New Roman"/>
          <w:noProof/>
          <w:lang w:val="sk-SK"/>
        </w:rPr>
        <w:t xml:space="preserve"> v </w:t>
      </w:r>
      <w:r w:rsidRPr="003F23AC">
        <w:rPr>
          <w:rFonts w:cs="Times New Roman"/>
          <w:noProof/>
          <w:lang w:val="sk-SK"/>
        </w:rPr>
        <w:t>oblasti duševného zdravia</w:t>
      </w:r>
      <w:r w:rsidR="00A75B3C" w:rsidRPr="003F23AC">
        <w:rPr>
          <w:rFonts w:cs="Times New Roman"/>
          <w:noProof/>
          <w:lang w:val="sk-SK"/>
        </w:rPr>
        <w:t xml:space="preserve"> a </w:t>
      </w:r>
      <w:r w:rsidRPr="003F23AC">
        <w:rPr>
          <w:rFonts w:cs="Times New Roman"/>
          <w:noProof/>
          <w:lang w:val="sk-SK"/>
        </w:rPr>
        <w:t>vykonávanie stratégie demencie</w:t>
      </w:r>
    </w:p>
    <w:p w14:paraId="3CBF58D6" w14:textId="798894B5"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Cieľom investície je podporiť realizáciu reformy služieb starostlivosti</w:t>
      </w:r>
      <w:r w:rsidR="00A75B3C" w:rsidRPr="003F23AC">
        <w:rPr>
          <w:rFonts w:cs="Times New Roman"/>
          <w:noProof/>
          <w:lang w:val="sk-SK"/>
        </w:rPr>
        <w:t xml:space="preserve"> o </w:t>
      </w:r>
      <w:r w:rsidRPr="003F23AC">
        <w:rPr>
          <w:rFonts w:cs="Times New Roman"/>
          <w:noProof/>
          <w:lang w:val="sk-SK"/>
        </w:rPr>
        <w:t>duševné zdravie,</w:t>
      </w:r>
      <w:r w:rsidR="00A75B3C" w:rsidRPr="003F23AC">
        <w:rPr>
          <w:rFonts w:cs="Times New Roman"/>
          <w:noProof/>
          <w:lang w:val="sk-SK"/>
        </w:rPr>
        <w:t xml:space="preserve"> a </w:t>
      </w:r>
      <w:r w:rsidRPr="003F23AC">
        <w:rPr>
          <w:rFonts w:cs="Times New Roman"/>
          <w:noProof/>
          <w:lang w:val="sk-SK"/>
        </w:rPr>
        <w:t>tým prispieť</w:t>
      </w:r>
      <w:r w:rsidR="00A75B3C" w:rsidRPr="003F23AC">
        <w:rPr>
          <w:rFonts w:cs="Times New Roman"/>
          <w:noProof/>
          <w:lang w:val="sk-SK"/>
        </w:rPr>
        <w:t xml:space="preserve"> k </w:t>
      </w:r>
      <w:r w:rsidRPr="003F23AC">
        <w:rPr>
          <w:rFonts w:cs="Times New Roman"/>
          <w:noProof/>
          <w:lang w:val="sk-SK"/>
        </w:rPr>
        <w:t>rozšíreniu</w:t>
      </w:r>
      <w:r w:rsidR="00A75B3C" w:rsidRPr="003F23AC">
        <w:rPr>
          <w:rFonts w:cs="Times New Roman"/>
          <w:noProof/>
          <w:lang w:val="sk-SK"/>
        </w:rPr>
        <w:t xml:space="preserve"> a </w:t>
      </w:r>
      <w:r w:rsidRPr="003F23AC">
        <w:rPr>
          <w:rFonts w:cs="Times New Roman"/>
          <w:noProof/>
          <w:lang w:val="sk-SK"/>
        </w:rPr>
        <w:t>posilneniu schopnosti Národnej zdravotnej služby reagovať</w:t>
      </w:r>
      <w:r w:rsidR="00A75B3C" w:rsidRPr="003F23AC">
        <w:rPr>
          <w:rFonts w:cs="Times New Roman"/>
          <w:noProof/>
          <w:lang w:val="sk-SK"/>
        </w:rPr>
        <w:t xml:space="preserve"> v </w:t>
      </w:r>
      <w:r w:rsidRPr="003F23AC">
        <w:rPr>
          <w:rFonts w:cs="Times New Roman"/>
          <w:noProof/>
          <w:lang w:val="sk-SK"/>
        </w:rPr>
        <w:t>oblasti duševného zdravia.</w:t>
      </w:r>
    </w:p>
    <w:p w14:paraId="13BFCE28" w14:textId="15EB7441"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doplnkových čiastkových investícií do zariadení, štruktúr</w:t>
      </w:r>
      <w:r w:rsidR="00A75B3C" w:rsidRPr="003F23AC">
        <w:rPr>
          <w:rFonts w:cs="Times New Roman"/>
          <w:noProof/>
          <w:lang w:val="sk-SK"/>
        </w:rPr>
        <w:t xml:space="preserve"> a </w:t>
      </w:r>
      <w:r w:rsidRPr="003F23AC">
        <w:rPr>
          <w:rFonts w:cs="Times New Roman"/>
          <w:noProof/>
          <w:lang w:val="sk-SK"/>
        </w:rPr>
        <w:t>ľudských zdrojov,</w:t>
      </w:r>
      <w:r w:rsidR="00A75B3C" w:rsidRPr="003F23AC">
        <w:rPr>
          <w:rFonts w:cs="Times New Roman"/>
          <w:noProof/>
          <w:lang w:val="sk-SK"/>
        </w:rPr>
        <w:t xml:space="preserve"> a </w:t>
      </w:r>
      <w:r w:rsidRPr="003F23AC">
        <w:rPr>
          <w:rFonts w:cs="Times New Roman"/>
          <w:noProof/>
          <w:lang w:val="sk-SK"/>
        </w:rPr>
        <w:t>to: I) vytvorenie rezidenčných služieb</w:t>
      </w:r>
      <w:r w:rsidR="00A75B3C" w:rsidRPr="003F23AC">
        <w:rPr>
          <w:rFonts w:cs="Times New Roman"/>
          <w:noProof/>
          <w:lang w:val="sk-SK"/>
        </w:rPr>
        <w:t xml:space="preserve"> v </w:t>
      </w:r>
      <w:r w:rsidRPr="003F23AC">
        <w:rPr>
          <w:rFonts w:cs="Times New Roman"/>
          <w:noProof/>
          <w:lang w:val="sk-SK"/>
        </w:rPr>
        <w:t>komunite, ktoré umožnia deinštitucionalizáciu pacientov žijúcich</w:t>
      </w:r>
      <w:r w:rsidR="00A75B3C" w:rsidRPr="003F23AC">
        <w:rPr>
          <w:rFonts w:cs="Times New Roman"/>
          <w:noProof/>
          <w:lang w:val="sk-SK"/>
        </w:rPr>
        <w:t xml:space="preserve"> v </w:t>
      </w:r>
      <w:r w:rsidRPr="003F23AC">
        <w:rPr>
          <w:rFonts w:cs="Times New Roman"/>
          <w:noProof/>
          <w:lang w:val="sk-SK"/>
        </w:rPr>
        <w:t>psychiatrických nemocniciach alebo</w:t>
      </w:r>
      <w:r w:rsidR="00A75B3C" w:rsidRPr="003F23AC">
        <w:rPr>
          <w:rFonts w:cs="Times New Roman"/>
          <w:noProof/>
          <w:lang w:val="sk-SK"/>
        </w:rPr>
        <w:t xml:space="preserve"> v </w:t>
      </w:r>
      <w:r w:rsidRPr="003F23AC">
        <w:rPr>
          <w:rFonts w:cs="Times New Roman"/>
          <w:noProof/>
          <w:lang w:val="sk-SK"/>
        </w:rPr>
        <w:t>sociálnom sektore, ktorí nevyužívajú ponuku vnútroštátnej siete integrovanej nepretržitej starostlivosti, vrátane zvýšenia počtu miest na starostlivosť</w:t>
      </w:r>
      <w:r w:rsidR="00A75B3C" w:rsidRPr="003F23AC">
        <w:rPr>
          <w:rFonts w:cs="Times New Roman"/>
          <w:noProof/>
          <w:lang w:val="sk-SK"/>
        </w:rPr>
        <w:t xml:space="preserve"> o </w:t>
      </w:r>
      <w:r w:rsidRPr="003F23AC">
        <w:rPr>
          <w:rFonts w:cs="Times New Roman"/>
          <w:noProof/>
          <w:lang w:val="sk-SK"/>
        </w:rPr>
        <w:t>duševné zdravie</w:t>
      </w:r>
      <w:r w:rsidR="00A75B3C" w:rsidRPr="003F23AC">
        <w:rPr>
          <w:rFonts w:cs="Times New Roman"/>
          <w:noProof/>
          <w:lang w:val="sk-SK"/>
        </w:rPr>
        <w:t xml:space="preserve"> v </w:t>
      </w:r>
      <w:r w:rsidRPr="003F23AC">
        <w:rPr>
          <w:rFonts w:cs="Times New Roman"/>
          <w:noProof/>
          <w:lang w:val="sk-SK"/>
        </w:rPr>
        <w:t>národnej sieti integrovanej nepretržitej starostlivosti</w:t>
      </w:r>
      <w:r w:rsidR="00A75B3C" w:rsidRPr="003F23AC">
        <w:rPr>
          <w:rFonts w:cs="Times New Roman"/>
          <w:noProof/>
          <w:lang w:val="sk-SK"/>
        </w:rPr>
        <w:t xml:space="preserve"> v </w:t>
      </w:r>
      <w:r w:rsidRPr="003F23AC">
        <w:rPr>
          <w:rFonts w:cs="Times New Roman"/>
          <w:noProof/>
          <w:lang w:val="sk-SK"/>
        </w:rPr>
        <w:t>oblasti starostlivosti</w:t>
      </w:r>
      <w:r w:rsidR="00A75B3C" w:rsidRPr="003F23AC">
        <w:rPr>
          <w:rFonts w:cs="Times New Roman"/>
          <w:noProof/>
          <w:lang w:val="sk-SK"/>
        </w:rPr>
        <w:t xml:space="preserve"> o </w:t>
      </w:r>
      <w:r w:rsidRPr="003F23AC">
        <w:rPr>
          <w:rFonts w:cs="Times New Roman"/>
          <w:noProof/>
          <w:lang w:val="sk-SK"/>
        </w:rPr>
        <w:t>duševné zdravie</w:t>
      </w:r>
      <w:r w:rsidR="00A75B3C" w:rsidRPr="003F23AC">
        <w:rPr>
          <w:rFonts w:cs="Times New Roman"/>
          <w:noProof/>
          <w:lang w:val="sk-SK"/>
        </w:rPr>
        <w:t xml:space="preserve"> o </w:t>
      </w:r>
      <w:r w:rsidRPr="003F23AC">
        <w:rPr>
          <w:rFonts w:cs="Times New Roman"/>
          <w:noProof/>
          <w:lang w:val="sk-SK"/>
        </w:rPr>
        <w:t>500; II) výstavba štyroch nemocničných jednotiek vo všeobecných nemocniciach, odstránenie akútneho ubytovania</w:t>
      </w:r>
      <w:r w:rsidR="00A75B3C" w:rsidRPr="003F23AC">
        <w:rPr>
          <w:rFonts w:cs="Times New Roman"/>
          <w:noProof/>
          <w:lang w:val="sk-SK"/>
        </w:rPr>
        <w:t xml:space="preserve"> v </w:t>
      </w:r>
      <w:r w:rsidRPr="003F23AC">
        <w:rPr>
          <w:rFonts w:cs="Times New Roman"/>
          <w:noProof/>
          <w:lang w:val="sk-SK"/>
        </w:rPr>
        <w:t>psychiatrických nemocniciach; III) vytvorenie 15 integrovaných centier zodpovednosti</w:t>
      </w:r>
      <w:r w:rsidR="00A75B3C" w:rsidRPr="003F23AC">
        <w:rPr>
          <w:rFonts w:cs="Times New Roman"/>
          <w:noProof/>
          <w:lang w:val="sk-SK"/>
        </w:rPr>
        <w:t xml:space="preserve"> s </w:t>
      </w:r>
      <w:r w:rsidRPr="003F23AC">
        <w:rPr>
          <w:rFonts w:cs="Times New Roman"/>
          <w:noProof/>
          <w:lang w:val="sk-SK"/>
        </w:rPr>
        <w:t>cieľom prekonať prekážky pri poskytovaní ambulantnej starostlivosti</w:t>
      </w:r>
      <w:r w:rsidR="00A75B3C" w:rsidRPr="003F23AC">
        <w:rPr>
          <w:rFonts w:cs="Times New Roman"/>
          <w:noProof/>
          <w:lang w:val="sk-SK"/>
        </w:rPr>
        <w:t xml:space="preserve"> s </w:t>
      </w:r>
      <w:r w:rsidRPr="003F23AC">
        <w:rPr>
          <w:rFonts w:cs="Times New Roman"/>
          <w:noProof/>
          <w:lang w:val="sk-SK"/>
        </w:rPr>
        <w:t>väčším stupňom samostatnosti</w:t>
      </w:r>
      <w:r w:rsidR="00A75B3C" w:rsidRPr="003F23AC">
        <w:rPr>
          <w:rFonts w:cs="Times New Roman"/>
          <w:noProof/>
          <w:lang w:val="sk-SK"/>
        </w:rPr>
        <w:t xml:space="preserve"> a </w:t>
      </w:r>
      <w:r w:rsidRPr="003F23AC">
        <w:rPr>
          <w:rFonts w:cs="Times New Roman"/>
          <w:noProof/>
          <w:lang w:val="sk-SK"/>
        </w:rPr>
        <w:t>zodpovednosti; IV) renovovať 20 existujúcich zariadení miestnych služieb</w:t>
      </w:r>
      <w:r w:rsidR="00A75B3C" w:rsidRPr="003F23AC">
        <w:rPr>
          <w:rFonts w:cs="Times New Roman"/>
          <w:noProof/>
          <w:lang w:val="sk-SK"/>
        </w:rPr>
        <w:t xml:space="preserve"> v </w:t>
      </w:r>
      <w:r w:rsidRPr="003F23AC">
        <w:rPr>
          <w:rFonts w:cs="Times New Roman"/>
          <w:noProof/>
          <w:lang w:val="sk-SK"/>
        </w:rPr>
        <w:t>oblasti duševného zdravia; vytvorenie 40 komunitných tímov pre duševné zdravie; VI) prepracovanie, rozšírenie</w:t>
      </w:r>
      <w:r w:rsidR="00A75B3C" w:rsidRPr="003F23AC">
        <w:rPr>
          <w:rFonts w:cs="Times New Roman"/>
          <w:noProof/>
          <w:lang w:val="sk-SK"/>
        </w:rPr>
        <w:t xml:space="preserve"> a </w:t>
      </w:r>
      <w:r w:rsidRPr="003F23AC">
        <w:rPr>
          <w:rFonts w:cs="Times New Roman"/>
          <w:noProof/>
          <w:lang w:val="sk-SK"/>
        </w:rPr>
        <w:t>renovácia forenzných psychiatrií;</w:t>
      </w:r>
      <w:r w:rsidR="00A75B3C" w:rsidRPr="003F23AC">
        <w:rPr>
          <w:rFonts w:cs="Times New Roman"/>
          <w:noProof/>
          <w:lang w:val="sk-SK"/>
        </w:rPr>
        <w:t xml:space="preserve"> a </w:t>
      </w:r>
      <w:r w:rsidRPr="003F23AC">
        <w:rPr>
          <w:rFonts w:cs="Times New Roman"/>
          <w:noProof/>
          <w:lang w:val="sk-SK"/>
        </w:rPr>
        <w:t>vii) rozvoj opatrení na zvyšovanie informovanosti</w:t>
      </w:r>
      <w:r w:rsidR="00A75B3C" w:rsidRPr="003F23AC">
        <w:rPr>
          <w:rFonts w:cs="Times New Roman"/>
          <w:noProof/>
          <w:lang w:val="sk-SK"/>
        </w:rPr>
        <w:t xml:space="preserve"> a </w:t>
      </w:r>
      <w:r w:rsidRPr="003F23AC">
        <w:rPr>
          <w:rFonts w:cs="Times New Roman"/>
          <w:noProof/>
          <w:lang w:val="sk-SK"/>
        </w:rPr>
        <w:t>odbornú prípravu</w:t>
      </w:r>
      <w:r w:rsidR="00A75B3C" w:rsidRPr="003F23AC">
        <w:rPr>
          <w:rFonts w:cs="Times New Roman"/>
          <w:noProof/>
          <w:lang w:val="sk-SK"/>
        </w:rPr>
        <w:t xml:space="preserve"> s </w:t>
      </w:r>
      <w:r w:rsidRPr="003F23AC">
        <w:rPr>
          <w:rFonts w:cs="Times New Roman"/>
          <w:noProof/>
          <w:lang w:val="sk-SK"/>
        </w:rPr>
        <w:t>cieľom „budovať cesty pacientov“</w:t>
      </w:r>
      <w:r w:rsidR="00A75B3C" w:rsidRPr="003F23AC">
        <w:rPr>
          <w:rFonts w:cs="Times New Roman"/>
          <w:noProof/>
          <w:lang w:val="sk-SK"/>
        </w:rPr>
        <w:t xml:space="preserve"> v </w:t>
      </w:r>
      <w:r w:rsidRPr="003F23AC">
        <w:rPr>
          <w:rFonts w:cs="Times New Roman"/>
          <w:noProof/>
          <w:lang w:val="sk-SK"/>
        </w:rPr>
        <w:t>súvislosti</w:t>
      </w:r>
      <w:r w:rsidR="00A75B3C" w:rsidRPr="003F23AC">
        <w:rPr>
          <w:rFonts w:cs="Times New Roman"/>
          <w:noProof/>
          <w:lang w:val="sk-SK"/>
        </w:rPr>
        <w:t xml:space="preserve"> s </w:t>
      </w:r>
      <w:r w:rsidRPr="003F23AC">
        <w:rPr>
          <w:rFonts w:cs="Times New Roman"/>
          <w:noProof/>
          <w:lang w:val="sk-SK"/>
        </w:rPr>
        <w:t>demenciou.</w:t>
      </w:r>
    </w:p>
    <w:p w14:paraId="405481CA" w14:textId="6FE70A26"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556692A7" w14:textId="5B150195" w:rsidR="00387C70" w:rsidRPr="003F23AC" w:rsidRDefault="00387C70" w:rsidP="003F23AC">
      <w:pPr>
        <w:spacing w:before="40" w:after="0" w:line="259" w:lineRule="auto"/>
        <w:jc w:val="both"/>
        <w:rPr>
          <w:rFonts w:ascii="Times New Roman" w:eastAsia="Times New Roman" w:hAnsi="Times New Roman" w:cs="Times New Roman"/>
          <w:noProof/>
          <w:sz w:val="24"/>
          <w:lang w:val="sk-SK"/>
        </w:rPr>
      </w:pPr>
    </w:p>
    <w:p w14:paraId="4FEAA711" w14:textId="77777777" w:rsidR="00387C70" w:rsidRPr="003F23AC" w:rsidRDefault="00387C70" w:rsidP="003F23AC">
      <w:pPr>
        <w:spacing w:before="40" w:after="0" w:line="259" w:lineRule="auto"/>
        <w:jc w:val="both"/>
        <w:rPr>
          <w:rFonts w:ascii="Times New Roman" w:eastAsia="Times New Roman" w:hAnsi="Times New Roman" w:cs="Times New Roman"/>
          <w:noProof/>
          <w:sz w:val="24"/>
          <w:lang w:val="sk-SK"/>
        </w:rPr>
      </w:pPr>
    </w:p>
    <w:p w14:paraId="0503F123" w14:textId="776F363F" w:rsidR="00387C70" w:rsidRPr="003F23AC" w:rsidRDefault="000F5AA4" w:rsidP="003F23AC">
      <w:pPr>
        <w:pStyle w:val="P68B1DB1-Normal5"/>
        <w:spacing w:before="240" w:after="0" w:line="259" w:lineRule="auto"/>
        <w:ind w:left="851"/>
        <w:jc w:val="both"/>
        <w:outlineLvl w:val="2"/>
        <w:rPr>
          <w:rFonts w:eastAsia="Times New Roman" w:cs="Times New Roman"/>
          <w:noProof/>
          <w:lang w:val="sk-SK"/>
        </w:rPr>
      </w:pPr>
      <w:r w:rsidRPr="003F23AC">
        <w:rPr>
          <w:rFonts w:cs="Times New Roman"/>
          <w:noProof/>
          <w:lang w:val="sk-SK"/>
        </w:rPr>
        <w:t>Investície RE-C01-i04: Výstavba nemocnice vo východnej Lisabone</w:t>
      </w:r>
      <w:r w:rsidR="00A75B3C" w:rsidRPr="003F23AC">
        <w:rPr>
          <w:rFonts w:cs="Times New Roman"/>
          <w:noProof/>
          <w:lang w:val="sk-SK"/>
        </w:rPr>
        <w:t xml:space="preserve"> a </w:t>
      </w:r>
      <w:r w:rsidRPr="003F23AC">
        <w:rPr>
          <w:rFonts w:cs="Times New Roman"/>
          <w:noProof/>
          <w:lang w:val="sk-SK"/>
        </w:rPr>
        <w:t>vybavenie nemocníc</w:t>
      </w:r>
      <w:r w:rsidR="00A75B3C" w:rsidRPr="003F23AC">
        <w:rPr>
          <w:rFonts w:cs="Times New Roman"/>
          <w:noProof/>
          <w:lang w:val="sk-SK"/>
        </w:rPr>
        <w:t xml:space="preserve"> v </w:t>
      </w:r>
      <w:r w:rsidRPr="003F23AC">
        <w:rPr>
          <w:rFonts w:cs="Times New Roman"/>
          <w:noProof/>
          <w:lang w:val="sk-SK"/>
        </w:rPr>
        <w:t>Lisabone</w:t>
      </w:r>
      <w:r w:rsidR="00A75B3C" w:rsidRPr="003F23AC">
        <w:rPr>
          <w:rFonts w:cs="Times New Roman"/>
          <w:noProof/>
          <w:lang w:val="sk-SK"/>
        </w:rPr>
        <w:t xml:space="preserve"> a </w:t>
      </w:r>
      <w:r w:rsidRPr="003F23AC">
        <w:rPr>
          <w:rFonts w:cs="Times New Roman"/>
          <w:noProof/>
          <w:lang w:val="sk-SK"/>
        </w:rPr>
        <w:t>Vale do Tejo</w:t>
      </w:r>
    </w:p>
    <w:p w14:paraId="03467B86" w14:textId="23ACA5B5"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Cieľom investície je dokončiť výstavbu časti plánovanej nemocnice vo východnej Lisabone</w:t>
      </w:r>
      <w:r w:rsidR="00A75B3C" w:rsidRPr="003F23AC">
        <w:rPr>
          <w:rFonts w:cs="Times New Roman"/>
          <w:noProof/>
          <w:lang w:val="sk-SK"/>
        </w:rPr>
        <w:t xml:space="preserve"> a </w:t>
      </w:r>
      <w:r w:rsidRPr="003F23AC">
        <w:rPr>
          <w:rFonts w:cs="Times New Roman"/>
          <w:noProof/>
          <w:lang w:val="sk-SK"/>
        </w:rPr>
        <w:t>vybaviť nemocnice</w:t>
      </w:r>
      <w:r w:rsidR="00A75B3C" w:rsidRPr="003F23AC">
        <w:rPr>
          <w:rFonts w:cs="Times New Roman"/>
          <w:noProof/>
          <w:lang w:val="sk-SK"/>
        </w:rPr>
        <w:t xml:space="preserve"> v </w:t>
      </w:r>
      <w:r w:rsidRPr="003F23AC">
        <w:rPr>
          <w:rFonts w:cs="Times New Roman"/>
          <w:noProof/>
          <w:lang w:val="sk-SK"/>
        </w:rPr>
        <w:t>Lisabone</w:t>
      </w:r>
      <w:r w:rsidR="00A75B3C" w:rsidRPr="003F23AC">
        <w:rPr>
          <w:rFonts w:cs="Times New Roman"/>
          <w:noProof/>
          <w:lang w:val="sk-SK"/>
        </w:rPr>
        <w:t xml:space="preserve"> a </w:t>
      </w:r>
      <w:r w:rsidRPr="003F23AC">
        <w:rPr>
          <w:rFonts w:cs="Times New Roman"/>
          <w:noProof/>
          <w:lang w:val="sk-SK"/>
        </w:rPr>
        <w:t>Vale do Tejo, čím sa posilní sieť nemocníc</w:t>
      </w:r>
      <w:r w:rsidR="00A75B3C" w:rsidRPr="003F23AC">
        <w:rPr>
          <w:rFonts w:cs="Times New Roman"/>
          <w:noProof/>
          <w:lang w:val="sk-SK"/>
        </w:rPr>
        <w:t xml:space="preserve"> a </w:t>
      </w:r>
      <w:r w:rsidRPr="003F23AC">
        <w:rPr>
          <w:rFonts w:cs="Times New Roman"/>
          <w:noProof/>
          <w:lang w:val="sk-SK"/>
        </w:rPr>
        <w:t>poskytovanie nemocničnej starostlivosti vo vysoko osídlenom regióne, kde je dopyt po službách zdravotnej starostlivosti značný. Cieľom je zabezpečiť pre významnú časť obyvateľstva lepší prístup</w:t>
      </w:r>
      <w:r w:rsidR="00A75B3C" w:rsidRPr="003F23AC">
        <w:rPr>
          <w:rFonts w:cs="Times New Roman"/>
          <w:noProof/>
          <w:lang w:val="sk-SK"/>
        </w:rPr>
        <w:t xml:space="preserve"> k </w:t>
      </w:r>
      <w:r w:rsidRPr="003F23AC">
        <w:rPr>
          <w:rFonts w:cs="Times New Roman"/>
          <w:noProof/>
          <w:lang w:val="sk-SK"/>
        </w:rPr>
        <w:t>zdravotnej starostlivosti</w:t>
      </w:r>
      <w:r w:rsidR="00A75B3C" w:rsidRPr="003F23AC">
        <w:rPr>
          <w:rFonts w:cs="Times New Roman"/>
          <w:noProof/>
          <w:lang w:val="sk-SK"/>
        </w:rPr>
        <w:t xml:space="preserve"> a </w:t>
      </w:r>
      <w:r w:rsidRPr="003F23AC">
        <w:rPr>
          <w:rFonts w:cs="Times New Roman"/>
          <w:noProof/>
          <w:lang w:val="sk-SK"/>
        </w:rPr>
        <w:t>prispieť</w:t>
      </w:r>
      <w:r w:rsidR="00A75B3C" w:rsidRPr="003F23AC">
        <w:rPr>
          <w:rFonts w:cs="Times New Roman"/>
          <w:noProof/>
          <w:lang w:val="sk-SK"/>
        </w:rPr>
        <w:t xml:space="preserve"> k </w:t>
      </w:r>
      <w:r w:rsidRPr="003F23AC">
        <w:rPr>
          <w:rFonts w:cs="Times New Roman"/>
          <w:noProof/>
          <w:lang w:val="sk-SK"/>
        </w:rPr>
        <w:t>zníženiu nerovností</w:t>
      </w:r>
      <w:r w:rsidR="00A75B3C" w:rsidRPr="003F23AC">
        <w:rPr>
          <w:rFonts w:cs="Times New Roman"/>
          <w:noProof/>
          <w:lang w:val="sk-SK"/>
        </w:rPr>
        <w:t xml:space="preserve"> a k </w:t>
      </w:r>
      <w:r w:rsidRPr="003F23AC">
        <w:rPr>
          <w:rFonts w:cs="Times New Roman"/>
          <w:noProof/>
          <w:lang w:val="sk-SK"/>
        </w:rPr>
        <w:t>sociálnej súdržnosti</w:t>
      </w:r>
      <w:r w:rsidR="00A75B3C" w:rsidRPr="003F23AC">
        <w:rPr>
          <w:rFonts w:cs="Times New Roman"/>
          <w:noProof/>
          <w:lang w:val="sk-SK"/>
        </w:rPr>
        <w:t xml:space="preserve"> v </w:t>
      </w:r>
      <w:r w:rsidRPr="003F23AC">
        <w:rPr>
          <w:rFonts w:cs="Times New Roman"/>
          <w:noProof/>
          <w:lang w:val="sk-SK"/>
        </w:rPr>
        <w:t>regióne.</w:t>
      </w:r>
    </w:p>
    <w:p w14:paraId="119C3D2D" w14:textId="2DBBE5D9"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týchto prvkov:</w:t>
      </w:r>
    </w:p>
    <w:p w14:paraId="13B7EA46" w14:textId="77777777" w:rsidR="00A75B3C" w:rsidRPr="003F23AC" w:rsidRDefault="000F5AA4" w:rsidP="003F23AC">
      <w:pPr>
        <w:pStyle w:val="ListParagraph"/>
        <w:keepNext w:val="0"/>
        <w:numPr>
          <w:ilvl w:val="0"/>
          <w:numId w:val="72"/>
        </w:numPr>
        <w:spacing w:before="40" w:after="0"/>
        <w:rPr>
          <w:noProof/>
          <w:lang w:val="sk-SK"/>
        </w:rPr>
      </w:pPr>
      <w:r w:rsidRPr="003F23AC">
        <w:rPr>
          <w:noProof/>
          <w:lang w:val="sk-SK"/>
        </w:rPr>
        <w:t xml:space="preserve"> výstavba časti nemocnice vo východnej Lisabone,</w:t>
      </w:r>
      <w:r w:rsidR="00A75B3C" w:rsidRPr="003F23AC">
        <w:rPr>
          <w:noProof/>
          <w:lang w:val="sk-SK"/>
        </w:rPr>
        <w:t xml:space="preserve"> a </w:t>
      </w:r>
      <w:r w:rsidRPr="003F23AC">
        <w:rPr>
          <w:noProof/>
          <w:lang w:val="sk-SK"/>
        </w:rPr>
        <w:t>to i) Poente Tower, ktorá je jednou</w:t>
      </w:r>
      <w:r w:rsidR="00A75B3C" w:rsidRPr="003F23AC">
        <w:rPr>
          <w:noProof/>
          <w:lang w:val="sk-SK"/>
        </w:rPr>
        <w:t xml:space="preserve"> z </w:t>
      </w:r>
      <w:r w:rsidRPr="003F23AC">
        <w:rPr>
          <w:noProof/>
          <w:lang w:val="sk-SK"/>
        </w:rPr>
        <w:t>piatich veží hlavnej nemocničnej budovy, ii) výstavby parcely B, ktorá je okrem iného venovaná administratívnym oblastiam, duševnému zdraviu, telesnej</w:t>
      </w:r>
      <w:r w:rsidR="00A75B3C" w:rsidRPr="003F23AC">
        <w:rPr>
          <w:noProof/>
          <w:lang w:val="sk-SK"/>
        </w:rPr>
        <w:t xml:space="preserve"> a </w:t>
      </w:r>
      <w:r w:rsidRPr="003F23AC">
        <w:rPr>
          <w:noProof/>
          <w:lang w:val="sk-SK"/>
        </w:rPr>
        <w:t>rehabilitačnej medicíne</w:t>
      </w:r>
      <w:r w:rsidR="00A75B3C" w:rsidRPr="003F23AC">
        <w:rPr>
          <w:noProof/>
          <w:lang w:val="sk-SK"/>
        </w:rPr>
        <w:t xml:space="preserve"> a </w:t>
      </w:r>
      <w:r w:rsidRPr="003F23AC">
        <w:rPr>
          <w:noProof/>
          <w:lang w:val="sk-SK"/>
        </w:rPr>
        <w:t>iii) budovaniu parcely C, ktorá je okrem iného venovaná výskumu</w:t>
      </w:r>
      <w:r w:rsidR="00A75B3C" w:rsidRPr="003F23AC">
        <w:rPr>
          <w:noProof/>
          <w:lang w:val="sk-SK"/>
        </w:rPr>
        <w:t xml:space="preserve"> a </w:t>
      </w:r>
      <w:r w:rsidRPr="003F23AC">
        <w:rPr>
          <w:noProof/>
          <w:lang w:val="sk-SK"/>
        </w:rPr>
        <w:t>vzdelávaniu,</w:t>
      </w:r>
    </w:p>
    <w:p w14:paraId="3D187DA0" w14:textId="77777777" w:rsidR="00A75B3C" w:rsidRPr="003F23AC" w:rsidRDefault="000F5AA4" w:rsidP="003F23AC">
      <w:pPr>
        <w:pStyle w:val="ListParagraph"/>
        <w:keepNext w:val="0"/>
        <w:numPr>
          <w:ilvl w:val="0"/>
          <w:numId w:val="72"/>
        </w:numPr>
        <w:spacing w:before="40" w:after="0"/>
        <w:rPr>
          <w:noProof/>
          <w:lang w:val="sk-SK"/>
        </w:rPr>
      </w:pPr>
      <w:r w:rsidRPr="003F23AC">
        <w:rPr>
          <w:noProof/>
          <w:lang w:val="sk-SK"/>
        </w:rPr>
        <w:t>nákup vybavenia, ktoré sa má inštalovať vo východnej Lisabone</w:t>
      </w:r>
      <w:r w:rsidR="00A75B3C" w:rsidRPr="003F23AC">
        <w:rPr>
          <w:noProof/>
          <w:lang w:val="sk-SK"/>
        </w:rPr>
        <w:t xml:space="preserve"> a v </w:t>
      </w:r>
      <w:r w:rsidRPr="003F23AC">
        <w:rPr>
          <w:noProof/>
          <w:lang w:val="sk-SK"/>
        </w:rPr>
        <w:t>novej nemocnici</w:t>
      </w:r>
      <w:r w:rsidR="00A75B3C" w:rsidRPr="003F23AC">
        <w:rPr>
          <w:noProof/>
          <w:lang w:val="sk-SK"/>
        </w:rPr>
        <w:t xml:space="preserve"> v </w:t>
      </w:r>
      <w:r w:rsidRPr="003F23AC">
        <w:rPr>
          <w:noProof/>
          <w:lang w:val="sk-SK"/>
        </w:rPr>
        <w:t>Sintra</w:t>
      </w:r>
      <w:r w:rsidR="00A75B3C" w:rsidRPr="003F23AC">
        <w:rPr>
          <w:noProof/>
          <w:lang w:val="sk-SK"/>
        </w:rPr>
        <w:t xml:space="preserve"> a</w:t>
      </w:r>
    </w:p>
    <w:p w14:paraId="4C6CEAA9" w14:textId="11A33442" w:rsidR="00387C70" w:rsidRPr="003F23AC" w:rsidRDefault="000F5AA4" w:rsidP="003F23AC">
      <w:pPr>
        <w:pStyle w:val="ListParagraph"/>
        <w:keepNext w:val="0"/>
        <w:numPr>
          <w:ilvl w:val="0"/>
          <w:numId w:val="72"/>
        </w:numPr>
        <w:spacing w:before="40" w:after="0"/>
        <w:rPr>
          <w:rFonts w:eastAsia="Times New Roman"/>
          <w:noProof/>
          <w:lang w:val="sk-SK"/>
        </w:rPr>
      </w:pPr>
      <w:r w:rsidRPr="003F23AC">
        <w:rPr>
          <w:noProof/>
          <w:lang w:val="sk-SK"/>
        </w:rPr>
        <w:t>nákup ťažkého zdravotníckeho vybavenia, ktoré sa má inštalovať</w:t>
      </w:r>
      <w:r w:rsidR="00A75B3C" w:rsidRPr="003F23AC">
        <w:rPr>
          <w:noProof/>
          <w:lang w:val="sk-SK"/>
        </w:rPr>
        <w:t xml:space="preserve"> v </w:t>
      </w:r>
      <w:r w:rsidRPr="003F23AC">
        <w:rPr>
          <w:noProof/>
          <w:lang w:val="sk-SK"/>
        </w:rPr>
        <w:t>nemocniciach</w:t>
      </w:r>
      <w:r w:rsidR="00A75B3C" w:rsidRPr="003F23AC">
        <w:rPr>
          <w:noProof/>
          <w:lang w:val="sk-SK"/>
        </w:rPr>
        <w:t xml:space="preserve"> v </w:t>
      </w:r>
      <w:r w:rsidRPr="003F23AC">
        <w:rPr>
          <w:noProof/>
          <w:lang w:val="sk-SK"/>
        </w:rPr>
        <w:t>Lisabone</w:t>
      </w:r>
      <w:r w:rsidR="00A75B3C" w:rsidRPr="003F23AC">
        <w:rPr>
          <w:noProof/>
          <w:lang w:val="sk-SK"/>
        </w:rPr>
        <w:t xml:space="preserve"> a </w:t>
      </w:r>
      <w:r w:rsidRPr="003F23AC">
        <w:rPr>
          <w:noProof/>
          <w:lang w:val="sk-SK"/>
        </w:rPr>
        <w:t>Vale do Tejo.</w:t>
      </w:r>
    </w:p>
    <w:p w14:paraId="41FD72CF" w14:textId="0B5325A0" w:rsidR="00387C70" w:rsidRPr="003F23AC" w:rsidRDefault="000F5AA4" w:rsidP="003F23AC">
      <w:pPr>
        <w:pStyle w:val="P68B1DB1-Normal4"/>
        <w:spacing w:before="40" w:after="0"/>
        <w:ind w:left="420"/>
        <w:rPr>
          <w:rFonts w:eastAsia="Times New Roman" w:cs="Times New Roman"/>
          <w:noProof/>
          <w:lang w:val="sk-SK"/>
        </w:rPr>
      </w:pPr>
      <w:r w:rsidRPr="003F23AC">
        <w:rPr>
          <w:rFonts w:cs="Times New Roman"/>
          <w:noProof/>
          <w:lang w:val="sk-SK"/>
        </w:rPr>
        <w:t>Vybavenie, ktoré sa má inštalovať vo východnej Lisabone</w:t>
      </w:r>
      <w:r w:rsidR="00A75B3C" w:rsidRPr="003F23AC">
        <w:rPr>
          <w:rFonts w:cs="Times New Roman"/>
          <w:noProof/>
          <w:lang w:val="sk-SK"/>
        </w:rPr>
        <w:t xml:space="preserve"> a v </w:t>
      </w:r>
      <w:r w:rsidRPr="003F23AC">
        <w:rPr>
          <w:rFonts w:cs="Times New Roman"/>
          <w:noProof/>
          <w:lang w:val="sk-SK"/>
        </w:rPr>
        <w:t>novej nemocnici</w:t>
      </w:r>
      <w:r w:rsidR="00A75B3C" w:rsidRPr="003F23AC">
        <w:rPr>
          <w:rFonts w:cs="Times New Roman"/>
          <w:noProof/>
          <w:lang w:val="sk-SK"/>
        </w:rPr>
        <w:t xml:space="preserve"> v </w:t>
      </w:r>
      <w:r w:rsidRPr="003F23AC">
        <w:rPr>
          <w:rFonts w:cs="Times New Roman"/>
          <w:noProof/>
          <w:lang w:val="sk-SK"/>
        </w:rPr>
        <w:t>Sintra, zahŕňa: i) klinické, lekárske</w:t>
      </w:r>
      <w:r w:rsidR="00A75B3C" w:rsidRPr="003F23AC">
        <w:rPr>
          <w:rFonts w:cs="Times New Roman"/>
          <w:noProof/>
          <w:lang w:val="sk-SK"/>
        </w:rPr>
        <w:t xml:space="preserve"> a </w:t>
      </w:r>
      <w:r w:rsidRPr="003F23AC">
        <w:rPr>
          <w:rFonts w:cs="Times New Roman"/>
          <w:noProof/>
          <w:lang w:val="sk-SK"/>
        </w:rPr>
        <w:t>technologicky vyspelé zariadenia; II) všeobecné vybavenie vrátane špecializovaného nábytku;</w:t>
      </w:r>
      <w:r w:rsidR="00A75B3C" w:rsidRPr="003F23AC">
        <w:rPr>
          <w:rFonts w:cs="Times New Roman"/>
          <w:noProof/>
          <w:lang w:val="sk-SK"/>
        </w:rPr>
        <w:t xml:space="preserve"> a </w:t>
      </w:r>
      <w:r w:rsidRPr="003F23AC">
        <w:rPr>
          <w:rFonts w:cs="Times New Roman"/>
          <w:noProof/>
          <w:lang w:val="sk-SK"/>
        </w:rPr>
        <w:t>iii) počítačové vybavenie.</w:t>
      </w:r>
    </w:p>
    <w:p w14:paraId="6CDC5B0F" w14:textId="14C69237" w:rsidR="00387C70" w:rsidRPr="003F23AC" w:rsidRDefault="000F5AA4" w:rsidP="003F23AC">
      <w:pPr>
        <w:pStyle w:val="P68B1DB1-Normal4"/>
        <w:spacing w:before="40" w:after="0"/>
        <w:ind w:left="420"/>
        <w:rPr>
          <w:rFonts w:eastAsia="Times New Roman" w:cs="Times New Roman"/>
          <w:noProof/>
          <w:lang w:val="sk-SK"/>
        </w:rPr>
        <w:sectPr w:rsidR="00387C70" w:rsidRPr="003F23AC" w:rsidSect="00787826">
          <w:headerReference w:type="even" r:id="rId24"/>
          <w:headerReference w:type="default" r:id="rId25"/>
          <w:footerReference w:type="even" r:id="rId26"/>
          <w:footerReference w:type="default" r:id="rId27"/>
          <w:headerReference w:type="first" r:id="rId28"/>
          <w:footerReference w:type="first" r:id="rId29"/>
          <w:pgSz w:w="11907" w:h="16839"/>
          <w:pgMar w:top="1134" w:right="1134" w:bottom="1134" w:left="1134" w:header="567" w:footer="567" w:gutter="0"/>
          <w:cols w:space="720"/>
          <w:docGrid w:linePitch="360"/>
        </w:sect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5E298467" w14:textId="77777777" w:rsidR="00387C70" w:rsidRPr="003F23AC" w:rsidRDefault="00387C70" w:rsidP="003F23AC">
      <w:pPr>
        <w:spacing w:after="0" w:line="240" w:lineRule="auto"/>
        <w:ind w:left="420"/>
        <w:rPr>
          <w:rFonts w:ascii="Times New Roman" w:eastAsia="Times New Roman" w:hAnsi="Times New Roman" w:cs="Times New Roman"/>
          <w:noProof/>
          <w:sz w:val="12"/>
          <w:szCs w:val="12"/>
          <w:lang w:val="sk-SK"/>
        </w:rPr>
      </w:pPr>
    </w:p>
    <w:p w14:paraId="65A51627" w14:textId="77777777" w:rsidR="00387C70" w:rsidRPr="003F23AC" w:rsidRDefault="00387C70" w:rsidP="003F23AC">
      <w:pPr>
        <w:spacing w:after="0" w:line="240" w:lineRule="auto"/>
        <w:ind w:left="420"/>
        <w:rPr>
          <w:rFonts w:ascii="Times New Roman" w:eastAsia="Times New Roman" w:hAnsi="Times New Roman" w:cs="Times New Roman"/>
          <w:noProof/>
          <w:sz w:val="12"/>
          <w:szCs w:val="12"/>
          <w:lang w:val="sk-SK"/>
        </w:rPr>
      </w:pPr>
    </w:p>
    <w:p w14:paraId="222CB904" w14:textId="77777777" w:rsidR="00387C70" w:rsidRPr="003F23AC" w:rsidRDefault="00387C70" w:rsidP="003F23AC">
      <w:pPr>
        <w:spacing w:after="0" w:line="240" w:lineRule="auto"/>
        <w:ind w:left="420"/>
        <w:rPr>
          <w:rFonts w:ascii="Times New Roman" w:eastAsia="Times New Roman" w:hAnsi="Times New Roman" w:cs="Times New Roman"/>
          <w:noProof/>
          <w:sz w:val="12"/>
          <w:szCs w:val="12"/>
          <w:lang w:val="sk-SK"/>
        </w:rPr>
      </w:pPr>
    </w:p>
    <w:p w14:paraId="79B3BC9F" w14:textId="77777777" w:rsidR="00387C70" w:rsidRPr="003F23AC" w:rsidRDefault="000F5AA4" w:rsidP="003F23AC">
      <w:pPr>
        <w:pStyle w:val="P68B1DB1-Normal5"/>
        <w:spacing w:before="240" w:after="0" w:line="259" w:lineRule="auto"/>
        <w:ind w:left="851"/>
        <w:jc w:val="both"/>
        <w:outlineLvl w:val="2"/>
        <w:rPr>
          <w:rFonts w:eastAsia="Times New Roman" w:cs="Times New Roman"/>
          <w:noProof/>
          <w:lang w:val="sk-SK"/>
        </w:rPr>
      </w:pPr>
      <w:r w:rsidRPr="003F23AC">
        <w:rPr>
          <w:rFonts w:cs="Times New Roman"/>
          <w:noProof/>
          <w:lang w:val="sk-SK"/>
        </w:rPr>
        <w:t>Investície RE-C01-i05-RAM: Posilnenie regionálnej zdravotnej služby na Madeire</w:t>
      </w:r>
    </w:p>
    <w:p w14:paraId="7F581BEA" w14:textId="73F300FE"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Cieľom tejto investície je realizovať strategický plán regionálneho systému zdravotnej starostlivosti autonómnej oblasti Madeira</w:t>
      </w:r>
      <w:r w:rsidR="00A75B3C" w:rsidRPr="003F23AC">
        <w:rPr>
          <w:rFonts w:cs="Times New Roman"/>
          <w:noProof/>
          <w:lang w:val="sk-SK"/>
        </w:rPr>
        <w:t xml:space="preserve"> a </w:t>
      </w:r>
      <w:r w:rsidRPr="003F23AC">
        <w:rPr>
          <w:rFonts w:cs="Times New Roman"/>
          <w:noProof/>
          <w:lang w:val="sk-SK"/>
        </w:rPr>
        <w:t>regionálnu stratégiu na podporu duševného zdravia.</w:t>
      </w:r>
    </w:p>
    <w:p w14:paraId="7233DF75" w14:textId="3BB0C415"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dvoch čiastkových investícií. Po prvé, zahŕňa čiastkové investície na rozšírenie, rozvoj</w:t>
      </w:r>
      <w:r w:rsidR="00A75B3C" w:rsidRPr="003F23AC">
        <w:rPr>
          <w:rFonts w:cs="Times New Roman"/>
          <w:noProof/>
          <w:lang w:val="sk-SK"/>
        </w:rPr>
        <w:t xml:space="preserve"> a </w:t>
      </w:r>
      <w:r w:rsidRPr="003F23AC">
        <w:rPr>
          <w:rFonts w:cs="Times New Roman"/>
          <w:noProof/>
          <w:lang w:val="sk-SK"/>
        </w:rPr>
        <w:t>zlepšenie regionálnej siete integrovanej nepretržitej starostlivosti,</w:t>
      </w:r>
      <w:r w:rsidR="00A75B3C" w:rsidRPr="003F23AC">
        <w:rPr>
          <w:rFonts w:cs="Times New Roman"/>
          <w:noProof/>
          <w:lang w:val="sk-SK"/>
        </w:rPr>
        <w:t xml:space="preserve"> a </w:t>
      </w:r>
      <w:r w:rsidRPr="003F23AC">
        <w:rPr>
          <w:rFonts w:cs="Times New Roman"/>
          <w:noProof/>
          <w:lang w:val="sk-SK"/>
        </w:rPr>
        <w:t>to aj renováciou</w:t>
      </w:r>
      <w:r w:rsidR="00A75B3C" w:rsidRPr="003F23AC">
        <w:rPr>
          <w:rFonts w:cs="Times New Roman"/>
          <w:noProof/>
          <w:lang w:val="sk-SK"/>
        </w:rPr>
        <w:t xml:space="preserve"> a </w:t>
      </w:r>
      <w:r w:rsidRPr="003F23AC">
        <w:rPr>
          <w:rFonts w:cs="Times New Roman"/>
          <w:noProof/>
          <w:lang w:val="sk-SK"/>
        </w:rPr>
        <w:t>rozšírením počtu miest vo všetkých typológiách</w:t>
      </w:r>
      <w:r w:rsidR="00A75B3C" w:rsidRPr="003F23AC">
        <w:rPr>
          <w:rFonts w:cs="Times New Roman"/>
          <w:noProof/>
          <w:lang w:val="sk-SK"/>
        </w:rPr>
        <w:t xml:space="preserve"> v </w:t>
      </w:r>
      <w:r w:rsidRPr="003F23AC">
        <w:rPr>
          <w:rFonts w:cs="Times New Roman"/>
          <w:noProof/>
          <w:lang w:val="sk-SK"/>
        </w:rPr>
        <w:t>súlade so zásadou deinštitucionalizácie</w:t>
      </w:r>
      <w:r w:rsidR="00A75B3C" w:rsidRPr="003F23AC">
        <w:rPr>
          <w:rFonts w:cs="Times New Roman"/>
          <w:noProof/>
          <w:lang w:val="sk-SK"/>
        </w:rPr>
        <w:t xml:space="preserve"> v </w:t>
      </w:r>
      <w:r w:rsidRPr="003F23AC">
        <w:rPr>
          <w:rFonts w:cs="Times New Roman"/>
          <w:noProof/>
          <w:lang w:val="sk-SK"/>
        </w:rPr>
        <w:t>spolupráci so súkromným</w:t>
      </w:r>
      <w:r w:rsidR="00A75B3C" w:rsidRPr="003F23AC">
        <w:rPr>
          <w:rFonts w:cs="Times New Roman"/>
          <w:noProof/>
          <w:lang w:val="sk-SK"/>
        </w:rPr>
        <w:t xml:space="preserve"> a </w:t>
      </w:r>
      <w:r w:rsidRPr="003F23AC">
        <w:rPr>
          <w:rFonts w:cs="Times New Roman"/>
          <w:noProof/>
          <w:lang w:val="sk-SK"/>
        </w:rPr>
        <w:t>sociálnym sektorom</w:t>
      </w:r>
      <w:r w:rsidR="00A75B3C" w:rsidRPr="003F23AC">
        <w:rPr>
          <w:rFonts w:cs="Times New Roman"/>
          <w:noProof/>
          <w:lang w:val="sk-SK"/>
        </w:rPr>
        <w:t xml:space="preserve"> a v </w:t>
      </w:r>
      <w:r w:rsidRPr="003F23AC">
        <w:rPr>
          <w:rFonts w:cs="Times New Roman"/>
          <w:noProof/>
          <w:lang w:val="sk-SK"/>
        </w:rPr>
        <w:t>oblastiach, ktoré sa vyznačujú akútnejším demografickým starnutím a/alebo nižšou inštalovanou kapacitou. Po druhé, zahŕňa aj čiastkové investície na posilnenie schopnosti reagovať</w:t>
      </w:r>
      <w:r w:rsidR="00A75B3C" w:rsidRPr="003F23AC">
        <w:rPr>
          <w:rFonts w:cs="Times New Roman"/>
          <w:noProof/>
          <w:lang w:val="sk-SK"/>
        </w:rPr>
        <w:t xml:space="preserve"> v </w:t>
      </w:r>
      <w:r w:rsidRPr="003F23AC">
        <w:rPr>
          <w:rFonts w:cs="Times New Roman"/>
          <w:noProof/>
          <w:lang w:val="sk-SK"/>
        </w:rPr>
        <w:t>oblasti duševného zdravia</w:t>
      </w:r>
      <w:r w:rsidR="00A75B3C" w:rsidRPr="003F23AC">
        <w:rPr>
          <w:rFonts w:cs="Times New Roman"/>
          <w:noProof/>
          <w:lang w:val="sk-SK"/>
        </w:rPr>
        <w:t xml:space="preserve"> a </w:t>
      </w:r>
      <w:r w:rsidRPr="003F23AC">
        <w:rPr>
          <w:rFonts w:cs="Times New Roman"/>
          <w:noProof/>
          <w:lang w:val="sk-SK"/>
        </w:rPr>
        <w:t>demencie spojených so starnutím vrátane modernizácie infraštruktúry</w:t>
      </w:r>
      <w:r w:rsidR="00A75B3C" w:rsidRPr="003F23AC">
        <w:rPr>
          <w:rFonts w:cs="Times New Roman"/>
          <w:noProof/>
          <w:lang w:val="sk-SK"/>
        </w:rPr>
        <w:t xml:space="preserve"> a </w:t>
      </w:r>
      <w:r w:rsidRPr="003F23AC">
        <w:rPr>
          <w:rFonts w:cs="Times New Roman"/>
          <w:noProof/>
          <w:lang w:val="sk-SK"/>
        </w:rPr>
        <w:t>vybavenia</w:t>
      </w:r>
      <w:r w:rsidR="00A75B3C" w:rsidRPr="003F23AC">
        <w:rPr>
          <w:rFonts w:cs="Times New Roman"/>
          <w:noProof/>
          <w:lang w:val="sk-SK"/>
        </w:rPr>
        <w:t xml:space="preserve"> v </w:t>
      </w:r>
      <w:r w:rsidRPr="003F23AC">
        <w:rPr>
          <w:rFonts w:cs="Times New Roman"/>
          <w:noProof/>
          <w:lang w:val="sk-SK"/>
        </w:rPr>
        <w:t>zariadeniach pre nemocničnú</w:t>
      </w:r>
      <w:r w:rsidR="00A75B3C" w:rsidRPr="003F23AC">
        <w:rPr>
          <w:rFonts w:cs="Times New Roman"/>
          <w:noProof/>
          <w:lang w:val="sk-SK"/>
        </w:rPr>
        <w:t xml:space="preserve"> a </w:t>
      </w:r>
      <w:r w:rsidRPr="003F23AC">
        <w:rPr>
          <w:rFonts w:cs="Times New Roman"/>
          <w:noProof/>
          <w:lang w:val="sk-SK"/>
        </w:rPr>
        <w:t>primárnu starostlivosť, poskytnutia nových miest pre domácu hospitalizáciu</w:t>
      </w:r>
      <w:r w:rsidR="00A75B3C" w:rsidRPr="003F23AC">
        <w:rPr>
          <w:rFonts w:cs="Times New Roman"/>
          <w:noProof/>
          <w:lang w:val="sk-SK"/>
        </w:rPr>
        <w:t xml:space="preserve"> a </w:t>
      </w:r>
      <w:r w:rsidRPr="003F23AC">
        <w:rPr>
          <w:rFonts w:cs="Times New Roman"/>
          <w:noProof/>
          <w:lang w:val="sk-SK"/>
        </w:rPr>
        <w:t>denné nemocničné služby</w:t>
      </w:r>
      <w:r w:rsidR="00A75B3C" w:rsidRPr="003F23AC">
        <w:rPr>
          <w:rFonts w:cs="Times New Roman"/>
          <w:noProof/>
          <w:lang w:val="sk-SK"/>
        </w:rPr>
        <w:t xml:space="preserve"> a </w:t>
      </w:r>
      <w:r w:rsidRPr="003F23AC">
        <w:rPr>
          <w:rFonts w:cs="Times New Roman"/>
          <w:noProof/>
          <w:lang w:val="sk-SK"/>
        </w:rPr>
        <w:t>zriadenia komunitných tímov pre duševné zdravie.</w:t>
      </w:r>
    </w:p>
    <w:p w14:paraId="4B108AA8" w14:textId="2516BA3C"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54A4324F" w14:textId="74ECDB81" w:rsidR="00387C70" w:rsidRPr="003F23AC" w:rsidRDefault="000F5AA4" w:rsidP="003F23AC">
      <w:pPr>
        <w:pStyle w:val="P68B1DB1-Normal5"/>
        <w:keepNext/>
        <w:keepLines/>
        <w:spacing w:before="240" w:after="0" w:line="259" w:lineRule="auto"/>
        <w:ind w:left="851"/>
        <w:jc w:val="both"/>
        <w:outlineLvl w:val="2"/>
        <w:rPr>
          <w:rFonts w:eastAsia="Times New Roman" w:cs="Times New Roman"/>
          <w:noProof/>
          <w:lang w:val="sk-SK"/>
        </w:rPr>
      </w:pPr>
      <w:r w:rsidRPr="003F23AC">
        <w:rPr>
          <w:rFonts w:cs="Times New Roman"/>
          <w:noProof/>
          <w:lang w:val="sk-SK"/>
        </w:rPr>
        <w:t>Investície RE-C01-i06: Digitálna transformácia</w:t>
      </w:r>
      <w:r w:rsidR="00A75B3C" w:rsidRPr="003F23AC">
        <w:rPr>
          <w:rFonts w:cs="Times New Roman"/>
          <w:noProof/>
          <w:lang w:val="sk-SK"/>
        </w:rPr>
        <w:t xml:space="preserve"> v </w:t>
      </w:r>
      <w:r w:rsidRPr="003F23AC">
        <w:rPr>
          <w:rFonts w:cs="Times New Roman"/>
          <w:noProof/>
          <w:lang w:val="sk-SK"/>
        </w:rPr>
        <w:t>oblasti zdravia</w:t>
      </w:r>
    </w:p>
    <w:p w14:paraId="3A2AF464" w14:textId="29F7D8BF" w:rsidR="00387C70" w:rsidRPr="003F23AC" w:rsidRDefault="000F5AA4" w:rsidP="003F23AC">
      <w:pPr>
        <w:pStyle w:val="P68B1DB1-Normal4"/>
        <w:keepNext/>
        <w:keepLines/>
        <w:spacing w:before="40" w:after="0" w:line="259" w:lineRule="auto"/>
        <w:jc w:val="both"/>
        <w:rPr>
          <w:rFonts w:eastAsia="Times New Roman" w:cs="Times New Roman"/>
          <w:noProof/>
          <w:lang w:val="sk-SK"/>
        </w:rPr>
      </w:pPr>
      <w:r w:rsidRPr="003F23AC">
        <w:rPr>
          <w:rFonts w:cs="Times New Roman"/>
          <w:noProof/>
          <w:lang w:val="sk-SK"/>
        </w:rPr>
        <w:t>Cieľom investície je riešiť prekážky brániace digitálnej transformácii</w:t>
      </w:r>
      <w:r w:rsidR="00A75B3C" w:rsidRPr="003F23AC">
        <w:rPr>
          <w:rFonts w:cs="Times New Roman"/>
          <w:noProof/>
          <w:lang w:val="sk-SK"/>
        </w:rPr>
        <w:t xml:space="preserve"> v </w:t>
      </w:r>
      <w:r w:rsidRPr="003F23AC">
        <w:rPr>
          <w:rFonts w:cs="Times New Roman"/>
          <w:noProof/>
          <w:lang w:val="sk-SK"/>
        </w:rPr>
        <w:t>národnej zdravotnej službe vrátane nedostatku vhodného hardvéru</w:t>
      </w:r>
      <w:r w:rsidR="00A75B3C" w:rsidRPr="003F23AC">
        <w:rPr>
          <w:rFonts w:cs="Times New Roman"/>
          <w:noProof/>
          <w:lang w:val="sk-SK"/>
        </w:rPr>
        <w:t xml:space="preserve"> a </w:t>
      </w:r>
      <w:r w:rsidRPr="003F23AC">
        <w:rPr>
          <w:rFonts w:cs="Times New Roman"/>
          <w:noProof/>
          <w:lang w:val="sk-SK"/>
        </w:rPr>
        <w:t>softvéru, ktorý by zdravotnícki pracovníci mali</w:t>
      </w:r>
      <w:r w:rsidR="00A75B3C" w:rsidRPr="003F23AC">
        <w:rPr>
          <w:rFonts w:cs="Times New Roman"/>
          <w:noProof/>
          <w:lang w:val="sk-SK"/>
        </w:rPr>
        <w:t xml:space="preserve"> k </w:t>
      </w:r>
      <w:r w:rsidRPr="003F23AC">
        <w:rPr>
          <w:rFonts w:cs="Times New Roman"/>
          <w:noProof/>
          <w:lang w:val="sk-SK"/>
        </w:rPr>
        <w:t>dispozícii, posilniť štandardizáciu informačných systémov</w:t>
      </w:r>
      <w:r w:rsidR="00A75B3C" w:rsidRPr="003F23AC">
        <w:rPr>
          <w:rFonts w:cs="Times New Roman"/>
          <w:noProof/>
          <w:lang w:val="sk-SK"/>
        </w:rPr>
        <w:t xml:space="preserve"> v </w:t>
      </w:r>
      <w:r w:rsidRPr="003F23AC">
        <w:rPr>
          <w:rFonts w:cs="Times New Roman"/>
          <w:noProof/>
          <w:lang w:val="sk-SK"/>
        </w:rPr>
        <w:t>Národnej zdravotnej službe</w:t>
      </w:r>
      <w:r w:rsidR="00A75B3C" w:rsidRPr="003F23AC">
        <w:rPr>
          <w:rFonts w:cs="Times New Roman"/>
          <w:noProof/>
          <w:lang w:val="sk-SK"/>
        </w:rPr>
        <w:t xml:space="preserve"> a </w:t>
      </w:r>
      <w:r w:rsidRPr="003F23AC">
        <w:rPr>
          <w:rFonts w:cs="Times New Roman"/>
          <w:noProof/>
          <w:lang w:val="sk-SK"/>
        </w:rPr>
        <w:t>zlepšiť skúsenosti používateľov</w:t>
      </w:r>
      <w:r w:rsidR="00A75B3C" w:rsidRPr="003F23AC">
        <w:rPr>
          <w:rFonts w:cs="Times New Roman"/>
          <w:noProof/>
          <w:lang w:val="sk-SK"/>
        </w:rPr>
        <w:t xml:space="preserve"> a </w:t>
      </w:r>
      <w:r w:rsidRPr="003F23AC">
        <w:rPr>
          <w:rFonts w:cs="Times New Roman"/>
          <w:noProof/>
          <w:lang w:val="sk-SK"/>
        </w:rPr>
        <w:t>prístup</w:t>
      </w:r>
      <w:r w:rsidR="00A75B3C" w:rsidRPr="003F23AC">
        <w:rPr>
          <w:rFonts w:cs="Times New Roman"/>
          <w:noProof/>
          <w:lang w:val="sk-SK"/>
        </w:rPr>
        <w:t xml:space="preserve"> k </w:t>
      </w:r>
      <w:r w:rsidRPr="003F23AC">
        <w:rPr>
          <w:rFonts w:cs="Times New Roman"/>
          <w:noProof/>
          <w:lang w:val="sk-SK"/>
        </w:rPr>
        <w:t>údajom.</w:t>
      </w:r>
    </w:p>
    <w:p w14:paraId="1CEE6531" w14:textId="01328856" w:rsidR="00387C70" w:rsidRPr="003F23AC" w:rsidRDefault="000F5AA4" w:rsidP="003F23AC">
      <w:pPr>
        <w:pStyle w:val="P68B1DB1-Normal4"/>
        <w:spacing w:before="40" w:after="0" w:line="259" w:lineRule="auto"/>
        <w:jc w:val="both"/>
        <w:rPr>
          <w:rFonts w:eastAsia="Times New Roman" w:cs="Times New Roman"/>
          <w:noProof/>
          <w:spacing w:val="-4"/>
          <w:lang w:val="sk-SK"/>
        </w:rPr>
      </w:pPr>
      <w:r w:rsidRPr="003F23AC">
        <w:rPr>
          <w:rFonts w:cs="Times New Roman"/>
          <w:noProof/>
          <w:spacing w:val="-4"/>
          <w:lang w:val="sk-SK"/>
        </w:rPr>
        <w:t>Investícia pozostáva zo štyroch čiastkových investícií. Po prvé, sieť zdravotných údajov sa posilní</w:t>
      </w:r>
      <w:r w:rsidR="00A75B3C" w:rsidRPr="003F23AC">
        <w:rPr>
          <w:rFonts w:cs="Times New Roman"/>
          <w:noProof/>
          <w:spacing w:val="-4"/>
          <w:lang w:val="sk-SK"/>
        </w:rPr>
        <w:t xml:space="preserve"> s </w:t>
      </w:r>
      <w:r w:rsidRPr="003F23AC">
        <w:rPr>
          <w:rFonts w:cs="Times New Roman"/>
          <w:noProof/>
          <w:spacing w:val="-4"/>
          <w:lang w:val="sk-SK"/>
        </w:rPr>
        <w:t>cieľom zlepšiť kvalitu služieb</w:t>
      </w:r>
      <w:r w:rsidR="00A75B3C" w:rsidRPr="003F23AC">
        <w:rPr>
          <w:rFonts w:cs="Times New Roman"/>
          <w:noProof/>
          <w:spacing w:val="-4"/>
          <w:lang w:val="sk-SK"/>
        </w:rPr>
        <w:t xml:space="preserve"> a </w:t>
      </w:r>
      <w:r w:rsidRPr="003F23AC">
        <w:rPr>
          <w:rFonts w:cs="Times New Roman"/>
          <w:noProof/>
          <w:spacing w:val="-4"/>
          <w:lang w:val="sk-SK"/>
        </w:rPr>
        <w:t>odolnosť počítačových systémov dostupných</w:t>
      </w:r>
      <w:r w:rsidR="00A75B3C" w:rsidRPr="003F23AC">
        <w:rPr>
          <w:rFonts w:cs="Times New Roman"/>
          <w:noProof/>
          <w:spacing w:val="-4"/>
          <w:lang w:val="sk-SK"/>
        </w:rPr>
        <w:t xml:space="preserve"> v </w:t>
      </w:r>
      <w:r w:rsidRPr="003F23AC">
        <w:rPr>
          <w:rFonts w:cs="Times New Roman"/>
          <w:noProof/>
          <w:spacing w:val="-4"/>
          <w:lang w:val="sk-SK"/>
        </w:rPr>
        <w:t>Národnej zdravotnej službe, uľahčiť používanie údajov</w:t>
      </w:r>
      <w:r w:rsidR="00A75B3C" w:rsidRPr="003F23AC">
        <w:rPr>
          <w:rFonts w:cs="Times New Roman"/>
          <w:noProof/>
          <w:spacing w:val="-4"/>
          <w:lang w:val="sk-SK"/>
        </w:rPr>
        <w:t xml:space="preserve"> v </w:t>
      </w:r>
      <w:r w:rsidRPr="003F23AC">
        <w:rPr>
          <w:rFonts w:cs="Times New Roman"/>
          <w:noProof/>
          <w:spacing w:val="-4"/>
          <w:lang w:val="sk-SK"/>
        </w:rPr>
        <w:t>systémoch na podporu rozhodovania, zabezpečiť interoperabilitu medzi rôznymi informačnými systémami</w:t>
      </w:r>
      <w:r w:rsidR="00A75B3C" w:rsidRPr="003F23AC">
        <w:rPr>
          <w:rFonts w:cs="Times New Roman"/>
          <w:noProof/>
          <w:spacing w:val="-4"/>
          <w:lang w:val="sk-SK"/>
        </w:rPr>
        <w:t xml:space="preserve"> a </w:t>
      </w:r>
      <w:r w:rsidRPr="003F23AC">
        <w:rPr>
          <w:rFonts w:cs="Times New Roman"/>
          <w:noProof/>
          <w:spacing w:val="-4"/>
          <w:lang w:val="sk-SK"/>
        </w:rPr>
        <w:t>súlad</w:t>
      </w:r>
      <w:r w:rsidR="00A75B3C" w:rsidRPr="003F23AC">
        <w:rPr>
          <w:rFonts w:cs="Times New Roman"/>
          <w:noProof/>
          <w:spacing w:val="-4"/>
          <w:lang w:val="sk-SK"/>
        </w:rPr>
        <w:t xml:space="preserve"> s </w:t>
      </w:r>
      <w:r w:rsidRPr="003F23AC">
        <w:rPr>
          <w:rFonts w:cs="Times New Roman"/>
          <w:noProof/>
          <w:spacing w:val="-4"/>
          <w:lang w:val="sk-SK"/>
        </w:rPr>
        <w:t>príslušnými bezpečnostnými zásadami. Po druhé, komunikácia medzi občanmi</w:t>
      </w:r>
      <w:r w:rsidR="00A75B3C" w:rsidRPr="003F23AC">
        <w:rPr>
          <w:rFonts w:cs="Times New Roman"/>
          <w:noProof/>
          <w:spacing w:val="-4"/>
          <w:lang w:val="sk-SK"/>
        </w:rPr>
        <w:t xml:space="preserve"> a </w:t>
      </w:r>
      <w:r w:rsidRPr="003F23AC">
        <w:rPr>
          <w:rFonts w:cs="Times New Roman"/>
          <w:noProof/>
          <w:spacing w:val="-4"/>
          <w:lang w:val="sk-SK"/>
        </w:rPr>
        <w:t>zdravotníckymi jednotkami sa zjednoduší, normalizuje</w:t>
      </w:r>
      <w:r w:rsidR="00A75B3C" w:rsidRPr="003F23AC">
        <w:rPr>
          <w:rFonts w:cs="Times New Roman"/>
          <w:noProof/>
          <w:spacing w:val="-4"/>
          <w:lang w:val="sk-SK"/>
        </w:rPr>
        <w:t xml:space="preserve"> a </w:t>
      </w:r>
      <w:r w:rsidRPr="003F23AC">
        <w:rPr>
          <w:rFonts w:cs="Times New Roman"/>
          <w:noProof/>
          <w:spacing w:val="-4"/>
          <w:lang w:val="sk-SK"/>
        </w:rPr>
        <w:t>digitalizuje prostredníctvom elektronických nástrojov, ako je platforma zameraná na občanov</w:t>
      </w:r>
      <w:r w:rsidR="00A75B3C" w:rsidRPr="003F23AC">
        <w:rPr>
          <w:rFonts w:cs="Times New Roman"/>
          <w:noProof/>
          <w:spacing w:val="-4"/>
          <w:lang w:val="sk-SK"/>
        </w:rPr>
        <w:t xml:space="preserve"> a </w:t>
      </w:r>
      <w:r w:rsidRPr="003F23AC">
        <w:rPr>
          <w:rFonts w:cs="Times New Roman"/>
          <w:noProof/>
          <w:spacing w:val="-4"/>
          <w:lang w:val="sk-SK"/>
        </w:rPr>
        <w:t>nástroje telezdravotníctva na zlepšenie prístupu</w:t>
      </w:r>
      <w:r w:rsidR="00A75B3C" w:rsidRPr="003F23AC">
        <w:rPr>
          <w:rFonts w:cs="Times New Roman"/>
          <w:noProof/>
          <w:spacing w:val="-4"/>
          <w:lang w:val="sk-SK"/>
        </w:rPr>
        <w:t xml:space="preserve"> k </w:t>
      </w:r>
      <w:r w:rsidRPr="003F23AC">
        <w:rPr>
          <w:rFonts w:cs="Times New Roman"/>
          <w:noProof/>
          <w:spacing w:val="-4"/>
          <w:lang w:val="sk-SK"/>
        </w:rPr>
        <w:t>zdravotnej starostlivosti. Po tretie, modernizované</w:t>
      </w:r>
      <w:r w:rsidR="00A75B3C" w:rsidRPr="003F23AC">
        <w:rPr>
          <w:rFonts w:cs="Times New Roman"/>
          <w:noProof/>
          <w:spacing w:val="-4"/>
          <w:lang w:val="sk-SK"/>
        </w:rPr>
        <w:t xml:space="preserve"> a </w:t>
      </w:r>
      <w:r w:rsidRPr="003F23AC">
        <w:rPr>
          <w:rFonts w:cs="Times New Roman"/>
          <w:noProof/>
          <w:spacing w:val="-4"/>
          <w:lang w:val="sk-SK"/>
        </w:rPr>
        <w:t>interoperabilné nástroje dostupné zdravotníckym pracovníkom (napr. platformy na telemonitorovanie</w:t>
      </w:r>
      <w:r w:rsidR="00A75B3C" w:rsidRPr="003F23AC">
        <w:rPr>
          <w:rFonts w:cs="Times New Roman"/>
          <w:noProof/>
          <w:spacing w:val="-4"/>
          <w:lang w:val="sk-SK"/>
        </w:rPr>
        <w:t xml:space="preserve"> a </w:t>
      </w:r>
      <w:r w:rsidRPr="003F23AC">
        <w:rPr>
          <w:rFonts w:cs="Times New Roman"/>
          <w:noProof/>
          <w:spacing w:val="-4"/>
          <w:lang w:val="sk-SK"/>
        </w:rPr>
        <w:t>rehabilitáciu na diaľku</w:t>
      </w:r>
      <w:r w:rsidR="00A75B3C" w:rsidRPr="003F23AC">
        <w:rPr>
          <w:rFonts w:cs="Times New Roman"/>
          <w:noProof/>
          <w:spacing w:val="-4"/>
          <w:lang w:val="sk-SK"/>
        </w:rPr>
        <w:t xml:space="preserve"> a </w:t>
      </w:r>
      <w:r w:rsidRPr="003F23AC">
        <w:rPr>
          <w:rFonts w:cs="Times New Roman"/>
          <w:noProof/>
          <w:spacing w:val="-4"/>
          <w:lang w:val="sk-SK"/>
        </w:rPr>
        <w:t>systémy, ktoré zlepšujú prenosnosť údajov medzi primárnou starostlivosťou, nemocničnými zariadeniami</w:t>
      </w:r>
      <w:r w:rsidR="00A75B3C" w:rsidRPr="003F23AC">
        <w:rPr>
          <w:rFonts w:cs="Times New Roman"/>
          <w:noProof/>
          <w:spacing w:val="-4"/>
          <w:lang w:val="sk-SK"/>
        </w:rPr>
        <w:t xml:space="preserve"> a </w:t>
      </w:r>
      <w:r w:rsidRPr="003F23AC">
        <w:rPr>
          <w:rFonts w:cs="Times New Roman"/>
          <w:noProof/>
          <w:spacing w:val="-4"/>
          <w:lang w:val="sk-SK"/>
        </w:rPr>
        <w:t>integrovanými zariadeniami nepretržitej starostlivosti)</w:t>
      </w:r>
      <w:r w:rsidR="00A75B3C" w:rsidRPr="003F23AC">
        <w:rPr>
          <w:rFonts w:cs="Times New Roman"/>
          <w:noProof/>
          <w:spacing w:val="-4"/>
          <w:lang w:val="sk-SK"/>
        </w:rPr>
        <w:t xml:space="preserve"> a </w:t>
      </w:r>
      <w:r w:rsidRPr="003F23AC">
        <w:rPr>
          <w:rFonts w:cs="Times New Roman"/>
          <w:noProof/>
          <w:spacing w:val="-4"/>
          <w:lang w:val="sk-SK"/>
        </w:rPr>
        <w:t>príslušná odborná príprava</w:t>
      </w:r>
      <w:r w:rsidR="00A75B3C" w:rsidRPr="003F23AC">
        <w:rPr>
          <w:rFonts w:cs="Times New Roman"/>
          <w:noProof/>
          <w:spacing w:val="-4"/>
          <w:lang w:val="sk-SK"/>
        </w:rPr>
        <w:t xml:space="preserve"> v </w:t>
      </w:r>
      <w:r w:rsidRPr="003F23AC">
        <w:rPr>
          <w:rFonts w:cs="Times New Roman"/>
          <w:noProof/>
          <w:spacing w:val="-4"/>
          <w:lang w:val="sk-SK"/>
        </w:rPr>
        <w:t>oblasti digitálnych zručností. Po štvrté, podporuje sa digitalizácia klinických záznamov</w:t>
      </w:r>
      <w:r w:rsidR="00A75B3C" w:rsidRPr="003F23AC">
        <w:rPr>
          <w:rFonts w:cs="Times New Roman"/>
          <w:noProof/>
          <w:spacing w:val="-4"/>
          <w:lang w:val="sk-SK"/>
        </w:rPr>
        <w:t xml:space="preserve"> s </w:t>
      </w:r>
      <w:r w:rsidRPr="003F23AC">
        <w:rPr>
          <w:rFonts w:cs="Times New Roman"/>
          <w:noProof/>
          <w:spacing w:val="-4"/>
          <w:lang w:val="sk-SK"/>
        </w:rPr>
        <w:t>cieľom vykonávať činnosti na monitorovanie výkonu Národnej zdravotnej služby.</w:t>
      </w:r>
    </w:p>
    <w:p w14:paraId="00ACB982" w14:textId="56DBA0ED"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Implementácia tejto investície sa dokončí do 30</w:t>
      </w:r>
      <w:r w:rsidR="00A75B3C" w:rsidRPr="003F23AC">
        <w:rPr>
          <w:rFonts w:cs="Times New Roman"/>
          <w:noProof/>
          <w:lang w:val="sk-SK"/>
        </w:rPr>
        <w:t>. júna</w:t>
      </w:r>
      <w:r w:rsidRPr="003F23AC">
        <w:rPr>
          <w:rFonts w:cs="Times New Roman"/>
          <w:noProof/>
          <w:lang w:val="sk-SK"/>
        </w:rPr>
        <w:t xml:space="preserve"> 2025.</w:t>
      </w:r>
    </w:p>
    <w:p w14:paraId="7D55663F"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RE-C01-i07-RAM: Digitalizácia regionálnej zdravotnej služby na Madeire</w:t>
      </w:r>
    </w:p>
    <w:p w14:paraId="50407DAA" w14:textId="31732C84"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Cieľom tejto investície je podporiť digitalizáciu regionálnej zdravotnej služby Madeiry prostredníctvom zavádzania digitálnych technológií na podporu kvality</w:t>
      </w:r>
      <w:r w:rsidR="00A75B3C" w:rsidRPr="003F23AC">
        <w:rPr>
          <w:rFonts w:cs="Times New Roman"/>
          <w:noProof/>
          <w:lang w:val="sk-SK"/>
        </w:rPr>
        <w:t xml:space="preserve"> a </w:t>
      </w:r>
      <w:r w:rsidRPr="003F23AC">
        <w:rPr>
          <w:rFonts w:cs="Times New Roman"/>
          <w:noProof/>
          <w:lang w:val="sk-SK"/>
        </w:rPr>
        <w:t>efektívnosti služieb zdravotnej starostlivosti</w:t>
      </w:r>
      <w:r w:rsidR="00A75B3C" w:rsidRPr="003F23AC">
        <w:rPr>
          <w:rFonts w:cs="Times New Roman"/>
          <w:noProof/>
          <w:lang w:val="sk-SK"/>
        </w:rPr>
        <w:t xml:space="preserve"> a </w:t>
      </w:r>
      <w:r w:rsidRPr="003F23AC">
        <w:rPr>
          <w:rFonts w:cs="Times New Roman"/>
          <w:noProof/>
          <w:lang w:val="sk-SK"/>
        </w:rPr>
        <w:t>posilnenia postavenia zdravotníckych pracovníkov</w:t>
      </w:r>
      <w:r w:rsidR="00A75B3C" w:rsidRPr="003F23AC">
        <w:rPr>
          <w:rFonts w:cs="Times New Roman"/>
          <w:noProof/>
          <w:lang w:val="sk-SK"/>
        </w:rPr>
        <w:t xml:space="preserve"> a </w:t>
      </w:r>
      <w:r w:rsidRPr="003F23AC">
        <w:rPr>
          <w:rFonts w:cs="Times New Roman"/>
          <w:noProof/>
          <w:lang w:val="sk-SK"/>
        </w:rPr>
        <w:t>občanov.</w:t>
      </w:r>
    </w:p>
    <w:p w14:paraId="5521D506" w14:textId="28A8526C" w:rsidR="00387C70" w:rsidRPr="003F23AC" w:rsidRDefault="000F5AA4" w:rsidP="003F23AC">
      <w:pPr>
        <w:pStyle w:val="P68B1DB1-Normal4"/>
        <w:spacing w:before="40" w:after="0" w:line="259" w:lineRule="auto"/>
        <w:jc w:val="both"/>
        <w:rPr>
          <w:rFonts w:eastAsia="Times New Roman" w:cs="Times New Roman"/>
          <w:noProof/>
          <w:spacing w:val="-6"/>
          <w:lang w:val="sk-SK"/>
        </w:rPr>
      </w:pPr>
      <w:r w:rsidRPr="003F23AC">
        <w:rPr>
          <w:rFonts w:cs="Times New Roman"/>
          <w:noProof/>
          <w:spacing w:val="-6"/>
          <w:lang w:val="sk-SK"/>
        </w:rPr>
        <w:t>Investícia pozostáva</w:t>
      </w:r>
      <w:r w:rsidR="00A75B3C" w:rsidRPr="003F23AC">
        <w:rPr>
          <w:rFonts w:cs="Times New Roman"/>
          <w:noProof/>
          <w:spacing w:val="-6"/>
          <w:lang w:val="sk-SK"/>
        </w:rPr>
        <w:t xml:space="preserve"> z </w:t>
      </w:r>
      <w:r w:rsidRPr="003F23AC">
        <w:rPr>
          <w:rFonts w:cs="Times New Roman"/>
          <w:noProof/>
          <w:spacing w:val="-6"/>
          <w:lang w:val="sk-SK"/>
        </w:rPr>
        <w:t>niekoľkých projektov vrátane: I) zavádzanie digitálnych technológií na podporu monitorovania pacientov, zintenzívnenie telezdravotníctva</w:t>
      </w:r>
      <w:r w:rsidR="00A75B3C" w:rsidRPr="003F23AC">
        <w:rPr>
          <w:rFonts w:cs="Times New Roman"/>
          <w:noProof/>
          <w:spacing w:val="-6"/>
          <w:lang w:val="sk-SK"/>
        </w:rPr>
        <w:t xml:space="preserve"> a </w:t>
      </w:r>
      <w:r w:rsidRPr="003F23AC">
        <w:rPr>
          <w:rFonts w:cs="Times New Roman"/>
          <w:noProof/>
          <w:spacing w:val="-6"/>
          <w:lang w:val="sk-SK"/>
        </w:rPr>
        <w:t>telemonitorovanie zdravotnej situácie občanov; II) posilnenie digitálnych technológií</w:t>
      </w:r>
      <w:r w:rsidR="00A75B3C" w:rsidRPr="003F23AC">
        <w:rPr>
          <w:rFonts w:cs="Times New Roman"/>
          <w:noProof/>
          <w:spacing w:val="-6"/>
          <w:lang w:val="sk-SK"/>
        </w:rPr>
        <w:t xml:space="preserve"> a </w:t>
      </w:r>
      <w:r w:rsidRPr="003F23AC">
        <w:rPr>
          <w:rFonts w:cs="Times New Roman"/>
          <w:noProof/>
          <w:spacing w:val="-6"/>
          <w:lang w:val="sk-SK"/>
        </w:rPr>
        <w:t>umelej inteligencie pre epidemiologický dohľad; III) zvýšenie digitalizácie zdravia</w:t>
      </w:r>
      <w:r w:rsidR="00A75B3C" w:rsidRPr="003F23AC">
        <w:rPr>
          <w:rFonts w:cs="Times New Roman"/>
          <w:noProof/>
          <w:spacing w:val="-6"/>
          <w:lang w:val="sk-SK"/>
        </w:rPr>
        <w:t xml:space="preserve"> a </w:t>
      </w:r>
      <w:r w:rsidRPr="003F23AC">
        <w:rPr>
          <w:rFonts w:cs="Times New Roman"/>
          <w:noProof/>
          <w:spacing w:val="-6"/>
          <w:lang w:val="sk-SK"/>
        </w:rPr>
        <w:t>zlepšenie interoperability informačných systémov; IV) zlepšenie prístupu občanov</w:t>
      </w:r>
      <w:r w:rsidR="00A75B3C" w:rsidRPr="003F23AC">
        <w:rPr>
          <w:rFonts w:cs="Times New Roman"/>
          <w:noProof/>
          <w:spacing w:val="-6"/>
          <w:lang w:val="sk-SK"/>
        </w:rPr>
        <w:t xml:space="preserve"> k </w:t>
      </w:r>
      <w:r w:rsidRPr="003F23AC">
        <w:rPr>
          <w:rFonts w:cs="Times New Roman"/>
          <w:noProof/>
          <w:spacing w:val="-6"/>
          <w:lang w:val="sk-SK"/>
        </w:rPr>
        <w:t>informáciám</w:t>
      </w:r>
      <w:r w:rsidR="00A75B3C" w:rsidRPr="003F23AC">
        <w:rPr>
          <w:rFonts w:cs="Times New Roman"/>
          <w:noProof/>
          <w:spacing w:val="-6"/>
          <w:lang w:val="sk-SK"/>
        </w:rPr>
        <w:t xml:space="preserve"> a </w:t>
      </w:r>
      <w:r w:rsidRPr="003F23AC">
        <w:rPr>
          <w:rFonts w:cs="Times New Roman"/>
          <w:noProof/>
          <w:spacing w:val="-6"/>
          <w:lang w:val="sk-SK"/>
        </w:rPr>
        <w:t>službám</w:t>
      </w:r>
      <w:r w:rsidR="00A75B3C" w:rsidRPr="003F23AC">
        <w:rPr>
          <w:rFonts w:cs="Times New Roman"/>
          <w:noProof/>
          <w:spacing w:val="-6"/>
          <w:lang w:val="sk-SK"/>
        </w:rPr>
        <w:t xml:space="preserve"> v </w:t>
      </w:r>
      <w:r w:rsidRPr="003F23AC">
        <w:rPr>
          <w:rFonts w:cs="Times New Roman"/>
          <w:noProof/>
          <w:spacing w:val="-6"/>
          <w:lang w:val="sk-SK"/>
        </w:rPr>
        <w:t>oblasti zdravia digitálnymi prostriedkami;</w:t>
      </w:r>
      <w:r w:rsidR="00A75B3C" w:rsidRPr="003F23AC">
        <w:rPr>
          <w:rFonts w:cs="Times New Roman"/>
          <w:noProof/>
          <w:spacing w:val="-6"/>
          <w:lang w:val="sk-SK"/>
        </w:rPr>
        <w:t xml:space="preserve"> a </w:t>
      </w:r>
      <w:r w:rsidRPr="003F23AC">
        <w:rPr>
          <w:rFonts w:cs="Times New Roman"/>
          <w:noProof/>
          <w:spacing w:val="-6"/>
          <w:lang w:val="sk-SK"/>
        </w:rPr>
        <w:t>v) odbornú prípravu občanov</w:t>
      </w:r>
      <w:r w:rsidR="00A75B3C" w:rsidRPr="003F23AC">
        <w:rPr>
          <w:rFonts w:cs="Times New Roman"/>
          <w:noProof/>
          <w:spacing w:val="-6"/>
          <w:lang w:val="sk-SK"/>
        </w:rPr>
        <w:t xml:space="preserve"> a </w:t>
      </w:r>
      <w:r w:rsidRPr="003F23AC">
        <w:rPr>
          <w:rFonts w:cs="Times New Roman"/>
          <w:noProof/>
          <w:spacing w:val="-6"/>
          <w:lang w:val="sk-SK"/>
        </w:rPr>
        <w:t>zainteresovaných strán, aby využívali digitálne zdravotnícke zdroje</w:t>
      </w:r>
      <w:r w:rsidR="00A75B3C" w:rsidRPr="003F23AC">
        <w:rPr>
          <w:rFonts w:cs="Times New Roman"/>
          <w:noProof/>
          <w:spacing w:val="-6"/>
          <w:lang w:val="sk-SK"/>
        </w:rPr>
        <w:t xml:space="preserve"> v </w:t>
      </w:r>
      <w:r w:rsidRPr="003F23AC">
        <w:rPr>
          <w:rFonts w:cs="Times New Roman"/>
          <w:noProof/>
          <w:spacing w:val="-6"/>
          <w:lang w:val="sk-SK"/>
        </w:rPr>
        <w:t>oblasti zdravia.</w:t>
      </w:r>
    </w:p>
    <w:p w14:paraId="4184B02B" w14:textId="799D35CD"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2024.</w:t>
      </w:r>
    </w:p>
    <w:p w14:paraId="36606E5C" w14:textId="77777777" w:rsidR="00387C70" w:rsidRPr="003F23AC" w:rsidRDefault="000F5AA4" w:rsidP="003F23AC">
      <w:pPr>
        <w:pStyle w:val="P68B1DB1-Normal5"/>
        <w:spacing w:before="240" w:after="0" w:line="259" w:lineRule="auto"/>
        <w:ind w:left="851"/>
        <w:jc w:val="both"/>
        <w:outlineLvl w:val="2"/>
        <w:rPr>
          <w:rFonts w:eastAsia="Times New Roman" w:cs="Times New Roman"/>
          <w:noProof/>
          <w:lang w:val="sk-SK"/>
        </w:rPr>
      </w:pPr>
      <w:r w:rsidRPr="003F23AC">
        <w:rPr>
          <w:rFonts w:cs="Times New Roman"/>
          <w:noProof/>
          <w:lang w:val="sk-SK"/>
        </w:rPr>
        <w:t>Investície RE-C01-i08-RAA: Digitálna nemocnica na Azorských ostrovoch</w:t>
      </w:r>
    </w:p>
    <w:p w14:paraId="2C7694B1" w14:textId="1DAAEADE" w:rsidR="00387C70" w:rsidRPr="003F23AC" w:rsidRDefault="000F5AA4" w:rsidP="003F23AC">
      <w:pPr>
        <w:pStyle w:val="P68B1DB1-Normal4"/>
        <w:spacing w:before="40" w:after="0" w:line="259" w:lineRule="auto"/>
        <w:jc w:val="both"/>
        <w:rPr>
          <w:rFonts w:eastAsia="Times New Roman" w:cs="Times New Roman"/>
          <w:noProof/>
          <w:spacing w:val="-6"/>
          <w:lang w:val="sk-SK"/>
        </w:rPr>
      </w:pPr>
      <w:r w:rsidRPr="003F23AC">
        <w:rPr>
          <w:rFonts w:cs="Times New Roman"/>
          <w:noProof/>
          <w:spacing w:val="-6"/>
          <w:lang w:val="sk-SK"/>
        </w:rPr>
        <w:t>Cieľom investície je rozšíriť ponuku zdravotnej starostlivosti</w:t>
      </w:r>
      <w:r w:rsidR="00A75B3C" w:rsidRPr="003F23AC">
        <w:rPr>
          <w:rFonts w:cs="Times New Roman"/>
          <w:noProof/>
          <w:spacing w:val="-6"/>
          <w:lang w:val="sk-SK"/>
        </w:rPr>
        <w:t xml:space="preserve"> a </w:t>
      </w:r>
      <w:r w:rsidRPr="003F23AC">
        <w:rPr>
          <w:rFonts w:cs="Times New Roman"/>
          <w:noProof/>
          <w:spacing w:val="-6"/>
          <w:lang w:val="sk-SK"/>
        </w:rPr>
        <w:t>zabezpečiť lepší prístup</w:t>
      </w:r>
      <w:r w:rsidR="00A75B3C" w:rsidRPr="003F23AC">
        <w:rPr>
          <w:rFonts w:cs="Times New Roman"/>
          <w:noProof/>
          <w:spacing w:val="-6"/>
          <w:lang w:val="sk-SK"/>
        </w:rPr>
        <w:t xml:space="preserve"> k </w:t>
      </w:r>
      <w:r w:rsidRPr="003F23AC">
        <w:rPr>
          <w:rFonts w:cs="Times New Roman"/>
          <w:noProof/>
          <w:spacing w:val="-6"/>
          <w:lang w:val="sk-SK"/>
        </w:rPr>
        <w:t>zdravotnej starostlivosti na Azorských ostrovoch prostredníctvom digitalizácie jej regionálnej zdravotnej služby.</w:t>
      </w:r>
    </w:p>
    <w:p w14:paraId="5C3318E6" w14:textId="53EB8A0A"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vytvorenia elektronického zdravotného záznamu pre každého občana, zvýšenia interoperability informačných systémov</w:t>
      </w:r>
      <w:r w:rsidR="00A75B3C" w:rsidRPr="003F23AC">
        <w:rPr>
          <w:rFonts w:cs="Times New Roman"/>
          <w:noProof/>
          <w:lang w:val="sk-SK"/>
        </w:rPr>
        <w:t xml:space="preserve"> s </w:t>
      </w:r>
      <w:r w:rsidRPr="003F23AC">
        <w:rPr>
          <w:rFonts w:cs="Times New Roman"/>
          <w:noProof/>
          <w:lang w:val="sk-SK"/>
        </w:rPr>
        <w:t>cieľom umožniť výmenu klinických informácií medzi zdravotníckymi pracovníkmi, zlepšenia dostupnosti zdravotnej starostlivosti na najodľahlejších ostrovoch bez nemocnice prostredníctvom telemedicínskych konzultácií</w:t>
      </w:r>
      <w:r w:rsidR="00A75B3C" w:rsidRPr="003F23AC">
        <w:rPr>
          <w:rFonts w:cs="Times New Roman"/>
          <w:noProof/>
          <w:lang w:val="sk-SK"/>
        </w:rPr>
        <w:t xml:space="preserve"> a </w:t>
      </w:r>
      <w:r w:rsidRPr="003F23AC">
        <w:rPr>
          <w:rFonts w:cs="Times New Roman"/>
          <w:noProof/>
          <w:lang w:val="sk-SK"/>
        </w:rPr>
        <w:t>zabezpečenia potrebného hardvéru, softvéru</w:t>
      </w:r>
      <w:r w:rsidR="00A75B3C" w:rsidRPr="003F23AC">
        <w:rPr>
          <w:rFonts w:cs="Times New Roman"/>
          <w:noProof/>
          <w:lang w:val="sk-SK"/>
        </w:rPr>
        <w:t xml:space="preserve"> a </w:t>
      </w:r>
      <w:r w:rsidRPr="003F23AC">
        <w:rPr>
          <w:rFonts w:cs="Times New Roman"/>
          <w:noProof/>
          <w:lang w:val="sk-SK"/>
        </w:rPr>
        <w:t>informačných systémov.</w:t>
      </w:r>
    </w:p>
    <w:p w14:paraId="2F4F1E26" w14:textId="61EAFE59"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septembra</w:t>
      </w:r>
      <w:r w:rsidRPr="003F23AC">
        <w:rPr>
          <w:rFonts w:cs="Times New Roman"/>
          <w:noProof/>
          <w:lang w:val="sk-SK"/>
        </w:rPr>
        <w:t xml:space="preserve"> 2025.</w:t>
      </w:r>
    </w:p>
    <w:p w14:paraId="0944758B" w14:textId="77777777" w:rsidR="00387C70" w:rsidRPr="003F23AC" w:rsidRDefault="000F5AA4" w:rsidP="003F23AC">
      <w:pPr>
        <w:pStyle w:val="P68B1DB1-Normal5"/>
        <w:spacing w:before="240" w:after="0" w:line="259" w:lineRule="auto"/>
        <w:ind w:left="851"/>
        <w:jc w:val="both"/>
        <w:outlineLvl w:val="2"/>
        <w:rPr>
          <w:rFonts w:eastAsia="Times New Roman" w:cs="Times New Roman"/>
          <w:noProof/>
          <w:lang w:val="sk-SK"/>
        </w:rPr>
      </w:pPr>
      <w:r w:rsidRPr="003F23AC">
        <w:rPr>
          <w:rFonts w:cs="Times New Roman"/>
          <w:noProof/>
          <w:lang w:val="sk-SK"/>
        </w:rPr>
        <w:t>Investície RE-C01-i09: Univerzálny systém podpory aktívneho života</w:t>
      </w:r>
    </w:p>
    <w:p w14:paraId="225E11E4" w14:textId="49C4168C"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Cieľom investície je podporovať fyzickú</w:t>
      </w:r>
      <w:r w:rsidR="00A75B3C" w:rsidRPr="003F23AC">
        <w:rPr>
          <w:rFonts w:cs="Times New Roman"/>
          <w:noProof/>
          <w:lang w:val="sk-SK"/>
        </w:rPr>
        <w:t xml:space="preserve"> a </w:t>
      </w:r>
      <w:r w:rsidRPr="003F23AC">
        <w:rPr>
          <w:rFonts w:cs="Times New Roman"/>
          <w:noProof/>
          <w:lang w:val="sk-SK"/>
        </w:rPr>
        <w:t>emocionálnu pohodu</w:t>
      </w:r>
      <w:r w:rsidR="00A75B3C" w:rsidRPr="003F23AC">
        <w:rPr>
          <w:rFonts w:cs="Times New Roman"/>
          <w:noProof/>
          <w:lang w:val="sk-SK"/>
        </w:rPr>
        <w:t xml:space="preserve"> v </w:t>
      </w:r>
      <w:r w:rsidRPr="003F23AC">
        <w:rPr>
          <w:rFonts w:cs="Times New Roman"/>
          <w:noProof/>
          <w:lang w:val="sk-SK"/>
        </w:rPr>
        <w:t>Portugalsku zvýšením nízkej úrovne fyzickej aktivity</w:t>
      </w:r>
      <w:r w:rsidR="00A75B3C" w:rsidRPr="003F23AC">
        <w:rPr>
          <w:rFonts w:cs="Times New Roman"/>
          <w:noProof/>
          <w:lang w:val="sk-SK"/>
        </w:rPr>
        <w:t xml:space="preserve"> v </w:t>
      </w:r>
      <w:r w:rsidRPr="003F23AC">
        <w:rPr>
          <w:rFonts w:cs="Times New Roman"/>
          <w:noProof/>
          <w:lang w:val="sk-SK"/>
        </w:rPr>
        <w:t>krajine</w:t>
      </w:r>
      <w:r w:rsidR="00A75B3C" w:rsidRPr="003F23AC">
        <w:rPr>
          <w:rFonts w:cs="Times New Roman"/>
          <w:noProof/>
          <w:lang w:val="sk-SK"/>
        </w:rPr>
        <w:t xml:space="preserve"> a </w:t>
      </w:r>
      <w:r w:rsidRPr="003F23AC">
        <w:rPr>
          <w:rFonts w:cs="Times New Roman"/>
          <w:noProof/>
          <w:lang w:val="sk-SK"/>
        </w:rPr>
        <w:t>prispievaním</w:t>
      </w:r>
      <w:r w:rsidR="00A75B3C" w:rsidRPr="003F23AC">
        <w:rPr>
          <w:rFonts w:cs="Times New Roman"/>
          <w:noProof/>
          <w:lang w:val="sk-SK"/>
        </w:rPr>
        <w:t xml:space="preserve"> k </w:t>
      </w:r>
      <w:r w:rsidRPr="003F23AC">
        <w:rPr>
          <w:rFonts w:cs="Times New Roman"/>
          <w:noProof/>
          <w:lang w:val="sk-SK"/>
        </w:rPr>
        <w:t>lepšej prevencii chorôb</w:t>
      </w:r>
      <w:r w:rsidR="00A75B3C" w:rsidRPr="003F23AC">
        <w:rPr>
          <w:rFonts w:cs="Times New Roman"/>
          <w:noProof/>
          <w:lang w:val="sk-SK"/>
        </w:rPr>
        <w:t xml:space="preserve"> a </w:t>
      </w:r>
      <w:r w:rsidRPr="003F23AC">
        <w:rPr>
          <w:rFonts w:cs="Times New Roman"/>
          <w:noProof/>
          <w:lang w:val="sk-SK"/>
        </w:rPr>
        <w:t>riadeniu záťaže neprenosných ochorení.</w:t>
      </w:r>
    </w:p>
    <w:p w14:paraId="0DE11ABE" w14:textId="6AEA043B"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týchto prvkov: I) národná kampaň</w:t>
      </w:r>
      <w:r w:rsidR="00A75B3C" w:rsidRPr="003F23AC">
        <w:rPr>
          <w:rFonts w:cs="Times New Roman"/>
          <w:noProof/>
          <w:lang w:val="sk-SK"/>
        </w:rPr>
        <w:t xml:space="preserve"> a </w:t>
      </w:r>
      <w:r w:rsidRPr="003F23AC">
        <w:rPr>
          <w:rFonts w:cs="Times New Roman"/>
          <w:noProof/>
          <w:lang w:val="sk-SK"/>
        </w:rPr>
        <w:t>technologická platforma na podporu fyzickej aktivity, zvyšovanie vedomostí občanov</w:t>
      </w:r>
      <w:r w:rsidR="00A75B3C" w:rsidRPr="003F23AC">
        <w:rPr>
          <w:rFonts w:cs="Times New Roman"/>
          <w:noProof/>
          <w:lang w:val="sk-SK"/>
        </w:rPr>
        <w:t xml:space="preserve"> o </w:t>
      </w:r>
      <w:r w:rsidRPr="003F23AC">
        <w:rPr>
          <w:rFonts w:cs="Times New Roman"/>
          <w:noProof/>
          <w:lang w:val="sk-SK"/>
        </w:rPr>
        <w:t>výhodách pravidelnej fyzickej aktivity</w:t>
      </w:r>
      <w:r w:rsidR="00A75B3C" w:rsidRPr="003F23AC">
        <w:rPr>
          <w:rFonts w:cs="Times New Roman"/>
          <w:noProof/>
          <w:lang w:val="sk-SK"/>
        </w:rPr>
        <w:t xml:space="preserve"> v </w:t>
      </w:r>
      <w:r w:rsidRPr="003F23AC">
        <w:rPr>
          <w:rFonts w:cs="Times New Roman"/>
          <w:noProof/>
          <w:lang w:val="sk-SK"/>
        </w:rPr>
        <w:t>každom veku, predpisovanie cvičení podľa ich schopností</w:t>
      </w:r>
      <w:r w:rsidR="00A75B3C" w:rsidRPr="003F23AC">
        <w:rPr>
          <w:rFonts w:cs="Times New Roman"/>
          <w:noProof/>
          <w:lang w:val="sk-SK"/>
        </w:rPr>
        <w:t xml:space="preserve"> a </w:t>
      </w:r>
      <w:r w:rsidRPr="003F23AC">
        <w:rPr>
          <w:rFonts w:cs="Times New Roman"/>
          <w:noProof/>
          <w:lang w:val="sk-SK"/>
        </w:rPr>
        <w:t>podpora osvojenia si zdravšieho životného štýlu; II) rozšírenie školských športov na komunitu podporou aktívnej mobility od mladšieho veku</w:t>
      </w:r>
      <w:r w:rsidR="00A75B3C" w:rsidRPr="003F23AC">
        <w:rPr>
          <w:rFonts w:cs="Times New Roman"/>
          <w:noProof/>
          <w:lang w:val="sk-SK"/>
        </w:rPr>
        <w:t xml:space="preserve"> a </w:t>
      </w:r>
      <w:r w:rsidRPr="003F23AC">
        <w:rPr>
          <w:rFonts w:cs="Times New Roman"/>
          <w:noProof/>
          <w:lang w:val="sk-SK"/>
        </w:rPr>
        <w:t>po celý život, ako aj športu</w:t>
      </w:r>
      <w:r w:rsidR="00A75B3C" w:rsidRPr="003F23AC">
        <w:rPr>
          <w:rFonts w:cs="Times New Roman"/>
          <w:noProof/>
          <w:lang w:val="sk-SK"/>
        </w:rPr>
        <w:t xml:space="preserve"> v </w:t>
      </w:r>
      <w:r w:rsidRPr="003F23AC">
        <w:rPr>
          <w:rFonts w:cs="Times New Roman"/>
          <w:noProof/>
          <w:lang w:val="sk-SK"/>
        </w:rPr>
        <w:t>rodinnom kontexte ako prostriedku na podporu úspechu študentov</w:t>
      </w:r>
      <w:r w:rsidR="00A75B3C" w:rsidRPr="003F23AC">
        <w:rPr>
          <w:rFonts w:cs="Times New Roman"/>
          <w:noProof/>
          <w:lang w:val="sk-SK"/>
        </w:rPr>
        <w:t xml:space="preserve"> a </w:t>
      </w:r>
      <w:r w:rsidRPr="003F23AC">
        <w:rPr>
          <w:rFonts w:cs="Times New Roman"/>
          <w:noProof/>
          <w:lang w:val="sk-SK"/>
        </w:rPr>
        <w:t>zdravšieho životného štýlu;</w:t>
      </w:r>
      <w:r w:rsidR="00A75B3C" w:rsidRPr="003F23AC">
        <w:rPr>
          <w:rFonts w:cs="Times New Roman"/>
          <w:noProof/>
          <w:lang w:val="sk-SK"/>
        </w:rPr>
        <w:t xml:space="preserve"> a </w:t>
      </w:r>
      <w:r w:rsidRPr="003F23AC">
        <w:rPr>
          <w:rFonts w:cs="Times New Roman"/>
          <w:noProof/>
          <w:lang w:val="sk-SK"/>
        </w:rPr>
        <w:t>iii) podpora vykonávania fyzickej aktivity na pracovisku, podpora vykonávania opatrení</w:t>
      </w:r>
      <w:r w:rsidR="00A75B3C" w:rsidRPr="003F23AC">
        <w:rPr>
          <w:rFonts w:cs="Times New Roman"/>
          <w:noProof/>
          <w:lang w:val="sk-SK"/>
        </w:rPr>
        <w:t xml:space="preserve"> a </w:t>
      </w:r>
      <w:r w:rsidRPr="003F23AC">
        <w:rPr>
          <w:rFonts w:cs="Times New Roman"/>
          <w:noProof/>
          <w:lang w:val="sk-SK"/>
        </w:rPr>
        <w:t>programov, ako aj poskytovanie priestorov</w:t>
      </w:r>
      <w:r w:rsidR="00A75B3C" w:rsidRPr="003F23AC">
        <w:rPr>
          <w:rFonts w:cs="Times New Roman"/>
          <w:noProof/>
          <w:lang w:val="sk-SK"/>
        </w:rPr>
        <w:t xml:space="preserve"> a </w:t>
      </w:r>
      <w:r w:rsidRPr="003F23AC">
        <w:rPr>
          <w:rFonts w:cs="Times New Roman"/>
          <w:noProof/>
          <w:lang w:val="sk-SK"/>
        </w:rPr>
        <w:t>vybavenia na vykonávanie fyzickej aktivity.</w:t>
      </w:r>
    </w:p>
    <w:p w14:paraId="0FCBA65F" w14:textId="389E7D92"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septembra</w:t>
      </w:r>
      <w:r w:rsidRPr="003F23AC">
        <w:rPr>
          <w:rFonts w:cs="Times New Roman"/>
          <w:noProof/>
          <w:lang w:val="sk-SK"/>
        </w:rPr>
        <w:t xml:space="preserve"> 2025.</w:t>
      </w:r>
    </w:p>
    <w:p w14:paraId="7D908420" w14:textId="0634E12D" w:rsidR="00387C70" w:rsidRPr="003F23AC" w:rsidRDefault="000F5AA4" w:rsidP="003F23AC">
      <w:pPr>
        <w:pStyle w:val="P68B1DB1-Normal5"/>
        <w:spacing w:before="240" w:after="0" w:line="259" w:lineRule="auto"/>
        <w:ind w:left="851"/>
        <w:jc w:val="both"/>
        <w:outlineLvl w:val="2"/>
        <w:rPr>
          <w:rFonts w:eastAsia="Times New Roman" w:cs="Times New Roman"/>
          <w:noProof/>
          <w:lang w:val="sk-SK"/>
        </w:rPr>
      </w:pPr>
      <w:bookmarkStart w:id="2" w:name="_Toc137472436"/>
      <w:r w:rsidRPr="003F23AC">
        <w:rPr>
          <w:rFonts w:cs="Times New Roman"/>
          <w:noProof/>
          <w:lang w:val="sk-SK"/>
        </w:rPr>
        <w:t xml:space="preserve">Investície RE-C01-i10: </w:t>
      </w:r>
      <w:bookmarkEnd w:id="2"/>
      <w:r w:rsidRPr="003F23AC">
        <w:rPr>
          <w:rFonts w:cs="Times New Roman"/>
          <w:noProof/>
          <w:lang w:val="sk-SK"/>
        </w:rPr>
        <w:t>Program modernizácie technológií NHS</w:t>
      </w:r>
    </w:p>
    <w:p w14:paraId="2C29C380" w14:textId="1C9C90F2"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Cieľom tejto investície je zlepšiť technologický park národnej zdravotnej služby (NHS), ktorý prispieva</w:t>
      </w:r>
      <w:r w:rsidR="00A75B3C" w:rsidRPr="003F23AC">
        <w:rPr>
          <w:rFonts w:cs="Times New Roman"/>
          <w:noProof/>
          <w:lang w:val="sk-SK"/>
        </w:rPr>
        <w:t xml:space="preserve"> k </w:t>
      </w:r>
      <w:r w:rsidRPr="003F23AC">
        <w:rPr>
          <w:rFonts w:cs="Times New Roman"/>
          <w:noProof/>
          <w:lang w:val="sk-SK"/>
        </w:rPr>
        <w:t>zlepšeniu služieb zdravotnej starostlivosti.</w:t>
      </w:r>
    </w:p>
    <w:p w14:paraId="502CDBD7" w14:textId="7123A1F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investícia zabezpečí nákup ťažkého zdravotníckeho vybavenia pre nemocnice NHS na základe správy schválenej ministerstvom zdravotníctva,</w:t>
      </w:r>
      <w:r w:rsidR="00A75B3C" w:rsidRPr="003F23AC">
        <w:rPr>
          <w:rFonts w:cs="Times New Roman"/>
          <w:noProof/>
          <w:lang w:val="sk-SK"/>
        </w:rPr>
        <w:t xml:space="preserve"> v </w:t>
      </w:r>
      <w:r w:rsidRPr="003F23AC">
        <w:rPr>
          <w:rFonts w:cs="Times New Roman"/>
          <w:noProof/>
          <w:lang w:val="sk-SK"/>
        </w:rPr>
        <w:t>ktorej sa uvádzajú potreby zariadení týchto nemocníc,</w:t>
      </w:r>
      <w:r w:rsidR="00A75B3C" w:rsidRPr="003F23AC">
        <w:rPr>
          <w:rFonts w:cs="Times New Roman"/>
          <w:noProof/>
          <w:lang w:val="sk-SK"/>
        </w:rPr>
        <w:t xml:space="preserve"> a </w:t>
      </w:r>
      <w:r w:rsidRPr="003F23AC">
        <w:rPr>
          <w:rFonts w:cs="Times New Roman"/>
          <w:noProof/>
          <w:lang w:val="sk-SK"/>
        </w:rPr>
        <w:t>to</w:t>
      </w:r>
      <w:r w:rsidR="00A75B3C" w:rsidRPr="003F23AC">
        <w:rPr>
          <w:rFonts w:cs="Times New Roman"/>
          <w:noProof/>
          <w:lang w:val="sk-SK"/>
        </w:rPr>
        <w:t xml:space="preserve"> v </w:t>
      </w:r>
      <w:r w:rsidRPr="003F23AC">
        <w:rPr>
          <w:rFonts w:cs="Times New Roman"/>
          <w:noProof/>
          <w:lang w:val="sk-SK"/>
        </w:rPr>
        <w:t>týchto kategóriách: angiografické systémy, skenery</w:t>
      </w:r>
      <w:r w:rsidR="00A75B3C" w:rsidRPr="003F23AC">
        <w:rPr>
          <w:rFonts w:cs="Times New Roman"/>
          <w:noProof/>
          <w:lang w:val="sk-SK"/>
        </w:rPr>
        <w:t xml:space="preserve"> s </w:t>
      </w:r>
      <w:r w:rsidRPr="003F23AC">
        <w:rPr>
          <w:rFonts w:cs="Times New Roman"/>
          <w:noProof/>
          <w:lang w:val="sk-SK"/>
        </w:rPr>
        <w:t>jednofonovou emisnou tomografiou, skenery na pozitrónovú emisnú tomografiu, zobrazovacie systémy magnetickej rezonancie, počítačové tomografické skenery, lineárne urýchľovače</w:t>
      </w:r>
      <w:r w:rsidR="00A75B3C" w:rsidRPr="003F23AC">
        <w:rPr>
          <w:rFonts w:cs="Times New Roman"/>
          <w:noProof/>
          <w:lang w:val="sk-SK"/>
        </w:rPr>
        <w:t xml:space="preserve"> a </w:t>
      </w:r>
      <w:r w:rsidRPr="003F23AC">
        <w:rPr>
          <w:rFonts w:cs="Times New Roman"/>
          <w:noProof/>
          <w:lang w:val="sk-SK"/>
        </w:rPr>
        <w:t>chirurgické roboty</w:t>
      </w:r>
      <w:r w:rsidR="00A75B3C" w:rsidRPr="003F23AC">
        <w:rPr>
          <w:rFonts w:cs="Times New Roman"/>
          <w:noProof/>
          <w:lang w:val="sk-SK"/>
        </w:rPr>
        <w:t>.</w:t>
      </w:r>
    </w:p>
    <w:p w14:paraId="7E32F4AC" w14:textId="29007574"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Z tejto investície sú vylúčené nemocnice jednotiek primárnej zdravotnej starostlivosti NHS, ktoré dostávajú finančné prostriedky</w:t>
      </w:r>
      <w:r w:rsidR="00A75B3C" w:rsidRPr="003F23AC">
        <w:rPr>
          <w:rFonts w:cs="Times New Roman"/>
          <w:noProof/>
          <w:lang w:val="sk-SK"/>
        </w:rPr>
        <w:t xml:space="preserve"> v </w:t>
      </w:r>
      <w:r w:rsidRPr="003F23AC">
        <w:rPr>
          <w:rFonts w:cs="Times New Roman"/>
          <w:noProof/>
          <w:lang w:val="sk-SK"/>
        </w:rPr>
        <w:t>rámci investícií RE-C01-i04</w:t>
      </w:r>
      <w:r w:rsidR="00A75B3C" w:rsidRPr="003F23AC">
        <w:rPr>
          <w:rFonts w:cs="Times New Roman"/>
          <w:noProof/>
          <w:lang w:val="sk-SK"/>
        </w:rPr>
        <w:t xml:space="preserve"> a </w:t>
      </w:r>
      <w:r w:rsidRPr="003F23AC">
        <w:rPr>
          <w:rFonts w:cs="Times New Roman"/>
          <w:noProof/>
          <w:lang w:val="sk-SK"/>
        </w:rPr>
        <w:t>RE-C01 – i01.</w:t>
      </w:r>
    </w:p>
    <w:p w14:paraId="03E16FDC" w14:textId="652083D1"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3F70E244" w14:textId="77777777" w:rsidR="00387C70" w:rsidRPr="003F23AC" w:rsidRDefault="00387C70" w:rsidP="003F23AC">
      <w:pPr>
        <w:spacing w:before="40" w:after="0" w:line="259" w:lineRule="auto"/>
        <w:jc w:val="both"/>
        <w:rPr>
          <w:rFonts w:ascii="Times New Roman" w:eastAsia="Times New Roman" w:hAnsi="Times New Roman" w:cs="Times New Roman"/>
          <w:noProof/>
          <w:sz w:val="24"/>
          <w:lang w:val="sk-SK"/>
        </w:rPr>
      </w:pPr>
    </w:p>
    <w:p w14:paraId="6B39DFAD"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3A4E8AF1" w14:textId="512DF5C1"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CA5ACC">
          <w:headerReference w:type="even" r:id="rId30"/>
          <w:headerReference w:type="default" r:id="rId31"/>
          <w:footerReference w:type="even" r:id="rId32"/>
          <w:footerReference w:type="default" r:id="rId33"/>
          <w:headerReference w:type="first" r:id="rId34"/>
          <w:footerReference w:type="first" r:id="rId35"/>
          <w:type w:val="continuous"/>
          <w:pgSz w:w="11907" w:h="16839"/>
          <w:pgMar w:top="1134" w:right="1134" w:bottom="1134" w:left="1134" w:header="567" w:footer="567" w:gutter="0"/>
          <w:cols w:space="720"/>
          <w:docGrid w:linePitch="360"/>
        </w:sectPr>
      </w:pPr>
    </w:p>
    <w:p w14:paraId="723522AE"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7B8052F6" w14:textId="678BE64C"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A.2.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992"/>
        <w:gridCol w:w="1843"/>
        <w:gridCol w:w="1418"/>
        <w:gridCol w:w="1164"/>
        <w:gridCol w:w="962"/>
        <w:gridCol w:w="805"/>
        <w:gridCol w:w="9"/>
        <w:gridCol w:w="824"/>
        <w:gridCol w:w="901"/>
        <w:gridCol w:w="3981"/>
      </w:tblGrid>
      <w:tr w:rsidR="00387C70" w:rsidRPr="003F23AC" w14:paraId="7B628CE4" w14:textId="77777777" w:rsidTr="003F23AC">
        <w:trPr>
          <w:trHeight w:val="910"/>
          <w:tblHeader/>
        </w:trPr>
        <w:tc>
          <w:tcPr>
            <w:tcW w:w="1135" w:type="dxa"/>
            <w:vMerge w:val="restart"/>
            <w:shd w:val="clear" w:color="auto" w:fill="BDD6EE"/>
            <w:noWrap/>
            <w:tcMar>
              <w:left w:w="28" w:type="dxa"/>
              <w:right w:w="28" w:type="dxa"/>
            </w:tcMar>
            <w:vAlign w:val="center"/>
            <w:hideMark/>
          </w:tcPr>
          <w:p w14:paraId="43757383"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76" w:type="dxa"/>
            <w:vMerge w:val="restart"/>
            <w:shd w:val="clear" w:color="auto" w:fill="BDD6EE"/>
            <w:noWrap/>
            <w:tcMar>
              <w:left w:w="28" w:type="dxa"/>
              <w:right w:w="28" w:type="dxa"/>
            </w:tcMar>
            <w:vAlign w:val="center"/>
            <w:hideMark/>
          </w:tcPr>
          <w:p w14:paraId="0BDD4AC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992" w:type="dxa"/>
            <w:vMerge w:val="restart"/>
            <w:shd w:val="clear" w:color="auto" w:fill="BDD6EE"/>
            <w:noWrap/>
            <w:tcMar>
              <w:left w:w="28" w:type="dxa"/>
              <w:right w:w="28" w:type="dxa"/>
            </w:tcMar>
            <w:vAlign w:val="center"/>
            <w:hideMark/>
          </w:tcPr>
          <w:p w14:paraId="43895947" w14:textId="12E1DEA9"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1843" w:type="dxa"/>
            <w:vMerge w:val="restart"/>
            <w:shd w:val="clear" w:color="auto" w:fill="BDD6EE"/>
            <w:noWrap/>
            <w:tcMar>
              <w:left w:w="28" w:type="dxa"/>
              <w:right w:w="28" w:type="dxa"/>
            </w:tcMar>
            <w:vAlign w:val="center"/>
            <w:hideMark/>
          </w:tcPr>
          <w:p w14:paraId="0732D51C"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418" w:type="dxa"/>
            <w:vMerge w:val="restart"/>
            <w:shd w:val="clear" w:color="auto" w:fill="BDD6EE"/>
            <w:noWrap/>
            <w:tcMar>
              <w:left w:w="28" w:type="dxa"/>
              <w:right w:w="28" w:type="dxa"/>
            </w:tcMar>
            <w:vAlign w:val="center"/>
            <w:hideMark/>
          </w:tcPr>
          <w:p w14:paraId="44263E41"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940" w:type="dxa"/>
            <w:gridSpan w:val="4"/>
            <w:shd w:val="clear" w:color="auto" w:fill="BDD6EE"/>
            <w:noWrap/>
            <w:tcMar>
              <w:left w:w="28" w:type="dxa"/>
              <w:right w:w="28" w:type="dxa"/>
            </w:tcMar>
            <w:vAlign w:val="center"/>
            <w:hideMark/>
          </w:tcPr>
          <w:p w14:paraId="0A2F2E77"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725" w:type="dxa"/>
            <w:gridSpan w:val="2"/>
            <w:shd w:val="clear" w:color="auto" w:fill="BDD6EE"/>
            <w:noWrap/>
            <w:tcMar>
              <w:left w:w="28" w:type="dxa"/>
              <w:right w:w="28" w:type="dxa"/>
            </w:tcMar>
            <w:vAlign w:val="center"/>
            <w:hideMark/>
          </w:tcPr>
          <w:p w14:paraId="4F163F74"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3981" w:type="dxa"/>
            <w:vMerge w:val="restart"/>
            <w:shd w:val="clear" w:color="auto" w:fill="BDD6EE"/>
            <w:noWrap/>
            <w:tcMar>
              <w:left w:w="28" w:type="dxa"/>
              <w:right w:w="28" w:type="dxa"/>
            </w:tcMar>
            <w:vAlign w:val="center"/>
            <w:hideMark/>
          </w:tcPr>
          <w:p w14:paraId="238D3622" w14:textId="2D4347CC"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775EA2A6" w14:textId="77777777" w:rsidTr="003F23AC">
        <w:trPr>
          <w:trHeight w:val="300"/>
          <w:tblHeader/>
        </w:trPr>
        <w:tc>
          <w:tcPr>
            <w:tcW w:w="1135" w:type="dxa"/>
            <w:vMerge/>
            <w:tcMar>
              <w:left w:w="28" w:type="dxa"/>
              <w:right w:w="28" w:type="dxa"/>
            </w:tcMar>
            <w:vAlign w:val="center"/>
            <w:hideMark/>
          </w:tcPr>
          <w:p w14:paraId="0EC3FF2B"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6" w:type="dxa"/>
            <w:vMerge/>
            <w:tcMar>
              <w:left w:w="28" w:type="dxa"/>
              <w:right w:w="28" w:type="dxa"/>
            </w:tcMar>
            <w:vAlign w:val="center"/>
            <w:hideMark/>
          </w:tcPr>
          <w:p w14:paraId="1020BD4F"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992" w:type="dxa"/>
            <w:vMerge/>
            <w:noWrap/>
            <w:tcMar>
              <w:left w:w="28" w:type="dxa"/>
              <w:right w:w="28" w:type="dxa"/>
            </w:tcMar>
            <w:vAlign w:val="center"/>
            <w:hideMark/>
          </w:tcPr>
          <w:p w14:paraId="530B4B60" w14:textId="4C0DADAB"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843" w:type="dxa"/>
            <w:vMerge/>
            <w:tcMar>
              <w:left w:w="28" w:type="dxa"/>
              <w:right w:w="28" w:type="dxa"/>
            </w:tcMar>
            <w:vAlign w:val="center"/>
            <w:hideMark/>
          </w:tcPr>
          <w:p w14:paraId="73578D3F"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418" w:type="dxa"/>
            <w:vMerge/>
            <w:tcMar>
              <w:left w:w="28" w:type="dxa"/>
              <w:right w:w="28" w:type="dxa"/>
            </w:tcMar>
            <w:vAlign w:val="center"/>
            <w:hideMark/>
          </w:tcPr>
          <w:p w14:paraId="00D28EE5"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64" w:type="dxa"/>
            <w:shd w:val="clear" w:color="auto" w:fill="BDD6EE"/>
            <w:noWrap/>
            <w:tcMar>
              <w:left w:w="28" w:type="dxa"/>
              <w:right w:w="28" w:type="dxa"/>
            </w:tcMar>
            <w:vAlign w:val="center"/>
            <w:hideMark/>
          </w:tcPr>
          <w:p w14:paraId="28C094F9"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962" w:type="dxa"/>
            <w:shd w:val="clear" w:color="auto" w:fill="BDD6EE"/>
            <w:noWrap/>
            <w:tcMar>
              <w:left w:w="28" w:type="dxa"/>
              <w:right w:w="28" w:type="dxa"/>
            </w:tcMar>
            <w:vAlign w:val="center"/>
            <w:hideMark/>
          </w:tcPr>
          <w:p w14:paraId="7F1FED9F" w14:textId="6375C6C3"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805" w:type="dxa"/>
            <w:shd w:val="clear" w:color="auto" w:fill="BDD6EE"/>
            <w:noWrap/>
            <w:tcMar>
              <w:left w:w="28" w:type="dxa"/>
              <w:right w:w="28" w:type="dxa"/>
            </w:tcMar>
            <w:vAlign w:val="center"/>
            <w:hideMark/>
          </w:tcPr>
          <w:p w14:paraId="06EBD7F3" w14:textId="2DD82866"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833" w:type="dxa"/>
            <w:gridSpan w:val="2"/>
            <w:shd w:val="clear" w:color="auto" w:fill="BDD6EE"/>
            <w:noWrap/>
            <w:tcMar>
              <w:left w:w="28" w:type="dxa"/>
              <w:right w:w="28" w:type="dxa"/>
            </w:tcMar>
            <w:vAlign w:val="center"/>
            <w:hideMark/>
          </w:tcPr>
          <w:p w14:paraId="20C845CB" w14:textId="16455A4D"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901" w:type="dxa"/>
            <w:shd w:val="clear" w:color="auto" w:fill="BDD6EE"/>
            <w:noWrap/>
            <w:tcMar>
              <w:left w:w="28" w:type="dxa"/>
              <w:right w:w="28" w:type="dxa"/>
            </w:tcMar>
            <w:vAlign w:val="center"/>
            <w:hideMark/>
          </w:tcPr>
          <w:p w14:paraId="3E2A3F48"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3981" w:type="dxa"/>
            <w:vMerge/>
            <w:tcMar>
              <w:left w:w="28" w:type="dxa"/>
              <w:right w:w="28" w:type="dxa"/>
            </w:tcMar>
            <w:vAlign w:val="center"/>
            <w:hideMark/>
          </w:tcPr>
          <w:p w14:paraId="75CA9262"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121D32D4" w14:textId="77777777" w:rsidTr="003F23AC">
        <w:trPr>
          <w:trHeight w:val="1270"/>
        </w:trPr>
        <w:tc>
          <w:tcPr>
            <w:tcW w:w="1135" w:type="dxa"/>
            <w:shd w:val="clear" w:color="auto" w:fill="C4EFCE"/>
            <w:noWrap/>
            <w:tcMar>
              <w:left w:w="28" w:type="dxa"/>
              <w:right w:w="28" w:type="dxa"/>
            </w:tcMar>
            <w:vAlign w:val="center"/>
            <w:hideMark/>
          </w:tcPr>
          <w:p w14:paraId="0492ADA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w:t>
            </w:r>
          </w:p>
        </w:tc>
        <w:tc>
          <w:tcPr>
            <w:tcW w:w="1276" w:type="dxa"/>
            <w:shd w:val="clear" w:color="auto" w:fill="C4EFCE"/>
            <w:noWrap/>
            <w:tcMar>
              <w:left w:w="28" w:type="dxa"/>
              <w:right w:w="28" w:type="dxa"/>
            </w:tcMar>
            <w:vAlign w:val="center"/>
            <w:hideMark/>
          </w:tcPr>
          <w:p w14:paraId="0A1B7539" w14:textId="1DB6CCAA"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C01-r01</w:t>
            </w:r>
          </w:p>
        </w:tc>
        <w:tc>
          <w:tcPr>
            <w:tcW w:w="992" w:type="dxa"/>
            <w:shd w:val="clear" w:color="auto" w:fill="C4EFCE"/>
            <w:noWrap/>
            <w:tcMar>
              <w:left w:w="28" w:type="dxa"/>
              <w:right w:w="28" w:type="dxa"/>
            </w:tcMar>
            <w:vAlign w:val="center"/>
            <w:hideMark/>
          </w:tcPr>
          <w:p w14:paraId="5A6CB19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16E6F728" w14:textId="08D93FF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právnych aktov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primárnej zdravotnej starostlivosti</w:t>
            </w:r>
          </w:p>
        </w:tc>
        <w:tc>
          <w:tcPr>
            <w:tcW w:w="1418" w:type="dxa"/>
            <w:shd w:val="clear" w:color="auto" w:fill="C4EFCE"/>
            <w:noWrap/>
            <w:tcMar>
              <w:left w:w="28" w:type="dxa"/>
              <w:right w:w="28" w:type="dxa"/>
            </w:tcMar>
            <w:vAlign w:val="center"/>
            <w:hideMark/>
          </w:tcPr>
          <w:p w14:paraId="35A47D9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revidovaných právnych aktov</w:t>
            </w:r>
          </w:p>
        </w:tc>
        <w:tc>
          <w:tcPr>
            <w:tcW w:w="1164" w:type="dxa"/>
            <w:shd w:val="clear" w:color="auto" w:fill="C4EFCE"/>
            <w:noWrap/>
            <w:tcMar>
              <w:left w:w="28" w:type="dxa"/>
              <w:right w:w="28" w:type="dxa"/>
            </w:tcMar>
            <w:vAlign w:val="center"/>
            <w:hideMark/>
          </w:tcPr>
          <w:p w14:paraId="0271FAD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69B0074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2114297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1D871EE2" w14:textId="564C89E0"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901" w:type="dxa"/>
            <w:shd w:val="clear" w:color="auto" w:fill="C4EFCE"/>
            <w:noWrap/>
            <w:tcMar>
              <w:left w:w="28" w:type="dxa"/>
              <w:right w:w="28" w:type="dxa"/>
            </w:tcMar>
            <w:vAlign w:val="center"/>
            <w:hideMark/>
          </w:tcPr>
          <w:p w14:paraId="63B8927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81" w:type="dxa"/>
            <w:shd w:val="clear" w:color="auto" w:fill="C4EFCE"/>
            <w:noWrap/>
            <w:tcMar>
              <w:left w:w="28" w:type="dxa"/>
              <w:right w:w="28" w:type="dxa"/>
            </w:tcMar>
            <w:vAlign w:val="center"/>
            <w:hideMark/>
          </w:tcPr>
          <w:p w14:paraId="3AD82C03" w14:textId="1B02BE1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Revízia právnych aktov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primárnej zdravotnej starostlivosti, konkrétne: I) právne predpisy,</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 xml:space="preserve">ktorých vychádzajú funkčné jednotky stredísk primárnej zdravotnej starostlivosti (vrátane zákonného dekrétu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73/2017</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rodinných zdravotných jednotkách modelu B, nariadenia vlády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1368/2007, pravidiel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modelu odmeňovania rodinných zdravotných jednotiek modelu 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súvisiaceho právneho aktu, ako aj právnych aktov podporujúcich fungovanie iných typov jednotiek primárnej zdravotnej starostlivosti);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ii) právne predpisy,</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ktorých vychádzajú skupiny zdravotníckych centier (vrátane právnych aktov,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 xml:space="preserve">ktorých vychádzajú skupiny zdravotníckych centier, konkrétne zákonný dekrét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28/2008).</w:t>
            </w:r>
          </w:p>
        </w:tc>
      </w:tr>
      <w:tr w:rsidR="00387C70" w:rsidRPr="003F23AC" w14:paraId="50205165" w14:textId="77777777" w:rsidTr="003F23AC">
        <w:trPr>
          <w:trHeight w:val="1270"/>
        </w:trPr>
        <w:tc>
          <w:tcPr>
            <w:tcW w:w="1135" w:type="dxa"/>
            <w:shd w:val="clear" w:color="auto" w:fill="C4EFCE"/>
            <w:noWrap/>
            <w:tcMar>
              <w:left w:w="28" w:type="dxa"/>
              <w:right w:w="28" w:type="dxa"/>
            </w:tcMar>
            <w:vAlign w:val="center"/>
            <w:hideMark/>
          </w:tcPr>
          <w:p w14:paraId="0533AA4A"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w:t>
            </w:r>
          </w:p>
        </w:tc>
        <w:tc>
          <w:tcPr>
            <w:tcW w:w="1276" w:type="dxa"/>
            <w:shd w:val="clear" w:color="auto" w:fill="C4EFCE"/>
            <w:noWrap/>
            <w:tcMar>
              <w:left w:w="28" w:type="dxa"/>
              <w:right w:w="28" w:type="dxa"/>
            </w:tcMar>
            <w:vAlign w:val="center"/>
            <w:hideMark/>
          </w:tcPr>
          <w:p w14:paraId="2A187FFF" w14:textId="22C6B1D0"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C01-r01</w:t>
            </w:r>
          </w:p>
        </w:tc>
        <w:tc>
          <w:tcPr>
            <w:tcW w:w="992" w:type="dxa"/>
            <w:shd w:val="clear" w:color="auto" w:fill="C4EFCE"/>
            <w:noWrap/>
            <w:tcMar>
              <w:left w:w="28" w:type="dxa"/>
              <w:right w:w="28" w:type="dxa"/>
            </w:tcMar>
            <w:vAlign w:val="center"/>
            <w:hideMark/>
          </w:tcPr>
          <w:p w14:paraId="08F32C70" w14:textId="418411E3"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73FC6D25" w14:textId="0479B6E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Poskytovanie prístupu</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nástroju na stratifikáciu rizík na podporu klinického riadenia vo funkčných jednotkách skupín zdravotníckych stredísk</w:t>
            </w:r>
          </w:p>
        </w:tc>
        <w:tc>
          <w:tcPr>
            <w:tcW w:w="1418" w:type="dxa"/>
            <w:shd w:val="clear" w:color="auto" w:fill="C4EFCE"/>
            <w:noWrap/>
            <w:tcMar>
              <w:left w:w="28" w:type="dxa"/>
              <w:right w:w="28" w:type="dxa"/>
            </w:tcMar>
            <w:vAlign w:val="center"/>
            <w:hideMark/>
          </w:tcPr>
          <w:p w14:paraId="35F427F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72AD19F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75CB367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0FF60DC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1 000</w:t>
            </w:r>
          </w:p>
        </w:tc>
        <w:tc>
          <w:tcPr>
            <w:tcW w:w="833" w:type="dxa"/>
            <w:gridSpan w:val="2"/>
            <w:shd w:val="clear" w:color="auto" w:fill="C4EFCE"/>
            <w:noWrap/>
            <w:tcMar>
              <w:left w:w="28" w:type="dxa"/>
              <w:right w:w="28" w:type="dxa"/>
            </w:tcMar>
            <w:vAlign w:val="center"/>
            <w:hideMark/>
          </w:tcPr>
          <w:p w14:paraId="6D7BB0A8" w14:textId="0EFD3B4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hideMark/>
          </w:tcPr>
          <w:p w14:paraId="3D3518A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81" w:type="dxa"/>
            <w:shd w:val="clear" w:color="auto" w:fill="C4EFCE"/>
            <w:noWrap/>
            <w:tcMar>
              <w:left w:w="28" w:type="dxa"/>
              <w:right w:w="28" w:type="dxa"/>
            </w:tcMar>
            <w:vAlign w:val="center"/>
            <w:hideMark/>
          </w:tcPr>
          <w:p w14:paraId="39000082" w14:textId="40CF516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funkčných jednotiek zdravotných stredísk, ktoré získajú 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informáciám</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nástroja na stratifikáciu rizík, ktorý sa vzťahuje na registrovaných používateľov. Nástroj stratifikácie rizík umožní proaktívnu intervenciu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populáciách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vyšším klinickým rizikom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sociálnou zraniteľnosťou, pričom zabezpečí programy skríningu obyvateľstva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včasnej diagnostiky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celej krajine, ako aj včasnú liečbu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primerané sledovanie používateľov, ktorí trpia najčastejšími chorobami (kardiovaskulárnymi ochoreniami, cukrovkou, rakovinou, respiračnými, duševnými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osteoartikulárnymi ochoreniami).</w:t>
            </w:r>
          </w:p>
        </w:tc>
      </w:tr>
      <w:tr w:rsidR="00387C70" w:rsidRPr="003F23AC" w14:paraId="10D6008A" w14:textId="77777777" w:rsidTr="003F23AC">
        <w:trPr>
          <w:trHeight w:val="1123"/>
        </w:trPr>
        <w:tc>
          <w:tcPr>
            <w:tcW w:w="1135" w:type="dxa"/>
            <w:shd w:val="clear" w:color="auto" w:fill="C4EFCE"/>
            <w:noWrap/>
            <w:tcMar>
              <w:left w:w="28" w:type="dxa"/>
              <w:right w:w="28" w:type="dxa"/>
            </w:tcMar>
            <w:vAlign w:val="center"/>
            <w:hideMark/>
          </w:tcPr>
          <w:p w14:paraId="02DF653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w:t>
            </w:r>
          </w:p>
        </w:tc>
        <w:tc>
          <w:tcPr>
            <w:tcW w:w="1276" w:type="dxa"/>
            <w:shd w:val="clear" w:color="auto" w:fill="C4EFCE"/>
            <w:noWrap/>
            <w:tcMar>
              <w:left w:w="28" w:type="dxa"/>
              <w:right w:w="28" w:type="dxa"/>
            </w:tcMar>
            <w:vAlign w:val="center"/>
            <w:hideMark/>
          </w:tcPr>
          <w:p w14:paraId="4F399F94" w14:textId="0BEB801E"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C01-r01</w:t>
            </w:r>
          </w:p>
        </w:tc>
        <w:tc>
          <w:tcPr>
            <w:tcW w:w="992" w:type="dxa"/>
            <w:shd w:val="clear" w:color="auto" w:fill="C4EFCE"/>
            <w:noWrap/>
            <w:tcMar>
              <w:left w:w="28" w:type="dxa"/>
              <w:right w:w="28" w:type="dxa"/>
            </w:tcMar>
            <w:vAlign w:val="center"/>
            <w:hideMark/>
          </w:tcPr>
          <w:p w14:paraId="70ABD2FF" w14:textId="10967DE8"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0ACA7681" w14:textId="6B2FCFC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Ukončenie procesu decentralizácie zodpovedností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zdravia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obciach</w:t>
            </w:r>
          </w:p>
        </w:tc>
        <w:tc>
          <w:tcPr>
            <w:tcW w:w="1418" w:type="dxa"/>
            <w:shd w:val="clear" w:color="auto" w:fill="C4EFCE"/>
            <w:noWrap/>
            <w:tcMar>
              <w:left w:w="28" w:type="dxa"/>
              <w:right w:w="28" w:type="dxa"/>
            </w:tcMar>
            <w:vAlign w:val="center"/>
            <w:hideMark/>
          </w:tcPr>
          <w:p w14:paraId="1430DBB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31693BA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2D21E5B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0876368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201</w:t>
            </w:r>
          </w:p>
        </w:tc>
        <w:tc>
          <w:tcPr>
            <w:tcW w:w="833" w:type="dxa"/>
            <w:gridSpan w:val="2"/>
            <w:shd w:val="clear" w:color="auto" w:fill="C4EFCE"/>
            <w:noWrap/>
            <w:tcMar>
              <w:left w:w="28" w:type="dxa"/>
              <w:right w:w="28" w:type="dxa"/>
            </w:tcMar>
            <w:vAlign w:val="center"/>
            <w:hideMark/>
          </w:tcPr>
          <w:p w14:paraId="3A15E654" w14:textId="02DA0D3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hideMark/>
          </w:tcPr>
          <w:p w14:paraId="7531FAD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81" w:type="dxa"/>
            <w:shd w:val="clear" w:color="auto" w:fill="C4EFCE"/>
            <w:noWrap/>
            <w:tcMar>
              <w:left w:w="28" w:type="dxa"/>
              <w:right w:w="28" w:type="dxa"/>
            </w:tcMar>
            <w:vAlign w:val="center"/>
            <w:hideMark/>
          </w:tcPr>
          <w:p w14:paraId="1970A0D0" w14:textId="48D490B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nových obcí,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ktorých bol ukončený proces decentralizácie zodpovedností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zdravia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súlade so zákonným dekrétom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23/2019</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30</w:t>
            </w:r>
            <w:r w:rsidR="00A75B3C" w:rsidRPr="003F23AC">
              <w:rPr>
                <w:rFonts w:ascii="Times New Roman" w:hAnsi="Times New Roman" w:cs="Times New Roman"/>
                <w:noProof/>
                <w:lang w:val="sk-SK"/>
              </w:rPr>
              <w:t>. januára</w:t>
            </w:r>
            <w:r w:rsidRPr="003F23AC">
              <w:rPr>
                <w:rFonts w:ascii="Times New Roman" w:hAnsi="Times New Roman" w:cs="Times New Roman"/>
                <w:noProof/>
                <w:lang w:val="sk-SK"/>
              </w:rPr>
              <w: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to podpísaním oznámenia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prevode ministerstvom zdravotníctva, regionálnymi zdravotníckymi správami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obcami. Prenos povinností sa vzťahuje najmä na: I) účasť obcí na rozhodnutiach</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plánovaní, riadení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investíciách jednotiek primárnej zdravotnej starostlivosti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divízií zásahov do návykového správania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závislostí, najmä pri ich výstavbe, vybavení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údržbe; II) riadenie, údržba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ochrana iného vybavenia súvisiaceho</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primárnou zdravotnou starostlivosťou; III) riadenie zdravotníckych pracovníkov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kategórii prevádzkového asistenta funkčných jednotiek skupín zdravotníckych centier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divízií zásahov do návykového správania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závislostí, ktoré zahŕňajú Národnú zdravotnú službu; IV) riadenie logistických podporných služieb skupín zdravotníckych stredísk. </w:t>
            </w:r>
          </w:p>
        </w:tc>
      </w:tr>
      <w:tr w:rsidR="00387C70" w:rsidRPr="003F23AC" w14:paraId="52519A96" w14:textId="77777777" w:rsidTr="003F23AC">
        <w:trPr>
          <w:trHeight w:val="640"/>
        </w:trPr>
        <w:tc>
          <w:tcPr>
            <w:tcW w:w="1135" w:type="dxa"/>
            <w:shd w:val="clear" w:color="auto" w:fill="C4EFCE"/>
            <w:noWrap/>
            <w:tcMar>
              <w:left w:w="28" w:type="dxa"/>
              <w:right w:w="28" w:type="dxa"/>
            </w:tcMar>
            <w:vAlign w:val="center"/>
            <w:hideMark/>
          </w:tcPr>
          <w:p w14:paraId="7CDF71B7"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w:t>
            </w:r>
          </w:p>
        </w:tc>
        <w:tc>
          <w:tcPr>
            <w:tcW w:w="1276" w:type="dxa"/>
            <w:shd w:val="clear" w:color="auto" w:fill="C4EFCE"/>
            <w:noWrap/>
            <w:tcMar>
              <w:left w:w="28" w:type="dxa"/>
              <w:right w:w="28" w:type="dxa"/>
            </w:tcMar>
            <w:vAlign w:val="center"/>
            <w:hideMark/>
          </w:tcPr>
          <w:p w14:paraId="231A738A" w14:textId="375BDC7A"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C01-r02</w:t>
            </w:r>
          </w:p>
        </w:tc>
        <w:tc>
          <w:tcPr>
            <w:tcW w:w="992" w:type="dxa"/>
            <w:shd w:val="clear" w:color="auto" w:fill="C4EFCE"/>
            <w:noWrap/>
            <w:tcMar>
              <w:left w:w="28" w:type="dxa"/>
              <w:right w:w="28" w:type="dxa"/>
            </w:tcMar>
            <w:vAlign w:val="center"/>
            <w:hideMark/>
          </w:tcPr>
          <w:p w14:paraId="48CF4AE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537A3F1D" w14:textId="50A7266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zákonného dekrétu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duševnom zdraví,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ktorom sa stanovia zásady organizácie služieb starostlivosti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duševné zdravie</w:t>
            </w:r>
          </w:p>
        </w:tc>
        <w:tc>
          <w:tcPr>
            <w:tcW w:w="1418" w:type="dxa"/>
            <w:shd w:val="clear" w:color="auto" w:fill="C4EFCE"/>
            <w:noWrap/>
            <w:tcMar>
              <w:left w:w="28" w:type="dxa"/>
              <w:right w:w="28" w:type="dxa"/>
            </w:tcMar>
            <w:vAlign w:val="center"/>
            <w:hideMark/>
          </w:tcPr>
          <w:p w14:paraId="13D40D49" w14:textId="3E2AC18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zákonného dekrétu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duševnom zdraví</w:t>
            </w:r>
          </w:p>
        </w:tc>
        <w:tc>
          <w:tcPr>
            <w:tcW w:w="1164" w:type="dxa"/>
            <w:shd w:val="clear" w:color="auto" w:fill="C4EFCE"/>
            <w:noWrap/>
            <w:tcMar>
              <w:left w:w="28" w:type="dxa"/>
              <w:right w:w="28" w:type="dxa"/>
            </w:tcMar>
            <w:vAlign w:val="center"/>
            <w:hideMark/>
          </w:tcPr>
          <w:p w14:paraId="490E638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480C890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23F2D09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35388639" w14:textId="76929B9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hideMark/>
          </w:tcPr>
          <w:p w14:paraId="548204F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3981" w:type="dxa"/>
            <w:shd w:val="clear" w:color="auto" w:fill="C4EFCE"/>
            <w:noWrap/>
            <w:tcMar>
              <w:left w:w="28" w:type="dxa"/>
              <w:right w:w="28" w:type="dxa"/>
            </w:tcMar>
            <w:vAlign w:val="center"/>
            <w:hideMark/>
          </w:tcPr>
          <w:p w14:paraId="1B060DF1" w14:textId="0E3237A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V novom zákonnom dekréte sa zohľadnia návrhy na zmeny, ktoré predložila pracovná skupina zriadená nariadením vlády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6324/2020</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15</w:t>
            </w:r>
            <w:r w:rsidR="00A75B3C" w:rsidRPr="003F23AC">
              <w:rPr>
                <w:rFonts w:ascii="Times New Roman" w:hAnsi="Times New Roman" w:cs="Times New Roman"/>
                <w:noProof/>
                <w:lang w:val="sk-SK"/>
              </w:rPr>
              <w:t>. júna</w:t>
            </w:r>
            <w:r w:rsidRPr="003F23AC">
              <w:rPr>
                <w:rFonts w:ascii="Times New Roman" w:hAnsi="Times New Roman" w:cs="Times New Roman"/>
                <w:noProof/>
                <w:lang w:val="sk-SK"/>
              </w:rPr>
              <w:t xml:space="preserve"> zmeneným nariadením vlády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11485/2020</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novembra s </w:t>
            </w:r>
            <w:r w:rsidRPr="003F23AC">
              <w:rPr>
                <w:rFonts w:ascii="Times New Roman" w:hAnsi="Times New Roman" w:cs="Times New Roman"/>
                <w:noProof/>
                <w:lang w:val="sk-SK"/>
              </w:rPr>
              <w:t>cieľom vymedziť zásady organizácie služieb starostlivosti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duševné zdravie.</w:t>
            </w:r>
          </w:p>
        </w:tc>
      </w:tr>
      <w:tr w:rsidR="00387C70" w:rsidRPr="003F23AC" w14:paraId="5A9C21C0" w14:textId="77777777" w:rsidTr="003F23AC">
        <w:trPr>
          <w:trHeight w:val="1966"/>
        </w:trPr>
        <w:tc>
          <w:tcPr>
            <w:tcW w:w="1135" w:type="dxa"/>
            <w:shd w:val="clear" w:color="auto" w:fill="C4EFCE"/>
            <w:noWrap/>
            <w:tcMar>
              <w:left w:w="28" w:type="dxa"/>
              <w:right w:w="28" w:type="dxa"/>
            </w:tcMar>
            <w:vAlign w:val="center"/>
            <w:hideMark/>
          </w:tcPr>
          <w:p w14:paraId="1FA443A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w:t>
            </w:r>
          </w:p>
        </w:tc>
        <w:tc>
          <w:tcPr>
            <w:tcW w:w="1276" w:type="dxa"/>
            <w:shd w:val="clear" w:color="auto" w:fill="C4EFCE"/>
            <w:noWrap/>
            <w:tcMar>
              <w:left w:w="28" w:type="dxa"/>
              <w:right w:w="28" w:type="dxa"/>
            </w:tcMar>
            <w:vAlign w:val="center"/>
            <w:hideMark/>
          </w:tcPr>
          <w:p w14:paraId="7BC38134" w14:textId="0286BAB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C01-r02</w:t>
            </w:r>
          </w:p>
        </w:tc>
        <w:tc>
          <w:tcPr>
            <w:tcW w:w="992" w:type="dxa"/>
            <w:shd w:val="clear" w:color="auto" w:fill="C4EFCE"/>
            <w:noWrap/>
            <w:tcMar>
              <w:left w:w="28" w:type="dxa"/>
              <w:right w:w="28" w:type="dxa"/>
            </w:tcMar>
            <w:vAlign w:val="center"/>
            <w:hideMark/>
          </w:tcPr>
          <w:p w14:paraId="1640A28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48A8BC09" w14:textId="74DAAB4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zákona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duševnom zdraví, ktorý stanovuje zásady týkajúce sa práv osôb</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duševnou chorobou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upravuje povinnú hospitalizáciu alebo liečbu</w:t>
            </w:r>
          </w:p>
        </w:tc>
        <w:tc>
          <w:tcPr>
            <w:tcW w:w="1418" w:type="dxa"/>
            <w:shd w:val="clear" w:color="auto" w:fill="C4EFCE"/>
            <w:noWrap/>
            <w:tcMar>
              <w:left w:w="28" w:type="dxa"/>
              <w:right w:w="28" w:type="dxa"/>
            </w:tcMar>
            <w:vAlign w:val="center"/>
            <w:hideMark/>
          </w:tcPr>
          <w:p w14:paraId="0C4283AF" w14:textId="3816A56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zákona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duševnom zdraví</w:t>
            </w:r>
          </w:p>
        </w:tc>
        <w:tc>
          <w:tcPr>
            <w:tcW w:w="1164" w:type="dxa"/>
            <w:shd w:val="clear" w:color="auto" w:fill="C4EFCE"/>
            <w:noWrap/>
            <w:tcMar>
              <w:left w:w="28" w:type="dxa"/>
              <w:right w:w="28" w:type="dxa"/>
            </w:tcMar>
            <w:vAlign w:val="center"/>
            <w:hideMark/>
          </w:tcPr>
          <w:p w14:paraId="6EC27EF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368D413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640AB3A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099B69D0" w14:textId="6105CD0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901" w:type="dxa"/>
            <w:shd w:val="clear" w:color="auto" w:fill="C4EFCE"/>
            <w:noWrap/>
            <w:tcMar>
              <w:left w:w="28" w:type="dxa"/>
              <w:right w:w="28" w:type="dxa"/>
            </w:tcMar>
            <w:vAlign w:val="center"/>
            <w:hideMark/>
          </w:tcPr>
          <w:p w14:paraId="2A36F70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81" w:type="dxa"/>
            <w:shd w:val="clear" w:color="auto" w:fill="C4EFCE"/>
            <w:noWrap/>
            <w:tcMar>
              <w:left w:w="28" w:type="dxa"/>
              <w:right w:w="28" w:type="dxa"/>
            </w:tcMar>
            <w:vAlign w:val="center"/>
            <w:hideMark/>
          </w:tcPr>
          <w:p w14:paraId="19AE9BCF" w14:textId="1506963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 novom zákone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duševnom zdraví sa zohľadnia návrhy na zmeny, ktoré predložila pracovná skupina zriadená nariadením vlády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6324/2020</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15</w:t>
            </w:r>
            <w:r w:rsidR="00A75B3C" w:rsidRPr="003F23AC">
              <w:rPr>
                <w:rFonts w:ascii="Times New Roman" w:hAnsi="Times New Roman" w:cs="Times New Roman"/>
                <w:noProof/>
                <w:lang w:val="sk-SK"/>
              </w:rPr>
              <w:t>. júna</w:t>
            </w:r>
            <w:r w:rsidRPr="003F23AC">
              <w:rPr>
                <w:rFonts w:ascii="Times New Roman" w:hAnsi="Times New Roman" w:cs="Times New Roman"/>
                <w:noProof/>
                <w:lang w:val="sk-SK"/>
              </w:rPr>
              <w:t xml:space="preserve"> zmeneným nariadením vlády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11485/2020</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novembra s </w:t>
            </w:r>
            <w:r w:rsidRPr="003F23AC">
              <w:rPr>
                <w:rFonts w:ascii="Times New Roman" w:hAnsi="Times New Roman" w:cs="Times New Roman"/>
                <w:noProof/>
                <w:lang w:val="sk-SK"/>
              </w:rPr>
              <w:t>cieľom stanoviť zásady týkajúce sa práv osôb</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duševnou chorobou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regulovať povinnú hospitalizáciu alebo liečbu.</w:t>
            </w:r>
          </w:p>
        </w:tc>
      </w:tr>
      <w:tr w:rsidR="00387C70" w:rsidRPr="003F23AC" w14:paraId="30477D5B" w14:textId="77777777" w:rsidTr="003F23AC">
        <w:trPr>
          <w:trHeight w:val="850"/>
        </w:trPr>
        <w:tc>
          <w:tcPr>
            <w:tcW w:w="1135" w:type="dxa"/>
            <w:shd w:val="clear" w:color="auto" w:fill="C4EFCE"/>
            <w:noWrap/>
            <w:tcMar>
              <w:left w:w="28" w:type="dxa"/>
              <w:right w:w="28" w:type="dxa"/>
            </w:tcMar>
            <w:vAlign w:val="center"/>
            <w:hideMark/>
          </w:tcPr>
          <w:p w14:paraId="32C79C8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w:t>
            </w:r>
          </w:p>
        </w:tc>
        <w:tc>
          <w:tcPr>
            <w:tcW w:w="1276" w:type="dxa"/>
            <w:shd w:val="clear" w:color="auto" w:fill="C4EFCE"/>
            <w:noWrap/>
            <w:tcMar>
              <w:left w:w="28" w:type="dxa"/>
              <w:right w:w="28" w:type="dxa"/>
            </w:tcMar>
            <w:vAlign w:val="center"/>
            <w:hideMark/>
          </w:tcPr>
          <w:p w14:paraId="2ECC3EA8" w14:textId="32E9C663"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C01-r03</w:t>
            </w:r>
          </w:p>
        </w:tc>
        <w:tc>
          <w:tcPr>
            <w:tcW w:w="992" w:type="dxa"/>
            <w:shd w:val="clear" w:color="auto" w:fill="C4EFCE"/>
            <w:noWrap/>
            <w:tcMar>
              <w:left w:w="28" w:type="dxa"/>
              <w:right w:w="28" w:type="dxa"/>
            </w:tcMar>
            <w:vAlign w:val="center"/>
            <w:hideMark/>
          </w:tcPr>
          <w:p w14:paraId="6C8C908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6791F258" w14:textId="76849B6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vzoru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výkone správy </w:t>
            </w:r>
          </w:p>
        </w:tc>
        <w:tc>
          <w:tcPr>
            <w:tcW w:w="1418" w:type="dxa"/>
            <w:shd w:val="clear" w:color="auto" w:fill="C4EFCE"/>
            <w:noWrap/>
            <w:tcMar>
              <w:left w:w="28" w:type="dxa"/>
              <w:right w:w="28" w:type="dxa"/>
            </w:tcMar>
            <w:vAlign w:val="center"/>
            <w:hideMark/>
          </w:tcPr>
          <w:p w14:paraId="650B0FAE" w14:textId="22188EC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vzoru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výkone správy</w:t>
            </w:r>
          </w:p>
        </w:tc>
        <w:tc>
          <w:tcPr>
            <w:tcW w:w="1164" w:type="dxa"/>
            <w:shd w:val="clear" w:color="auto" w:fill="C4EFCE"/>
            <w:noWrap/>
            <w:tcMar>
              <w:left w:w="28" w:type="dxa"/>
              <w:right w:w="28" w:type="dxa"/>
            </w:tcMar>
            <w:vAlign w:val="center"/>
            <w:hideMark/>
          </w:tcPr>
          <w:p w14:paraId="74656DC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7230ACB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505F422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717978E7" w14:textId="0BAAB00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901" w:type="dxa"/>
            <w:shd w:val="clear" w:color="auto" w:fill="C4EFCE"/>
            <w:noWrap/>
            <w:tcMar>
              <w:left w:w="28" w:type="dxa"/>
              <w:right w:w="28" w:type="dxa"/>
            </w:tcMar>
            <w:vAlign w:val="center"/>
            <w:hideMark/>
          </w:tcPr>
          <w:p w14:paraId="5C20329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81" w:type="dxa"/>
            <w:shd w:val="clear" w:color="auto" w:fill="C4EFCE"/>
            <w:noWrap/>
            <w:tcMar>
              <w:left w:w="28" w:type="dxa"/>
              <w:right w:w="28" w:type="dxa"/>
            </w:tcMar>
            <w:vAlign w:val="center"/>
            <w:hideMark/>
          </w:tcPr>
          <w:p w14:paraId="5A41FB03" w14:textId="58BC158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vzoru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správe prostredníctvom spoločného schválenia ministerstvami zdravotníctva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financií. Nový vzor sa musí dodržiavať vo všetkých budúcich zmluvách</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riadení, ktoré podpíšu všetci verejní manažéri štátnych podnikov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systéme zdravotnej starostlivosti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posilniť zodpovednosť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podporiť postupy riadenia založené na výkonnosti.</w:t>
            </w:r>
          </w:p>
        </w:tc>
      </w:tr>
      <w:tr w:rsidR="00387C70" w:rsidRPr="003F23AC" w14:paraId="62CE5DDB" w14:textId="77777777" w:rsidTr="003F23AC">
        <w:trPr>
          <w:trHeight w:val="556"/>
        </w:trPr>
        <w:tc>
          <w:tcPr>
            <w:tcW w:w="1135" w:type="dxa"/>
            <w:shd w:val="clear" w:color="auto" w:fill="C4EFCE"/>
            <w:noWrap/>
            <w:tcMar>
              <w:left w:w="28" w:type="dxa"/>
              <w:right w:w="28" w:type="dxa"/>
            </w:tcMar>
            <w:vAlign w:val="center"/>
            <w:hideMark/>
          </w:tcPr>
          <w:p w14:paraId="41A0C8AD"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w:t>
            </w:r>
          </w:p>
        </w:tc>
        <w:tc>
          <w:tcPr>
            <w:tcW w:w="1276" w:type="dxa"/>
            <w:shd w:val="clear" w:color="auto" w:fill="C4EFCE"/>
            <w:noWrap/>
            <w:tcMar>
              <w:left w:w="28" w:type="dxa"/>
              <w:right w:w="28" w:type="dxa"/>
            </w:tcMar>
            <w:vAlign w:val="center"/>
            <w:hideMark/>
          </w:tcPr>
          <w:p w14:paraId="503F6CAA" w14:textId="586D5A5F"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C01-r03</w:t>
            </w:r>
          </w:p>
        </w:tc>
        <w:tc>
          <w:tcPr>
            <w:tcW w:w="992" w:type="dxa"/>
            <w:shd w:val="clear" w:color="auto" w:fill="C4EFCE"/>
            <w:noWrap/>
            <w:tcMar>
              <w:left w:w="28" w:type="dxa"/>
              <w:right w:w="28" w:type="dxa"/>
            </w:tcMar>
            <w:vAlign w:val="center"/>
            <w:hideMark/>
          </w:tcPr>
          <w:p w14:paraId="2C388B1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103D3A0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plánu účtovania riadenia Národnej zdravotnej služby</w:t>
            </w:r>
          </w:p>
        </w:tc>
        <w:tc>
          <w:tcPr>
            <w:tcW w:w="1418" w:type="dxa"/>
            <w:shd w:val="clear" w:color="auto" w:fill="C4EFCE"/>
            <w:noWrap/>
            <w:tcMar>
              <w:left w:w="28" w:type="dxa"/>
              <w:right w:w="28" w:type="dxa"/>
            </w:tcMar>
            <w:vAlign w:val="center"/>
            <w:hideMark/>
          </w:tcPr>
          <w:p w14:paraId="17E76F9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plánu účtovania manažmentu</w:t>
            </w:r>
          </w:p>
        </w:tc>
        <w:tc>
          <w:tcPr>
            <w:tcW w:w="1164" w:type="dxa"/>
            <w:shd w:val="clear" w:color="auto" w:fill="C4EFCE"/>
            <w:noWrap/>
            <w:tcMar>
              <w:left w:w="28" w:type="dxa"/>
              <w:right w:w="28" w:type="dxa"/>
            </w:tcMar>
            <w:vAlign w:val="center"/>
            <w:hideMark/>
          </w:tcPr>
          <w:p w14:paraId="24AFC56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06359F7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5233934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1FA554EC" w14:textId="527BCCC6"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901" w:type="dxa"/>
            <w:shd w:val="clear" w:color="auto" w:fill="C4EFCE"/>
            <w:noWrap/>
            <w:tcMar>
              <w:left w:w="28" w:type="dxa"/>
              <w:right w:w="28" w:type="dxa"/>
            </w:tcMar>
            <w:vAlign w:val="center"/>
            <w:hideMark/>
          </w:tcPr>
          <w:p w14:paraId="24B7A49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81" w:type="dxa"/>
            <w:shd w:val="clear" w:color="auto" w:fill="C4EFCE"/>
            <w:noWrap/>
            <w:tcMar>
              <w:left w:w="28" w:type="dxa"/>
              <w:right w:w="28" w:type="dxa"/>
            </w:tcMar>
            <w:vAlign w:val="center"/>
            <w:hideMark/>
          </w:tcPr>
          <w:p w14:paraId="34314FC7" w14:textId="1BCC3FD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Vypracovanie plánu účtovania riadenia Národnej zdravotnej služby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zhromažďovať na vnútroštátnej úrovni informácie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nákladoch, príjmoch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výsledkoch nemocničných služieb, čím sa zlepší prideľovanie zdrojov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Národnej zdravotnej službe, referenčné porovnávanie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identifikácia oblastí,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ktorých je potrebné zlepšiť prevádzkovú efektívnosť zdravotníckych subjektov. Nový plán účtovania manažmentu sa šíri prostredníctvom normatívneho obežníka ústrednou správou systému zdravotnej starostlivosti.</w:t>
            </w:r>
          </w:p>
        </w:tc>
      </w:tr>
      <w:tr w:rsidR="00387C70" w:rsidRPr="003F23AC" w14:paraId="32CD0FC0" w14:textId="77777777" w:rsidTr="003F23AC">
        <w:trPr>
          <w:trHeight w:val="509"/>
        </w:trPr>
        <w:tc>
          <w:tcPr>
            <w:tcW w:w="1135" w:type="dxa"/>
            <w:shd w:val="clear" w:color="auto" w:fill="C4EFCE"/>
            <w:noWrap/>
            <w:tcMar>
              <w:left w:w="28" w:type="dxa"/>
              <w:right w:w="28" w:type="dxa"/>
            </w:tcMar>
            <w:vAlign w:val="center"/>
            <w:hideMark/>
          </w:tcPr>
          <w:p w14:paraId="21F38F3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1.8</w:t>
            </w:r>
          </w:p>
        </w:tc>
        <w:tc>
          <w:tcPr>
            <w:tcW w:w="1276" w:type="dxa"/>
            <w:shd w:val="clear" w:color="auto" w:fill="C4EFCE"/>
            <w:noWrap/>
            <w:tcMar>
              <w:left w:w="28" w:type="dxa"/>
              <w:right w:w="28" w:type="dxa"/>
            </w:tcMar>
            <w:vAlign w:val="center"/>
            <w:hideMark/>
          </w:tcPr>
          <w:p w14:paraId="17CA506E" w14:textId="4B4336AF"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C01-r03</w:t>
            </w:r>
          </w:p>
        </w:tc>
        <w:tc>
          <w:tcPr>
            <w:tcW w:w="992" w:type="dxa"/>
            <w:shd w:val="clear" w:color="auto" w:fill="C4EFCE"/>
            <w:noWrap/>
            <w:tcMar>
              <w:left w:w="28" w:type="dxa"/>
              <w:right w:w="28" w:type="dxa"/>
            </w:tcMar>
            <w:vAlign w:val="center"/>
            <w:hideMark/>
          </w:tcPr>
          <w:p w14:paraId="477C53D1" w14:textId="6CDEFFFE"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07A85A30" w14:textId="512E85D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Zriadenie nových integrovaných centier zodpovednosti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nemocniciach Národnej zdravotnej služby</w:t>
            </w:r>
          </w:p>
        </w:tc>
        <w:tc>
          <w:tcPr>
            <w:tcW w:w="1418" w:type="dxa"/>
            <w:shd w:val="clear" w:color="auto" w:fill="C4EFCE"/>
            <w:noWrap/>
            <w:tcMar>
              <w:left w:w="28" w:type="dxa"/>
              <w:right w:w="28" w:type="dxa"/>
            </w:tcMar>
            <w:vAlign w:val="center"/>
            <w:hideMark/>
          </w:tcPr>
          <w:p w14:paraId="60988E1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578F2FF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2B2EFD8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44C0063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w:t>
            </w:r>
          </w:p>
        </w:tc>
        <w:tc>
          <w:tcPr>
            <w:tcW w:w="833" w:type="dxa"/>
            <w:gridSpan w:val="2"/>
            <w:shd w:val="clear" w:color="auto" w:fill="C4EFCE"/>
            <w:noWrap/>
            <w:tcMar>
              <w:left w:w="28" w:type="dxa"/>
              <w:right w:w="28" w:type="dxa"/>
            </w:tcMar>
            <w:vAlign w:val="center"/>
            <w:hideMark/>
          </w:tcPr>
          <w:p w14:paraId="15BC6433" w14:textId="4AEA20F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hideMark/>
          </w:tcPr>
          <w:p w14:paraId="775CACA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81" w:type="dxa"/>
            <w:shd w:val="clear" w:color="auto" w:fill="C4EFCE"/>
            <w:noWrap/>
            <w:tcMar>
              <w:left w:w="28" w:type="dxa"/>
              <w:right w:w="28" w:type="dxa"/>
            </w:tcMar>
            <w:vAlign w:val="center"/>
            <w:hideMark/>
          </w:tcPr>
          <w:p w14:paraId="395952DF" w14:textId="696AD78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Zriadenie nových integrovaných centier zodpovednosti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nemocniciach Národnej zdravotnej služby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I) zlepšiť 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službám zdravotnej starostlivosti, ako aj ich kvalitu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efektívnosť; II) posilniť klinickú správu, autonómiu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zodpovednosť služieb zdravotnej starostlivosti; povzbudzovať zdravotníckych pracovníkov, aby pokračovali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práci vo verejných nemocniciach; IV) zdieľať riziká</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prínosy medzi službami zdravotnej starostlivosti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nemocnicami; v) oceňuje poslanie každej zdravotnej starostlivosti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nemocnice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regionálnom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národnom kontexte Národnej zdravotnej služby.</w:t>
            </w:r>
          </w:p>
        </w:tc>
      </w:tr>
      <w:tr w:rsidR="00387C70" w:rsidRPr="003F23AC" w14:paraId="1939BFC6" w14:textId="77777777" w:rsidTr="003F23AC">
        <w:trPr>
          <w:trHeight w:val="1270"/>
        </w:trPr>
        <w:tc>
          <w:tcPr>
            <w:tcW w:w="1135" w:type="dxa"/>
            <w:shd w:val="clear" w:color="auto" w:fill="C4EFCE"/>
            <w:noWrap/>
            <w:tcMar>
              <w:left w:w="28" w:type="dxa"/>
              <w:right w:w="28" w:type="dxa"/>
            </w:tcMar>
            <w:vAlign w:val="center"/>
            <w:hideMark/>
          </w:tcPr>
          <w:p w14:paraId="3C32EC3C"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w:t>
            </w:r>
          </w:p>
        </w:tc>
        <w:tc>
          <w:tcPr>
            <w:tcW w:w="1276" w:type="dxa"/>
            <w:shd w:val="clear" w:color="auto" w:fill="C4EFCE"/>
            <w:noWrap/>
            <w:tcMar>
              <w:left w:w="28" w:type="dxa"/>
              <w:right w:w="28" w:type="dxa"/>
            </w:tcMar>
            <w:vAlign w:val="center"/>
            <w:hideMark/>
          </w:tcPr>
          <w:p w14:paraId="089D7CDD" w14:textId="43E116E8"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C01-r03</w:t>
            </w:r>
          </w:p>
        </w:tc>
        <w:tc>
          <w:tcPr>
            <w:tcW w:w="992" w:type="dxa"/>
            <w:shd w:val="clear" w:color="auto" w:fill="C4EFCE"/>
            <w:noWrap/>
            <w:tcMar>
              <w:left w:w="28" w:type="dxa"/>
              <w:right w:w="28" w:type="dxa"/>
            </w:tcMar>
            <w:vAlign w:val="center"/>
            <w:hideMark/>
          </w:tcPr>
          <w:p w14:paraId="1CCBCD34" w14:textId="6AC4D659"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518C1018" w14:textId="1BDE3A2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Zriadenie nových integrovaných centier zodpovednosti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nemocniciach Národnej zdravotnej služby</w:t>
            </w:r>
          </w:p>
        </w:tc>
        <w:tc>
          <w:tcPr>
            <w:tcW w:w="1418" w:type="dxa"/>
            <w:shd w:val="clear" w:color="auto" w:fill="C4EFCE"/>
            <w:noWrap/>
            <w:tcMar>
              <w:left w:w="28" w:type="dxa"/>
              <w:right w:w="28" w:type="dxa"/>
            </w:tcMar>
            <w:vAlign w:val="center"/>
            <w:hideMark/>
          </w:tcPr>
          <w:p w14:paraId="0552382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3E40AB9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5203E35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w:t>
            </w:r>
          </w:p>
        </w:tc>
        <w:tc>
          <w:tcPr>
            <w:tcW w:w="805" w:type="dxa"/>
            <w:shd w:val="clear" w:color="auto" w:fill="C4EFCE"/>
            <w:noWrap/>
            <w:tcMar>
              <w:left w:w="28" w:type="dxa"/>
              <w:right w:w="28" w:type="dxa"/>
            </w:tcMar>
            <w:vAlign w:val="center"/>
            <w:hideMark/>
          </w:tcPr>
          <w:p w14:paraId="7A35B43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25</w:t>
            </w:r>
          </w:p>
        </w:tc>
        <w:tc>
          <w:tcPr>
            <w:tcW w:w="833" w:type="dxa"/>
            <w:gridSpan w:val="2"/>
            <w:shd w:val="clear" w:color="auto" w:fill="C4EFCE"/>
            <w:noWrap/>
            <w:tcMar>
              <w:left w:w="28" w:type="dxa"/>
              <w:right w:w="28" w:type="dxa"/>
            </w:tcMar>
            <w:vAlign w:val="center"/>
            <w:hideMark/>
          </w:tcPr>
          <w:p w14:paraId="794F3E26" w14:textId="034CAC34"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hideMark/>
          </w:tcPr>
          <w:p w14:paraId="7010436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81" w:type="dxa"/>
            <w:shd w:val="clear" w:color="auto" w:fill="C4EFCE"/>
            <w:noWrap/>
            <w:tcMar>
              <w:left w:w="28" w:type="dxa"/>
              <w:right w:w="28" w:type="dxa"/>
            </w:tcMar>
            <w:vAlign w:val="center"/>
            <w:hideMark/>
          </w:tcPr>
          <w:p w14:paraId="3AF662D1" w14:textId="2E4B1C1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Zriadenie nových integrovaných centier zodpovednosti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nemocniciach Národnej zdravotnej služby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I) zlepšiť 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službám zdravotnej starostlivosti, ako aj ich kvalitu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efektívnosť; II) posilniť klinickú správu, autonómiu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zodpovednosť služieb zdravotnej starostlivosti; povzbudzovať zdravotníckych pracovníkov, aby pokračovali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práci vo verejných nemocniciach; IV) zdieľať riziká</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prínosy medzi službami zdravotnej starostlivosti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nemocnicami; v) oceňuje poslanie každej zdravotnej starostlivosti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nemocnice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regionálnom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národnom kontexte Národnej zdravotnej služby.</w:t>
            </w:r>
          </w:p>
        </w:tc>
      </w:tr>
      <w:tr w:rsidR="00387C70" w:rsidRPr="003F23AC" w14:paraId="42C580F2" w14:textId="77777777" w:rsidTr="003F23AC">
        <w:trPr>
          <w:trHeight w:val="1270"/>
        </w:trPr>
        <w:tc>
          <w:tcPr>
            <w:tcW w:w="1135" w:type="dxa"/>
            <w:shd w:val="clear" w:color="auto" w:fill="C4EFCE"/>
            <w:noWrap/>
            <w:tcMar>
              <w:left w:w="28" w:type="dxa"/>
              <w:right w:w="28" w:type="dxa"/>
            </w:tcMar>
            <w:vAlign w:val="center"/>
            <w:hideMark/>
          </w:tcPr>
          <w:p w14:paraId="577ECC3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1.10</w:t>
            </w:r>
          </w:p>
        </w:tc>
        <w:tc>
          <w:tcPr>
            <w:tcW w:w="1276" w:type="dxa"/>
            <w:shd w:val="clear" w:color="auto" w:fill="C4EFCE"/>
            <w:noWrap/>
            <w:tcMar>
              <w:left w:w="28" w:type="dxa"/>
              <w:right w:w="28" w:type="dxa"/>
            </w:tcMar>
            <w:vAlign w:val="center"/>
            <w:hideMark/>
          </w:tcPr>
          <w:p w14:paraId="366D7083" w14:textId="7003A058"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C01-r03</w:t>
            </w:r>
          </w:p>
        </w:tc>
        <w:tc>
          <w:tcPr>
            <w:tcW w:w="992" w:type="dxa"/>
            <w:shd w:val="clear" w:color="auto" w:fill="C4EFCE"/>
            <w:noWrap/>
            <w:tcMar>
              <w:left w:w="28" w:type="dxa"/>
              <w:right w:w="28" w:type="dxa"/>
            </w:tcMar>
            <w:vAlign w:val="center"/>
            <w:hideMark/>
          </w:tcPr>
          <w:p w14:paraId="1F822836" w14:textId="29B6637C"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5F4D5231" w14:textId="485F6D8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Posilnenie reakcie na domácu hospitalizáciu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nemocniciach Národnej zdravotnej služby</w:t>
            </w:r>
          </w:p>
        </w:tc>
        <w:tc>
          <w:tcPr>
            <w:tcW w:w="1418" w:type="dxa"/>
            <w:shd w:val="clear" w:color="auto" w:fill="C4EFCE"/>
            <w:noWrap/>
            <w:tcMar>
              <w:left w:w="28" w:type="dxa"/>
              <w:right w:w="28" w:type="dxa"/>
            </w:tcMar>
            <w:vAlign w:val="center"/>
            <w:hideMark/>
          </w:tcPr>
          <w:p w14:paraId="345712F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0B7E8C0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10CED8A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6A59B4D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5 000</w:t>
            </w:r>
          </w:p>
        </w:tc>
        <w:tc>
          <w:tcPr>
            <w:tcW w:w="833" w:type="dxa"/>
            <w:gridSpan w:val="2"/>
            <w:shd w:val="clear" w:color="auto" w:fill="C4EFCE"/>
            <w:noWrap/>
            <w:tcMar>
              <w:left w:w="28" w:type="dxa"/>
              <w:right w:w="28" w:type="dxa"/>
            </w:tcMar>
            <w:vAlign w:val="center"/>
            <w:hideMark/>
          </w:tcPr>
          <w:p w14:paraId="0E7C5F59" w14:textId="02AEF6F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hideMark/>
          </w:tcPr>
          <w:p w14:paraId="5462A3B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81" w:type="dxa"/>
            <w:shd w:val="clear" w:color="auto" w:fill="C4EFCE"/>
            <w:noWrap/>
            <w:tcMar>
              <w:left w:w="28" w:type="dxa"/>
              <w:right w:w="28" w:type="dxa"/>
            </w:tcMar>
            <w:vAlign w:val="center"/>
            <w:hideMark/>
          </w:tcPr>
          <w:p w14:paraId="67304B4C" w14:textId="7A1FEC5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Zvýšiť reakčnú kapacitu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domácej hospitalizácii tým, že sa umožní poskytovanie služieb zdravotnej starostlivosti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diferenciáciou, zložitosťou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intenzitou na úrovni nemocníc počas obmedzeného obdobia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úzkom spojení so službami primárnej zdravotnej starostlivosti, vnútroštátnou sieťou integrovanej nepretržitej starostlivosti, sociálnym sektorom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širšou komunitou, merané počtom nových prípadov domácej hospitalizácie (vymedzených ako súbor starostlivosti poskytovanej počas obdobia,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ktorom je pacient zodpovedný za domácu hospitalizáciu,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to nepretržite od dátumu prijatia až do dátumu prepustenia, okrem dňa prepustenia).</w:t>
            </w:r>
          </w:p>
        </w:tc>
      </w:tr>
      <w:tr w:rsidR="00387C70" w:rsidRPr="003F23AC" w14:paraId="1699988C" w14:textId="77777777" w:rsidTr="003F23AC">
        <w:trPr>
          <w:trHeight w:val="548"/>
        </w:trPr>
        <w:tc>
          <w:tcPr>
            <w:tcW w:w="1135" w:type="dxa"/>
            <w:shd w:val="clear" w:color="auto" w:fill="C4EFCE"/>
            <w:noWrap/>
            <w:tcMar>
              <w:left w:w="28" w:type="dxa"/>
              <w:right w:w="28" w:type="dxa"/>
            </w:tcMar>
            <w:vAlign w:val="center"/>
            <w:hideMark/>
          </w:tcPr>
          <w:p w14:paraId="2DF091B1"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1.11</w:t>
            </w:r>
          </w:p>
        </w:tc>
        <w:tc>
          <w:tcPr>
            <w:tcW w:w="1276" w:type="dxa"/>
            <w:shd w:val="clear" w:color="auto" w:fill="C4EFCE"/>
            <w:noWrap/>
            <w:tcMar>
              <w:left w:w="28" w:type="dxa"/>
              <w:right w:w="28" w:type="dxa"/>
            </w:tcMar>
            <w:vAlign w:val="center"/>
            <w:hideMark/>
          </w:tcPr>
          <w:p w14:paraId="0111FB9C" w14:textId="55C3C456"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C01-r03</w:t>
            </w:r>
          </w:p>
        </w:tc>
        <w:tc>
          <w:tcPr>
            <w:tcW w:w="992" w:type="dxa"/>
            <w:shd w:val="clear" w:color="auto" w:fill="C4EFCE"/>
            <w:noWrap/>
            <w:tcMar>
              <w:left w:w="28" w:type="dxa"/>
              <w:right w:w="28" w:type="dxa"/>
            </w:tcMar>
            <w:vAlign w:val="center"/>
            <w:hideMark/>
          </w:tcPr>
          <w:p w14:paraId="29EE4E0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3633A7B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akčného plánu na posilnenie centralizovaných mechanizmov nákupu liekov</w:t>
            </w:r>
          </w:p>
        </w:tc>
        <w:tc>
          <w:tcPr>
            <w:tcW w:w="1418" w:type="dxa"/>
            <w:shd w:val="clear" w:color="auto" w:fill="C4EFCE"/>
            <w:noWrap/>
            <w:tcMar>
              <w:left w:w="28" w:type="dxa"/>
              <w:right w:w="28" w:type="dxa"/>
            </w:tcMar>
            <w:vAlign w:val="center"/>
            <w:hideMark/>
          </w:tcPr>
          <w:p w14:paraId="76B6595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akčného plánu na posilnenie centralizovaných mechanizmov nákupu liekov</w:t>
            </w:r>
          </w:p>
        </w:tc>
        <w:tc>
          <w:tcPr>
            <w:tcW w:w="1164" w:type="dxa"/>
            <w:shd w:val="clear" w:color="auto" w:fill="C4EFCE"/>
            <w:noWrap/>
            <w:tcMar>
              <w:left w:w="28" w:type="dxa"/>
              <w:right w:w="28" w:type="dxa"/>
            </w:tcMar>
            <w:vAlign w:val="center"/>
            <w:hideMark/>
          </w:tcPr>
          <w:p w14:paraId="4C8EE4D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20EE758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771ECEC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73F04864" w14:textId="5A8DE36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901" w:type="dxa"/>
            <w:shd w:val="clear" w:color="auto" w:fill="C4EFCE"/>
            <w:noWrap/>
            <w:tcMar>
              <w:left w:w="28" w:type="dxa"/>
              <w:right w:w="28" w:type="dxa"/>
            </w:tcMar>
            <w:vAlign w:val="center"/>
            <w:hideMark/>
          </w:tcPr>
          <w:p w14:paraId="64160DE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81" w:type="dxa"/>
            <w:shd w:val="clear" w:color="auto" w:fill="C4EFCE"/>
            <w:noWrap/>
            <w:tcMar>
              <w:left w:w="28" w:type="dxa"/>
              <w:right w:w="28" w:type="dxa"/>
            </w:tcMar>
            <w:vAlign w:val="center"/>
            <w:hideMark/>
          </w:tcPr>
          <w:p w14:paraId="3D202E36" w14:textId="4841C75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akčného plánu na posilnenie centralizovaných mechanizmov nákupu liekov, vykonávanie odporúčaní nezávislého hodnotenia centralizovaného obstarávania liekov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Portugalsku, ktoré uskutočnil rakúsky Národný inštitút verejného zdravia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na podporu štrukturálnych reforiem.</w:t>
            </w:r>
          </w:p>
        </w:tc>
      </w:tr>
      <w:tr w:rsidR="00387C70" w:rsidRPr="003F23AC" w14:paraId="240E4FD9" w14:textId="77777777" w:rsidTr="003F23AC">
        <w:trPr>
          <w:trHeight w:val="430"/>
        </w:trPr>
        <w:tc>
          <w:tcPr>
            <w:tcW w:w="1135" w:type="dxa"/>
            <w:shd w:val="clear" w:color="auto" w:fill="C4EFCE"/>
            <w:noWrap/>
            <w:tcMar>
              <w:left w:w="28" w:type="dxa"/>
              <w:right w:w="28" w:type="dxa"/>
            </w:tcMar>
            <w:vAlign w:val="center"/>
            <w:hideMark/>
          </w:tcPr>
          <w:p w14:paraId="1D7DFEEA"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1.12</w:t>
            </w:r>
          </w:p>
        </w:tc>
        <w:tc>
          <w:tcPr>
            <w:tcW w:w="1276" w:type="dxa"/>
            <w:shd w:val="clear" w:color="auto" w:fill="C4EFCE"/>
            <w:noWrap/>
            <w:tcMar>
              <w:left w:w="28" w:type="dxa"/>
              <w:right w:w="28" w:type="dxa"/>
            </w:tcMar>
            <w:vAlign w:val="center"/>
            <w:hideMark/>
          </w:tcPr>
          <w:p w14:paraId="05A91880" w14:textId="5FC0E5B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C01-r03</w:t>
            </w:r>
          </w:p>
        </w:tc>
        <w:tc>
          <w:tcPr>
            <w:tcW w:w="992" w:type="dxa"/>
            <w:shd w:val="clear" w:color="auto" w:fill="C4EFCE"/>
            <w:noWrap/>
            <w:tcMar>
              <w:left w:w="28" w:type="dxa"/>
              <w:right w:w="28" w:type="dxa"/>
            </w:tcMar>
            <w:vAlign w:val="center"/>
            <w:hideMark/>
          </w:tcPr>
          <w:p w14:paraId="431D908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603EADC9" w14:textId="3C66DB2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režimu plného vyčleňovania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Národnej zdravotnej službe</w:t>
            </w:r>
          </w:p>
        </w:tc>
        <w:tc>
          <w:tcPr>
            <w:tcW w:w="1418" w:type="dxa"/>
            <w:shd w:val="clear" w:color="auto" w:fill="C4EFCE"/>
            <w:noWrap/>
            <w:tcMar>
              <w:left w:w="28" w:type="dxa"/>
              <w:right w:w="28" w:type="dxa"/>
            </w:tcMar>
            <w:vAlign w:val="center"/>
            <w:hideMark/>
          </w:tcPr>
          <w:p w14:paraId="5F9DE5F0" w14:textId="3E09C16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režimu plného vyčleňovania</w:t>
            </w:r>
          </w:p>
        </w:tc>
        <w:tc>
          <w:tcPr>
            <w:tcW w:w="1164" w:type="dxa"/>
            <w:shd w:val="clear" w:color="auto" w:fill="C4EFCE"/>
            <w:noWrap/>
            <w:tcMar>
              <w:left w:w="28" w:type="dxa"/>
              <w:right w:w="28" w:type="dxa"/>
            </w:tcMar>
            <w:vAlign w:val="center"/>
            <w:hideMark/>
          </w:tcPr>
          <w:p w14:paraId="478B13E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3D88994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3C6E2B3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697D9E32" w14:textId="29B62B5F"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901" w:type="dxa"/>
            <w:shd w:val="clear" w:color="auto" w:fill="C4EFCE"/>
            <w:noWrap/>
            <w:tcMar>
              <w:left w:w="28" w:type="dxa"/>
              <w:right w:w="28" w:type="dxa"/>
            </w:tcMar>
            <w:vAlign w:val="center"/>
            <w:hideMark/>
          </w:tcPr>
          <w:p w14:paraId="132AD89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81" w:type="dxa"/>
            <w:shd w:val="clear" w:color="auto" w:fill="C4EFCE"/>
            <w:noWrap/>
            <w:tcMar>
              <w:left w:w="28" w:type="dxa"/>
              <w:right w:w="28" w:type="dxa"/>
            </w:tcMar>
            <w:vAlign w:val="center"/>
            <w:hideMark/>
          </w:tcPr>
          <w:p w14:paraId="6DC4701F" w14:textId="452A0F7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Nový plný režim práce pre zdravotníckych pracovníkov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Národnej zdravotnej službe, ktorý zahŕňa vhodné mechanizmy na organizovanie pracovného času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tabuliek odmeňovania.</w:t>
            </w:r>
          </w:p>
        </w:tc>
      </w:tr>
      <w:tr w:rsidR="00387C70" w:rsidRPr="003F23AC" w14:paraId="00BADC6F" w14:textId="77777777" w:rsidTr="003F23AC">
        <w:trPr>
          <w:trHeight w:val="640"/>
        </w:trPr>
        <w:tc>
          <w:tcPr>
            <w:tcW w:w="1135" w:type="dxa"/>
            <w:shd w:val="clear" w:color="auto" w:fill="C4EFCE"/>
            <w:noWrap/>
            <w:tcMar>
              <w:left w:w="28" w:type="dxa"/>
              <w:right w:w="28" w:type="dxa"/>
            </w:tcMar>
            <w:vAlign w:val="center"/>
            <w:hideMark/>
          </w:tcPr>
          <w:p w14:paraId="5419F19A"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1.13</w:t>
            </w:r>
          </w:p>
        </w:tc>
        <w:tc>
          <w:tcPr>
            <w:tcW w:w="1276" w:type="dxa"/>
            <w:shd w:val="clear" w:color="auto" w:fill="C4EFCE"/>
            <w:noWrap/>
            <w:tcMar>
              <w:left w:w="28" w:type="dxa"/>
              <w:right w:w="28" w:type="dxa"/>
            </w:tcMar>
            <w:vAlign w:val="center"/>
            <w:hideMark/>
          </w:tcPr>
          <w:p w14:paraId="02567C83" w14:textId="721CE6C7"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C01-i01</w:t>
            </w:r>
          </w:p>
        </w:tc>
        <w:tc>
          <w:tcPr>
            <w:tcW w:w="992" w:type="dxa"/>
            <w:shd w:val="clear" w:color="auto" w:fill="C4EFCE"/>
            <w:noWrap/>
            <w:tcMar>
              <w:left w:w="28" w:type="dxa"/>
              <w:right w:w="28" w:type="dxa"/>
            </w:tcMar>
            <w:vAlign w:val="center"/>
            <w:hideMark/>
          </w:tcPr>
          <w:p w14:paraId="4AF35FB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75ABDD2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podmienok určovania núdzových epizód preverovaných bielymi, modrými alebo zelenými nemocničnými pohotovostnými službami pre iné druhy služieb zdravotnej starostlivosti vrátane služieb primárnej zdravotnej starostlivosti</w:t>
            </w:r>
          </w:p>
        </w:tc>
        <w:tc>
          <w:tcPr>
            <w:tcW w:w="1418" w:type="dxa"/>
            <w:shd w:val="clear" w:color="auto" w:fill="C4EFCE"/>
            <w:noWrap/>
            <w:tcMar>
              <w:left w:w="28" w:type="dxa"/>
              <w:right w:w="28" w:type="dxa"/>
            </w:tcMar>
            <w:vAlign w:val="center"/>
            <w:hideMark/>
          </w:tcPr>
          <w:p w14:paraId="5D50F53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Nadobudnutie účinnosti podmienok pre referencie núdzových udalostí </w:t>
            </w:r>
          </w:p>
        </w:tc>
        <w:tc>
          <w:tcPr>
            <w:tcW w:w="1164" w:type="dxa"/>
            <w:shd w:val="clear" w:color="auto" w:fill="C4EFCE"/>
            <w:noWrap/>
            <w:tcMar>
              <w:left w:w="28" w:type="dxa"/>
              <w:right w:w="28" w:type="dxa"/>
            </w:tcMar>
            <w:vAlign w:val="center"/>
            <w:hideMark/>
          </w:tcPr>
          <w:p w14:paraId="05DB3DB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46DBFC1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00639B7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084FB6D1" w14:textId="4C410C4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901" w:type="dxa"/>
            <w:shd w:val="clear" w:color="auto" w:fill="C4EFCE"/>
            <w:noWrap/>
            <w:tcMar>
              <w:left w:w="28" w:type="dxa"/>
              <w:right w:w="28" w:type="dxa"/>
            </w:tcMar>
            <w:vAlign w:val="center"/>
            <w:hideMark/>
          </w:tcPr>
          <w:p w14:paraId="7525253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81" w:type="dxa"/>
            <w:shd w:val="clear" w:color="auto" w:fill="C4EFCE"/>
            <w:noWrap/>
            <w:tcMar>
              <w:left w:w="28" w:type="dxa"/>
              <w:right w:w="28" w:type="dxa"/>
            </w:tcMar>
            <w:vAlign w:val="center"/>
            <w:hideMark/>
          </w:tcPr>
          <w:p w14:paraId="2D11035D" w14:textId="69A76F9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postupov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administratívnych pravidiel postupu postúpenia pre používateľov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núdzovými epizódami preverovanými bielymi, modrými alebo zelenými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nemocničných pohotovostných službách pre iné druhy zdravotnej starostlivosti, služby, konkrétne služby primárnej zdravotnej starostlivosti,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priamym plánovaním termínov stretnutí.</w:t>
            </w:r>
          </w:p>
        </w:tc>
      </w:tr>
      <w:tr w:rsidR="00387C70" w:rsidRPr="003F23AC" w14:paraId="38EF775A" w14:textId="77777777" w:rsidTr="003F23AC">
        <w:trPr>
          <w:trHeight w:val="850"/>
        </w:trPr>
        <w:tc>
          <w:tcPr>
            <w:tcW w:w="1135" w:type="dxa"/>
            <w:shd w:val="clear" w:color="auto" w:fill="C4EFCE"/>
            <w:noWrap/>
            <w:tcMar>
              <w:left w:w="28" w:type="dxa"/>
              <w:right w:w="28" w:type="dxa"/>
            </w:tcMar>
            <w:vAlign w:val="center"/>
            <w:hideMark/>
          </w:tcPr>
          <w:p w14:paraId="1BA7330B"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1.14</w:t>
            </w:r>
          </w:p>
        </w:tc>
        <w:tc>
          <w:tcPr>
            <w:tcW w:w="1276" w:type="dxa"/>
            <w:shd w:val="clear" w:color="auto" w:fill="C4EFCE"/>
            <w:noWrap/>
            <w:tcMar>
              <w:left w:w="28" w:type="dxa"/>
              <w:right w:w="28" w:type="dxa"/>
            </w:tcMar>
            <w:vAlign w:val="center"/>
            <w:hideMark/>
          </w:tcPr>
          <w:p w14:paraId="785DE09F" w14:textId="5B4AB17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C01-i01</w:t>
            </w:r>
          </w:p>
        </w:tc>
        <w:tc>
          <w:tcPr>
            <w:tcW w:w="992" w:type="dxa"/>
            <w:shd w:val="clear" w:color="auto" w:fill="C4EFCE"/>
            <w:noWrap/>
            <w:tcMar>
              <w:left w:w="28" w:type="dxa"/>
              <w:right w:w="28" w:type="dxa"/>
            </w:tcMar>
            <w:vAlign w:val="center"/>
            <w:hideMark/>
          </w:tcPr>
          <w:p w14:paraId="447F1EDF" w14:textId="6338B2A5"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5BD030D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Budovanie nových zdravotníckych jednotiek</w:t>
            </w:r>
          </w:p>
        </w:tc>
        <w:tc>
          <w:tcPr>
            <w:tcW w:w="1418" w:type="dxa"/>
            <w:shd w:val="clear" w:color="auto" w:fill="C4EFCE"/>
            <w:noWrap/>
            <w:tcMar>
              <w:left w:w="28" w:type="dxa"/>
              <w:right w:w="28" w:type="dxa"/>
            </w:tcMar>
            <w:vAlign w:val="center"/>
            <w:hideMark/>
          </w:tcPr>
          <w:p w14:paraId="5CEEB48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4C903B4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543F721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21084E3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w:t>
            </w:r>
          </w:p>
        </w:tc>
        <w:tc>
          <w:tcPr>
            <w:tcW w:w="833" w:type="dxa"/>
            <w:gridSpan w:val="2"/>
            <w:shd w:val="clear" w:color="auto" w:fill="C4EFCE"/>
            <w:noWrap/>
            <w:tcMar>
              <w:left w:w="28" w:type="dxa"/>
              <w:right w:w="28" w:type="dxa"/>
            </w:tcMar>
            <w:vAlign w:val="center"/>
            <w:hideMark/>
          </w:tcPr>
          <w:p w14:paraId="56ACA157" w14:textId="4694EC3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hideMark/>
          </w:tcPr>
          <w:p w14:paraId="37B663E4" w14:textId="765D036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81" w:type="dxa"/>
            <w:shd w:val="clear" w:color="auto" w:fill="C4EFCE"/>
            <w:noWrap/>
            <w:tcMar>
              <w:left w:w="28" w:type="dxa"/>
              <w:right w:w="28" w:type="dxa"/>
            </w:tcMar>
            <w:vAlign w:val="center"/>
            <w:hideMark/>
          </w:tcPr>
          <w:p w14:paraId="6B230122" w14:textId="75938CD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vybudovaných nových zdravotníckych jednotiek, ktoré zabezpečujú prístupnosť, kvalitu, pohodlie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bezpečnosť pre používateľov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zdravotníckych pracovníkov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prispôsobujú ich novým modelom zdravotnej starostlivosti. Nové jednotky sa postavia tak, aby nahradili nevhodné budovy,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87C70" w:rsidRPr="003F23AC" w14:paraId="73A0E506" w14:textId="77777777" w:rsidTr="003F23AC">
        <w:trPr>
          <w:trHeight w:val="850"/>
        </w:trPr>
        <w:tc>
          <w:tcPr>
            <w:tcW w:w="1135" w:type="dxa"/>
            <w:shd w:val="clear" w:color="auto" w:fill="C4EFCE"/>
            <w:noWrap/>
            <w:tcMar>
              <w:left w:w="28" w:type="dxa"/>
              <w:right w:w="28" w:type="dxa"/>
            </w:tcMar>
            <w:vAlign w:val="center"/>
            <w:hideMark/>
          </w:tcPr>
          <w:p w14:paraId="55C2973A"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1.15</w:t>
            </w:r>
          </w:p>
        </w:tc>
        <w:tc>
          <w:tcPr>
            <w:tcW w:w="1276" w:type="dxa"/>
            <w:shd w:val="clear" w:color="auto" w:fill="C4EFCE"/>
            <w:noWrap/>
            <w:tcMar>
              <w:left w:w="28" w:type="dxa"/>
              <w:right w:w="28" w:type="dxa"/>
            </w:tcMar>
            <w:vAlign w:val="center"/>
            <w:hideMark/>
          </w:tcPr>
          <w:p w14:paraId="25307C9D" w14:textId="73B800F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C01-i01</w:t>
            </w:r>
          </w:p>
        </w:tc>
        <w:tc>
          <w:tcPr>
            <w:tcW w:w="992" w:type="dxa"/>
            <w:shd w:val="clear" w:color="auto" w:fill="C4EFCE"/>
            <w:noWrap/>
            <w:tcMar>
              <w:left w:w="28" w:type="dxa"/>
              <w:right w:w="28" w:type="dxa"/>
            </w:tcMar>
            <w:vAlign w:val="center"/>
            <w:hideMark/>
          </w:tcPr>
          <w:p w14:paraId="50296621" w14:textId="1FB8AEFD"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5F3FEAA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Budovanie nových zdravotníckych jednotiek</w:t>
            </w:r>
          </w:p>
        </w:tc>
        <w:tc>
          <w:tcPr>
            <w:tcW w:w="1418" w:type="dxa"/>
            <w:shd w:val="clear" w:color="auto" w:fill="C4EFCE"/>
            <w:noWrap/>
            <w:tcMar>
              <w:left w:w="28" w:type="dxa"/>
              <w:right w:w="28" w:type="dxa"/>
            </w:tcMar>
            <w:vAlign w:val="center"/>
            <w:hideMark/>
          </w:tcPr>
          <w:p w14:paraId="321B2E9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57D729B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74689A5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w:t>
            </w:r>
          </w:p>
        </w:tc>
        <w:tc>
          <w:tcPr>
            <w:tcW w:w="805" w:type="dxa"/>
            <w:shd w:val="clear" w:color="auto" w:fill="C4EFCE"/>
            <w:noWrap/>
            <w:tcMar>
              <w:left w:w="28" w:type="dxa"/>
              <w:right w:w="28" w:type="dxa"/>
            </w:tcMar>
            <w:vAlign w:val="center"/>
            <w:hideMark/>
          </w:tcPr>
          <w:p w14:paraId="6BF6BACC" w14:textId="78B4B7B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124</w:t>
            </w:r>
          </w:p>
        </w:tc>
        <w:tc>
          <w:tcPr>
            <w:tcW w:w="833" w:type="dxa"/>
            <w:gridSpan w:val="2"/>
            <w:shd w:val="clear" w:color="auto" w:fill="C4EFCE"/>
            <w:noWrap/>
            <w:tcMar>
              <w:left w:w="28" w:type="dxa"/>
              <w:right w:w="28" w:type="dxa"/>
            </w:tcMar>
            <w:vAlign w:val="center"/>
            <w:hideMark/>
          </w:tcPr>
          <w:p w14:paraId="73691C37" w14:textId="3DC6CB0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901" w:type="dxa"/>
            <w:shd w:val="clear" w:color="auto" w:fill="C4EFCE"/>
            <w:noWrap/>
            <w:tcMar>
              <w:left w:w="28" w:type="dxa"/>
              <w:right w:w="28" w:type="dxa"/>
            </w:tcMar>
            <w:vAlign w:val="center"/>
            <w:hideMark/>
          </w:tcPr>
          <w:p w14:paraId="226C70C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81" w:type="dxa"/>
            <w:shd w:val="clear" w:color="auto" w:fill="C4EFCE"/>
            <w:noWrap/>
            <w:tcMar>
              <w:left w:w="28" w:type="dxa"/>
              <w:right w:w="28" w:type="dxa"/>
            </w:tcMar>
            <w:vAlign w:val="center"/>
            <w:hideMark/>
          </w:tcPr>
          <w:p w14:paraId="352F5371" w14:textId="3F67725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vybudovaných nových zdravotníckych jednotiek, ktoré zabezpečujú prístupnosť, kvalitu, pohodlie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bezpečnosť pre používateľov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zdravotníckych pracovníkov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prispôsobujú ich novým modelom zdravotnej starostlivosti. Nové jednotky sa postavia tak, aby nahradili nevhodné budovy,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87C70" w:rsidRPr="003F23AC" w14:paraId="230D0958" w14:textId="77777777" w:rsidTr="003F23AC">
        <w:trPr>
          <w:trHeight w:val="1060"/>
        </w:trPr>
        <w:tc>
          <w:tcPr>
            <w:tcW w:w="1135" w:type="dxa"/>
            <w:shd w:val="clear" w:color="auto" w:fill="C4EFCE"/>
            <w:noWrap/>
            <w:tcMar>
              <w:left w:w="28" w:type="dxa"/>
              <w:right w:w="28" w:type="dxa"/>
            </w:tcMar>
            <w:vAlign w:val="center"/>
            <w:hideMark/>
          </w:tcPr>
          <w:p w14:paraId="7E7F024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1.16</w:t>
            </w:r>
          </w:p>
        </w:tc>
        <w:tc>
          <w:tcPr>
            <w:tcW w:w="1276" w:type="dxa"/>
            <w:shd w:val="clear" w:color="auto" w:fill="C4EFCE"/>
            <w:noWrap/>
            <w:tcMar>
              <w:left w:w="28" w:type="dxa"/>
              <w:right w:w="28" w:type="dxa"/>
            </w:tcMar>
            <w:vAlign w:val="center"/>
            <w:hideMark/>
          </w:tcPr>
          <w:p w14:paraId="698640D1" w14:textId="2480BAB4"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C01-i01</w:t>
            </w:r>
          </w:p>
        </w:tc>
        <w:tc>
          <w:tcPr>
            <w:tcW w:w="992" w:type="dxa"/>
            <w:shd w:val="clear" w:color="auto" w:fill="C4EFCE"/>
            <w:noWrap/>
            <w:tcMar>
              <w:left w:w="28" w:type="dxa"/>
              <w:right w:w="28" w:type="dxa"/>
            </w:tcMar>
            <w:vAlign w:val="center"/>
            <w:hideMark/>
          </w:tcPr>
          <w:p w14:paraId="5E717D9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42EC3118" w14:textId="6E04651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Dokončiť vnútroštátne pokrytie skríningových programov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programov včasnej diagnostiky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primárnej zdravotnej starostlivosti</w:t>
            </w:r>
          </w:p>
        </w:tc>
        <w:tc>
          <w:tcPr>
            <w:tcW w:w="1418" w:type="dxa"/>
            <w:shd w:val="clear" w:color="auto" w:fill="C4EFCE"/>
            <w:noWrap/>
            <w:tcMar>
              <w:left w:w="28" w:type="dxa"/>
              <w:right w:w="28" w:type="dxa"/>
            </w:tcMar>
            <w:vAlign w:val="center"/>
            <w:hideMark/>
          </w:tcPr>
          <w:p w14:paraId="7A244FBD" w14:textId="63D11D3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dokončení pokrytia programov skríningu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včasnej diagnostiky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primárnej zdravotnej starostlivosti</w:t>
            </w:r>
          </w:p>
        </w:tc>
        <w:tc>
          <w:tcPr>
            <w:tcW w:w="1164" w:type="dxa"/>
            <w:shd w:val="clear" w:color="auto" w:fill="C4EFCE"/>
            <w:noWrap/>
            <w:tcMar>
              <w:left w:w="28" w:type="dxa"/>
              <w:right w:w="28" w:type="dxa"/>
            </w:tcMar>
            <w:vAlign w:val="center"/>
            <w:hideMark/>
          </w:tcPr>
          <w:p w14:paraId="5E1406AF"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41515FAF"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69D09CEE"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032146EF" w14:textId="33869B3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901" w:type="dxa"/>
            <w:shd w:val="clear" w:color="auto" w:fill="C4EFCE"/>
            <w:noWrap/>
            <w:tcMar>
              <w:left w:w="28" w:type="dxa"/>
              <w:right w:w="28" w:type="dxa"/>
            </w:tcMar>
            <w:vAlign w:val="center"/>
            <w:hideMark/>
          </w:tcPr>
          <w:p w14:paraId="2EAAE49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81" w:type="dxa"/>
            <w:shd w:val="clear" w:color="auto" w:fill="C4EFCE"/>
            <w:noWrap/>
            <w:tcMar>
              <w:left w:w="28" w:type="dxa"/>
              <w:right w:w="28" w:type="dxa"/>
            </w:tcMar>
            <w:vAlign w:val="center"/>
            <w:hideMark/>
          </w:tcPr>
          <w:p w14:paraId="6D103D50" w14:textId="6DE9BAC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Realizácia tohto míľnika zahŕňa: I) zavedenie krčka maternice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zdravotníckych strediskách; II) zavedenie skríningu hrubého čreva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konečníka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zdravotníckych strediskách; III) zavedenie skríningu na diabetickú retinopatiu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300 zdravotných strediskách; IV) zavedenie Holterových skúšok</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ambulačného monitorovania krvného tlaku vo funkčných jednotkách; v) zavedenie diagnostických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liečebných nástrojov pre astmu, chronickú obštrukčnú chorobu pľúc</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fajčenie (spirometre)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zdravotníckych strediskách;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vi) zavedenie dávkovania C-reaktívnych bielkovín</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zdravotníckych strediskách.</w:t>
            </w:r>
          </w:p>
        </w:tc>
      </w:tr>
      <w:tr w:rsidR="00387C70" w:rsidRPr="003F23AC" w14:paraId="4D2FC373" w14:textId="77777777" w:rsidTr="003F23AC">
        <w:trPr>
          <w:trHeight w:val="1270"/>
        </w:trPr>
        <w:tc>
          <w:tcPr>
            <w:tcW w:w="1135" w:type="dxa"/>
            <w:shd w:val="clear" w:color="auto" w:fill="C4EFCE"/>
            <w:noWrap/>
            <w:tcMar>
              <w:left w:w="28" w:type="dxa"/>
              <w:right w:w="28" w:type="dxa"/>
            </w:tcMar>
            <w:vAlign w:val="center"/>
            <w:hideMark/>
          </w:tcPr>
          <w:p w14:paraId="462C425F"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1.17</w:t>
            </w:r>
          </w:p>
        </w:tc>
        <w:tc>
          <w:tcPr>
            <w:tcW w:w="1276" w:type="dxa"/>
            <w:shd w:val="clear" w:color="auto" w:fill="C4EFCE"/>
            <w:noWrap/>
            <w:tcMar>
              <w:left w:w="28" w:type="dxa"/>
              <w:right w:w="28" w:type="dxa"/>
            </w:tcMar>
            <w:vAlign w:val="center"/>
            <w:hideMark/>
          </w:tcPr>
          <w:p w14:paraId="2AFB0257" w14:textId="55F38BC4"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C01-i01</w:t>
            </w:r>
          </w:p>
        </w:tc>
        <w:tc>
          <w:tcPr>
            <w:tcW w:w="992" w:type="dxa"/>
            <w:shd w:val="clear" w:color="auto" w:fill="C4EFCE"/>
            <w:noWrap/>
            <w:tcMar>
              <w:left w:w="28" w:type="dxa"/>
              <w:right w:w="28" w:type="dxa"/>
            </w:tcMar>
            <w:vAlign w:val="center"/>
            <w:hideMark/>
          </w:tcPr>
          <w:p w14:paraId="7A95968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57BD7BFC" w14:textId="65222C8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Zvýšiť reakčnú kapacitu primárnych zdravotníckych stredísk</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rozšíriť oblasti ich intervencie</w:t>
            </w:r>
          </w:p>
        </w:tc>
        <w:tc>
          <w:tcPr>
            <w:tcW w:w="1418" w:type="dxa"/>
            <w:shd w:val="clear" w:color="auto" w:fill="C4EFCE"/>
            <w:noWrap/>
            <w:tcMar>
              <w:left w:w="28" w:type="dxa"/>
              <w:right w:w="28" w:type="dxa"/>
            </w:tcMar>
            <w:vAlign w:val="center"/>
            <w:hideMark/>
          </w:tcPr>
          <w:p w14:paraId="1B4A4798" w14:textId="3BAB091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zvýšení kapacity primárnych zdravotníckych stredísk</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reakcie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rozšírení oblastí ich intervencie</w:t>
            </w:r>
          </w:p>
        </w:tc>
        <w:tc>
          <w:tcPr>
            <w:tcW w:w="1164" w:type="dxa"/>
            <w:shd w:val="clear" w:color="auto" w:fill="C4EFCE"/>
            <w:noWrap/>
            <w:tcMar>
              <w:left w:w="28" w:type="dxa"/>
              <w:right w:w="28" w:type="dxa"/>
            </w:tcMar>
            <w:vAlign w:val="center"/>
            <w:hideMark/>
          </w:tcPr>
          <w:p w14:paraId="0BA94BEB"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78D22499"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30D3048F"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2A62A8E8" w14:textId="22EB138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901" w:type="dxa"/>
            <w:shd w:val="clear" w:color="auto" w:fill="C4EFCE"/>
            <w:noWrap/>
            <w:tcMar>
              <w:left w:w="28" w:type="dxa"/>
              <w:right w:w="28" w:type="dxa"/>
            </w:tcMar>
            <w:vAlign w:val="center"/>
            <w:hideMark/>
          </w:tcPr>
          <w:p w14:paraId="25F6A6A6"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81" w:type="dxa"/>
            <w:shd w:val="clear" w:color="auto" w:fill="C4EFCE"/>
            <w:noWrap/>
            <w:tcMar>
              <w:left w:w="28" w:type="dxa"/>
              <w:right w:w="28" w:type="dxa"/>
            </w:tcMar>
            <w:vAlign w:val="center"/>
            <w:hideMark/>
          </w:tcPr>
          <w:p w14:paraId="0263E408" w14:textId="25A6B21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Realizácia tohto míľnika zahŕňa: I) rozšírenie konzultácií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diabetickou stopou na skupiny zdravotníckych stredísk; II) zriaďovanie stomatologických úradov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zdravotníckych strediskách; III) vytvorenie integrovaných diagnostických centier (s nízkokomplexnými doplnkovými prostriedkami diagnostiky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liečby, röntgenovými lúčmi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klinickou analýzou)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skupinách zdravotníckych stredísk; IV) vytvorenie kancelárií pohybu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rehabilitácie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zdravotníckych strediskách; v) poskytovanie vybavenia (núdzové tašky, defibrilátor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monitor životne dôležitých značiek) na kvalifikovanú reakciu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núdzových situáciách (základná životná podpora) zdravotníckym strediskám; VI) protokoly postúpenia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najhľadanejších oblastiach starostlivosti, konkrétne oftalmológia, otorinolaryngológia, ortopedika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urológia.</w:t>
            </w:r>
          </w:p>
        </w:tc>
      </w:tr>
      <w:tr w:rsidR="00387C70" w:rsidRPr="003F23AC" w14:paraId="38332BEC" w14:textId="77777777" w:rsidTr="003F23AC">
        <w:trPr>
          <w:trHeight w:val="1256"/>
        </w:trPr>
        <w:tc>
          <w:tcPr>
            <w:tcW w:w="1135" w:type="dxa"/>
            <w:shd w:val="clear" w:color="auto" w:fill="C4EFCE"/>
            <w:noWrap/>
            <w:tcMar>
              <w:left w:w="28" w:type="dxa"/>
              <w:right w:w="28" w:type="dxa"/>
            </w:tcMar>
            <w:vAlign w:val="center"/>
            <w:hideMark/>
          </w:tcPr>
          <w:p w14:paraId="3C69E3A1"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1.18</w:t>
            </w:r>
          </w:p>
        </w:tc>
        <w:tc>
          <w:tcPr>
            <w:tcW w:w="1276" w:type="dxa"/>
            <w:shd w:val="clear" w:color="auto" w:fill="C4EFCE"/>
            <w:noWrap/>
            <w:tcMar>
              <w:left w:w="28" w:type="dxa"/>
              <w:right w:w="28" w:type="dxa"/>
            </w:tcMar>
            <w:vAlign w:val="center"/>
            <w:hideMark/>
          </w:tcPr>
          <w:p w14:paraId="454E6198" w14:textId="3E16BFA2"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C01-i01</w:t>
            </w:r>
          </w:p>
        </w:tc>
        <w:tc>
          <w:tcPr>
            <w:tcW w:w="992" w:type="dxa"/>
            <w:shd w:val="clear" w:color="auto" w:fill="C4EFCE"/>
            <w:noWrap/>
            <w:tcMar>
              <w:left w:w="28" w:type="dxa"/>
              <w:right w:w="28" w:type="dxa"/>
            </w:tcMar>
            <w:vAlign w:val="center"/>
            <w:hideMark/>
          </w:tcPr>
          <w:p w14:paraId="6B02D05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65FFAEC9" w14:textId="15E73F8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Renovácia zdravotníckych zariadení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vybavenia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zabezpečiť prístupnosť, kvalitu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bezpečnostné podmienky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primárnych zdravotných strediskách</w:t>
            </w:r>
          </w:p>
        </w:tc>
        <w:tc>
          <w:tcPr>
            <w:tcW w:w="1418" w:type="dxa"/>
            <w:shd w:val="clear" w:color="auto" w:fill="C4EFCE"/>
            <w:noWrap/>
            <w:tcMar>
              <w:left w:w="28" w:type="dxa"/>
              <w:right w:w="28" w:type="dxa"/>
            </w:tcMar>
            <w:vAlign w:val="center"/>
            <w:hideMark/>
          </w:tcPr>
          <w:p w14:paraId="1CE147BD" w14:textId="4AF3D9A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renovácii zdravotníckych zariadení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vybavenia</w:t>
            </w:r>
          </w:p>
        </w:tc>
        <w:tc>
          <w:tcPr>
            <w:tcW w:w="1164" w:type="dxa"/>
            <w:shd w:val="clear" w:color="auto" w:fill="C4EFCE"/>
            <w:noWrap/>
            <w:tcMar>
              <w:left w:w="28" w:type="dxa"/>
              <w:right w:w="28" w:type="dxa"/>
            </w:tcMar>
            <w:vAlign w:val="center"/>
            <w:hideMark/>
          </w:tcPr>
          <w:p w14:paraId="0989D4A9"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07B01750"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097B0938"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501D62D0" w14:textId="5F42E336"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901" w:type="dxa"/>
            <w:shd w:val="clear" w:color="auto" w:fill="C4EFCE"/>
            <w:noWrap/>
            <w:tcMar>
              <w:left w:w="28" w:type="dxa"/>
              <w:right w:w="28" w:type="dxa"/>
            </w:tcMar>
            <w:vAlign w:val="center"/>
            <w:hideMark/>
          </w:tcPr>
          <w:p w14:paraId="1264AB9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81" w:type="dxa"/>
            <w:shd w:val="clear" w:color="auto" w:fill="C4EFCE"/>
            <w:noWrap/>
            <w:tcMar>
              <w:left w:w="28" w:type="dxa"/>
              <w:right w:w="28" w:type="dxa"/>
            </w:tcMar>
            <w:vAlign w:val="center"/>
            <w:hideMark/>
          </w:tcPr>
          <w:p w14:paraId="3B188F03" w14:textId="3A0CC19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Realizácia tohto míľnika zahŕňa: renovácia alebo prispôsobenie 347 zdravotníckych zariadení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zvýšiť energetickú efektívnosť, dodržiavať pohotovostné plány a/alebo zabezpečiť prístupnosť, bezpečnosť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pohodlie pre používateľov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zdravotníckych pracovníkov,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ktorých grantová podpora vo výške najmenej 170 838 136 EUR sa týka obnovy zameranej na energetickú efektívnosť,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grantová podpora vo výške najmenej 13 046 589 EUR sa týka obnovy zameranej na energetickú efektívnosť</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dosiahnuť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aspoň strednú hĺbkovú obnovu,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 (požiadavky na zlepšenie energetickej hospodárnosti budov sa začlenia do postupov verejného obstarávania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zabezpečia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špecifikáciách verejného obstarávania);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ii) modernizácia zariadení (vrátane, okrem iného, základného klinického vybavenia, zariadení informačných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komunikačných technológií, energeticky účinných zariadení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bezpečnostných zariadení).</w:t>
            </w:r>
          </w:p>
        </w:tc>
      </w:tr>
      <w:tr w:rsidR="00387C70" w:rsidRPr="003F23AC" w14:paraId="454852B5" w14:textId="77777777" w:rsidTr="003F23AC">
        <w:trPr>
          <w:trHeight w:val="640"/>
        </w:trPr>
        <w:tc>
          <w:tcPr>
            <w:tcW w:w="1135" w:type="dxa"/>
            <w:shd w:val="clear" w:color="auto" w:fill="C4EFCE"/>
            <w:noWrap/>
            <w:tcMar>
              <w:left w:w="28" w:type="dxa"/>
              <w:right w:w="28" w:type="dxa"/>
            </w:tcMar>
            <w:vAlign w:val="center"/>
            <w:hideMark/>
          </w:tcPr>
          <w:p w14:paraId="1E28E1AA"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1.19</w:t>
            </w:r>
          </w:p>
        </w:tc>
        <w:tc>
          <w:tcPr>
            <w:tcW w:w="1276" w:type="dxa"/>
            <w:shd w:val="clear" w:color="auto" w:fill="C4EFCE"/>
            <w:noWrap/>
            <w:tcMar>
              <w:left w:w="28" w:type="dxa"/>
              <w:right w:w="28" w:type="dxa"/>
            </w:tcMar>
            <w:vAlign w:val="center"/>
            <w:hideMark/>
          </w:tcPr>
          <w:p w14:paraId="216603F0" w14:textId="046004B4"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C01-i01</w:t>
            </w:r>
          </w:p>
        </w:tc>
        <w:tc>
          <w:tcPr>
            <w:tcW w:w="992" w:type="dxa"/>
            <w:shd w:val="clear" w:color="auto" w:fill="C4EFCE"/>
            <w:noWrap/>
            <w:tcMar>
              <w:left w:w="28" w:type="dxa"/>
              <w:right w:w="28" w:type="dxa"/>
            </w:tcMar>
            <w:vAlign w:val="center"/>
            <w:hideMark/>
          </w:tcPr>
          <w:p w14:paraId="61B1C51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7BE3A27A" w14:textId="66186DF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Posilnenie komunitnej starostlivosti, domácich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komunitných zásahov</w:t>
            </w:r>
          </w:p>
        </w:tc>
        <w:tc>
          <w:tcPr>
            <w:tcW w:w="1418" w:type="dxa"/>
            <w:shd w:val="clear" w:color="auto" w:fill="C4EFCE"/>
            <w:noWrap/>
            <w:tcMar>
              <w:left w:w="28" w:type="dxa"/>
              <w:right w:w="28" w:type="dxa"/>
            </w:tcMar>
            <w:vAlign w:val="center"/>
            <w:hideMark/>
          </w:tcPr>
          <w:p w14:paraId="66DD2452" w14:textId="57E826A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posilnení komunitnej starostlivosti, domácich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komunitných zásahov</w:t>
            </w:r>
          </w:p>
        </w:tc>
        <w:tc>
          <w:tcPr>
            <w:tcW w:w="1164" w:type="dxa"/>
            <w:shd w:val="clear" w:color="auto" w:fill="C4EFCE"/>
            <w:noWrap/>
            <w:tcMar>
              <w:left w:w="28" w:type="dxa"/>
              <w:right w:w="28" w:type="dxa"/>
            </w:tcMar>
            <w:vAlign w:val="center"/>
            <w:hideMark/>
          </w:tcPr>
          <w:p w14:paraId="4CC73D52"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12886356"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155786FA"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59E1E927" w14:textId="18DA33D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901" w:type="dxa"/>
            <w:shd w:val="clear" w:color="auto" w:fill="C4EFCE"/>
            <w:noWrap/>
            <w:tcMar>
              <w:left w:w="28" w:type="dxa"/>
              <w:right w:w="28" w:type="dxa"/>
            </w:tcMar>
            <w:vAlign w:val="center"/>
            <w:hideMark/>
          </w:tcPr>
          <w:p w14:paraId="4ABA702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81" w:type="dxa"/>
            <w:shd w:val="clear" w:color="auto" w:fill="C4EFCE"/>
            <w:noWrap/>
            <w:tcMar>
              <w:left w:w="28" w:type="dxa"/>
              <w:right w:w="28" w:type="dxa"/>
            </w:tcMar>
            <w:vAlign w:val="center"/>
            <w:hideMark/>
          </w:tcPr>
          <w:p w14:paraId="6D6E8DF1" w14:textId="77F5CF2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Realizácia tohto míľnika zahŕňa: I) zabezpečenie najmenej 770 elektrických vozidiel na podporu poskytovania domácej starostlivosti zdravotníckymi strediskami;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ii) rozšírenie počtu nových mobilných jednotiek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ďalších 34 na pokrytie regiónov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nízkou hustotou.</w:t>
            </w:r>
          </w:p>
        </w:tc>
      </w:tr>
      <w:tr w:rsidR="00387C70" w:rsidRPr="003F23AC" w14:paraId="1E7E7401" w14:textId="77777777" w:rsidTr="003F23AC">
        <w:trPr>
          <w:trHeight w:val="430"/>
        </w:trPr>
        <w:tc>
          <w:tcPr>
            <w:tcW w:w="1135" w:type="dxa"/>
            <w:shd w:val="clear" w:color="auto" w:fill="C4EFCE"/>
            <w:noWrap/>
            <w:tcMar>
              <w:left w:w="28" w:type="dxa"/>
              <w:right w:w="28" w:type="dxa"/>
            </w:tcMar>
            <w:vAlign w:val="center"/>
            <w:hideMark/>
          </w:tcPr>
          <w:p w14:paraId="0299C2D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1.20</w:t>
            </w:r>
          </w:p>
        </w:tc>
        <w:tc>
          <w:tcPr>
            <w:tcW w:w="1276" w:type="dxa"/>
            <w:shd w:val="clear" w:color="auto" w:fill="C4EFCE"/>
            <w:noWrap/>
            <w:tcMar>
              <w:left w:w="28" w:type="dxa"/>
              <w:right w:w="28" w:type="dxa"/>
            </w:tcMar>
            <w:vAlign w:val="center"/>
            <w:hideMark/>
          </w:tcPr>
          <w:p w14:paraId="5FD4B12F" w14:textId="2AAA73FE"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C01-i02</w:t>
            </w:r>
          </w:p>
        </w:tc>
        <w:tc>
          <w:tcPr>
            <w:tcW w:w="992" w:type="dxa"/>
            <w:shd w:val="clear" w:color="auto" w:fill="C4EFCE"/>
            <w:noWrap/>
            <w:tcMar>
              <w:left w:w="28" w:type="dxa"/>
              <w:right w:w="28" w:type="dxa"/>
            </w:tcMar>
            <w:vAlign w:val="center"/>
            <w:hideMark/>
          </w:tcPr>
          <w:p w14:paraId="7D9E344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3949C28C" w14:textId="7AD39F7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prideľovaní finančnej podpory regionálnymi zdravotníckymi orgánmi</w:t>
            </w:r>
          </w:p>
        </w:tc>
        <w:tc>
          <w:tcPr>
            <w:tcW w:w="1418" w:type="dxa"/>
            <w:shd w:val="clear" w:color="auto" w:fill="C4EFCE"/>
            <w:noWrap/>
            <w:tcMar>
              <w:left w:w="28" w:type="dxa"/>
              <w:right w:w="28" w:type="dxa"/>
            </w:tcMar>
            <w:vAlign w:val="center"/>
            <w:hideMark/>
          </w:tcPr>
          <w:p w14:paraId="5DB93479" w14:textId="2F07927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prideľovaní finančnej podpory</w:t>
            </w:r>
          </w:p>
        </w:tc>
        <w:tc>
          <w:tcPr>
            <w:tcW w:w="1164" w:type="dxa"/>
            <w:shd w:val="clear" w:color="auto" w:fill="C4EFCE"/>
            <w:noWrap/>
            <w:tcMar>
              <w:left w:w="28" w:type="dxa"/>
              <w:right w:w="28" w:type="dxa"/>
            </w:tcMar>
            <w:vAlign w:val="center"/>
            <w:hideMark/>
          </w:tcPr>
          <w:p w14:paraId="251EE7F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2DB5B8B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2F7AF62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1B4120B0" w14:textId="1B56371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901" w:type="dxa"/>
            <w:shd w:val="clear" w:color="auto" w:fill="C4EFCE"/>
            <w:noWrap/>
            <w:tcMar>
              <w:left w:w="28" w:type="dxa"/>
              <w:right w:w="28" w:type="dxa"/>
            </w:tcMar>
            <w:vAlign w:val="center"/>
            <w:hideMark/>
          </w:tcPr>
          <w:p w14:paraId="2C8FCB7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81" w:type="dxa"/>
            <w:shd w:val="clear" w:color="auto" w:fill="C4EFCE"/>
            <w:noWrap/>
            <w:tcMar>
              <w:left w:w="28" w:type="dxa"/>
              <w:right w:w="28" w:type="dxa"/>
            </w:tcMar>
            <w:vAlign w:val="center"/>
            <w:hideMark/>
          </w:tcPr>
          <w:p w14:paraId="237D71AB" w14:textId="5C62473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prideľovaní finančnej podpory regionálnymi zdravotníckymi orgánmi,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ktorom sa vymedzí model riadenia programu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príslušné požiadavky žiadateľov.</w:t>
            </w:r>
          </w:p>
        </w:tc>
      </w:tr>
      <w:tr w:rsidR="00387C70" w:rsidRPr="003F23AC" w14:paraId="7F7C84BA" w14:textId="77777777" w:rsidTr="003F23AC">
        <w:trPr>
          <w:trHeight w:val="1690"/>
        </w:trPr>
        <w:tc>
          <w:tcPr>
            <w:tcW w:w="1135" w:type="dxa"/>
            <w:shd w:val="clear" w:color="auto" w:fill="C4EFCE"/>
            <w:noWrap/>
            <w:tcMar>
              <w:left w:w="28" w:type="dxa"/>
              <w:right w:w="28" w:type="dxa"/>
            </w:tcMar>
            <w:vAlign w:val="center"/>
            <w:hideMark/>
          </w:tcPr>
          <w:p w14:paraId="74351DC1"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1.21</w:t>
            </w:r>
          </w:p>
        </w:tc>
        <w:tc>
          <w:tcPr>
            <w:tcW w:w="1276" w:type="dxa"/>
            <w:shd w:val="clear" w:color="auto" w:fill="C4EFCE"/>
            <w:noWrap/>
            <w:tcMar>
              <w:left w:w="28" w:type="dxa"/>
              <w:right w:w="28" w:type="dxa"/>
            </w:tcMar>
            <w:vAlign w:val="center"/>
            <w:hideMark/>
          </w:tcPr>
          <w:p w14:paraId="34C37BAF" w14:textId="2F57F396"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C01-i02</w:t>
            </w:r>
          </w:p>
        </w:tc>
        <w:tc>
          <w:tcPr>
            <w:tcW w:w="992" w:type="dxa"/>
            <w:shd w:val="clear" w:color="auto" w:fill="C4EFCE"/>
            <w:noWrap/>
            <w:tcMar>
              <w:left w:w="28" w:type="dxa"/>
              <w:right w:w="28" w:type="dxa"/>
            </w:tcMar>
            <w:vAlign w:val="center"/>
            <w:hideMark/>
          </w:tcPr>
          <w:p w14:paraId="4A6CCB1B" w14:textId="16E0B97D"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4AB89F2D" w14:textId="70E09FE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Posilnenie reakčnej kapacity vnútroštátnych sietí integrovaných služieb nepretržitej starostlivosti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paliatívnej starostlivosti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nemocničnej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ambulantnej starostlivosti</w:t>
            </w:r>
          </w:p>
        </w:tc>
        <w:tc>
          <w:tcPr>
            <w:tcW w:w="1418" w:type="dxa"/>
            <w:shd w:val="clear" w:color="auto" w:fill="C4EFCE"/>
            <w:noWrap/>
            <w:tcMar>
              <w:left w:w="28" w:type="dxa"/>
              <w:right w:w="28" w:type="dxa"/>
            </w:tcMar>
            <w:vAlign w:val="center"/>
            <w:hideMark/>
          </w:tcPr>
          <w:p w14:paraId="27BF6F6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76222F3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1879440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0</w:t>
            </w:r>
          </w:p>
        </w:tc>
        <w:tc>
          <w:tcPr>
            <w:tcW w:w="805" w:type="dxa"/>
            <w:shd w:val="clear" w:color="auto" w:fill="C4EFCE"/>
            <w:noWrap/>
            <w:tcMar>
              <w:left w:w="28" w:type="dxa"/>
              <w:right w:w="28" w:type="dxa"/>
            </w:tcMar>
            <w:vAlign w:val="center"/>
            <w:hideMark/>
          </w:tcPr>
          <w:p w14:paraId="7F341A5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7 400</w:t>
            </w:r>
          </w:p>
        </w:tc>
        <w:tc>
          <w:tcPr>
            <w:tcW w:w="833" w:type="dxa"/>
            <w:gridSpan w:val="2"/>
            <w:shd w:val="clear" w:color="auto" w:fill="C4EFCE"/>
            <w:noWrap/>
            <w:tcMar>
              <w:left w:w="28" w:type="dxa"/>
              <w:right w:w="28" w:type="dxa"/>
            </w:tcMar>
            <w:vAlign w:val="center"/>
            <w:hideMark/>
          </w:tcPr>
          <w:p w14:paraId="0CE41663" w14:textId="6902D080"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hideMark/>
          </w:tcPr>
          <w:p w14:paraId="253B9B3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81" w:type="dxa"/>
            <w:shd w:val="clear" w:color="auto" w:fill="C4EFCE"/>
            <w:noWrap/>
            <w:tcMar>
              <w:left w:w="28" w:type="dxa"/>
              <w:right w:w="28" w:type="dxa"/>
            </w:tcMar>
            <w:vAlign w:val="center"/>
            <w:hideMark/>
          </w:tcPr>
          <w:p w14:paraId="7ABEA994" w14:textId="2041138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Posilnenie reakčnej kapacity vnútroštátnych sietí integrovaných služieb nepretržitej starostlivosti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paliatívnej starostlivosti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ústavnej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ambulantnej starostlivosti vytvorením týchto nových miest: I) nových 5500 nemocničných lôžok</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národnej sieti integrovaných služieb nepretržitej starostlivosti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všeobecnej siete; II) nových 500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denných jednotkách na podporu samostatnosti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vnútroštátnej siete integrovaných služieb nepretržitej starostlivosti; III) nových 1000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integrovaných službách nepretržitej starostlivosti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duševné zdravie;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iv) nových 400 nízkokomplexných lôžok</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národnej sieti služieb paliatívnej starostlivosti. Zahŕňa použitie grantovej podpory vo výške najmenej 226 730 193 EUR na vybudovanie novej zdravotníckej infraštruktúry. Tieto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87C70" w:rsidRPr="003F23AC" w14:paraId="5AE6F182" w14:textId="77777777" w:rsidTr="003F23AC">
        <w:trPr>
          <w:trHeight w:val="1060"/>
        </w:trPr>
        <w:tc>
          <w:tcPr>
            <w:tcW w:w="1135" w:type="dxa"/>
            <w:shd w:val="clear" w:color="auto" w:fill="C4EFCE"/>
            <w:noWrap/>
            <w:tcMar>
              <w:left w:w="28" w:type="dxa"/>
              <w:right w:w="28" w:type="dxa"/>
            </w:tcMar>
            <w:vAlign w:val="center"/>
            <w:hideMark/>
          </w:tcPr>
          <w:p w14:paraId="66FCDE6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1.22</w:t>
            </w:r>
          </w:p>
        </w:tc>
        <w:tc>
          <w:tcPr>
            <w:tcW w:w="1276" w:type="dxa"/>
            <w:shd w:val="clear" w:color="auto" w:fill="C4EFCE"/>
            <w:noWrap/>
            <w:tcMar>
              <w:left w:w="28" w:type="dxa"/>
              <w:right w:w="28" w:type="dxa"/>
            </w:tcMar>
            <w:vAlign w:val="center"/>
            <w:hideMark/>
          </w:tcPr>
          <w:p w14:paraId="0DED5251" w14:textId="1CBF1ED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C01-i02</w:t>
            </w:r>
          </w:p>
        </w:tc>
        <w:tc>
          <w:tcPr>
            <w:tcW w:w="992" w:type="dxa"/>
            <w:shd w:val="clear" w:color="auto" w:fill="C4EFCE"/>
            <w:noWrap/>
            <w:tcMar>
              <w:left w:w="28" w:type="dxa"/>
              <w:right w:w="28" w:type="dxa"/>
            </w:tcMar>
            <w:vAlign w:val="center"/>
            <w:hideMark/>
          </w:tcPr>
          <w:p w14:paraId="647B9DAD" w14:textId="050577E0"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755CF526" w14:textId="0944E75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Posilnenie schopnosti vnútroštátnych sietí integrovaných služieb nepretržitej starostlivosti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paliatívnej starostlivosti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domácej starostlivosti</w:t>
            </w:r>
          </w:p>
        </w:tc>
        <w:tc>
          <w:tcPr>
            <w:tcW w:w="1418" w:type="dxa"/>
            <w:shd w:val="clear" w:color="auto" w:fill="C4EFCE"/>
            <w:noWrap/>
            <w:tcMar>
              <w:left w:w="28" w:type="dxa"/>
              <w:right w:w="28" w:type="dxa"/>
            </w:tcMar>
            <w:vAlign w:val="center"/>
            <w:hideMark/>
          </w:tcPr>
          <w:p w14:paraId="0A35A3F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46DF5F8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02612F2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655B25A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1 200</w:t>
            </w:r>
          </w:p>
        </w:tc>
        <w:tc>
          <w:tcPr>
            <w:tcW w:w="833" w:type="dxa"/>
            <w:gridSpan w:val="2"/>
            <w:shd w:val="clear" w:color="auto" w:fill="C4EFCE"/>
            <w:noWrap/>
            <w:tcMar>
              <w:left w:w="28" w:type="dxa"/>
              <w:right w:w="28" w:type="dxa"/>
            </w:tcMar>
            <w:vAlign w:val="center"/>
            <w:hideMark/>
          </w:tcPr>
          <w:p w14:paraId="74C0C891" w14:textId="36AF7465" w:rsidR="00387C70" w:rsidRPr="003F23AC" w:rsidRDefault="00FF0A91" w:rsidP="003F23AC">
            <w:pPr>
              <w:pStyle w:val="P68B1DB1-Normal10"/>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901" w:type="dxa"/>
            <w:shd w:val="clear" w:color="auto" w:fill="C4EFCE"/>
            <w:noWrap/>
            <w:tcMar>
              <w:left w:w="28" w:type="dxa"/>
              <w:right w:w="28" w:type="dxa"/>
            </w:tcMar>
            <w:vAlign w:val="center"/>
            <w:hideMark/>
          </w:tcPr>
          <w:p w14:paraId="22DB6368" w14:textId="5990FEF5" w:rsidR="00387C70" w:rsidRPr="003F23AC" w:rsidRDefault="000F5AA4" w:rsidP="003F23AC">
            <w:pPr>
              <w:pStyle w:val="P68B1DB1-Normal10"/>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81" w:type="dxa"/>
            <w:shd w:val="clear" w:color="auto" w:fill="C4EFCE"/>
            <w:noWrap/>
            <w:tcMar>
              <w:left w:w="28" w:type="dxa"/>
              <w:right w:w="28" w:type="dxa"/>
            </w:tcMar>
            <w:vAlign w:val="center"/>
            <w:hideMark/>
          </w:tcPr>
          <w:p w14:paraId="558142A7" w14:textId="355D1AC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Posilnenie schopnosti vnútroštátnych sietí integrovaných služieb nepretržitej starostlivosti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paliatívnej starostlivosti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domácej starostlivosti vytvorením týchto nových miest: I) 1000 nových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integrovaných tímoch nepretržitej domácej starostlivosti; II) 100 nových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podporných tímoch pre duševné zdravie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vnútroštátnej siete integrovaných služieb nepretržitej starostlivosti;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iii) 100 nových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tímoch na podporu paliatívnej starostlivosti.</w:t>
            </w:r>
          </w:p>
        </w:tc>
      </w:tr>
      <w:tr w:rsidR="00387C70" w:rsidRPr="003F23AC" w14:paraId="59032C88" w14:textId="77777777" w:rsidTr="003F23AC">
        <w:trPr>
          <w:trHeight w:val="1060"/>
        </w:trPr>
        <w:tc>
          <w:tcPr>
            <w:tcW w:w="1135" w:type="dxa"/>
            <w:shd w:val="clear" w:color="auto" w:fill="C4EFCE"/>
            <w:noWrap/>
            <w:tcMar>
              <w:left w:w="28" w:type="dxa"/>
              <w:right w:w="28" w:type="dxa"/>
            </w:tcMar>
            <w:vAlign w:val="center"/>
            <w:hideMark/>
          </w:tcPr>
          <w:p w14:paraId="68CBF731"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1.23</w:t>
            </w:r>
          </w:p>
        </w:tc>
        <w:tc>
          <w:tcPr>
            <w:tcW w:w="1276" w:type="dxa"/>
            <w:shd w:val="clear" w:color="auto" w:fill="C4EFCE"/>
            <w:noWrap/>
            <w:tcMar>
              <w:left w:w="28" w:type="dxa"/>
              <w:right w:w="28" w:type="dxa"/>
            </w:tcMar>
            <w:vAlign w:val="center"/>
            <w:hideMark/>
          </w:tcPr>
          <w:p w14:paraId="73D71360" w14:textId="3E668A3C"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C01-i03</w:t>
            </w:r>
          </w:p>
        </w:tc>
        <w:tc>
          <w:tcPr>
            <w:tcW w:w="992" w:type="dxa"/>
            <w:shd w:val="clear" w:color="auto" w:fill="C4EFCE"/>
            <w:noWrap/>
            <w:tcMar>
              <w:left w:w="28" w:type="dxa"/>
              <w:right w:w="28" w:type="dxa"/>
            </w:tcMar>
            <w:vAlign w:val="center"/>
            <w:hideMark/>
          </w:tcPr>
          <w:p w14:paraId="1D0F3E64" w14:textId="1BACC635"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6CD9472F" w14:textId="6D9B903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Renovácia forenzných psychiatrických jednotiek</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vybavenia</w:t>
            </w:r>
          </w:p>
        </w:tc>
        <w:tc>
          <w:tcPr>
            <w:tcW w:w="1418" w:type="dxa"/>
            <w:shd w:val="clear" w:color="auto" w:fill="C4EFCE"/>
            <w:noWrap/>
            <w:tcMar>
              <w:left w:w="28" w:type="dxa"/>
              <w:right w:w="28" w:type="dxa"/>
            </w:tcMar>
            <w:vAlign w:val="center"/>
            <w:hideMark/>
          </w:tcPr>
          <w:p w14:paraId="668CD38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439AD86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266CA76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315F1F4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w:t>
            </w:r>
          </w:p>
        </w:tc>
        <w:tc>
          <w:tcPr>
            <w:tcW w:w="833" w:type="dxa"/>
            <w:gridSpan w:val="2"/>
            <w:shd w:val="clear" w:color="auto" w:fill="C4EFCE"/>
            <w:noWrap/>
            <w:tcMar>
              <w:left w:w="28" w:type="dxa"/>
              <w:right w:w="28" w:type="dxa"/>
            </w:tcMar>
            <w:vAlign w:val="center"/>
            <w:hideMark/>
          </w:tcPr>
          <w:p w14:paraId="293F4F6B" w14:textId="73B10E3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hideMark/>
          </w:tcPr>
          <w:p w14:paraId="7CD67BE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81" w:type="dxa"/>
            <w:shd w:val="clear" w:color="auto" w:fill="C4EFCE"/>
            <w:noWrap/>
            <w:tcMar>
              <w:left w:w="28" w:type="dxa"/>
              <w:right w:w="28" w:type="dxa"/>
            </w:tcMar>
            <w:vAlign w:val="center"/>
            <w:hideMark/>
          </w:tcPr>
          <w:p w14:paraId="4B5D6547" w14:textId="4457E93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Vybudovanie nového útvaru forenznej psychiatrie (Sobral Cid)</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renovácia ďalších dvoch oddelení (Lisabonské psychiatrické nemocničné centrum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nemocnica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Magalhães Lemos)</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zabezpečiť podmienky zlučiteľné</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dodržiavaním ľudských práv, najmä súkromia, pohodlia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humanizácie priestorov, bez toho, aby sa zanedbali bezpečnostné podmienky spojené</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plnením súdnych príkazov, čím by sa zabránilo ďalšiemu odsúdeniu Portugalskej republiky medzinárodnými organizáciami (Európsky výbor na predchádzanie mučeniu). </w:t>
            </w:r>
          </w:p>
        </w:tc>
      </w:tr>
      <w:tr w:rsidR="00387C70" w:rsidRPr="003F23AC" w14:paraId="79BD555A" w14:textId="77777777" w:rsidTr="003F23AC">
        <w:trPr>
          <w:trHeight w:val="640"/>
        </w:trPr>
        <w:tc>
          <w:tcPr>
            <w:tcW w:w="1135" w:type="dxa"/>
            <w:shd w:val="clear" w:color="auto" w:fill="C4EFCE"/>
            <w:noWrap/>
            <w:tcMar>
              <w:left w:w="28" w:type="dxa"/>
              <w:right w:w="28" w:type="dxa"/>
            </w:tcMar>
            <w:vAlign w:val="center"/>
            <w:hideMark/>
          </w:tcPr>
          <w:p w14:paraId="69D0522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1.24</w:t>
            </w:r>
          </w:p>
        </w:tc>
        <w:tc>
          <w:tcPr>
            <w:tcW w:w="1276" w:type="dxa"/>
            <w:shd w:val="clear" w:color="auto" w:fill="C4EFCE"/>
            <w:noWrap/>
            <w:tcMar>
              <w:left w:w="28" w:type="dxa"/>
              <w:right w:w="28" w:type="dxa"/>
            </w:tcMar>
            <w:vAlign w:val="center"/>
            <w:hideMark/>
          </w:tcPr>
          <w:p w14:paraId="77EC2F21" w14:textId="55D3515F"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C01-i03</w:t>
            </w:r>
          </w:p>
        </w:tc>
        <w:tc>
          <w:tcPr>
            <w:tcW w:w="992" w:type="dxa"/>
            <w:shd w:val="clear" w:color="auto" w:fill="C4EFCE"/>
            <w:noWrap/>
            <w:tcMar>
              <w:left w:w="28" w:type="dxa"/>
              <w:right w:w="28" w:type="dxa"/>
            </w:tcMar>
            <w:vAlign w:val="center"/>
            <w:hideMark/>
          </w:tcPr>
          <w:p w14:paraId="3AD8EF1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2F5900A0" w14:textId="249C8E8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Rozvoj opatrení na zvyšovanie informovanosti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odbornej prípravy zameraných na „budovanie ciest pacientov“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súvislosti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demenciou</w:t>
            </w:r>
          </w:p>
        </w:tc>
        <w:tc>
          <w:tcPr>
            <w:tcW w:w="1418" w:type="dxa"/>
            <w:shd w:val="clear" w:color="auto" w:fill="C4EFCE"/>
            <w:noWrap/>
            <w:tcMar>
              <w:left w:w="28" w:type="dxa"/>
              <w:right w:w="28" w:type="dxa"/>
            </w:tcMar>
            <w:vAlign w:val="center"/>
            <w:hideMark/>
          </w:tcPr>
          <w:p w14:paraId="0479C79B" w14:textId="03DE560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zavádzaní nových opatrení na zvyšovanie informovanosti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odbornej prípravy</w:t>
            </w:r>
            <w:r w:rsidR="00A75B3C" w:rsidRPr="003F23AC">
              <w:rPr>
                <w:rFonts w:ascii="Times New Roman" w:hAnsi="Times New Roman" w:cs="Times New Roman"/>
                <w:noProof/>
                <w:lang w:val="sk-SK"/>
              </w:rPr>
              <w:t xml:space="preserve"> a o </w:t>
            </w:r>
            <w:r w:rsidRPr="003F23AC">
              <w:rPr>
                <w:rFonts w:ascii="Times New Roman" w:hAnsi="Times New Roman" w:cs="Times New Roman"/>
                <w:noProof/>
                <w:lang w:val="sk-SK"/>
              </w:rPr>
              <w:t>ich rozvoji</w:t>
            </w:r>
          </w:p>
        </w:tc>
        <w:tc>
          <w:tcPr>
            <w:tcW w:w="1164" w:type="dxa"/>
            <w:shd w:val="clear" w:color="auto" w:fill="C4EFCE"/>
            <w:noWrap/>
            <w:tcMar>
              <w:left w:w="28" w:type="dxa"/>
              <w:right w:w="28" w:type="dxa"/>
            </w:tcMar>
            <w:vAlign w:val="center"/>
            <w:hideMark/>
          </w:tcPr>
          <w:p w14:paraId="4EEB31B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2FE014D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428CA5F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28C7EC78" w14:textId="163179A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hideMark/>
          </w:tcPr>
          <w:p w14:paraId="18C7751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81" w:type="dxa"/>
            <w:shd w:val="clear" w:color="auto" w:fill="C4EFCE"/>
            <w:noWrap/>
            <w:tcMar>
              <w:left w:w="28" w:type="dxa"/>
              <w:right w:w="28" w:type="dxa"/>
            </w:tcMar>
            <w:vAlign w:val="center"/>
            <w:hideMark/>
          </w:tcPr>
          <w:p w14:paraId="36E491E2" w14:textId="06F1E0B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Opatrenia na zvyšovanie informovanosti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odbornú prípravu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demencie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podporiť reformy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sociálnych služieb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služieb zdravotnej starostlivosti zamerané na zamestnancov sociálnych služieb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služieb zdravotnej starostlivosti alebo iných subjektov, ktoré pracujú so širokou verejnosťou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sociálnej politiky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politiky zdravotnej starostlivosti, ako aj na používateľov sociálnych služieb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služieb zdravotnej starostlivosti.</w:t>
            </w:r>
          </w:p>
        </w:tc>
      </w:tr>
      <w:tr w:rsidR="00387C70" w:rsidRPr="003F23AC" w14:paraId="31A97B40" w14:textId="77777777" w:rsidTr="003F23AC">
        <w:trPr>
          <w:trHeight w:val="684"/>
        </w:trPr>
        <w:tc>
          <w:tcPr>
            <w:tcW w:w="1135" w:type="dxa"/>
            <w:shd w:val="clear" w:color="auto" w:fill="C4EFCE"/>
            <w:noWrap/>
            <w:tcMar>
              <w:left w:w="28" w:type="dxa"/>
              <w:right w:w="28" w:type="dxa"/>
            </w:tcMar>
            <w:vAlign w:val="center"/>
            <w:hideMark/>
          </w:tcPr>
          <w:p w14:paraId="6F805E1F"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1.25</w:t>
            </w:r>
          </w:p>
        </w:tc>
        <w:tc>
          <w:tcPr>
            <w:tcW w:w="1276" w:type="dxa"/>
            <w:shd w:val="clear" w:color="auto" w:fill="C4EFCE"/>
            <w:noWrap/>
            <w:tcMar>
              <w:left w:w="28" w:type="dxa"/>
              <w:right w:w="28" w:type="dxa"/>
            </w:tcMar>
            <w:vAlign w:val="center"/>
            <w:hideMark/>
          </w:tcPr>
          <w:p w14:paraId="2AA7B1FD" w14:textId="50B5C54B"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C01-i03</w:t>
            </w:r>
          </w:p>
        </w:tc>
        <w:tc>
          <w:tcPr>
            <w:tcW w:w="992" w:type="dxa"/>
            <w:shd w:val="clear" w:color="auto" w:fill="C4EFCE"/>
            <w:noWrap/>
            <w:tcMar>
              <w:left w:w="28" w:type="dxa"/>
              <w:right w:w="28" w:type="dxa"/>
            </w:tcMar>
            <w:vAlign w:val="center"/>
            <w:hideMark/>
          </w:tcPr>
          <w:p w14:paraId="7E6411F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6011655A" w14:textId="297CC1D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posilnenia siete starostlivosti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duševné zdravie</w:t>
            </w:r>
          </w:p>
        </w:tc>
        <w:tc>
          <w:tcPr>
            <w:tcW w:w="1418" w:type="dxa"/>
            <w:shd w:val="clear" w:color="auto" w:fill="C4EFCE"/>
            <w:noWrap/>
            <w:tcMar>
              <w:left w:w="28" w:type="dxa"/>
              <w:right w:w="28" w:type="dxa"/>
            </w:tcMar>
            <w:vAlign w:val="center"/>
            <w:hideMark/>
          </w:tcPr>
          <w:p w14:paraId="166A1207" w14:textId="7466AFC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dokončení všetkých opísaných iniciatív na posilnenie siete starostlivosti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duševné zdravie</w:t>
            </w:r>
          </w:p>
        </w:tc>
        <w:tc>
          <w:tcPr>
            <w:tcW w:w="1164" w:type="dxa"/>
            <w:shd w:val="clear" w:color="auto" w:fill="C4EFCE"/>
            <w:noWrap/>
            <w:tcMar>
              <w:left w:w="28" w:type="dxa"/>
              <w:right w:w="28" w:type="dxa"/>
            </w:tcMar>
            <w:vAlign w:val="center"/>
            <w:hideMark/>
          </w:tcPr>
          <w:p w14:paraId="7E42525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515D852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0BC945B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43853C13" w14:textId="5021DB7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hideMark/>
          </w:tcPr>
          <w:p w14:paraId="695E8BA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81" w:type="dxa"/>
            <w:shd w:val="clear" w:color="auto" w:fill="C4EFCE"/>
            <w:noWrap/>
            <w:tcMar>
              <w:left w:w="28" w:type="dxa"/>
              <w:right w:w="28" w:type="dxa"/>
            </w:tcMar>
            <w:vAlign w:val="center"/>
            <w:hideMark/>
          </w:tcPr>
          <w:p w14:paraId="6B1F7A73" w14:textId="62C1449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Dokončenie všetkých opatrení vymedzených na posilnenie siete starostlivosti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duševné zdravie vrátane: I) zriadenie štyroch nových hospitalizačných jednotiek vo všeobecných nemocniciach; II) vytvorenie 15 integrovaných centier zodpovednosti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služieb duševného zdravia; III) renováciou 20 existujúcich miestnych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duševného zdravia; IV) vytvorenie 500 reakcií na potreby inštitucionalizovaných ľudí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chronickými duševnými chorobami; modernizácia troch forenzných psychiatrií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vybavenia; VI) výstavba troch forenzných bytových prechodných jednotiek;</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vii) rozvoj opatrení odbornej prípravy na „budovanie ciest pacientov“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súvislosti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demenciou. Zahŕňa použitie grantovej podpory vo výške 58 507 675 EUR pri obnove zameranej na energetickú efektívnosť</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dosiahnuť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aspoň strednú hĺbkovú obnovu,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 Požiadavky na zlepšenie energetickej hospodárnosti budov sa začlenia do postupov verejného obstarávania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zabezpečia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špecifikáciách.</w:t>
            </w:r>
          </w:p>
        </w:tc>
      </w:tr>
      <w:tr w:rsidR="00387C70" w:rsidRPr="003F23AC" w14:paraId="7D601BE3" w14:textId="77777777" w:rsidTr="003F23AC">
        <w:trPr>
          <w:trHeight w:val="850"/>
        </w:trPr>
        <w:tc>
          <w:tcPr>
            <w:tcW w:w="1135" w:type="dxa"/>
            <w:shd w:val="clear" w:color="auto" w:fill="C4EFCE"/>
            <w:noWrap/>
            <w:tcMar>
              <w:left w:w="28" w:type="dxa"/>
              <w:right w:w="28" w:type="dxa"/>
            </w:tcMar>
            <w:vAlign w:val="center"/>
          </w:tcPr>
          <w:p w14:paraId="38167FC7" w14:textId="782B9BD8"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1.40</w:t>
            </w:r>
          </w:p>
        </w:tc>
        <w:tc>
          <w:tcPr>
            <w:tcW w:w="1276" w:type="dxa"/>
            <w:shd w:val="clear" w:color="auto" w:fill="C4EFCE"/>
            <w:noWrap/>
            <w:tcMar>
              <w:left w:w="28" w:type="dxa"/>
              <w:right w:w="28" w:type="dxa"/>
            </w:tcMar>
            <w:vAlign w:val="center"/>
          </w:tcPr>
          <w:p w14:paraId="5230C444" w14:textId="1462CEA6"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C01-i04</w:t>
            </w:r>
          </w:p>
        </w:tc>
        <w:tc>
          <w:tcPr>
            <w:tcW w:w="992" w:type="dxa"/>
            <w:shd w:val="clear" w:color="auto" w:fill="C4EFCE"/>
            <w:noWrap/>
            <w:tcMar>
              <w:left w:w="28" w:type="dxa"/>
              <w:right w:w="28" w:type="dxa"/>
            </w:tcMar>
            <w:vAlign w:val="center"/>
          </w:tcPr>
          <w:p w14:paraId="33E64FC7" w14:textId="68EADE1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tcPr>
          <w:p w14:paraId="258F4E6D" w14:textId="438B05E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výkone správy výstavby nemocnice vo východnej Lisabone </w:t>
            </w:r>
          </w:p>
        </w:tc>
        <w:tc>
          <w:tcPr>
            <w:tcW w:w="1418" w:type="dxa"/>
            <w:shd w:val="clear" w:color="auto" w:fill="C4EFCE"/>
            <w:noWrap/>
            <w:tcMar>
              <w:left w:w="28" w:type="dxa"/>
              <w:right w:w="28" w:type="dxa"/>
            </w:tcMar>
            <w:vAlign w:val="center"/>
          </w:tcPr>
          <w:p w14:paraId="05C069DE" w14:textId="0D335D4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správe výstavby nemocnice vo východnej Lisabone, ktorú podpísali verejné orgány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SPV</w:t>
            </w:r>
          </w:p>
        </w:tc>
        <w:tc>
          <w:tcPr>
            <w:tcW w:w="1164" w:type="dxa"/>
            <w:shd w:val="clear" w:color="auto" w:fill="C4EFCE"/>
            <w:noWrap/>
            <w:tcMar>
              <w:left w:w="28" w:type="dxa"/>
              <w:right w:w="28" w:type="dxa"/>
            </w:tcMar>
            <w:vAlign w:val="center"/>
          </w:tcPr>
          <w:p w14:paraId="41AA1AF4"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62" w:type="dxa"/>
            <w:shd w:val="clear" w:color="auto" w:fill="C4EFCE"/>
            <w:noWrap/>
            <w:tcMar>
              <w:left w:w="28" w:type="dxa"/>
              <w:right w:w="28" w:type="dxa"/>
            </w:tcMar>
            <w:vAlign w:val="center"/>
          </w:tcPr>
          <w:p w14:paraId="35D8CA0C"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05" w:type="dxa"/>
            <w:shd w:val="clear" w:color="auto" w:fill="C4EFCE"/>
            <w:noWrap/>
            <w:tcMar>
              <w:left w:w="28" w:type="dxa"/>
              <w:right w:w="28" w:type="dxa"/>
            </w:tcMar>
            <w:vAlign w:val="center"/>
          </w:tcPr>
          <w:p w14:paraId="58CC0C2B"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33" w:type="dxa"/>
            <w:gridSpan w:val="2"/>
            <w:shd w:val="clear" w:color="auto" w:fill="C4EFCE"/>
            <w:noWrap/>
            <w:tcMar>
              <w:left w:w="28" w:type="dxa"/>
              <w:right w:w="28" w:type="dxa"/>
            </w:tcMar>
            <w:vAlign w:val="center"/>
          </w:tcPr>
          <w:p w14:paraId="26FBB759" w14:textId="60765E1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901" w:type="dxa"/>
            <w:shd w:val="clear" w:color="auto" w:fill="C4EFCE"/>
            <w:noWrap/>
            <w:tcMar>
              <w:left w:w="28" w:type="dxa"/>
              <w:right w:w="28" w:type="dxa"/>
            </w:tcMar>
            <w:vAlign w:val="center"/>
          </w:tcPr>
          <w:p w14:paraId="21B59020" w14:textId="6FBC92C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81" w:type="dxa"/>
            <w:shd w:val="clear" w:color="auto" w:fill="C4EFCE"/>
            <w:noWrap/>
            <w:tcMar>
              <w:left w:w="28" w:type="dxa"/>
              <w:right w:w="28" w:type="dxa"/>
            </w:tcMar>
            <w:vAlign w:val="center"/>
          </w:tcPr>
          <w:p w14:paraId="53B84B21" w14:textId="0237DA4C"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riadení spoločnosťou ACSS</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účelovo vytvoreným subjektom (SPV) na výstavbu nemocnice vo východnej Lisabone. Zmluva musí odrážať podmienky týkajúce sa rozsahu služieb (projektovanie, výstavba, financovanie, údržba infraštruktúry, dodávka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údržba všeobecných zariadení budovy)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trvanie</w:t>
            </w:r>
            <w:r w:rsidR="00A75B3C" w:rsidRPr="003F23AC">
              <w:rPr>
                <w:rFonts w:ascii="Times New Roman" w:hAnsi="Times New Roman" w:cs="Times New Roman"/>
                <w:noProof/>
                <w:lang w:val="sk-SK"/>
              </w:rPr>
              <w:t>.</w:t>
            </w:r>
          </w:p>
          <w:p w14:paraId="4D66D758" w14:textId="5A01DA4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Zmluva obsahuje aj ustanovenie,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ktorom sa uvádza, že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sú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87C70" w:rsidRPr="003F23AC" w14:paraId="0DBBA2AD" w14:textId="77777777" w:rsidTr="003F23AC">
        <w:trPr>
          <w:trHeight w:val="850"/>
        </w:trPr>
        <w:tc>
          <w:tcPr>
            <w:tcW w:w="1135" w:type="dxa"/>
            <w:shd w:val="clear" w:color="auto" w:fill="C4EFCE"/>
            <w:noWrap/>
            <w:tcMar>
              <w:left w:w="28" w:type="dxa"/>
              <w:right w:w="28" w:type="dxa"/>
            </w:tcMar>
            <w:vAlign w:val="center"/>
            <w:hideMark/>
          </w:tcPr>
          <w:p w14:paraId="4DEA084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1.26</w:t>
            </w:r>
          </w:p>
        </w:tc>
        <w:tc>
          <w:tcPr>
            <w:tcW w:w="1276" w:type="dxa"/>
            <w:shd w:val="clear" w:color="auto" w:fill="C4EFCE"/>
            <w:noWrap/>
            <w:tcMar>
              <w:left w:w="28" w:type="dxa"/>
              <w:right w:w="28" w:type="dxa"/>
            </w:tcMar>
            <w:vAlign w:val="center"/>
            <w:hideMark/>
          </w:tcPr>
          <w:p w14:paraId="264BCD28" w14:textId="30897820"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C01-i04</w:t>
            </w:r>
          </w:p>
        </w:tc>
        <w:tc>
          <w:tcPr>
            <w:tcW w:w="992" w:type="dxa"/>
            <w:shd w:val="clear" w:color="auto" w:fill="C4EFCE"/>
            <w:noWrap/>
            <w:tcMar>
              <w:left w:w="28" w:type="dxa"/>
              <w:right w:w="28" w:type="dxa"/>
            </w:tcMar>
            <w:vAlign w:val="center"/>
            <w:hideMark/>
          </w:tcPr>
          <w:p w14:paraId="450A30B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32FB3392" w14:textId="5A9AE31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Výstavba nemocnice vo východnej Lisabone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nákup vybavenia nemocníc</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Lisabone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Vale do Tejo</w:t>
            </w:r>
          </w:p>
        </w:tc>
        <w:tc>
          <w:tcPr>
            <w:tcW w:w="1418" w:type="dxa"/>
            <w:shd w:val="clear" w:color="auto" w:fill="C4EFCE"/>
            <w:noWrap/>
            <w:tcMar>
              <w:left w:w="28" w:type="dxa"/>
              <w:right w:w="28" w:type="dxa"/>
            </w:tcMar>
            <w:vAlign w:val="center"/>
            <w:hideMark/>
          </w:tcPr>
          <w:p w14:paraId="69F63B22" w14:textId="5AC6470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Výstavba nemocnice vo východnej Lisabone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nákup vybavenia nemocníc</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Lisabone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Vale do Tejo</w:t>
            </w:r>
          </w:p>
        </w:tc>
        <w:tc>
          <w:tcPr>
            <w:tcW w:w="1164" w:type="dxa"/>
            <w:shd w:val="clear" w:color="auto" w:fill="C4EFCE"/>
            <w:noWrap/>
            <w:tcMar>
              <w:left w:w="28" w:type="dxa"/>
              <w:right w:w="28" w:type="dxa"/>
            </w:tcMar>
            <w:vAlign w:val="center"/>
            <w:hideMark/>
          </w:tcPr>
          <w:p w14:paraId="2647720D" w14:textId="77777777" w:rsidR="00387C70" w:rsidRPr="003F23AC" w:rsidRDefault="000F5AA4" w:rsidP="003F23AC">
            <w:pPr>
              <w:pStyle w:val="P68B1DB1-Normal10"/>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1DEF2960" w14:textId="77777777" w:rsidR="00387C70" w:rsidRPr="003F23AC" w:rsidRDefault="000F5AA4" w:rsidP="003F23AC">
            <w:pPr>
              <w:pStyle w:val="P68B1DB1-Normal10"/>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7B131ABE" w14:textId="77777777" w:rsidR="00387C70" w:rsidRPr="003F23AC" w:rsidRDefault="000F5AA4" w:rsidP="003F23AC">
            <w:pPr>
              <w:pStyle w:val="P68B1DB1-Normal10"/>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26F5E72E" w14:textId="1CE697F0"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901" w:type="dxa"/>
            <w:shd w:val="clear" w:color="auto" w:fill="C4EFCE"/>
            <w:noWrap/>
            <w:tcMar>
              <w:left w:w="28" w:type="dxa"/>
              <w:right w:w="28" w:type="dxa"/>
            </w:tcMar>
            <w:vAlign w:val="center"/>
            <w:hideMark/>
          </w:tcPr>
          <w:p w14:paraId="42B2A8C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81" w:type="dxa"/>
            <w:shd w:val="clear" w:color="auto" w:fill="C4EFCE"/>
            <w:noWrap/>
            <w:tcMar>
              <w:left w:w="28" w:type="dxa"/>
              <w:right w:w="28" w:type="dxa"/>
            </w:tcMar>
            <w:vAlign w:val="center"/>
            <w:hideMark/>
          </w:tcPr>
          <w:p w14:paraId="5B029930" w14:textId="39F07101" w:rsidR="00387C70" w:rsidRPr="003F23AC" w:rsidRDefault="000F5AA4" w:rsidP="003F23AC">
            <w:pPr>
              <w:spacing w:after="0" w:line="240" w:lineRule="auto"/>
              <w:jc w:val="both"/>
              <w:rPr>
                <w:rFonts w:ascii="Times New Roman" w:hAnsi="Times New Roman" w:cs="Times New Roman"/>
                <w:noProof/>
                <w:lang w:val="sk-SK"/>
              </w:rPr>
            </w:pPr>
            <w:r w:rsidRPr="003F23AC">
              <w:rPr>
                <w:rFonts w:ascii="Times New Roman" w:hAnsi="Times New Roman" w:cs="Times New Roman"/>
                <w:noProof/>
                <w:sz w:val="16"/>
                <w:lang w:val="sk-SK"/>
              </w:rPr>
              <w:t>Nákup vybavenia, ktoré sa má inštalovať</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nemocniciach</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Lisabone</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Vale do Tejo, spolu</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grantovou podporou vo výške 78 740 000 EUR, konkrétne klinickým/zdravotníckym</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technologicky vyspelým vybavením; všeobecné vybavenie, ktoré zahŕňa nábytok prispôsobený úlohám, ktoré sa majú vykonávať</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rôznych priestoroch</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ktorý je ľahko čistiteľný</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ergonomicky navrhnutý;</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počítačové vybavenie.</w:t>
            </w:r>
            <w:r w:rsidRPr="003F23AC">
              <w:rPr>
                <w:rFonts w:ascii="Times New Roman" w:hAnsi="Times New Roman" w:cs="Times New Roman"/>
                <w:noProof/>
                <w:sz w:val="16"/>
                <w:shd w:val="clear" w:color="auto" w:fill="E6E6E6"/>
                <w:lang w:val="sk-SK"/>
              </w:rPr>
              <w:t xml:space="preserve"> </w:t>
            </w:r>
            <w:r w:rsidRPr="003F23AC">
              <w:rPr>
                <w:rFonts w:ascii="Times New Roman" w:hAnsi="Times New Roman" w:cs="Times New Roman"/>
                <w:noProof/>
                <w:sz w:val="16"/>
                <w:lang w:val="sk-SK"/>
              </w:rPr>
              <w:t>Výstavba Nemocnice East Lisabon, konkrétne i) Poente Tower, ii) výstavba parcely B</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iii) výstavba parcely C</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celkovou dotáciou vo výške 100 000 000 EUR. Tieto nové budovy musia mať spotrebu primárnej energie aspoň</w:t>
            </w:r>
            <w:r w:rsidR="00A75B3C" w:rsidRPr="003F23AC">
              <w:rPr>
                <w:rFonts w:ascii="Times New Roman" w:hAnsi="Times New Roman" w:cs="Times New Roman"/>
                <w:noProof/>
                <w:sz w:val="16"/>
                <w:lang w:val="sk-SK"/>
              </w:rPr>
              <w:t xml:space="preserve"> o </w:t>
            </w:r>
            <w:r w:rsidRPr="003F23AC">
              <w:rPr>
                <w:rFonts w:ascii="Times New Roman" w:hAnsi="Times New Roman" w:cs="Times New Roman"/>
                <w:noProof/>
                <w:sz w:val="16"/>
                <w:lang w:val="sk-SK"/>
              </w:rPr>
              <w:t>20</w:t>
            </w:r>
            <w:r w:rsidR="00A75B3C" w:rsidRPr="003F23AC">
              <w:rPr>
                <w:rFonts w:ascii="Times New Roman" w:hAnsi="Times New Roman" w:cs="Times New Roman"/>
                <w:noProof/>
                <w:sz w:val="16"/>
                <w:lang w:val="sk-SK"/>
              </w:rPr>
              <w:t> %</w:t>
            </w:r>
            <w:r w:rsidRPr="003F23AC">
              <w:rPr>
                <w:rFonts w:ascii="Times New Roman" w:hAnsi="Times New Roman" w:cs="Times New Roman"/>
                <w:noProof/>
                <w:sz w:val="16"/>
                <w:lang w:val="sk-SK"/>
              </w:rPr>
              <w:t xml:space="preserve"> nižšiu ako požiadavky na budovy</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takmer nulovou spotrebou energie</w:t>
            </w:r>
            <w:r w:rsidRPr="003F23AC">
              <w:rPr>
                <w:rFonts w:ascii="Times New Roman" w:hAnsi="Times New Roman" w:cs="Times New Roman"/>
                <w:noProof/>
                <w:lang w:val="sk-SK"/>
              </w:rPr>
              <w:t>.</w:t>
            </w:r>
          </w:p>
        </w:tc>
      </w:tr>
      <w:tr w:rsidR="00387C70" w:rsidRPr="003F23AC" w14:paraId="38A34B61" w14:textId="77777777" w:rsidTr="003F23AC">
        <w:trPr>
          <w:trHeight w:val="850"/>
        </w:trPr>
        <w:tc>
          <w:tcPr>
            <w:tcW w:w="1135" w:type="dxa"/>
            <w:shd w:val="clear" w:color="auto" w:fill="C4EFCE"/>
            <w:noWrap/>
            <w:tcMar>
              <w:left w:w="28" w:type="dxa"/>
              <w:right w:w="28" w:type="dxa"/>
            </w:tcMar>
            <w:vAlign w:val="center"/>
            <w:hideMark/>
          </w:tcPr>
          <w:p w14:paraId="725C915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1.27</w:t>
            </w:r>
          </w:p>
        </w:tc>
        <w:tc>
          <w:tcPr>
            <w:tcW w:w="1276" w:type="dxa"/>
            <w:shd w:val="clear" w:color="auto" w:fill="C4EFCE"/>
            <w:noWrap/>
            <w:tcMar>
              <w:left w:w="28" w:type="dxa"/>
              <w:right w:w="28" w:type="dxa"/>
            </w:tcMar>
            <w:vAlign w:val="center"/>
            <w:hideMark/>
          </w:tcPr>
          <w:p w14:paraId="64400C1F" w14:textId="2C7C3EB8"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C01-i05-RAM</w:t>
            </w:r>
          </w:p>
        </w:tc>
        <w:tc>
          <w:tcPr>
            <w:tcW w:w="992" w:type="dxa"/>
            <w:shd w:val="clear" w:color="auto" w:fill="C4EFCE"/>
            <w:noWrap/>
            <w:tcMar>
              <w:left w:w="28" w:type="dxa"/>
              <w:right w:w="28" w:type="dxa"/>
            </w:tcMar>
            <w:vAlign w:val="center"/>
            <w:hideMark/>
          </w:tcPr>
          <w:p w14:paraId="081DDB8E" w14:textId="0648B0ED"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7C7C8556" w14:textId="479AD9A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Zvýšenie počtu dostupných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systéme domácej hospitalizácie regionálnej zdravotnej služby na Madeire</w:t>
            </w:r>
          </w:p>
        </w:tc>
        <w:tc>
          <w:tcPr>
            <w:tcW w:w="1418" w:type="dxa"/>
            <w:shd w:val="clear" w:color="auto" w:fill="C4EFCE"/>
            <w:noWrap/>
            <w:tcMar>
              <w:left w:w="28" w:type="dxa"/>
              <w:right w:w="28" w:type="dxa"/>
            </w:tcMar>
            <w:vAlign w:val="center"/>
            <w:hideMark/>
          </w:tcPr>
          <w:p w14:paraId="501441A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3426B46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4BE3910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743EDF6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1 500</w:t>
            </w:r>
          </w:p>
        </w:tc>
        <w:tc>
          <w:tcPr>
            <w:tcW w:w="833" w:type="dxa"/>
            <w:gridSpan w:val="2"/>
            <w:shd w:val="clear" w:color="auto" w:fill="C4EFCE"/>
            <w:noWrap/>
            <w:tcMar>
              <w:left w:w="28" w:type="dxa"/>
              <w:right w:w="28" w:type="dxa"/>
            </w:tcMar>
            <w:vAlign w:val="center"/>
            <w:hideMark/>
          </w:tcPr>
          <w:p w14:paraId="2B0D5EEA" w14:textId="500FD47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901" w:type="dxa"/>
            <w:shd w:val="clear" w:color="auto" w:fill="C4EFCE"/>
            <w:noWrap/>
            <w:tcMar>
              <w:left w:w="28" w:type="dxa"/>
              <w:right w:w="28" w:type="dxa"/>
            </w:tcMar>
            <w:vAlign w:val="center"/>
            <w:hideMark/>
          </w:tcPr>
          <w:p w14:paraId="3AFF117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81" w:type="dxa"/>
            <w:shd w:val="clear" w:color="auto" w:fill="C4EFCE"/>
            <w:noWrap/>
            <w:tcMar>
              <w:left w:w="28" w:type="dxa"/>
              <w:right w:w="28" w:type="dxa"/>
            </w:tcMar>
            <w:vAlign w:val="center"/>
            <w:hideMark/>
          </w:tcPr>
          <w:p w14:paraId="664D2578" w14:textId="52B0311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Posilnenie reakčnej kapacity regionálnej zdravotnej služby Madeiry zvýšením počtu dostupných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systéme domácej hospitalizácie, čím sa umožní poskytovanie služieb zdravotnej starostlivosti doma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diferenciáciou, zložitosťou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intenzitou na úrovni nemocníc</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úzkom spojení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primárnou zdravotnou starostlivosťou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inými službami.</w:t>
            </w:r>
          </w:p>
        </w:tc>
      </w:tr>
      <w:tr w:rsidR="00387C70" w:rsidRPr="003F23AC" w14:paraId="68BBE707" w14:textId="77777777" w:rsidTr="003F23AC">
        <w:trPr>
          <w:trHeight w:val="430"/>
        </w:trPr>
        <w:tc>
          <w:tcPr>
            <w:tcW w:w="1135" w:type="dxa"/>
            <w:shd w:val="clear" w:color="auto" w:fill="C4EFCE"/>
            <w:noWrap/>
            <w:tcMar>
              <w:left w:w="28" w:type="dxa"/>
              <w:right w:w="28" w:type="dxa"/>
            </w:tcMar>
            <w:vAlign w:val="center"/>
            <w:hideMark/>
          </w:tcPr>
          <w:p w14:paraId="6B8F9975"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1.28</w:t>
            </w:r>
          </w:p>
        </w:tc>
        <w:tc>
          <w:tcPr>
            <w:tcW w:w="1276" w:type="dxa"/>
            <w:shd w:val="clear" w:color="auto" w:fill="C4EFCE"/>
            <w:noWrap/>
            <w:tcMar>
              <w:left w:w="28" w:type="dxa"/>
              <w:right w:w="28" w:type="dxa"/>
            </w:tcMar>
            <w:vAlign w:val="center"/>
            <w:hideMark/>
          </w:tcPr>
          <w:p w14:paraId="7EFF19CE" w14:textId="6178FD8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C01-i05-RAM</w:t>
            </w:r>
          </w:p>
        </w:tc>
        <w:tc>
          <w:tcPr>
            <w:tcW w:w="992" w:type="dxa"/>
            <w:shd w:val="clear" w:color="auto" w:fill="C4EFCE"/>
            <w:noWrap/>
            <w:tcMar>
              <w:left w:w="28" w:type="dxa"/>
              <w:right w:w="28" w:type="dxa"/>
            </w:tcMar>
            <w:vAlign w:val="center"/>
            <w:hideMark/>
          </w:tcPr>
          <w:p w14:paraId="1B8E013A" w14:textId="0D939B6A"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31D1DE9F" w14:textId="72134D8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Zriadenie komunitných tímov duševného zdravia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regionálnej zdravotnej služby na Madeire</w:t>
            </w:r>
          </w:p>
        </w:tc>
        <w:tc>
          <w:tcPr>
            <w:tcW w:w="1418" w:type="dxa"/>
            <w:shd w:val="clear" w:color="auto" w:fill="C4EFCE"/>
            <w:noWrap/>
            <w:tcMar>
              <w:left w:w="28" w:type="dxa"/>
              <w:right w:w="28" w:type="dxa"/>
            </w:tcMar>
            <w:vAlign w:val="center"/>
            <w:hideMark/>
          </w:tcPr>
          <w:p w14:paraId="5B56375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15965D6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4488F20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54B9112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w:t>
            </w:r>
          </w:p>
        </w:tc>
        <w:tc>
          <w:tcPr>
            <w:tcW w:w="833" w:type="dxa"/>
            <w:gridSpan w:val="2"/>
            <w:shd w:val="clear" w:color="auto" w:fill="C4EFCE"/>
            <w:noWrap/>
            <w:tcMar>
              <w:left w:w="28" w:type="dxa"/>
              <w:right w:w="28" w:type="dxa"/>
            </w:tcMar>
            <w:vAlign w:val="center"/>
            <w:hideMark/>
          </w:tcPr>
          <w:p w14:paraId="5AD45B50" w14:textId="3FB2769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901" w:type="dxa"/>
            <w:shd w:val="clear" w:color="auto" w:fill="C4EFCE"/>
            <w:noWrap/>
            <w:tcMar>
              <w:left w:w="28" w:type="dxa"/>
              <w:right w:w="28" w:type="dxa"/>
            </w:tcMar>
            <w:vAlign w:val="center"/>
            <w:hideMark/>
          </w:tcPr>
          <w:p w14:paraId="1FBFEAD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81" w:type="dxa"/>
            <w:shd w:val="clear" w:color="auto" w:fill="C4EFCE"/>
            <w:noWrap/>
            <w:tcMar>
              <w:left w:w="28" w:type="dxa"/>
              <w:right w:w="28" w:type="dxa"/>
            </w:tcMar>
            <w:vAlign w:val="center"/>
            <w:hideMark/>
          </w:tcPr>
          <w:p w14:paraId="20A1580E" w14:textId="11DEA2C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Posilnenie schopnosti regionálnej zdravotnej služby Madeiry reagovať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duševného zdravia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demencie spojenej so starnutím prostredníctvom vytvorenia komunitných tímov pre duševné zdravie.</w:t>
            </w:r>
          </w:p>
        </w:tc>
      </w:tr>
      <w:tr w:rsidR="00387C70" w:rsidRPr="003F23AC" w14:paraId="601A2D9F" w14:textId="77777777" w:rsidTr="003F23AC">
        <w:trPr>
          <w:trHeight w:val="640"/>
        </w:trPr>
        <w:tc>
          <w:tcPr>
            <w:tcW w:w="1135" w:type="dxa"/>
            <w:shd w:val="clear" w:color="auto" w:fill="C4EFCE"/>
            <w:noWrap/>
            <w:tcMar>
              <w:left w:w="28" w:type="dxa"/>
              <w:right w:w="28" w:type="dxa"/>
            </w:tcMar>
            <w:vAlign w:val="center"/>
            <w:hideMark/>
          </w:tcPr>
          <w:p w14:paraId="0B9ADE7F"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1.29</w:t>
            </w:r>
          </w:p>
        </w:tc>
        <w:tc>
          <w:tcPr>
            <w:tcW w:w="1276" w:type="dxa"/>
            <w:shd w:val="clear" w:color="auto" w:fill="C4EFCE"/>
            <w:noWrap/>
            <w:tcMar>
              <w:left w:w="28" w:type="dxa"/>
              <w:right w:w="28" w:type="dxa"/>
            </w:tcMar>
            <w:vAlign w:val="center"/>
            <w:hideMark/>
          </w:tcPr>
          <w:p w14:paraId="4F5677A4" w14:textId="7669A40A"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C01-i05-RAM</w:t>
            </w:r>
          </w:p>
        </w:tc>
        <w:tc>
          <w:tcPr>
            <w:tcW w:w="992" w:type="dxa"/>
            <w:shd w:val="clear" w:color="auto" w:fill="C4EFCE"/>
            <w:noWrap/>
            <w:tcMar>
              <w:left w:w="28" w:type="dxa"/>
              <w:right w:w="28" w:type="dxa"/>
            </w:tcMar>
            <w:vAlign w:val="center"/>
            <w:hideMark/>
          </w:tcPr>
          <w:p w14:paraId="4338AFA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70B8B5FF" w14:textId="192D0B3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Zavedenie klasifikačného systému, funkčného profilu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referenčného systému používateľov pre regionálny model služieb integrovanej nepretržitej starostlivosti na Madeire</w:t>
            </w:r>
          </w:p>
        </w:tc>
        <w:tc>
          <w:tcPr>
            <w:tcW w:w="1418" w:type="dxa"/>
            <w:shd w:val="clear" w:color="auto" w:fill="C4EFCE"/>
            <w:noWrap/>
            <w:tcMar>
              <w:left w:w="28" w:type="dxa"/>
              <w:right w:w="28" w:type="dxa"/>
            </w:tcMar>
            <w:vAlign w:val="center"/>
            <w:hideMark/>
          </w:tcPr>
          <w:p w14:paraId="792AE747" w14:textId="3D8582B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zavedení klasifikačného systému, funkčného profilu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referenčného systému používateľov</w:t>
            </w:r>
          </w:p>
        </w:tc>
        <w:tc>
          <w:tcPr>
            <w:tcW w:w="1164" w:type="dxa"/>
            <w:shd w:val="clear" w:color="auto" w:fill="C4EFCE"/>
            <w:noWrap/>
            <w:tcMar>
              <w:left w:w="28" w:type="dxa"/>
              <w:right w:w="28" w:type="dxa"/>
            </w:tcMar>
            <w:vAlign w:val="center"/>
            <w:hideMark/>
          </w:tcPr>
          <w:p w14:paraId="7DF7818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1B3035A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238781B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208823D9" w14:textId="643C28D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hideMark/>
          </w:tcPr>
          <w:p w14:paraId="21D3F18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3981" w:type="dxa"/>
            <w:shd w:val="clear" w:color="auto" w:fill="C4EFCE"/>
            <w:noWrap/>
            <w:tcMar>
              <w:left w:w="28" w:type="dxa"/>
              <w:right w:w="28" w:type="dxa"/>
            </w:tcMar>
            <w:vAlign w:val="center"/>
            <w:hideMark/>
          </w:tcPr>
          <w:p w14:paraId="5AE6B77D" w14:textId="5B3A88E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Zavedenie klasifikačného systému, funkčného profilu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referenčného systému používateľov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posilniť regionálny model integrovaných služieb nepretržitej starostlivosti na Madeire, ako aj jeho koordináciu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technické riadenie.</w:t>
            </w:r>
          </w:p>
        </w:tc>
      </w:tr>
      <w:tr w:rsidR="00387C70" w:rsidRPr="003F23AC" w14:paraId="1098BF06" w14:textId="77777777" w:rsidTr="003F23AC">
        <w:trPr>
          <w:trHeight w:val="1060"/>
        </w:trPr>
        <w:tc>
          <w:tcPr>
            <w:tcW w:w="1135" w:type="dxa"/>
            <w:shd w:val="clear" w:color="auto" w:fill="C4EFCE"/>
            <w:noWrap/>
            <w:tcMar>
              <w:left w:w="28" w:type="dxa"/>
              <w:right w:w="28" w:type="dxa"/>
            </w:tcMar>
            <w:vAlign w:val="center"/>
            <w:hideMark/>
          </w:tcPr>
          <w:p w14:paraId="6755063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1.30</w:t>
            </w:r>
          </w:p>
        </w:tc>
        <w:tc>
          <w:tcPr>
            <w:tcW w:w="1276" w:type="dxa"/>
            <w:shd w:val="clear" w:color="auto" w:fill="C4EFCE"/>
            <w:noWrap/>
            <w:tcMar>
              <w:left w:w="28" w:type="dxa"/>
              <w:right w:w="28" w:type="dxa"/>
            </w:tcMar>
            <w:vAlign w:val="center"/>
            <w:hideMark/>
          </w:tcPr>
          <w:p w14:paraId="43DCB444" w14:textId="667C6B14"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C01-i05-RAM</w:t>
            </w:r>
          </w:p>
        </w:tc>
        <w:tc>
          <w:tcPr>
            <w:tcW w:w="992" w:type="dxa"/>
            <w:shd w:val="clear" w:color="auto" w:fill="C4EFCE"/>
            <w:noWrap/>
            <w:tcMar>
              <w:left w:w="28" w:type="dxa"/>
              <w:right w:w="28" w:type="dxa"/>
            </w:tcMar>
            <w:vAlign w:val="center"/>
            <w:hideMark/>
          </w:tcPr>
          <w:p w14:paraId="04FC5C57" w14:textId="78D2D70E"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606F1B98" w14:textId="173D740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Zvýšenie počtu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integrovaných službách nepretržitej starostlivosti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regionálnej zdravotnej službe Madeiry</w:t>
            </w:r>
          </w:p>
        </w:tc>
        <w:tc>
          <w:tcPr>
            <w:tcW w:w="1418" w:type="dxa"/>
            <w:shd w:val="clear" w:color="auto" w:fill="C4EFCE"/>
            <w:noWrap/>
            <w:tcMar>
              <w:left w:w="28" w:type="dxa"/>
              <w:right w:w="28" w:type="dxa"/>
            </w:tcMar>
            <w:vAlign w:val="center"/>
            <w:hideMark/>
          </w:tcPr>
          <w:p w14:paraId="2182739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1164" w:type="dxa"/>
            <w:shd w:val="clear" w:color="auto" w:fill="C4EFCE"/>
            <w:noWrap/>
            <w:tcMar>
              <w:left w:w="28" w:type="dxa"/>
              <w:right w:w="28" w:type="dxa"/>
            </w:tcMar>
            <w:vAlign w:val="center"/>
            <w:hideMark/>
          </w:tcPr>
          <w:p w14:paraId="2498DB0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17180C8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10A4DD6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1 080</w:t>
            </w:r>
          </w:p>
        </w:tc>
        <w:tc>
          <w:tcPr>
            <w:tcW w:w="833" w:type="dxa"/>
            <w:gridSpan w:val="2"/>
            <w:shd w:val="clear" w:color="auto" w:fill="C4EFCE"/>
            <w:noWrap/>
            <w:tcMar>
              <w:left w:w="28" w:type="dxa"/>
              <w:right w:w="28" w:type="dxa"/>
            </w:tcMar>
            <w:vAlign w:val="center"/>
            <w:hideMark/>
          </w:tcPr>
          <w:p w14:paraId="1FCF5E4A" w14:textId="314CA19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hideMark/>
          </w:tcPr>
          <w:p w14:paraId="7160FF7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81" w:type="dxa"/>
            <w:shd w:val="clear" w:color="auto" w:fill="C4EFCE"/>
            <w:noWrap/>
            <w:tcMar>
              <w:left w:w="28" w:type="dxa"/>
              <w:right w:w="28" w:type="dxa"/>
            </w:tcMar>
            <w:vAlign w:val="center"/>
            <w:hideMark/>
          </w:tcPr>
          <w:p w14:paraId="313670F9" w14:textId="2B8226E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nových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renovovaných miest vytvorených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integrovaných službách nepretržitej starostlivosti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regionálnych zdravotníckych službách Madeiry, meraný</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hľadiska nových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renovovaných lôžok, vo všeobecnom rozsahu (vrátane rekonvalescencie, strednodobej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rehabilitačnej jednotky, dlhodobej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udržiavacej jednotky),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duševného zdravia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pediatrických služieb. Zahŕňa využívanie grantovej podpory i) na vybudovanie novej zdravotníckej infraštruktúry, ktorá musí mať dopyt po primárnej energii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nižší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ii) realizovať obnovu zameranú na energetickú efektívnosť.</w:t>
            </w:r>
          </w:p>
        </w:tc>
      </w:tr>
      <w:tr w:rsidR="00387C70" w:rsidRPr="003F23AC" w14:paraId="228353BC" w14:textId="77777777" w:rsidTr="003F23AC">
        <w:trPr>
          <w:trHeight w:val="300"/>
        </w:trPr>
        <w:tc>
          <w:tcPr>
            <w:tcW w:w="1135" w:type="dxa"/>
            <w:shd w:val="clear" w:color="auto" w:fill="C4EFCE"/>
            <w:noWrap/>
            <w:tcMar>
              <w:left w:w="28" w:type="dxa"/>
              <w:right w:w="28" w:type="dxa"/>
            </w:tcMar>
            <w:vAlign w:val="center"/>
            <w:hideMark/>
          </w:tcPr>
          <w:p w14:paraId="4EE5165B"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1.31</w:t>
            </w:r>
          </w:p>
        </w:tc>
        <w:tc>
          <w:tcPr>
            <w:tcW w:w="1276" w:type="dxa"/>
            <w:shd w:val="clear" w:color="auto" w:fill="C4EFCE"/>
            <w:noWrap/>
            <w:tcMar>
              <w:left w:w="28" w:type="dxa"/>
              <w:right w:w="28" w:type="dxa"/>
            </w:tcMar>
            <w:vAlign w:val="center"/>
            <w:hideMark/>
          </w:tcPr>
          <w:p w14:paraId="45977E58" w14:textId="73194592"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C01-i05-RAM</w:t>
            </w:r>
          </w:p>
        </w:tc>
        <w:tc>
          <w:tcPr>
            <w:tcW w:w="992" w:type="dxa"/>
            <w:shd w:val="clear" w:color="auto" w:fill="C4EFCE"/>
            <w:noWrap/>
            <w:tcMar>
              <w:left w:w="28" w:type="dxa"/>
              <w:right w:w="28" w:type="dxa"/>
            </w:tcMar>
            <w:vAlign w:val="center"/>
            <w:hideMark/>
          </w:tcPr>
          <w:p w14:paraId="5FD6D547" w14:textId="1998EEC6"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4FC0E06E" w14:textId="7FC6C9D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Renovácia služieb primárnej zdravotnej starostlivosti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regionálnej zdravotnej služby na Madeire</w:t>
            </w:r>
          </w:p>
        </w:tc>
        <w:tc>
          <w:tcPr>
            <w:tcW w:w="1418" w:type="dxa"/>
            <w:shd w:val="clear" w:color="auto" w:fill="C4EFCE"/>
            <w:noWrap/>
            <w:tcMar>
              <w:left w:w="28" w:type="dxa"/>
              <w:right w:w="28" w:type="dxa"/>
            </w:tcMar>
            <w:vAlign w:val="center"/>
            <w:hideMark/>
          </w:tcPr>
          <w:p w14:paraId="356EBB6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1164" w:type="dxa"/>
            <w:shd w:val="clear" w:color="auto" w:fill="C4EFCE"/>
            <w:noWrap/>
            <w:tcMar>
              <w:left w:w="28" w:type="dxa"/>
              <w:right w:w="28" w:type="dxa"/>
            </w:tcMar>
            <w:vAlign w:val="center"/>
            <w:hideMark/>
          </w:tcPr>
          <w:p w14:paraId="7418E17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798DA9A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4AB16FD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w:t>
            </w:r>
          </w:p>
        </w:tc>
        <w:tc>
          <w:tcPr>
            <w:tcW w:w="833" w:type="dxa"/>
            <w:gridSpan w:val="2"/>
            <w:shd w:val="clear" w:color="auto" w:fill="C4EFCE"/>
            <w:noWrap/>
            <w:tcMar>
              <w:left w:w="28" w:type="dxa"/>
              <w:right w:w="28" w:type="dxa"/>
            </w:tcMar>
            <w:vAlign w:val="center"/>
            <w:hideMark/>
          </w:tcPr>
          <w:p w14:paraId="141B4ED0" w14:textId="73EE4D7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901" w:type="dxa"/>
            <w:shd w:val="clear" w:color="auto" w:fill="C4EFCE"/>
            <w:noWrap/>
            <w:tcMar>
              <w:left w:w="28" w:type="dxa"/>
              <w:right w:w="28" w:type="dxa"/>
            </w:tcMar>
            <w:vAlign w:val="center"/>
            <w:hideMark/>
          </w:tcPr>
          <w:p w14:paraId="76AB49A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81" w:type="dxa"/>
            <w:shd w:val="clear" w:color="auto" w:fill="C4EFCE"/>
            <w:noWrap/>
            <w:tcMar>
              <w:left w:w="28" w:type="dxa"/>
              <w:right w:w="28" w:type="dxa"/>
            </w:tcMar>
            <w:vAlign w:val="center"/>
            <w:hideMark/>
          </w:tcPr>
          <w:p w14:paraId="24350EBE" w14:textId="374CF69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zrekonštruovaných zariadení primárnej zdravotnej starostlivosti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regionálnej zdravotnej služby na Madeire.</w:t>
            </w:r>
          </w:p>
        </w:tc>
      </w:tr>
      <w:tr w:rsidR="00387C70" w:rsidRPr="003F23AC" w14:paraId="5DB36F90" w14:textId="77777777" w:rsidTr="003F23AC">
        <w:trPr>
          <w:trHeight w:val="640"/>
        </w:trPr>
        <w:tc>
          <w:tcPr>
            <w:tcW w:w="1135" w:type="dxa"/>
            <w:shd w:val="clear" w:color="auto" w:fill="C4EFCE"/>
            <w:noWrap/>
            <w:tcMar>
              <w:left w:w="28" w:type="dxa"/>
              <w:right w:w="28" w:type="dxa"/>
            </w:tcMar>
            <w:vAlign w:val="center"/>
            <w:hideMark/>
          </w:tcPr>
          <w:p w14:paraId="23301C6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1.32</w:t>
            </w:r>
          </w:p>
        </w:tc>
        <w:tc>
          <w:tcPr>
            <w:tcW w:w="1276" w:type="dxa"/>
            <w:shd w:val="clear" w:color="auto" w:fill="C4EFCE"/>
            <w:noWrap/>
            <w:tcMar>
              <w:left w:w="28" w:type="dxa"/>
              <w:right w:w="28" w:type="dxa"/>
            </w:tcMar>
            <w:vAlign w:val="center"/>
            <w:hideMark/>
          </w:tcPr>
          <w:p w14:paraId="07BF663B" w14:textId="24A57512"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C01-i06</w:t>
            </w:r>
          </w:p>
        </w:tc>
        <w:tc>
          <w:tcPr>
            <w:tcW w:w="992" w:type="dxa"/>
            <w:shd w:val="clear" w:color="auto" w:fill="C4EFCE"/>
            <w:noWrap/>
            <w:tcMar>
              <w:left w:w="28" w:type="dxa"/>
              <w:right w:w="28" w:type="dxa"/>
            </w:tcMar>
            <w:vAlign w:val="center"/>
            <w:hideMark/>
          </w:tcPr>
          <w:p w14:paraId="54C196BC" w14:textId="596EC568"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21C0981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Modernizácia miestnych sietí informačných technológií</w:t>
            </w:r>
          </w:p>
        </w:tc>
        <w:tc>
          <w:tcPr>
            <w:tcW w:w="1418" w:type="dxa"/>
            <w:shd w:val="clear" w:color="auto" w:fill="C4EFCE"/>
            <w:noWrap/>
            <w:tcMar>
              <w:left w:w="28" w:type="dxa"/>
              <w:right w:w="28" w:type="dxa"/>
            </w:tcMar>
            <w:vAlign w:val="center"/>
            <w:hideMark/>
          </w:tcPr>
          <w:p w14:paraId="7496A1F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51D12A4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w:t>
            </w:r>
          </w:p>
        </w:tc>
        <w:tc>
          <w:tcPr>
            <w:tcW w:w="962" w:type="dxa"/>
            <w:shd w:val="clear" w:color="auto" w:fill="C4EFCE"/>
            <w:noWrap/>
            <w:tcMar>
              <w:left w:w="28" w:type="dxa"/>
              <w:right w:w="28" w:type="dxa"/>
            </w:tcMar>
            <w:vAlign w:val="center"/>
            <w:hideMark/>
          </w:tcPr>
          <w:p w14:paraId="604F7E4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64ACEC4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90</w:t>
            </w:r>
          </w:p>
        </w:tc>
        <w:tc>
          <w:tcPr>
            <w:tcW w:w="833" w:type="dxa"/>
            <w:gridSpan w:val="2"/>
            <w:shd w:val="clear" w:color="auto" w:fill="C4EFCE"/>
            <w:noWrap/>
            <w:tcMar>
              <w:left w:w="28" w:type="dxa"/>
              <w:right w:w="28" w:type="dxa"/>
            </w:tcMar>
            <w:vAlign w:val="center"/>
            <w:hideMark/>
          </w:tcPr>
          <w:p w14:paraId="58F1EC69" w14:textId="44FD286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hideMark/>
          </w:tcPr>
          <w:p w14:paraId="540758F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81" w:type="dxa"/>
            <w:shd w:val="clear" w:color="auto" w:fill="C4EFCE"/>
            <w:noWrap/>
            <w:tcMar>
              <w:left w:w="28" w:type="dxa"/>
              <w:right w:w="28" w:type="dxa"/>
            </w:tcMar>
            <w:vAlign w:val="center"/>
            <w:hideMark/>
          </w:tcPr>
          <w:p w14:paraId="38EC5631" w14:textId="68167B4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Percentuálny podiel modernizovaných miestnych sietí informačných technológií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Národnej zdravotnej službe, ktoré organizuje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realizuje subjekt zdieľaných služieb ministerstva zdravotníctva, ktorý tak môže fungovať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nového modelu jednotnej komunikácie (Voice over Internet Protocol).</w:t>
            </w:r>
          </w:p>
        </w:tc>
      </w:tr>
      <w:tr w:rsidR="00387C70" w:rsidRPr="003F23AC" w14:paraId="1D239173" w14:textId="77777777" w:rsidTr="003F23AC">
        <w:trPr>
          <w:trHeight w:val="640"/>
        </w:trPr>
        <w:tc>
          <w:tcPr>
            <w:tcW w:w="1135" w:type="dxa"/>
            <w:shd w:val="clear" w:color="auto" w:fill="C4EFCE"/>
            <w:noWrap/>
            <w:tcMar>
              <w:left w:w="28" w:type="dxa"/>
              <w:right w:w="28" w:type="dxa"/>
            </w:tcMar>
            <w:vAlign w:val="center"/>
            <w:hideMark/>
          </w:tcPr>
          <w:p w14:paraId="47CBD861"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1.33</w:t>
            </w:r>
          </w:p>
        </w:tc>
        <w:tc>
          <w:tcPr>
            <w:tcW w:w="1276" w:type="dxa"/>
            <w:shd w:val="clear" w:color="auto" w:fill="C4EFCE"/>
            <w:noWrap/>
            <w:tcMar>
              <w:left w:w="28" w:type="dxa"/>
              <w:right w:w="28" w:type="dxa"/>
            </w:tcMar>
            <w:vAlign w:val="center"/>
            <w:hideMark/>
          </w:tcPr>
          <w:p w14:paraId="7238DEBF" w14:textId="730A5F7D"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C01-i06</w:t>
            </w:r>
          </w:p>
        </w:tc>
        <w:tc>
          <w:tcPr>
            <w:tcW w:w="992" w:type="dxa"/>
            <w:shd w:val="clear" w:color="auto" w:fill="C4EFCE"/>
            <w:noWrap/>
            <w:tcMar>
              <w:left w:w="28" w:type="dxa"/>
              <w:right w:w="28" w:type="dxa"/>
            </w:tcMar>
            <w:vAlign w:val="center"/>
            <w:hideMark/>
          </w:tcPr>
          <w:p w14:paraId="0AC6399B" w14:textId="26A78D95"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719C984B" w14:textId="7B2059B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Zavedenie funkcií pre telezdravotníctvo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telemonitorovanie</w:t>
            </w:r>
          </w:p>
        </w:tc>
        <w:tc>
          <w:tcPr>
            <w:tcW w:w="1418" w:type="dxa"/>
            <w:shd w:val="clear" w:color="auto" w:fill="C4EFCE"/>
            <w:noWrap/>
            <w:tcMar>
              <w:left w:w="28" w:type="dxa"/>
              <w:right w:w="28" w:type="dxa"/>
            </w:tcMar>
            <w:vAlign w:val="center"/>
            <w:hideMark/>
          </w:tcPr>
          <w:p w14:paraId="1F8B5CC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4073D92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w:t>
            </w:r>
          </w:p>
        </w:tc>
        <w:tc>
          <w:tcPr>
            <w:tcW w:w="962" w:type="dxa"/>
            <w:shd w:val="clear" w:color="auto" w:fill="C4EFCE"/>
            <w:noWrap/>
            <w:tcMar>
              <w:left w:w="28" w:type="dxa"/>
              <w:right w:w="28" w:type="dxa"/>
            </w:tcMar>
            <w:vAlign w:val="center"/>
            <w:hideMark/>
          </w:tcPr>
          <w:p w14:paraId="375E54E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38EB1FE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w:t>
            </w:r>
          </w:p>
        </w:tc>
        <w:tc>
          <w:tcPr>
            <w:tcW w:w="833" w:type="dxa"/>
            <w:gridSpan w:val="2"/>
            <w:shd w:val="clear" w:color="auto" w:fill="C4EFCE"/>
            <w:noWrap/>
            <w:tcMar>
              <w:left w:w="28" w:type="dxa"/>
              <w:right w:w="28" w:type="dxa"/>
            </w:tcMar>
            <w:vAlign w:val="center"/>
            <w:hideMark/>
          </w:tcPr>
          <w:p w14:paraId="2F344E98" w14:textId="32E156A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hideMark/>
          </w:tcPr>
          <w:p w14:paraId="04B7D6F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81" w:type="dxa"/>
            <w:shd w:val="clear" w:color="auto" w:fill="C4EFCE"/>
            <w:noWrap/>
            <w:tcMar>
              <w:left w:w="28" w:type="dxa"/>
              <w:right w:w="28" w:type="dxa"/>
            </w:tcMar>
            <w:vAlign w:val="center"/>
            <w:hideMark/>
          </w:tcPr>
          <w:p w14:paraId="1BBF837A" w14:textId="28A9C10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Percentuálny podiel používateľov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prístupom</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novým funkciám telezdravotníctva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telemonitorovania, ktoré umožňujú poskytovanie služieb zdravotnej starostlivosti na diaľku, čím sa zvyšuje úroveň prístupu</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zdravotnej starostlivosti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účasť občanov na procese zberu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liečby informácií na diaľku.</w:t>
            </w:r>
          </w:p>
        </w:tc>
      </w:tr>
      <w:tr w:rsidR="00387C70" w:rsidRPr="003F23AC" w14:paraId="6B7A654B" w14:textId="77777777" w:rsidTr="003F23AC">
        <w:trPr>
          <w:trHeight w:val="414"/>
        </w:trPr>
        <w:tc>
          <w:tcPr>
            <w:tcW w:w="1135" w:type="dxa"/>
            <w:shd w:val="clear" w:color="auto" w:fill="C4EFCE"/>
            <w:noWrap/>
            <w:tcMar>
              <w:left w:w="28" w:type="dxa"/>
              <w:right w:w="28" w:type="dxa"/>
            </w:tcMar>
            <w:vAlign w:val="center"/>
            <w:hideMark/>
          </w:tcPr>
          <w:p w14:paraId="788FB01B"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1.34</w:t>
            </w:r>
          </w:p>
        </w:tc>
        <w:tc>
          <w:tcPr>
            <w:tcW w:w="1276" w:type="dxa"/>
            <w:shd w:val="clear" w:color="auto" w:fill="C4EFCE"/>
            <w:noWrap/>
            <w:tcMar>
              <w:left w:w="28" w:type="dxa"/>
              <w:right w:w="28" w:type="dxa"/>
            </w:tcMar>
            <w:vAlign w:val="center"/>
            <w:hideMark/>
          </w:tcPr>
          <w:p w14:paraId="3B63F904" w14:textId="08CE921D"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C01-i06</w:t>
            </w:r>
          </w:p>
        </w:tc>
        <w:tc>
          <w:tcPr>
            <w:tcW w:w="992" w:type="dxa"/>
            <w:shd w:val="clear" w:color="auto" w:fill="C4EFCE"/>
            <w:noWrap/>
            <w:tcMar>
              <w:left w:w="28" w:type="dxa"/>
              <w:right w:w="28" w:type="dxa"/>
            </w:tcMar>
            <w:vAlign w:val="center"/>
            <w:hideMark/>
          </w:tcPr>
          <w:p w14:paraId="0554D603" w14:textId="6DE6B9EE"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22A2F67A" w14:textId="5E9C0CF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Implementácia administratívnych modulov informačných technológií, základných klinických modulov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pohotovostných klinických modulov</w:t>
            </w:r>
          </w:p>
        </w:tc>
        <w:tc>
          <w:tcPr>
            <w:tcW w:w="1418" w:type="dxa"/>
            <w:shd w:val="clear" w:color="auto" w:fill="C4EFCE"/>
            <w:noWrap/>
            <w:tcMar>
              <w:left w:w="28" w:type="dxa"/>
              <w:right w:w="28" w:type="dxa"/>
            </w:tcMar>
            <w:vAlign w:val="center"/>
            <w:hideMark/>
          </w:tcPr>
          <w:p w14:paraId="60D6617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1B64EB9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w:t>
            </w:r>
          </w:p>
        </w:tc>
        <w:tc>
          <w:tcPr>
            <w:tcW w:w="962" w:type="dxa"/>
            <w:shd w:val="clear" w:color="auto" w:fill="C4EFCE"/>
            <w:noWrap/>
            <w:tcMar>
              <w:left w:w="28" w:type="dxa"/>
              <w:right w:w="28" w:type="dxa"/>
            </w:tcMar>
            <w:vAlign w:val="center"/>
            <w:hideMark/>
          </w:tcPr>
          <w:p w14:paraId="09AEDAE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1410514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w:t>
            </w:r>
          </w:p>
        </w:tc>
        <w:tc>
          <w:tcPr>
            <w:tcW w:w="833" w:type="dxa"/>
            <w:gridSpan w:val="2"/>
            <w:shd w:val="clear" w:color="auto" w:fill="C4EFCE"/>
            <w:noWrap/>
            <w:tcMar>
              <w:left w:w="28" w:type="dxa"/>
              <w:right w:w="28" w:type="dxa"/>
            </w:tcMar>
            <w:vAlign w:val="center"/>
            <w:hideMark/>
          </w:tcPr>
          <w:p w14:paraId="510A81E2" w14:textId="7DF153B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901" w:type="dxa"/>
            <w:shd w:val="clear" w:color="auto" w:fill="C4EFCE"/>
            <w:noWrap/>
            <w:tcMar>
              <w:left w:w="28" w:type="dxa"/>
              <w:right w:w="28" w:type="dxa"/>
            </w:tcMar>
            <w:vAlign w:val="center"/>
            <w:hideMark/>
          </w:tcPr>
          <w:p w14:paraId="1B258F53" w14:textId="7EC5611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81" w:type="dxa"/>
            <w:shd w:val="clear" w:color="auto" w:fill="C4EFCE"/>
            <w:noWrap/>
            <w:tcMar>
              <w:left w:w="28" w:type="dxa"/>
              <w:right w:w="28" w:type="dxa"/>
            </w:tcMar>
            <w:vAlign w:val="center"/>
            <w:hideMark/>
          </w:tcPr>
          <w:p w14:paraId="0AF81CED" w14:textId="35B308A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Percentuálny podiel zdravotníckych pracovníkov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prístupom</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integrovaným modulom informačných technológií, základným klinickým modulom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núdzovým klinickým modulom pre: I) zaznamenávanie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nahliadanie do klinických informácií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primárnej, nemocničnej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nepretržitej zdravotnej starostlivosti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zabezpečiť dostupnosť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integráciu zdravotných informácií, ako aj väčšiu bezpečnosť používateľov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zdravotníckych pracovníkov;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ii) pohotovostné služby, evidencia zdravotných sestier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telemonitorovanie služieb zdravotnej starostlivosti.</w:t>
            </w:r>
          </w:p>
        </w:tc>
      </w:tr>
      <w:tr w:rsidR="00387C70" w:rsidRPr="003F23AC" w14:paraId="2D39C445" w14:textId="77777777" w:rsidTr="003F23AC">
        <w:trPr>
          <w:trHeight w:val="640"/>
        </w:trPr>
        <w:tc>
          <w:tcPr>
            <w:tcW w:w="1135" w:type="dxa"/>
            <w:shd w:val="clear" w:color="auto" w:fill="C4EFCE"/>
            <w:noWrap/>
            <w:tcMar>
              <w:left w:w="28" w:type="dxa"/>
              <w:right w:w="28" w:type="dxa"/>
            </w:tcMar>
            <w:vAlign w:val="center"/>
            <w:hideMark/>
          </w:tcPr>
          <w:p w14:paraId="518CED1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1.35</w:t>
            </w:r>
          </w:p>
        </w:tc>
        <w:tc>
          <w:tcPr>
            <w:tcW w:w="1276" w:type="dxa"/>
            <w:shd w:val="clear" w:color="auto" w:fill="C4EFCE"/>
            <w:noWrap/>
            <w:tcMar>
              <w:left w:w="28" w:type="dxa"/>
              <w:right w:w="28" w:type="dxa"/>
            </w:tcMar>
            <w:vAlign w:val="center"/>
            <w:hideMark/>
          </w:tcPr>
          <w:p w14:paraId="2670C5DB" w14:textId="4FF61A4C"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C01-i07-RAM</w:t>
            </w:r>
          </w:p>
        </w:tc>
        <w:tc>
          <w:tcPr>
            <w:tcW w:w="992" w:type="dxa"/>
            <w:shd w:val="clear" w:color="auto" w:fill="C4EFCE"/>
            <w:noWrap/>
            <w:tcMar>
              <w:left w:w="28" w:type="dxa"/>
              <w:right w:w="28" w:type="dxa"/>
            </w:tcMar>
            <w:vAlign w:val="center"/>
            <w:hideMark/>
          </w:tcPr>
          <w:p w14:paraId="4F631A01" w14:textId="5970D519"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27E9821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Nové počítačové vybavenie pre regionálnu zdravotnú službu na Madeire</w:t>
            </w:r>
          </w:p>
        </w:tc>
        <w:tc>
          <w:tcPr>
            <w:tcW w:w="1418" w:type="dxa"/>
            <w:shd w:val="clear" w:color="auto" w:fill="C4EFCE"/>
            <w:noWrap/>
            <w:tcMar>
              <w:left w:w="28" w:type="dxa"/>
              <w:right w:w="28" w:type="dxa"/>
            </w:tcMar>
            <w:vAlign w:val="center"/>
            <w:hideMark/>
          </w:tcPr>
          <w:p w14:paraId="44306B2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108B4C8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4B03819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608FD16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3 600</w:t>
            </w:r>
          </w:p>
        </w:tc>
        <w:tc>
          <w:tcPr>
            <w:tcW w:w="833" w:type="dxa"/>
            <w:gridSpan w:val="2"/>
            <w:shd w:val="clear" w:color="auto" w:fill="C4EFCE"/>
            <w:noWrap/>
            <w:tcMar>
              <w:left w:w="28" w:type="dxa"/>
              <w:right w:w="28" w:type="dxa"/>
            </w:tcMar>
            <w:vAlign w:val="center"/>
            <w:hideMark/>
          </w:tcPr>
          <w:p w14:paraId="08604750" w14:textId="10E92EC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hideMark/>
          </w:tcPr>
          <w:p w14:paraId="709C901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81" w:type="dxa"/>
            <w:shd w:val="clear" w:color="auto" w:fill="C4EFCE"/>
            <w:noWrap/>
            <w:tcMar>
              <w:left w:w="28" w:type="dxa"/>
              <w:right w:w="28" w:type="dxa"/>
            </w:tcMar>
            <w:vAlign w:val="center"/>
            <w:hideMark/>
          </w:tcPr>
          <w:p w14:paraId="414FCB5F" w14:textId="7622471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nových počítačových zariadení pre regionálnu zdravotnú službu Madeiry na monitorovanie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zabezpečenie väčšej blízkosti</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používateľom regionálnej zdravotnej služby Madeiry, na podporu znižovania rizika chýb, ako aj na podporu efektívnosti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rýchleho prístupu</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údajom používateľov.</w:t>
            </w:r>
          </w:p>
        </w:tc>
      </w:tr>
      <w:tr w:rsidR="00387C70" w:rsidRPr="003F23AC" w14:paraId="3B6BEA0A" w14:textId="77777777" w:rsidTr="003F23AC">
        <w:trPr>
          <w:trHeight w:val="430"/>
        </w:trPr>
        <w:tc>
          <w:tcPr>
            <w:tcW w:w="1135" w:type="dxa"/>
            <w:shd w:val="clear" w:color="auto" w:fill="C4EFCE"/>
            <w:noWrap/>
            <w:tcMar>
              <w:left w:w="28" w:type="dxa"/>
              <w:right w:w="28" w:type="dxa"/>
            </w:tcMar>
            <w:vAlign w:val="center"/>
            <w:hideMark/>
          </w:tcPr>
          <w:p w14:paraId="1C2B4CDB"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1.36</w:t>
            </w:r>
          </w:p>
        </w:tc>
        <w:tc>
          <w:tcPr>
            <w:tcW w:w="1276" w:type="dxa"/>
            <w:shd w:val="clear" w:color="auto" w:fill="C4EFCE"/>
            <w:noWrap/>
            <w:tcMar>
              <w:left w:w="28" w:type="dxa"/>
              <w:right w:w="28" w:type="dxa"/>
            </w:tcMar>
            <w:vAlign w:val="center"/>
            <w:hideMark/>
          </w:tcPr>
          <w:p w14:paraId="44303377" w14:textId="6E7FFCC1"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C01-i08-RAA</w:t>
            </w:r>
          </w:p>
        </w:tc>
        <w:tc>
          <w:tcPr>
            <w:tcW w:w="992" w:type="dxa"/>
            <w:shd w:val="clear" w:color="auto" w:fill="C4EFCE"/>
            <w:noWrap/>
            <w:tcMar>
              <w:left w:w="28" w:type="dxa"/>
              <w:right w:w="28" w:type="dxa"/>
            </w:tcMar>
            <w:vAlign w:val="center"/>
            <w:hideMark/>
          </w:tcPr>
          <w:p w14:paraId="08334822" w14:textId="593DBD4B"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3262E30B" w14:textId="4AA1470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Zlepšený 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užívateľskému portálu regionálnej zdravotnej služby Azorských ostrovov</w:t>
            </w:r>
          </w:p>
        </w:tc>
        <w:tc>
          <w:tcPr>
            <w:tcW w:w="1418" w:type="dxa"/>
            <w:shd w:val="clear" w:color="auto" w:fill="C4EFCE"/>
            <w:noWrap/>
            <w:tcMar>
              <w:left w:w="28" w:type="dxa"/>
              <w:right w:w="28" w:type="dxa"/>
            </w:tcMar>
            <w:vAlign w:val="center"/>
            <w:hideMark/>
          </w:tcPr>
          <w:p w14:paraId="16ACFAA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0518DAD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258F715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0AFB382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25 000</w:t>
            </w:r>
          </w:p>
        </w:tc>
        <w:tc>
          <w:tcPr>
            <w:tcW w:w="833" w:type="dxa"/>
            <w:gridSpan w:val="2"/>
            <w:shd w:val="clear" w:color="auto" w:fill="C4EFCE"/>
            <w:noWrap/>
            <w:tcMar>
              <w:left w:w="28" w:type="dxa"/>
              <w:right w:w="28" w:type="dxa"/>
            </w:tcMar>
            <w:vAlign w:val="center"/>
            <w:hideMark/>
          </w:tcPr>
          <w:p w14:paraId="62A4D53A" w14:textId="1714C51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901" w:type="dxa"/>
            <w:shd w:val="clear" w:color="auto" w:fill="C4EFCE"/>
            <w:noWrap/>
            <w:tcMar>
              <w:left w:w="28" w:type="dxa"/>
              <w:right w:w="28" w:type="dxa"/>
            </w:tcMar>
            <w:vAlign w:val="center"/>
            <w:hideMark/>
          </w:tcPr>
          <w:p w14:paraId="6894F55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81" w:type="dxa"/>
            <w:shd w:val="clear" w:color="auto" w:fill="C4EFCE"/>
            <w:noWrap/>
            <w:tcMar>
              <w:left w:w="28" w:type="dxa"/>
              <w:right w:w="28" w:type="dxa"/>
            </w:tcMar>
            <w:vAlign w:val="center"/>
            <w:hideMark/>
          </w:tcPr>
          <w:p w14:paraId="35954B06" w14:textId="43A0AAF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ďalších individuálnych používateľov ročne, ktorí majú 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používateľskému portálu regionálnej zdravotnej služby Azorských ostrovov,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to vďaka rozšíreniu digitálnych zdravotníckych služieb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zdravotných informácií, ktoré sú na ňom</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dispozícii.</w:t>
            </w:r>
          </w:p>
        </w:tc>
      </w:tr>
      <w:tr w:rsidR="00387C70" w:rsidRPr="003F23AC" w14:paraId="2C6F55F9" w14:textId="77777777" w:rsidTr="003F23AC">
        <w:trPr>
          <w:trHeight w:val="430"/>
        </w:trPr>
        <w:tc>
          <w:tcPr>
            <w:tcW w:w="1135" w:type="dxa"/>
            <w:shd w:val="clear" w:color="auto" w:fill="C4EFCE"/>
            <w:noWrap/>
            <w:tcMar>
              <w:left w:w="28" w:type="dxa"/>
              <w:right w:w="28" w:type="dxa"/>
            </w:tcMar>
            <w:vAlign w:val="center"/>
            <w:hideMark/>
          </w:tcPr>
          <w:p w14:paraId="35FE58B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1.37</w:t>
            </w:r>
          </w:p>
        </w:tc>
        <w:tc>
          <w:tcPr>
            <w:tcW w:w="1276" w:type="dxa"/>
            <w:shd w:val="clear" w:color="auto" w:fill="C4EFCE"/>
            <w:noWrap/>
            <w:tcMar>
              <w:left w:w="28" w:type="dxa"/>
              <w:right w:w="28" w:type="dxa"/>
            </w:tcMar>
            <w:vAlign w:val="center"/>
            <w:hideMark/>
          </w:tcPr>
          <w:p w14:paraId="799DA769" w14:textId="7218F8E2"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C01-i08-RAA</w:t>
            </w:r>
          </w:p>
        </w:tc>
        <w:tc>
          <w:tcPr>
            <w:tcW w:w="992" w:type="dxa"/>
            <w:shd w:val="clear" w:color="auto" w:fill="C4EFCE"/>
            <w:noWrap/>
            <w:tcMar>
              <w:left w:w="28" w:type="dxa"/>
              <w:right w:w="28" w:type="dxa"/>
            </w:tcMar>
            <w:vAlign w:val="center"/>
            <w:hideMark/>
          </w:tcPr>
          <w:p w14:paraId="302C65ED" w14:textId="2FB2B85D"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hideMark/>
          </w:tcPr>
          <w:p w14:paraId="324EF576" w14:textId="0B41D9E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Zavedenie telemedicíny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regionálnom zdravotníckom systéme Azorských ostrovov</w:t>
            </w:r>
          </w:p>
        </w:tc>
        <w:tc>
          <w:tcPr>
            <w:tcW w:w="1418" w:type="dxa"/>
            <w:shd w:val="clear" w:color="auto" w:fill="C4EFCE"/>
            <w:noWrap/>
            <w:tcMar>
              <w:left w:w="28" w:type="dxa"/>
              <w:right w:w="28" w:type="dxa"/>
            </w:tcMar>
            <w:vAlign w:val="center"/>
            <w:hideMark/>
          </w:tcPr>
          <w:p w14:paraId="1A2B8AD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4" w:type="dxa"/>
            <w:shd w:val="clear" w:color="auto" w:fill="C4EFCE"/>
            <w:noWrap/>
            <w:tcMar>
              <w:left w:w="28" w:type="dxa"/>
              <w:right w:w="28" w:type="dxa"/>
            </w:tcMar>
            <w:vAlign w:val="center"/>
            <w:hideMark/>
          </w:tcPr>
          <w:p w14:paraId="1379D47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hideMark/>
          </w:tcPr>
          <w:p w14:paraId="43D9815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hideMark/>
          </w:tcPr>
          <w:p w14:paraId="0A44072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1 000</w:t>
            </w:r>
          </w:p>
        </w:tc>
        <w:tc>
          <w:tcPr>
            <w:tcW w:w="833" w:type="dxa"/>
            <w:gridSpan w:val="2"/>
            <w:shd w:val="clear" w:color="auto" w:fill="C4EFCE"/>
            <w:noWrap/>
            <w:tcMar>
              <w:left w:w="28" w:type="dxa"/>
              <w:right w:w="28" w:type="dxa"/>
            </w:tcMar>
            <w:vAlign w:val="center"/>
            <w:hideMark/>
          </w:tcPr>
          <w:p w14:paraId="6ED42D00" w14:textId="5F32309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901" w:type="dxa"/>
            <w:shd w:val="clear" w:color="auto" w:fill="C4EFCE"/>
            <w:noWrap/>
            <w:tcMar>
              <w:left w:w="28" w:type="dxa"/>
              <w:right w:w="28" w:type="dxa"/>
            </w:tcMar>
            <w:vAlign w:val="center"/>
            <w:hideMark/>
          </w:tcPr>
          <w:p w14:paraId="5CCF492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81" w:type="dxa"/>
            <w:shd w:val="clear" w:color="auto" w:fill="C4EFCE"/>
            <w:noWrap/>
            <w:tcMar>
              <w:left w:w="28" w:type="dxa"/>
              <w:right w:w="28" w:type="dxa"/>
            </w:tcMar>
            <w:vAlign w:val="center"/>
            <w:hideMark/>
          </w:tcPr>
          <w:p w14:paraId="1736CD51" w14:textId="0D03E42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každoročných telemedicínskych stretnutí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službách primárnej zdravotnej starostlivosti</w:t>
            </w:r>
            <w:r w:rsidR="00A75B3C" w:rsidRPr="003F23AC">
              <w:rPr>
                <w:rFonts w:ascii="Times New Roman" w:hAnsi="Times New Roman" w:cs="Times New Roman"/>
                <w:noProof/>
                <w:lang w:val="sk-SK"/>
              </w:rPr>
              <w:t xml:space="preserve"> a u </w:t>
            </w:r>
            <w:r w:rsidRPr="003F23AC">
              <w:rPr>
                <w:rFonts w:ascii="Times New Roman" w:hAnsi="Times New Roman" w:cs="Times New Roman"/>
                <w:noProof/>
                <w:lang w:val="sk-SK"/>
              </w:rPr>
              <w:t>lekárskych špecialistov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regionálnom zdravotníckom systéme Azorských ostrovov.</w:t>
            </w:r>
          </w:p>
        </w:tc>
      </w:tr>
      <w:tr w:rsidR="00387C70" w:rsidRPr="003F23AC" w14:paraId="0EE038BE" w14:textId="77777777" w:rsidTr="003F23AC">
        <w:trPr>
          <w:trHeight w:val="640"/>
        </w:trPr>
        <w:tc>
          <w:tcPr>
            <w:tcW w:w="1135" w:type="dxa"/>
            <w:shd w:val="clear" w:color="auto" w:fill="C4EFCE"/>
            <w:noWrap/>
            <w:tcMar>
              <w:left w:w="28" w:type="dxa"/>
              <w:right w:w="28" w:type="dxa"/>
            </w:tcMar>
            <w:vAlign w:val="center"/>
          </w:tcPr>
          <w:p w14:paraId="31A01111" w14:textId="4FBAFE14"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1.38</w:t>
            </w:r>
          </w:p>
        </w:tc>
        <w:tc>
          <w:tcPr>
            <w:tcW w:w="1276" w:type="dxa"/>
            <w:shd w:val="clear" w:color="auto" w:fill="C4EFCE"/>
            <w:noWrap/>
            <w:tcMar>
              <w:left w:w="28" w:type="dxa"/>
              <w:right w:w="28" w:type="dxa"/>
            </w:tcMar>
            <w:vAlign w:val="center"/>
          </w:tcPr>
          <w:p w14:paraId="64BB902A" w14:textId="79C6628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C01-i09</w:t>
            </w:r>
          </w:p>
        </w:tc>
        <w:tc>
          <w:tcPr>
            <w:tcW w:w="992" w:type="dxa"/>
            <w:shd w:val="clear" w:color="auto" w:fill="C4EFCE"/>
            <w:noWrap/>
            <w:tcMar>
              <w:left w:w="28" w:type="dxa"/>
              <w:right w:w="28" w:type="dxa"/>
            </w:tcMar>
            <w:vAlign w:val="center"/>
          </w:tcPr>
          <w:p w14:paraId="0A96970B" w14:textId="187C0459"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tcPr>
          <w:p w14:paraId="4E2D372B" w14:textId="05311AA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Ukončenie realizácie programov „Školského športového spoločenstva“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„Školského športu na kolieskach“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školách</w:t>
            </w:r>
          </w:p>
        </w:tc>
        <w:tc>
          <w:tcPr>
            <w:tcW w:w="1418" w:type="dxa"/>
            <w:shd w:val="clear" w:color="auto" w:fill="C4EFCE"/>
            <w:noWrap/>
            <w:tcMar>
              <w:left w:w="28" w:type="dxa"/>
              <w:right w:w="28" w:type="dxa"/>
            </w:tcMar>
            <w:vAlign w:val="center"/>
          </w:tcPr>
          <w:p w14:paraId="37AA52F9"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1164" w:type="dxa"/>
            <w:shd w:val="clear" w:color="auto" w:fill="C4EFCE"/>
            <w:noWrap/>
            <w:tcMar>
              <w:left w:w="28" w:type="dxa"/>
              <w:right w:w="28" w:type="dxa"/>
            </w:tcMar>
            <w:vAlign w:val="center"/>
          </w:tcPr>
          <w:p w14:paraId="1C3DF8F2" w14:textId="15771FE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2" w:type="dxa"/>
            <w:shd w:val="clear" w:color="auto" w:fill="C4EFCE"/>
            <w:noWrap/>
            <w:tcMar>
              <w:left w:w="28" w:type="dxa"/>
              <w:right w:w="28" w:type="dxa"/>
            </w:tcMar>
            <w:vAlign w:val="center"/>
          </w:tcPr>
          <w:p w14:paraId="10841144" w14:textId="7A4A9BB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tcPr>
          <w:p w14:paraId="35971DC5" w14:textId="6ECAC85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1980</w:t>
            </w:r>
          </w:p>
        </w:tc>
        <w:tc>
          <w:tcPr>
            <w:tcW w:w="833" w:type="dxa"/>
            <w:gridSpan w:val="2"/>
            <w:shd w:val="clear" w:color="auto" w:fill="C4EFCE"/>
            <w:noWrap/>
            <w:tcMar>
              <w:left w:w="28" w:type="dxa"/>
              <w:right w:w="28" w:type="dxa"/>
            </w:tcMar>
            <w:vAlign w:val="center"/>
          </w:tcPr>
          <w:p w14:paraId="015DCDA9" w14:textId="34D649BF"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901" w:type="dxa"/>
            <w:shd w:val="clear" w:color="auto" w:fill="C4EFCE"/>
            <w:noWrap/>
            <w:tcMar>
              <w:left w:w="28" w:type="dxa"/>
              <w:right w:w="28" w:type="dxa"/>
            </w:tcMar>
            <w:vAlign w:val="center"/>
          </w:tcPr>
          <w:p w14:paraId="06A77DA0" w14:textId="20CE188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81" w:type="dxa"/>
            <w:shd w:val="clear" w:color="auto" w:fill="C4EFCE"/>
            <w:noWrap/>
            <w:tcMar>
              <w:left w:w="28" w:type="dxa"/>
              <w:right w:w="28" w:type="dxa"/>
            </w:tcMar>
            <w:vAlign w:val="center"/>
          </w:tcPr>
          <w:p w14:paraId="628B2390" w14:textId="014C8FE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bicyklov obsahujúcich bicykle rôznych veľkostí dodávaných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školách druhého cyklu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vyučovať cyklistiku študentom, ako aj súpravy pre dospelých bicyklov dodávaných verejným školám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„Školská športová komunita“</w:t>
            </w:r>
          </w:p>
        </w:tc>
      </w:tr>
      <w:tr w:rsidR="00387C70" w:rsidRPr="003F23AC" w14:paraId="150B873E" w14:textId="77777777" w:rsidTr="003F23AC">
        <w:trPr>
          <w:trHeight w:val="640"/>
        </w:trPr>
        <w:tc>
          <w:tcPr>
            <w:tcW w:w="1135" w:type="dxa"/>
            <w:shd w:val="clear" w:color="auto" w:fill="C4EFCE"/>
            <w:noWrap/>
            <w:tcMar>
              <w:left w:w="28" w:type="dxa"/>
              <w:right w:w="28" w:type="dxa"/>
            </w:tcMar>
            <w:vAlign w:val="center"/>
            <w:hideMark/>
          </w:tcPr>
          <w:p w14:paraId="0C72F16B"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1.39</w:t>
            </w:r>
          </w:p>
        </w:tc>
        <w:tc>
          <w:tcPr>
            <w:tcW w:w="1276" w:type="dxa"/>
            <w:shd w:val="clear" w:color="auto" w:fill="C4EFCE"/>
            <w:noWrap/>
            <w:tcMar>
              <w:left w:w="28" w:type="dxa"/>
              <w:right w:w="28" w:type="dxa"/>
            </w:tcMar>
            <w:vAlign w:val="center"/>
            <w:hideMark/>
          </w:tcPr>
          <w:p w14:paraId="30A44D52" w14:textId="1FA15523"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C01-i09</w:t>
            </w:r>
          </w:p>
        </w:tc>
        <w:tc>
          <w:tcPr>
            <w:tcW w:w="992" w:type="dxa"/>
            <w:shd w:val="clear" w:color="auto" w:fill="C4EFCE"/>
            <w:noWrap/>
            <w:tcMar>
              <w:left w:w="28" w:type="dxa"/>
              <w:right w:w="28" w:type="dxa"/>
            </w:tcMar>
            <w:vAlign w:val="center"/>
            <w:hideMark/>
          </w:tcPr>
          <w:p w14:paraId="2A37062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hideMark/>
          </w:tcPr>
          <w:p w14:paraId="1BF3C4F6" w14:textId="6DE008F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Spustenie národnej kampane pre univerzálny systém aktívnej podpory života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súvisiacu technologickú platformu</w:t>
            </w:r>
          </w:p>
        </w:tc>
        <w:tc>
          <w:tcPr>
            <w:tcW w:w="1418" w:type="dxa"/>
            <w:shd w:val="clear" w:color="auto" w:fill="C4EFCE"/>
            <w:noWrap/>
            <w:tcMar>
              <w:left w:w="28" w:type="dxa"/>
              <w:right w:w="28" w:type="dxa"/>
            </w:tcMar>
            <w:vAlign w:val="center"/>
            <w:hideMark/>
          </w:tcPr>
          <w:p w14:paraId="71D7CD15" w14:textId="1AB353C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Nové komunikačné kanály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platforma, ktoré sú</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prevádzke pre vnútroštátnu kampaň za univerzálny systém aktívnej podpory života</w:t>
            </w:r>
          </w:p>
        </w:tc>
        <w:tc>
          <w:tcPr>
            <w:tcW w:w="1164" w:type="dxa"/>
            <w:shd w:val="clear" w:color="auto" w:fill="C4EFCE"/>
            <w:noWrap/>
            <w:tcMar>
              <w:left w:w="28" w:type="dxa"/>
              <w:right w:w="28" w:type="dxa"/>
            </w:tcMar>
            <w:vAlign w:val="center"/>
            <w:hideMark/>
          </w:tcPr>
          <w:p w14:paraId="7EE395E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7BFB127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5" w:type="dxa"/>
            <w:shd w:val="clear" w:color="auto" w:fill="C4EFCE"/>
            <w:noWrap/>
            <w:tcMar>
              <w:left w:w="28" w:type="dxa"/>
              <w:right w:w="28" w:type="dxa"/>
            </w:tcMar>
            <w:vAlign w:val="center"/>
            <w:hideMark/>
          </w:tcPr>
          <w:p w14:paraId="69FF4A3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33" w:type="dxa"/>
            <w:gridSpan w:val="2"/>
            <w:shd w:val="clear" w:color="auto" w:fill="C4EFCE"/>
            <w:noWrap/>
            <w:tcMar>
              <w:left w:w="28" w:type="dxa"/>
              <w:right w:w="28" w:type="dxa"/>
            </w:tcMar>
            <w:vAlign w:val="center"/>
            <w:hideMark/>
          </w:tcPr>
          <w:p w14:paraId="01CE5595" w14:textId="46E7D84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901" w:type="dxa"/>
            <w:shd w:val="clear" w:color="auto" w:fill="C4EFCE"/>
            <w:noWrap/>
            <w:tcMar>
              <w:left w:w="28" w:type="dxa"/>
              <w:right w:w="28" w:type="dxa"/>
            </w:tcMar>
            <w:vAlign w:val="center"/>
            <w:hideMark/>
          </w:tcPr>
          <w:p w14:paraId="63B5DA7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81" w:type="dxa"/>
            <w:shd w:val="clear" w:color="auto" w:fill="C4EFCE"/>
            <w:noWrap/>
            <w:tcMar>
              <w:left w:w="28" w:type="dxa"/>
              <w:right w:w="28" w:type="dxa"/>
            </w:tcMar>
            <w:vAlign w:val="center"/>
            <w:hideMark/>
          </w:tcPr>
          <w:p w14:paraId="528A0C6D" w14:textId="29E2DED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Začať vnútroštátnu kampaň pre všeobecný systém aktívnej podpory života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súvisiacu technologickú platformu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zvýšiť informovanosť občanov</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výhodách pravidelnej fyzickej aktivity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každom veku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podľa ich schopností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podporiť prijatie zdravšieho životného štýlu.</w:t>
            </w:r>
          </w:p>
        </w:tc>
      </w:tr>
      <w:tr w:rsidR="00387C70" w:rsidRPr="003F23AC" w14:paraId="32DDB6EB" w14:textId="77777777" w:rsidTr="003F23AC">
        <w:trPr>
          <w:trHeight w:val="640"/>
        </w:trPr>
        <w:tc>
          <w:tcPr>
            <w:tcW w:w="1135" w:type="dxa"/>
            <w:shd w:val="clear" w:color="auto" w:fill="C4EFCE"/>
            <w:noWrap/>
            <w:tcMar>
              <w:left w:w="28" w:type="dxa"/>
              <w:right w:w="28" w:type="dxa"/>
            </w:tcMar>
            <w:vAlign w:val="center"/>
          </w:tcPr>
          <w:p w14:paraId="5EA543BD" w14:textId="73E365A0"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1.41</w:t>
            </w:r>
          </w:p>
        </w:tc>
        <w:tc>
          <w:tcPr>
            <w:tcW w:w="1276" w:type="dxa"/>
            <w:shd w:val="clear" w:color="auto" w:fill="C4EFCE"/>
            <w:noWrap/>
            <w:tcMar>
              <w:left w:w="28" w:type="dxa"/>
              <w:right w:w="28" w:type="dxa"/>
            </w:tcMar>
            <w:vAlign w:val="center"/>
          </w:tcPr>
          <w:p w14:paraId="052499FB" w14:textId="79DA4EF9" w:rsidR="00387C70" w:rsidRPr="003F23AC" w:rsidRDefault="00F218FC" w:rsidP="003F23AC">
            <w:pPr>
              <w:pStyle w:val="P68B1DB1-Normal12"/>
              <w:spacing w:after="0" w:line="240" w:lineRule="auto"/>
              <w:jc w:val="center"/>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C01-i10</w:t>
            </w:r>
          </w:p>
        </w:tc>
        <w:tc>
          <w:tcPr>
            <w:tcW w:w="992" w:type="dxa"/>
            <w:shd w:val="clear" w:color="auto" w:fill="C4EFCE"/>
            <w:noWrap/>
            <w:tcMar>
              <w:left w:w="28" w:type="dxa"/>
              <w:right w:w="28" w:type="dxa"/>
            </w:tcMar>
            <w:vAlign w:val="center"/>
          </w:tcPr>
          <w:p w14:paraId="6833F05F" w14:textId="01DD35B4" w:rsidR="00387C70" w:rsidRPr="003F23AC" w:rsidRDefault="000F5AA4" w:rsidP="003F23AC">
            <w:pPr>
              <w:pStyle w:val="P68B1DB1-Normal12"/>
              <w:spacing w:after="0" w:line="240" w:lineRule="auto"/>
              <w:jc w:val="center"/>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M</w:t>
            </w:r>
          </w:p>
        </w:tc>
        <w:tc>
          <w:tcPr>
            <w:tcW w:w="1843" w:type="dxa"/>
            <w:shd w:val="clear" w:color="auto" w:fill="C4EFCE"/>
            <w:noWrap/>
            <w:tcMar>
              <w:left w:w="28" w:type="dxa"/>
              <w:right w:w="28" w:type="dxa"/>
            </w:tcMar>
            <w:vAlign w:val="center"/>
          </w:tcPr>
          <w:p w14:paraId="2B996393" w14:textId="02BC5A80" w:rsidR="00387C70" w:rsidRPr="003F23AC" w:rsidRDefault="000F5AA4" w:rsidP="003F23AC">
            <w:pPr>
              <w:pStyle w:val="P68B1DB1-Normal12"/>
              <w:spacing w:after="0" w:line="240" w:lineRule="auto"/>
              <w:jc w:val="center"/>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Schválenie správy,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ktorej sa identifikujú potreby NHS</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súvislosti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ťažkým zdravotníckym vybavením</w:t>
            </w:r>
          </w:p>
        </w:tc>
        <w:tc>
          <w:tcPr>
            <w:tcW w:w="1418" w:type="dxa"/>
            <w:shd w:val="clear" w:color="auto" w:fill="C4EFCE"/>
            <w:noWrap/>
            <w:tcMar>
              <w:left w:w="28" w:type="dxa"/>
              <w:right w:w="28" w:type="dxa"/>
            </w:tcMar>
            <w:vAlign w:val="center"/>
          </w:tcPr>
          <w:p w14:paraId="368DC9EE" w14:textId="2FE358D2" w:rsidR="00387C70" w:rsidRPr="003F23AC" w:rsidRDefault="000F5AA4" w:rsidP="003F23AC">
            <w:pPr>
              <w:pStyle w:val="P68B1DB1-Normal12"/>
              <w:spacing w:after="0" w:line="240" w:lineRule="auto"/>
              <w:jc w:val="center"/>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Schválenie správy</w:t>
            </w:r>
          </w:p>
        </w:tc>
        <w:tc>
          <w:tcPr>
            <w:tcW w:w="1164" w:type="dxa"/>
            <w:shd w:val="clear" w:color="auto" w:fill="C4EFCE"/>
            <w:noWrap/>
            <w:tcMar>
              <w:left w:w="28" w:type="dxa"/>
              <w:right w:w="28" w:type="dxa"/>
            </w:tcMar>
            <w:vAlign w:val="center"/>
          </w:tcPr>
          <w:p w14:paraId="78888CE5"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62" w:type="dxa"/>
            <w:shd w:val="clear" w:color="auto" w:fill="C4EFCE"/>
            <w:noWrap/>
            <w:tcMar>
              <w:left w:w="28" w:type="dxa"/>
              <w:right w:w="28" w:type="dxa"/>
            </w:tcMar>
            <w:vAlign w:val="center"/>
          </w:tcPr>
          <w:p w14:paraId="29921A70"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05" w:type="dxa"/>
            <w:shd w:val="clear" w:color="auto" w:fill="C4EFCE"/>
            <w:noWrap/>
            <w:tcMar>
              <w:left w:w="28" w:type="dxa"/>
              <w:right w:w="28" w:type="dxa"/>
            </w:tcMar>
            <w:vAlign w:val="center"/>
          </w:tcPr>
          <w:p w14:paraId="650D0E3B"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33" w:type="dxa"/>
            <w:gridSpan w:val="2"/>
            <w:shd w:val="clear" w:color="auto" w:fill="C4EFCE"/>
            <w:noWrap/>
            <w:tcMar>
              <w:left w:w="28" w:type="dxa"/>
              <w:right w:w="28" w:type="dxa"/>
            </w:tcMar>
            <w:vAlign w:val="center"/>
          </w:tcPr>
          <w:p w14:paraId="40E7DB94" w14:textId="560AEA66" w:rsidR="00387C70" w:rsidRPr="003F23AC" w:rsidRDefault="00FF0A91" w:rsidP="003F23AC">
            <w:pPr>
              <w:pStyle w:val="P68B1DB1-Normal12"/>
              <w:spacing w:after="0" w:line="240" w:lineRule="auto"/>
              <w:jc w:val="center"/>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3. štvrťrok</w:t>
            </w:r>
          </w:p>
        </w:tc>
        <w:tc>
          <w:tcPr>
            <w:tcW w:w="901" w:type="dxa"/>
            <w:shd w:val="clear" w:color="auto" w:fill="C4EFCE"/>
            <w:noWrap/>
            <w:tcMar>
              <w:left w:w="28" w:type="dxa"/>
              <w:right w:w="28" w:type="dxa"/>
            </w:tcMar>
            <w:vAlign w:val="center"/>
          </w:tcPr>
          <w:p w14:paraId="19DF970F" w14:textId="27374C84" w:rsidR="00387C70" w:rsidRPr="003F23AC" w:rsidRDefault="000F5AA4" w:rsidP="003F23AC">
            <w:pPr>
              <w:pStyle w:val="P68B1DB1-Normal12"/>
              <w:spacing w:after="0" w:line="240" w:lineRule="auto"/>
              <w:jc w:val="center"/>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2023</w:t>
            </w:r>
          </w:p>
        </w:tc>
        <w:tc>
          <w:tcPr>
            <w:tcW w:w="3981" w:type="dxa"/>
            <w:shd w:val="clear" w:color="auto" w:fill="C4EFCE"/>
            <w:noWrap/>
            <w:tcMar>
              <w:left w:w="28" w:type="dxa"/>
              <w:right w:w="28" w:type="dxa"/>
            </w:tcMar>
            <w:vAlign w:val="center"/>
          </w:tcPr>
          <w:p w14:paraId="31B2C935" w14:textId="14401BAB" w:rsidR="00387C70" w:rsidRPr="003F23AC" w:rsidRDefault="000F5AA4" w:rsidP="003F23AC">
            <w:pPr>
              <w:pStyle w:val="P68B1DB1-Normal12"/>
              <w:spacing w:after="0" w:line="240" w:lineRule="auto"/>
              <w:jc w:val="both"/>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Schválenie správy ministerstvom zdravotníctva,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ktorej sa uvádzajú potreby nemocníc štátnej zdravotnej služby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súvislosti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ťažkým zdravotníckym vybavením.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tejto správe sa uvedie potreba zakúpiť tento typ vybavenia po prvýkrát, ako aj potreba nahradiť existujúce ťažké zdravotnícke vybavenie. </w:t>
            </w:r>
          </w:p>
        </w:tc>
      </w:tr>
      <w:tr w:rsidR="00387C70" w:rsidRPr="003F23AC" w14:paraId="7BB31006" w14:textId="77777777" w:rsidTr="003F23AC">
        <w:trPr>
          <w:trHeight w:val="1265"/>
        </w:trPr>
        <w:tc>
          <w:tcPr>
            <w:tcW w:w="1135" w:type="dxa"/>
            <w:shd w:val="clear" w:color="auto" w:fill="C4EFCE"/>
            <w:noWrap/>
            <w:tcMar>
              <w:left w:w="28" w:type="dxa"/>
              <w:right w:w="28" w:type="dxa"/>
            </w:tcMar>
            <w:vAlign w:val="center"/>
          </w:tcPr>
          <w:p w14:paraId="2BC5216A" w14:textId="01C240B8"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1.42</w:t>
            </w:r>
          </w:p>
        </w:tc>
        <w:tc>
          <w:tcPr>
            <w:tcW w:w="1276" w:type="dxa"/>
            <w:shd w:val="clear" w:color="auto" w:fill="C4EFCE"/>
            <w:noWrap/>
            <w:tcMar>
              <w:left w:w="28" w:type="dxa"/>
              <w:right w:w="28" w:type="dxa"/>
            </w:tcMar>
            <w:vAlign w:val="center"/>
          </w:tcPr>
          <w:p w14:paraId="449FB587" w14:textId="7F3EC812" w:rsidR="00387C70" w:rsidRPr="003F23AC" w:rsidRDefault="00F218FC" w:rsidP="003F23AC">
            <w:pPr>
              <w:pStyle w:val="P68B1DB1-Normal12"/>
              <w:spacing w:after="0" w:line="240" w:lineRule="auto"/>
              <w:jc w:val="center"/>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C01-i10</w:t>
            </w:r>
          </w:p>
        </w:tc>
        <w:tc>
          <w:tcPr>
            <w:tcW w:w="992" w:type="dxa"/>
            <w:shd w:val="clear" w:color="auto" w:fill="C4EFCE"/>
            <w:noWrap/>
            <w:tcMar>
              <w:left w:w="28" w:type="dxa"/>
              <w:right w:w="28" w:type="dxa"/>
            </w:tcMar>
            <w:vAlign w:val="center"/>
          </w:tcPr>
          <w:p w14:paraId="3E03C39A" w14:textId="148C8869" w:rsidR="00387C70" w:rsidRPr="003F23AC" w:rsidRDefault="00C32C63" w:rsidP="003F23AC">
            <w:pPr>
              <w:pStyle w:val="P68B1DB1-Normal12"/>
              <w:spacing w:after="0" w:line="240" w:lineRule="auto"/>
              <w:jc w:val="center"/>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tcPr>
          <w:p w14:paraId="3173B055" w14:textId="67894D48" w:rsidR="00387C70" w:rsidRPr="003F23AC" w:rsidRDefault="000F5AA4" w:rsidP="003F23AC">
            <w:pPr>
              <w:pStyle w:val="P68B1DB1-Normal12"/>
              <w:spacing w:after="0" w:line="240" w:lineRule="auto"/>
              <w:jc w:val="center"/>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Nákup ťažkého zdravotníckeho vybavenia</w:t>
            </w:r>
          </w:p>
        </w:tc>
        <w:tc>
          <w:tcPr>
            <w:tcW w:w="1418" w:type="dxa"/>
            <w:shd w:val="clear" w:color="auto" w:fill="C4EFCE"/>
            <w:noWrap/>
            <w:tcMar>
              <w:left w:w="28" w:type="dxa"/>
              <w:right w:w="28" w:type="dxa"/>
            </w:tcMar>
            <w:vAlign w:val="center"/>
          </w:tcPr>
          <w:p w14:paraId="3E4067FF" w14:textId="77777777" w:rsidR="00387C70" w:rsidRPr="003F23AC" w:rsidRDefault="00387C70" w:rsidP="003F23AC">
            <w:pPr>
              <w:spacing w:after="0" w:line="240" w:lineRule="auto"/>
              <w:jc w:val="center"/>
              <w:rPr>
                <w:rFonts w:ascii="Times New Roman" w:eastAsia="Times New Roman" w:hAnsi="Times New Roman" w:cs="Times New Roman"/>
                <w:noProof/>
                <w:sz w:val="16"/>
                <w:highlight w:val="cyan"/>
                <w:lang w:val="sk-SK"/>
              </w:rPr>
            </w:pPr>
          </w:p>
        </w:tc>
        <w:tc>
          <w:tcPr>
            <w:tcW w:w="1164" w:type="dxa"/>
            <w:shd w:val="clear" w:color="auto" w:fill="C4EFCE"/>
            <w:noWrap/>
            <w:tcMar>
              <w:left w:w="28" w:type="dxa"/>
              <w:right w:w="28" w:type="dxa"/>
            </w:tcMar>
            <w:vAlign w:val="center"/>
          </w:tcPr>
          <w:p w14:paraId="47E2878A" w14:textId="1966A43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w:t>
            </w:r>
          </w:p>
        </w:tc>
        <w:tc>
          <w:tcPr>
            <w:tcW w:w="962" w:type="dxa"/>
            <w:shd w:val="clear" w:color="auto" w:fill="C4EFCE"/>
            <w:noWrap/>
            <w:tcMar>
              <w:left w:w="28" w:type="dxa"/>
              <w:right w:w="28" w:type="dxa"/>
            </w:tcMar>
            <w:vAlign w:val="center"/>
          </w:tcPr>
          <w:p w14:paraId="5876942B" w14:textId="11B5A7E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05" w:type="dxa"/>
            <w:shd w:val="clear" w:color="auto" w:fill="C4EFCE"/>
            <w:noWrap/>
            <w:tcMar>
              <w:left w:w="28" w:type="dxa"/>
              <w:right w:w="28" w:type="dxa"/>
            </w:tcMar>
            <w:vAlign w:val="center"/>
          </w:tcPr>
          <w:p w14:paraId="581F2A0F" w14:textId="00F6C99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w:t>
            </w:r>
          </w:p>
        </w:tc>
        <w:tc>
          <w:tcPr>
            <w:tcW w:w="833" w:type="dxa"/>
            <w:gridSpan w:val="2"/>
            <w:shd w:val="clear" w:color="auto" w:fill="C4EFCE"/>
            <w:noWrap/>
            <w:tcMar>
              <w:left w:w="28" w:type="dxa"/>
              <w:right w:w="28" w:type="dxa"/>
            </w:tcMar>
            <w:vAlign w:val="center"/>
          </w:tcPr>
          <w:p w14:paraId="3E9D65A1" w14:textId="75916AA0" w:rsidR="00387C70" w:rsidRPr="003F23AC" w:rsidRDefault="00FF0A91" w:rsidP="003F23AC">
            <w:pPr>
              <w:pStyle w:val="P68B1DB1-Normal12"/>
              <w:spacing w:after="0" w:line="240" w:lineRule="auto"/>
              <w:jc w:val="center"/>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4. štvrťrok</w:t>
            </w:r>
          </w:p>
        </w:tc>
        <w:tc>
          <w:tcPr>
            <w:tcW w:w="901" w:type="dxa"/>
            <w:shd w:val="clear" w:color="auto" w:fill="C4EFCE"/>
            <w:noWrap/>
            <w:tcMar>
              <w:left w:w="28" w:type="dxa"/>
              <w:right w:w="28" w:type="dxa"/>
            </w:tcMar>
            <w:vAlign w:val="center"/>
          </w:tcPr>
          <w:p w14:paraId="3750A5B5" w14:textId="29F5D74F" w:rsidR="00387C70" w:rsidRPr="003F23AC" w:rsidRDefault="000F5AA4" w:rsidP="003F23AC">
            <w:pPr>
              <w:pStyle w:val="P68B1DB1-Normal12"/>
              <w:spacing w:after="0" w:line="240" w:lineRule="auto"/>
              <w:jc w:val="center"/>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2024</w:t>
            </w:r>
          </w:p>
        </w:tc>
        <w:tc>
          <w:tcPr>
            <w:tcW w:w="3981" w:type="dxa"/>
            <w:shd w:val="clear" w:color="auto" w:fill="C4EFCE"/>
            <w:noWrap/>
            <w:tcMar>
              <w:left w:w="28" w:type="dxa"/>
              <w:right w:w="28" w:type="dxa"/>
            </w:tcMar>
            <w:vAlign w:val="center"/>
          </w:tcPr>
          <w:p w14:paraId="2BF1F0E3" w14:textId="3A272959" w:rsidR="00387C70" w:rsidRPr="003F23AC" w:rsidRDefault="000F5AA4" w:rsidP="003F23AC">
            <w:pPr>
              <w:pStyle w:val="P68B1DB1-Bodytext1013"/>
              <w:spacing w:after="0" w:line="240" w:lineRule="auto"/>
              <w:rPr>
                <w:rFonts w:ascii="Times New Roman" w:hAnsi="Times New Roman" w:cs="Times New Roman"/>
                <w:noProof/>
                <w:lang w:val="sk-SK"/>
              </w:rPr>
            </w:pPr>
            <w:r w:rsidRPr="003F23AC">
              <w:rPr>
                <w:rFonts w:ascii="Times New Roman" w:hAnsi="Times New Roman" w:cs="Times New Roman"/>
                <w:noProof/>
                <w:lang w:val="sk-SK"/>
              </w:rPr>
              <w:t>Počet ťažkých zdravotníckych zariadení zakúpených pre nemocnice NHS podľa potrieb identifikovaných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správe, ako sa uvádza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čiastkovom cieli 1.41. </w:t>
            </w:r>
          </w:p>
        </w:tc>
      </w:tr>
      <w:tr w:rsidR="00387C70" w:rsidRPr="003F23AC" w14:paraId="53D663E6" w14:textId="77777777" w:rsidTr="003F23AC">
        <w:trPr>
          <w:trHeight w:val="640"/>
        </w:trPr>
        <w:tc>
          <w:tcPr>
            <w:tcW w:w="1135" w:type="dxa"/>
            <w:shd w:val="clear" w:color="auto" w:fill="C4EFCE"/>
            <w:noWrap/>
            <w:tcMar>
              <w:left w:w="28" w:type="dxa"/>
              <w:right w:w="28" w:type="dxa"/>
            </w:tcMar>
            <w:vAlign w:val="center"/>
          </w:tcPr>
          <w:p w14:paraId="3A65D11A" w14:textId="50F5E0C2"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1.43</w:t>
            </w:r>
          </w:p>
        </w:tc>
        <w:tc>
          <w:tcPr>
            <w:tcW w:w="1276" w:type="dxa"/>
            <w:shd w:val="clear" w:color="auto" w:fill="C4EFCE"/>
            <w:noWrap/>
            <w:tcMar>
              <w:left w:w="28" w:type="dxa"/>
              <w:right w:w="28" w:type="dxa"/>
            </w:tcMar>
            <w:vAlign w:val="center"/>
          </w:tcPr>
          <w:p w14:paraId="6F139DBF" w14:textId="3D6A2649" w:rsidR="00387C70" w:rsidRPr="003F23AC" w:rsidRDefault="00F218FC" w:rsidP="003F23AC">
            <w:pPr>
              <w:pStyle w:val="P68B1DB1-Normal12"/>
              <w:spacing w:after="0" w:line="240" w:lineRule="auto"/>
              <w:jc w:val="center"/>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C01-i10</w:t>
            </w:r>
          </w:p>
        </w:tc>
        <w:tc>
          <w:tcPr>
            <w:tcW w:w="992" w:type="dxa"/>
            <w:shd w:val="clear" w:color="auto" w:fill="C4EFCE"/>
            <w:noWrap/>
            <w:tcMar>
              <w:left w:w="28" w:type="dxa"/>
              <w:right w:w="28" w:type="dxa"/>
            </w:tcMar>
            <w:vAlign w:val="center"/>
          </w:tcPr>
          <w:p w14:paraId="5E979747" w14:textId="0824BB44" w:rsidR="00387C70" w:rsidRPr="003F23AC" w:rsidRDefault="00C32C63" w:rsidP="003F23AC">
            <w:pPr>
              <w:pStyle w:val="P68B1DB1-Normal12"/>
              <w:spacing w:after="0" w:line="240" w:lineRule="auto"/>
              <w:jc w:val="center"/>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C</w:t>
            </w:r>
          </w:p>
        </w:tc>
        <w:tc>
          <w:tcPr>
            <w:tcW w:w="1843" w:type="dxa"/>
            <w:shd w:val="clear" w:color="auto" w:fill="C4EFCE"/>
            <w:noWrap/>
            <w:tcMar>
              <w:left w:w="28" w:type="dxa"/>
              <w:right w:w="28" w:type="dxa"/>
            </w:tcMar>
            <w:vAlign w:val="center"/>
          </w:tcPr>
          <w:p w14:paraId="78937866" w14:textId="4C654376" w:rsidR="00387C70" w:rsidRPr="003F23AC" w:rsidRDefault="000F5AA4" w:rsidP="003F23AC">
            <w:pPr>
              <w:pStyle w:val="P68B1DB1-Normal12"/>
              <w:spacing w:after="0" w:line="240" w:lineRule="auto"/>
              <w:jc w:val="center"/>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Nákup ťažkého zdravotníckeho vybavenia</w:t>
            </w:r>
          </w:p>
        </w:tc>
        <w:tc>
          <w:tcPr>
            <w:tcW w:w="1418" w:type="dxa"/>
            <w:shd w:val="clear" w:color="auto" w:fill="C4EFCE"/>
            <w:noWrap/>
            <w:tcMar>
              <w:left w:w="28" w:type="dxa"/>
              <w:right w:w="28" w:type="dxa"/>
            </w:tcMar>
            <w:vAlign w:val="center"/>
          </w:tcPr>
          <w:p w14:paraId="4C7ED9B0" w14:textId="77777777" w:rsidR="00387C70" w:rsidRPr="003F23AC" w:rsidRDefault="00387C70" w:rsidP="003F23AC">
            <w:pPr>
              <w:spacing w:after="0" w:line="240" w:lineRule="auto"/>
              <w:jc w:val="center"/>
              <w:rPr>
                <w:rFonts w:ascii="Times New Roman" w:eastAsia="Times New Roman" w:hAnsi="Times New Roman" w:cs="Times New Roman"/>
                <w:noProof/>
                <w:sz w:val="16"/>
                <w:highlight w:val="cyan"/>
                <w:lang w:val="sk-SK"/>
              </w:rPr>
            </w:pPr>
          </w:p>
        </w:tc>
        <w:tc>
          <w:tcPr>
            <w:tcW w:w="1164" w:type="dxa"/>
            <w:shd w:val="clear" w:color="auto" w:fill="C4EFCE"/>
            <w:noWrap/>
            <w:tcMar>
              <w:left w:w="28" w:type="dxa"/>
              <w:right w:w="28" w:type="dxa"/>
            </w:tcMar>
            <w:vAlign w:val="center"/>
          </w:tcPr>
          <w:p w14:paraId="39721FDC" w14:textId="63D9F4F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w:t>
            </w:r>
          </w:p>
        </w:tc>
        <w:tc>
          <w:tcPr>
            <w:tcW w:w="962" w:type="dxa"/>
            <w:shd w:val="clear" w:color="auto" w:fill="C4EFCE"/>
            <w:noWrap/>
            <w:tcMar>
              <w:left w:w="28" w:type="dxa"/>
              <w:right w:w="28" w:type="dxa"/>
            </w:tcMar>
            <w:vAlign w:val="center"/>
          </w:tcPr>
          <w:p w14:paraId="6A3D1C7A" w14:textId="3B984FB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w:t>
            </w:r>
          </w:p>
        </w:tc>
        <w:tc>
          <w:tcPr>
            <w:tcW w:w="805" w:type="dxa"/>
            <w:shd w:val="clear" w:color="auto" w:fill="C4EFCE"/>
            <w:noWrap/>
            <w:tcMar>
              <w:left w:w="28" w:type="dxa"/>
              <w:right w:w="28" w:type="dxa"/>
            </w:tcMar>
            <w:vAlign w:val="center"/>
          </w:tcPr>
          <w:p w14:paraId="457A6131" w14:textId="5D364BE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68</w:t>
            </w:r>
          </w:p>
        </w:tc>
        <w:tc>
          <w:tcPr>
            <w:tcW w:w="833" w:type="dxa"/>
            <w:gridSpan w:val="2"/>
            <w:shd w:val="clear" w:color="auto" w:fill="C4EFCE"/>
            <w:noWrap/>
            <w:tcMar>
              <w:left w:w="28" w:type="dxa"/>
              <w:right w:w="28" w:type="dxa"/>
            </w:tcMar>
            <w:vAlign w:val="center"/>
          </w:tcPr>
          <w:p w14:paraId="02EF6BB9" w14:textId="11C82B85" w:rsidR="00387C70" w:rsidRPr="003F23AC" w:rsidRDefault="00FF0A91" w:rsidP="003F23AC">
            <w:pPr>
              <w:pStyle w:val="P68B1DB1-Normal12"/>
              <w:spacing w:after="0" w:line="240" w:lineRule="auto"/>
              <w:jc w:val="center"/>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2. štvrťrok</w:t>
            </w:r>
          </w:p>
        </w:tc>
        <w:tc>
          <w:tcPr>
            <w:tcW w:w="901" w:type="dxa"/>
            <w:shd w:val="clear" w:color="auto" w:fill="C4EFCE"/>
            <w:noWrap/>
            <w:tcMar>
              <w:left w:w="28" w:type="dxa"/>
              <w:right w:w="28" w:type="dxa"/>
            </w:tcMar>
            <w:vAlign w:val="center"/>
          </w:tcPr>
          <w:p w14:paraId="3604404B" w14:textId="71C4B142" w:rsidR="00387C70" w:rsidRPr="003F23AC" w:rsidRDefault="000F5AA4" w:rsidP="003F23AC">
            <w:pPr>
              <w:pStyle w:val="P68B1DB1-Normal12"/>
              <w:spacing w:after="0" w:line="240" w:lineRule="auto"/>
              <w:jc w:val="center"/>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2026</w:t>
            </w:r>
          </w:p>
        </w:tc>
        <w:tc>
          <w:tcPr>
            <w:tcW w:w="3981" w:type="dxa"/>
            <w:shd w:val="clear" w:color="auto" w:fill="C4EFCE"/>
            <w:noWrap/>
            <w:tcMar>
              <w:left w:w="28" w:type="dxa"/>
              <w:right w:w="28" w:type="dxa"/>
            </w:tcMar>
            <w:vAlign w:val="center"/>
          </w:tcPr>
          <w:p w14:paraId="5C235DE8" w14:textId="5007030C" w:rsidR="00387C70" w:rsidRPr="003F23AC" w:rsidRDefault="000F5AA4" w:rsidP="003F23AC">
            <w:pPr>
              <w:pStyle w:val="P68B1DB1-Normal12"/>
              <w:spacing w:after="0" w:line="240" w:lineRule="auto"/>
              <w:jc w:val="both"/>
              <w:rPr>
                <w:rFonts w:ascii="Times New Roman" w:eastAsia="Times New Roman" w:hAnsi="Times New Roman" w:cs="Times New Roman"/>
                <w:noProof/>
                <w:highlight w:val="cyan"/>
                <w:lang w:val="sk-SK"/>
              </w:rPr>
            </w:pPr>
            <w:r w:rsidRPr="003F23AC">
              <w:rPr>
                <w:rFonts w:ascii="Times New Roman" w:hAnsi="Times New Roman" w:cs="Times New Roman"/>
                <w:noProof/>
                <w:lang w:val="sk-SK"/>
              </w:rPr>
              <w:t>Počet ťažkých zdravotníckych zariadení zakúpených pre nemocnice NHS podľa potrieb uvedených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správe, ako sa uvádza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čiastkovom cieli 1.41. </w:t>
            </w:r>
          </w:p>
        </w:tc>
      </w:tr>
    </w:tbl>
    <w:p w14:paraId="5B15A5F5" w14:textId="77777777" w:rsidR="00387C70" w:rsidRPr="003F23AC" w:rsidRDefault="00387C70" w:rsidP="003F23AC">
      <w:pPr>
        <w:rPr>
          <w:rFonts w:ascii="Times New Roman" w:eastAsiaTheme="minorEastAsia" w:hAnsi="Times New Roman" w:cs="Times New Roman"/>
          <w:noProof/>
          <w:sz w:val="24"/>
          <w:lang w:val="sk-SK"/>
        </w:rPr>
        <w:sectPr w:rsidR="00387C70" w:rsidRPr="003F23AC" w:rsidSect="00E00EDD">
          <w:headerReference w:type="even" r:id="rId36"/>
          <w:headerReference w:type="default" r:id="rId37"/>
          <w:footerReference w:type="even" r:id="rId38"/>
          <w:footerReference w:type="default" r:id="rId39"/>
          <w:headerReference w:type="first" r:id="rId40"/>
          <w:footerReference w:type="first" r:id="rId41"/>
          <w:pgSz w:w="16839" w:h="11907" w:orient="landscape"/>
          <w:pgMar w:top="1134" w:right="1134" w:bottom="1134" w:left="1134" w:header="567" w:footer="567" w:gutter="0"/>
          <w:cols w:space="720"/>
          <w:docGrid w:linePitch="360"/>
        </w:sectPr>
      </w:pPr>
    </w:p>
    <w:p w14:paraId="688C9CBD" w14:textId="701C9F01"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B</w:t>
      </w:r>
      <w:r w:rsidR="00C32C63" w:rsidRPr="003F23AC">
        <w:rPr>
          <w:rFonts w:cs="Times New Roman"/>
          <w:noProof/>
          <w:lang w:val="sk-SK"/>
        </w:rPr>
        <w:t>. KOMPONENT</w:t>
      </w:r>
      <w:r w:rsidRPr="003F23AC">
        <w:rPr>
          <w:rFonts w:cs="Times New Roman"/>
          <w:noProof/>
          <w:lang w:val="sk-SK"/>
        </w:rPr>
        <w:t xml:space="preserve"> 2: Bývanie</w:t>
      </w:r>
    </w:p>
    <w:p w14:paraId="27EBF2F6" w14:textId="1FA758AF"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zložka portugalského plánu obnovy</w:t>
      </w:r>
      <w:r w:rsidR="00A75B3C" w:rsidRPr="003F23AC">
        <w:rPr>
          <w:rFonts w:cs="Times New Roman"/>
          <w:noProof/>
          <w:lang w:val="sk-SK"/>
        </w:rPr>
        <w:t xml:space="preserve"> a </w:t>
      </w:r>
      <w:r w:rsidRPr="003F23AC">
        <w:rPr>
          <w:rFonts w:cs="Times New Roman"/>
          <w:noProof/>
          <w:lang w:val="sk-SK"/>
        </w:rPr>
        <w:t>odolnosti rieši výzvy súvisiace so štrukturálnym nedostatkom trvalých</w:t>
      </w:r>
      <w:r w:rsidR="00A75B3C" w:rsidRPr="003F23AC">
        <w:rPr>
          <w:rFonts w:cs="Times New Roman"/>
          <w:noProof/>
          <w:lang w:val="sk-SK"/>
        </w:rPr>
        <w:t xml:space="preserve"> a </w:t>
      </w:r>
      <w:r w:rsidRPr="003F23AC">
        <w:rPr>
          <w:rFonts w:cs="Times New Roman"/>
          <w:noProof/>
          <w:lang w:val="sk-SK"/>
        </w:rPr>
        <w:t>dočasných riešení</w:t>
      </w:r>
      <w:r w:rsidR="00A75B3C" w:rsidRPr="003F23AC">
        <w:rPr>
          <w:rFonts w:cs="Times New Roman"/>
          <w:noProof/>
          <w:lang w:val="sk-SK"/>
        </w:rPr>
        <w:t xml:space="preserve"> v </w:t>
      </w:r>
      <w:r w:rsidRPr="003F23AC">
        <w:rPr>
          <w:rFonts w:cs="Times New Roman"/>
          <w:noProof/>
          <w:lang w:val="sk-SK"/>
        </w:rPr>
        <w:t>oblasti bývania pre zraniteľnejšie skupiny,</w:t>
      </w:r>
      <w:r w:rsidR="00A75B3C" w:rsidRPr="003F23AC">
        <w:rPr>
          <w:rFonts w:cs="Times New Roman"/>
          <w:noProof/>
          <w:lang w:val="sk-SK"/>
        </w:rPr>
        <w:t xml:space="preserve"> a </w:t>
      </w:r>
      <w:r w:rsidRPr="003F23AC">
        <w:rPr>
          <w:rFonts w:cs="Times New Roman"/>
          <w:noProof/>
          <w:lang w:val="sk-SK"/>
        </w:rPr>
        <w:t>to</w:t>
      </w:r>
      <w:r w:rsidR="00A75B3C" w:rsidRPr="003F23AC">
        <w:rPr>
          <w:rFonts w:cs="Times New Roman"/>
          <w:noProof/>
          <w:lang w:val="sk-SK"/>
        </w:rPr>
        <w:t xml:space="preserve"> v </w:t>
      </w:r>
      <w:r w:rsidRPr="003F23AC">
        <w:rPr>
          <w:rFonts w:cs="Times New Roman"/>
          <w:noProof/>
          <w:lang w:val="sk-SK"/>
        </w:rPr>
        <w:t>kontinentálnom Portugalsku, ako aj</w:t>
      </w:r>
      <w:r w:rsidR="00A75B3C" w:rsidRPr="003F23AC">
        <w:rPr>
          <w:rFonts w:cs="Times New Roman"/>
          <w:noProof/>
          <w:lang w:val="sk-SK"/>
        </w:rPr>
        <w:t xml:space="preserve"> v </w:t>
      </w:r>
      <w:r w:rsidRPr="003F23AC">
        <w:rPr>
          <w:rFonts w:cs="Times New Roman"/>
          <w:noProof/>
          <w:lang w:val="sk-SK"/>
        </w:rPr>
        <w:t>autonómnych regiónoch Azory</w:t>
      </w:r>
      <w:r w:rsidR="00A75B3C" w:rsidRPr="003F23AC">
        <w:rPr>
          <w:rFonts w:cs="Times New Roman"/>
          <w:noProof/>
          <w:lang w:val="sk-SK"/>
        </w:rPr>
        <w:t xml:space="preserve"> a </w:t>
      </w:r>
      <w:r w:rsidRPr="003F23AC">
        <w:rPr>
          <w:rFonts w:cs="Times New Roman"/>
          <w:noProof/>
          <w:lang w:val="sk-SK"/>
        </w:rPr>
        <w:t>Madeiry,</w:t>
      </w:r>
      <w:r w:rsidR="00A75B3C" w:rsidRPr="003F23AC">
        <w:rPr>
          <w:rFonts w:cs="Times New Roman"/>
          <w:noProof/>
          <w:lang w:val="sk-SK"/>
        </w:rPr>
        <w:t xml:space="preserve"> a </w:t>
      </w:r>
      <w:r w:rsidRPr="003F23AC">
        <w:rPr>
          <w:rFonts w:cs="Times New Roman"/>
          <w:noProof/>
          <w:lang w:val="sk-SK"/>
        </w:rPr>
        <w:t>zároveň nepriamo prispieva</w:t>
      </w:r>
      <w:r w:rsidR="00A75B3C" w:rsidRPr="003F23AC">
        <w:rPr>
          <w:rFonts w:cs="Times New Roman"/>
          <w:noProof/>
          <w:lang w:val="sk-SK"/>
        </w:rPr>
        <w:t xml:space="preserve"> k </w:t>
      </w:r>
      <w:r w:rsidRPr="003F23AC">
        <w:rPr>
          <w:rFonts w:cs="Times New Roman"/>
          <w:noProof/>
          <w:lang w:val="sk-SK"/>
        </w:rPr>
        <w:t>posilneniu systému sociálnej ochrany. Nájomné bývanie predstavuje len 2</w:t>
      </w:r>
      <w:r w:rsidR="00A75B3C" w:rsidRPr="003F23AC">
        <w:rPr>
          <w:rFonts w:cs="Times New Roman"/>
          <w:noProof/>
          <w:lang w:val="sk-SK"/>
        </w:rPr>
        <w:t> %</w:t>
      </w:r>
      <w:r w:rsidRPr="003F23AC">
        <w:rPr>
          <w:rFonts w:cs="Times New Roman"/>
          <w:noProof/>
          <w:lang w:val="sk-SK"/>
        </w:rPr>
        <w:t xml:space="preserve"> celkového fondu</w:t>
      </w:r>
      <w:r w:rsidR="00A75B3C" w:rsidRPr="003F23AC">
        <w:rPr>
          <w:rFonts w:cs="Times New Roman"/>
          <w:noProof/>
          <w:lang w:val="sk-SK"/>
        </w:rPr>
        <w:t xml:space="preserve"> v </w:t>
      </w:r>
      <w:r w:rsidRPr="003F23AC">
        <w:rPr>
          <w:rFonts w:cs="Times New Roman"/>
          <w:noProof/>
          <w:lang w:val="sk-SK"/>
        </w:rPr>
        <w:t>Portugalsku</w:t>
      </w:r>
      <w:r w:rsidR="00A75B3C" w:rsidRPr="003F23AC">
        <w:rPr>
          <w:rFonts w:cs="Times New Roman"/>
          <w:noProof/>
          <w:lang w:val="sk-SK"/>
        </w:rPr>
        <w:t xml:space="preserve"> a </w:t>
      </w:r>
      <w:r w:rsidRPr="003F23AC">
        <w:rPr>
          <w:rFonts w:cs="Times New Roman"/>
          <w:noProof/>
          <w:lang w:val="sk-SK"/>
        </w:rPr>
        <w:t>považuje sa za nedostatočné na riešenie potrieb najodkázanejších osôb</w:t>
      </w:r>
      <w:r w:rsidR="00A75B3C" w:rsidRPr="003F23AC">
        <w:rPr>
          <w:rFonts w:cs="Times New Roman"/>
          <w:noProof/>
          <w:lang w:val="sk-SK"/>
        </w:rPr>
        <w:t xml:space="preserve"> a </w:t>
      </w:r>
      <w:r w:rsidRPr="003F23AC">
        <w:rPr>
          <w:rFonts w:cs="Times New Roman"/>
          <w:noProof/>
          <w:lang w:val="sk-SK"/>
        </w:rPr>
        <w:t>osôb ohrozených sociálnym vylúčením</w:t>
      </w:r>
      <w:r w:rsidR="00A75B3C" w:rsidRPr="003F23AC">
        <w:rPr>
          <w:rFonts w:cs="Times New Roman"/>
          <w:noProof/>
          <w:lang w:val="sk-SK"/>
        </w:rPr>
        <w:t>.</w:t>
      </w:r>
    </w:p>
    <w:p w14:paraId="6FF7FC73" w14:textId="4CA2E5CD"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Hlavné ciele zložky sú: I) zvýšiť ponuku sociálneho</w:t>
      </w:r>
      <w:r w:rsidR="00A75B3C" w:rsidRPr="003F23AC">
        <w:rPr>
          <w:rFonts w:cs="Times New Roman"/>
          <w:noProof/>
          <w:lang w:val="sk-SK"/>
        </w:rPr>
        <w:t xml:space="preserve"> a </w:t>
      </w:r>
      <w:r w:rsidRPr="003F23AC">
        <w:rPr>
          <w:rFonts w:cs="Times New Roman"/>
          <w:noProof/>
          <w:lang w:val="sk-SK"/>
        </w:rPr>
        <w:t>cenovo dostupného bývania (vrátane riešenia iných súvisiacich potrieb, ako je nedostatok základnej infraštruktúry</w:t>
      </w:r>
      <w:r w:rsidR="00A75B3C" w:rsidRPr="003F23AC">
        <w:rPr>
          <w:rFonts w:cs="Times New Roman"/>
          <w:noProof/>
          <w:lang w:val="sk-SK"/>
        </w:rPr>
        <w:t xml:space="preserve"> a </w:t>
      </w:r>
      <w:r w:rsidRPr="003F23AC">
        <w:rPr>
          <w:rFonts w:cs="Times New Roman"/>
          <w:noProof/>
          <w:lang w:val="sk-SK"/>
        </w:rPr>
        <w:t>vybavenia, nezdravé</w:t>
      </w:r>
      <w:r w:rsidR="00A75B3C" w:rsidRPr="003F23AC">
        <w:rPr>
          <w:rFonts w:cs="Times New Roman"/>
          <w:noProof/>
          <w:lang w:val="sk-SK"/>
        </w:rPr>
        <w:t xml:space="preserve"> a </w:t>
      </w:r>
      <w:r w:rsidRPr="003F23AC">
        <w:rPr>
          <w:rFonts w:cs="Times New Roman"/>
          <w:noProof/>
          <w:lang w:val="sk-SK"/>
        </w:rPr>
        <w:t>neisté miesta pobytu, neistota alebo nedostatok zmluvných väzieb, preplnenosť alebo nedostatočnosť bývania pre osobitné potreby obyvateľov so zdravotným postihnutím alebo zníženou pohyblivosťou); II) vytvoriť vnútroštátnu verejnú reakciu na naliehavé</w:t>
      </w:r>
      <w:r w:rsidR="00A75B3C" w:rsidRPr="003F23AC">
        <w:rPr>
          <w:rFonts w:cs="Times New Roman"/>
          <w:noProof/>
          <w:lang w:val="sk-SK"/>
        </w:rPr>
        <w:t xml:space="preserve"> a </w:t>
      </w:r>
      <w:r w:rsidRPr="003F23AC">
        <w:rPr>
          <w:rFonts w:cs="Times New Roman"/>
          <w:noProof/>
          <w:lang w:val="sk-SK"/>
        </w:rPr>
        <w:t>dočasné potreby ubytovania vyplývajúce</w:t>
      </w:r>
      <w:r w:rsidR="00A75B3C" w:rsidRPr="003F23AC">
        <w:rPr>
          <w:rFonts w:cs="Times New Roman"/>
          <w:noProof/>
          <w:lang w:val="sk-SK"/>
        </w:rPr>
        <w:t xml:space="preserve"> z </w:t>
      </w:r>
      <w:r w:rsidRPr="003F23AC">
        <w:rPr>
          <w:rFonts w:cs="Times New Roman"/>
          <w:noProof/>
          <w:lang w:val="sk-SK"/>
        </w:rPr>
        <w:t>neočakávaných alebo nepredvídateľných udalostí, ako sú prírodné katastrofy, požiare, pandémie, migračné pohyby, žiadosti</w:t>
      </w:r>
      <w:r w:rsidR="00A75B3C" w:rsidRPr="003F23AC">
        <w:rPr>
          <w:rFonts w:cs="Times New Roman"/>
          <w:noProof/>
          <w:lang w:val="sk-SK"/>
        </w:rPr>
        <w:t xml:space="preserve"> o </w:t>
      </w:r>
      <w:r w:rsidRPr="003F23AC">
        <w:rPr>
          <w:rFonts w:cs="Times New Roman"/>
          <w:noProof/>
          <w:lang w:val="sk-SK"/>
        </w:rPr>
        <w:t>azyl alebo situácie bezprostredného rizika, ako je domáce násilie, obchodovanie</w:t>
      </w:r>
      <w:r w:rsidR="00A75B3C" w:rsidRPr="003F23AC">
        <w:rPr>
          <w:rFonts w:cs="Times New Roman"/>
          <w:noProof/>
          <w:lang w:val="sk-SK"/>
        </w:rPr>
        <w:t xml:space="preserve"> s </w:t>
      </w:r>
      <w:r w:rsidRPr="003F23AC">
        <w:rPr>
          <w:rFonts w:cs="Times New Roman"/>
          <w:noProof/>
          <w:lang w:val="sk-SK"/>
        </w:rPr>
        <w:t>ľuďmi, riziko vysťahovania</w:t>
      </w:r>
      <w:r w:rsidR="00A75B3C" w:rsidRPr="003F23AC">
        <w:rPr>
          <w:rFonts w:cs="Times New Roman"/>
          <w:noProof/>
          <w:lang w:val="sk-SK"/>
        </w:rPr>
        <w:t xml:space="preserve"> a </w:t>
      </w:r>
      <w:r w:rsidRPr="003F23AC">
        <w:rPr>
          <w:rFonts w:cs="Times New Roman"/>
          <w:noProof/>
          <w:lang w:val="sk-SK"/>
        </w:rPr>
        <w:t>iné;</w:t>
      </w:r>
      <w:r w:rsidR="00A75B3C" w:rsidRPr="003F23AC">
        <w:rPr>
          <w:rFonts w:cs="Times New Roman"/>
          <w:noProof/>
          <w:lang w:val="sk-SK"/>
        </w:rPr>
        <w:t xml:space="preserve"> a </w:t>
      </w:r>
      <w:r w:rsidRPr="003F23AC">
        <w:rPr>
          <w:rFonts w:cs="Times New Roman"/>
          <w:noProof/>
          <w:lang w:val="sk-SK"/>
        </w:rPr>
        <w:t>iii) zvýšiť ponuku ubytovania pre študentov za dostupné ceny. Investície do komponentu zahŕňajú výstavbu nových obydlí</w:t>
      </w:r>
      <w:r w:rsidR="00A75B3C" w:rsidRPr="003F23AC">
        <w:rPr>
          <w:rFonts w:cs="Times New Roman"/>
          <w:noProof/>
          <w:lang w:val="sk-SK"/>
        </w:rPr>
        <w:t xml:space="preserve"> a </w:t>
      </w:r>
      <w:r w:rsidRPr="003F23AC">
        <w:rPr>
          <w:rFonts w:cs="Times New Roman"/>
          <w:noProof/>
          <w:lang w:val="sk-SK"/>
        </w:rPr>
        <w:t>obnovu existujúcich obydlí</w:t>
      </w:r>
      <w:r w:rsidR="00A75B3C" w:rsidRPr="003F23AC">
        <w:rPr>
          <w:rFonts w:cs="Times New Roman"/>
          <w:noProof/>
          <w:lang w:val="sk-SK"/>
        </w:rPr>
        <w:t>.</w:t>
      </w:r>
    </w:p>
    <w:p w14:paraId="70722AD0" w14:textId="21C2118F"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zložka prispieva</w:t>
      </w:r>
      <w:r w:rsidR="00A75B3C" w:rsidRPr="003F23AC">
        <w:rPr>
          <w:rFonts w:cs="Times New Roman"/>
          <w:noProof/>
          <w:lang w:val="sk-SK"/>
        </w:rPr>
        <w:t xml:space="preserve"> k </w:t>
      </w:r>
      <w:r w:rsidRPr="003F23AC">
        <w:rPr>
          <w:rFonts w:cs="Times New Roman"/>
          <w:noProof/>
          <w:lang w:val="sk-SK"/>
        </w:rPr>
        <w:t>plneniu odporúčaní pre jednotlivé krajiny vydaných Portugalsku</w:t>
      </w:r>
      <w:r w:rsidR="00A75B3C" w:rsidRPr="003F23AC">
        <w:rPr>
          <w:rFonts w:cs="Times New Roman"/>
          <w:noProof/>
          <w:lang w:val="sk-SK"/>
        </w:rPr>
        <w:t xml:space="preserve"> v </w:t>
      </w:r>
      <w:r w:rsidRPr="003F23AC">
        <w:rPr>
          <w:rFonts w:cs="Times New Roman"/>
          <w:noProof/>
          <w:lang w:val="sk-SK"/>
        </w:rPr>
        <w:t>rámci európskeho semestra</w:t>
      </w:r>
      <w:r w:rsidR="00A75B3C" w:rsidRPr="003F23AC">
        <w:rPr>
          <w:rFonts w:cs="Times New Roman"/>
          <w:noProof/>
          <w:lang w:val="sk-SK"/>
        </w:rPr>
        <w:t xml:space="preserve"> v </w:t>
      </w:r>
      <w:r w:rsidRPr="003F23AC">
        <w:rPr>
          <w:rFonts w:cs="Times New Roman"/>
          <w:noProof/>
          <w:lang w:val="sk-SK"/>
        </w:rPr>
        <w:t>rokoch 2019</w:t>
      </w:r>
      <w:r w:rsidR="00A75B3C" w:rsidRPr="003F23AC">
        <w:rPr>
          <w:rFonts w:cs="Times New Roman"/>
          <w:noProof/>
          <w:lang w:val="sk-SK"/>
        </w:rPr>
        <w:t xml:space="preserve"> a </w:t>
      </w:r>
      <w:r w:rsidRPr="003F23AC">
        <w:rPr>
          <w:rFonts w:cs="Times New Roman"/>
          <w:noProof/>
          <w:lang w:val="sk-SK"/>
        </w:rPr>
        <w:t>2020,</w:t>
      </w:r>
      <w:r w:rsidR="00A75B3C" w:rsidRPr="003F23AC">
        <w:rPr>
          <w:rFonts w:cs="Times New Roman"/>
          <w:noProof/>
          <w:lang w:val="sk-SK"/>
        </w:rPr>
        <w:t xml:space="preserve"> a </w:t>
      </w:r>
      <w:r w:rsidRPr="003F23AC">
        <w:rPr>
          <w:rFonts w:cs="Times New Roman"/>
          <w:noProof/>
          <w:lang w:val="sk-SK"/>
        </w:rPr>
        <w:t>to najmä: Zlepšiť účinnosť</w:t>
      </w:r>
      <w:r w:rsidR="00A75B3C" w:rsidRPr="003F23AC">
        <w:rPr>
          <w:rFonts w:cs="Times New Roman"/>
          <w:noProof/>
          <w:lang w:val="sk-SK"/>
        </w:rPr>
        <w:t xml:space="preserve"> a </w:t>
      </w:r>
      <w:r w:rsidRPr="003F23AC">
        <w:rPr>
          <w:rFonts w:cs="Times New Roman"/>
          <w:noProof/>
          <w:lang w:val="sk-SK"/>
        </w:rPr>
        <w:t>primeranosť záchrannej sociálnej siete (odporúčanie pre jednotlivé krajiny 2 2019); Zaručiť dostatočnú</w:t>
      </w:r>
      <w:r w:rsidR="00A75B3C" w:rsidRPr="003F23AC">
        <w:rPr>
          <w:rFonts w:cs="Times New Roman"/>
          <w:noProof/>
          <w:lang w:val="sk-SK"/>
        </w:rPr>
        <w:t xml:space="preserve"> a </w:t>
      </w:r>
      <w:r w:rsidRPr="003F23AC">
        <w:rPr>
          <w:rFonts w:cs="Times New Roman"/>
          <w:noProof/>
          <w:lang w:val="sk-SK"/>
        </w:rPr>
        <w:t>účinnú sociálnu ochranu</w:t>
      </w:r>
      <w:r w:rsidR="00A75B3C" w:rsidRPr="003F23AC">
        <w:rPr>
          <w:rFonts w:cs="Times New Roman"/>
          <w:noProof/>
          <w:lang w:val="sk-SK"/>
        </w:rPr>
        <w:t xml:space="preserve"> a </w:t>
      </w:r>
      <w:r w:rsidRPr="003F23AC">
        <w:rPr>
          <w:rFonts w:cs="Times New Roman"/>
          <w:noProof/>
          <w:lang w:val="sk-SK"/>
        </w:rPr>
        <w:t>podporu príjmu (odporúčanie pre jednotlivé krajiny 2 2020);</w:t>
      </w:r>
      <w:r w:rsidR="00A75B3C" w:rsidRPr="003F23AC">
        <w:rPr>
          <w:rFonts w:cs="Times New Roman"/>
          <w:noProof/>
          <w:lang w:val="sk-SK"/>
        </w:rPr>
        <w:t xml:space="preserve"> a </w:t>
      </w:r>
      <w:r w:rsidRPr="003F23AC">
        <w:rPr>
          <w:rFonts w:cs="Times New Roman"/>
          <w:noProof/>
          <w:lang w:val="sk-SK"/>
        </w:rPr>
        <w:t>zvýšiť počet absolventov vysokoškolského vzdelávania, najmä</w:t>
      </w:r>
      <w:r w:rsidR="00A75B3C" w:rsidRPr="003F23AC">
        <w:rPr>
          <w:rFonts w:cs="Times New Roman"/>
          <w:noProof/>
          <w:lang w:val="sk-SK"/>
        </w:rPr>
        <w:t xml:space="preserve"> v </w:t>
      </w:r>
      <w:r w:rsidRPr="003F23AC">
        <w:rPr>
          <w:rFonts w:cs="Times New Roman"/>
          <w:noProof/>
          <w:lang w:val="sk-SK"/>
        </w:rPr>
        <w:t>oblasti vedy</w:t>
      </w:r>
      <w:r w:rsidR="00A75B3C" w:rsidRPr="003F23AC">
        <w:rPr>
          <w:rFonts w:cs="Times New Roman"/>
          <w:noProof/>
          <w:lang w:val="sk-SK"/>
        </w:rPr>
        <w:t xml:space="preserve"> a </w:t>
      </w:r>
      <w:r w:rsidRPr="003F23AC">
        <w:rPr>
          <w:rFonts w:cs="Times New Roman"/>
          <w:noProof/>
          <w:lang w:val="sk-SK"/>
        </w:rPr>
        <w:t>informačných technológií (prostredníctvom investícií do ubytovania pre študentov) (odporúčanie 2 2019 pre jednotlivé krajiny). Táto zložka prispieva aj</w:t>
      </w:r>
      <w:r w:rsidR="00A75B3C" w:rsidRPr="003F23AC">
        <w:rPr>
          <w:rFonts w:cs="Times New Roman"/>
          <w:noProof/>
          <w:lang w:val="sk-SK"/>
        </w:rPr>
        <w:t xml:space="preserve"> k </w:t>
      </w:r>
      <w:r w:rsidRPr="003F23AC">
        <w:rPr>
          <w:rFonts w:cs="Times New Roman"/>
          <w:noProof/>
          <w:lang w:val="sk-SK"/>
        </w:rPr>
        <w:t>plneniu odporúčaní pre jednotlivé krajiny týkajúcich sa klimatickej transformácie (odporúčanie pre jednotlivé krajiny 3 2020). Táto zložka takisto prispieva</w:t>
      </w:r>
      <w:r w:rsidR="00A75B3C" w:rsidRPr="003F23AC">
        <w:rPr>
          <w:rFonts w:cs="Times New Roman"/>
          <w:noProof/>
          <w:lang w:val="sk-SK"/>
        </w:rPr>
        <w:t xml:space="preserve"> k </w:t>
      </w:r>
      <w:r w:rsidRPr="003F23AC">
        <w:rPr>
          <w:rFonts w:cs="Times New Roman"/>
          <w:noProof/>
          <w:lang w:val="sk-SK"/>
        </w:rPr>
        <w:t>vykonávaniu viacerých zásad Európskeho piliera sociálnych práv, ako sú: „Prístup ku kvalitnému sociálnemu bývaniu alebo pomoci pri bývaní sa poskytuje osobám</w:t>
      </w:r>
      <w:r w:rsidR="00A75B3C" w:rsidRPr="003F23AC">
        <w:rPr>
          <w:rFonts w:cs="Times New Roman"/>
          <w:noProof/>
          <w:lang w:val="sk-SK"/>
        </w:rPr>
        <w:t xml:space="preserve"> v </w:t>
      </w:r>
      <w:r w:rsidRPr="003F23AC">
        <w:rPr>
          <w:rFonts w:cs="Times New Roman"/>
          <w:noProof/>
          <w:lang w:val="sk-SK"/>
        </w:rPr>
        <w:t>núdzi“ (EPSR 19 písm. a); „Zraniteľní ľudia majú právo na primeranú pomoc</w:t>
      </w:r>
      <w:r w:rsidR="00A75B3C" w:rsidRPr="003F23AC">
        <w:rPr>
          <w:rFonts w:cs="Times New Roman"/>
          <w:noProof/>
          <w:lang w:val="sk-SK"/>
        </w:rPr>
        <w:t xml:space="preserve"> a </w:t>
      </w:r>
      <w:r w:rsidRPr="003F23AC">
        <w:rPr>
          <w:rFonts w:cs="Times New Roman"/>
          <w:noProof/>
          <w:lang w:val="sk-SK"/>
        </w:rPr>
        <w:t>ochranu pred núteným vysťahovaním“ (EPSR 19b); „Primerané prístrešie</w:t>
      </w:r>
      <w:r w:rsidR="00A75B3C" w:rsidRPr="003F23AC">
        <w:rPr>
          <w:rFonts w:cs="Times New Roman"/>
          <w:noProof/>
          <w:lang w:val="sk-SK"/>
        </w:rPr>
        <w:t xml:space="preserve"> a </w:t>
      </w:r>
      <w:r w:rsidRPr="003F23AC">
        <w:rPr>
          <w:rFonts w:cs="Times New Roman"/>
          <w:noProof/>
          <w:lang w:val="sk-SK"/>
        </w:rPr>
        <w:t>služby sa poskytujú bezdomovcom</w:t>
      </w:r>
      <w:r w:rsidR="00A75B3C" w:rsidRPr="003F23AC">
        <w:rPr>
          <w:rFonts w:cs="Times New Roman"/>
          <w:noProof/>
          <w:lang w:val="sk-SK"/>
        </w:rPr>
        <w:t xml:space="preserve"> s </w:t>
      </w:r>
      <w:r w:rsidRPr="003F23AC">
        <w:rPr>
          <w:rFonts w:cs="Times New Roman"/>
          <w:noProof/>
          <w:lang w:val="sk-SK"/>
        </w:rPr>
        <w:t>cieľom podporiť ich sociálne začlenenie“ (EPSP 19 písm. c); „Sociálna ochrana“ (EPSP 12); „Začlenenie osôb so zdravotným postihnutím“ (EPSP 17); „Prístup</w:t>
      </w:r>
      <w:r w:rsidR="00A75B3C" w:rsidRPr="003F23AC">
        <w:rPr>
          <w:rFonts w:cs="Times New Roman"/>
          <w:noProof/>
          <w:lang w:val="sk-SK"/>
        </w:rPr>
        <w:t xml:space="preserve"> k </w:t>
      </w:r>
      <w:r w:rsidRPr="003F23AC">
        <w:rPr>
          <w:rFonts w:cs="Times New Roman"/>
          <w:noProof/>
          <w:lang w:val="sk-SK"/>
        </w:rPr>
        <w:t>základným službám“ (EPSP 20); „Vzdelávanie, odborná príprava</w:t>
      </w:r>
      <w:r w:rsidR="00A75B3C" w:rsidRPr="003F23AC">
        <w:rPr>
          <w:rFonts w:cs="Times New Roman"/>
          <w:noProof/>
          <w:lang w:val="sk-SK"/>
        </w:rPr>
        <w:t xml:space="preserve"> a </w:t>
      </w:r>
      <w:r w:rsidRPr="003F23AC">
        <w:rPr>
          <w:rFonts w:cs="Times New Roman"/>
          <w:noProof/>
          <w:lang w:val="sk-SK"/>
        </w:rPr>
        <w:t>celoživotné vzdelávanie: Každý má právo na kvalitné</w:t>
      </w:r>
      <w:r w:rsidR="00A75B3C" w:rsidRPr="003F23AC">
        <w:rPr>
          <w:rFonts w:cs="Times New Roman"/>
          <w:noProof/>
          <w:lang w:val="sk-SK"/>
        </w:rPr>
        <w:t xml:space="preserve"> a </w:t>
      </w:r>
      <w:r w:rsidRPr="003F23AC">
        <w:rPr>
          <w:rFonts w:cs="Times New Roman"/>
          <w:noProof/>
          <w:lang w:val="sk-SK"/>
        </w:rPr>
        <w:t>inkluzívne vzdelávanie, odbornú prípravu</w:t>
      </w:r>
      <w:r w:rsidR="00A75B3C" w:rsidRPr="003F23AC">
        <w:rPr>
          <w:rFonts w:cs="Times New Roman"/>
          <w:noProof/>
          <w:lang w:val="sk-SK"/>
        </w:rPr>
        <w:t xml:space="preserve"> a </w:t>
      </w:r>
      <w:r w:rsidRPr="003F23AC">
        <w:rPr>
          <w:rFonts w:cs="Times New Roman"/>
          <w:noProof/>
          <w:lang w:val="sk-SK"/>
        </w:rPr>
        <w:t>celoživotné vzdelávanie, aby si udržal</w:t>
      </w:r>
      <w:r w:rsidR="00A75B3C" w:rsidRPr="003F23AC">
        <w:rPr>
          <w:rFonts w:cs="Times New Roman"/>
          <w:noProof/>
          <w:lang w:val="sk-SK"/>
        </w:rPr>
        <w:t xml:space="preserve"> a </w:t>
      </w:r>
      <w:r w:rsidRPr="003F23AC">
        <w:rPr>
          <w:rFonts w:cs="Times New Roman"/>
          <w:noProof/>
          <w:lang w:val="sk-SK"/>
        </w:rPr>
        <w:t>získal zručnosti, ktoré mu umožnia plne sa zapojiť do života spoločnosti</w:t>
      </w:r>
      <w:r w:rsidR="00A75B3C" w:rsidRPr="003F23AC">
        <w:rPr>
          <w:rFonts w:cs="Times New Roman"/>
          <w:noProof/>
          <w:lang w:val="sk-SK"/>
        </w:rPr>
        <w:t xml:space="preserve"> a </w:t>
      </w:r>
      <w:r w:rsidRPr="003F23AC">
        <w:rPr>
          <w:rFonts w:cs="Times New Roman"/>
          <w:noProof/>
          <w:lang w:val="sk-SK"/>
        </w:rPr>
        <w:t>úspešne zvládať zmeny postavenia na trhu práce“ (EPSP 1). Začlenia sa aj environmentálne rozmery, najmä prostredníctvom podpory novej výstavby</w:t>
      </w:r>
      <w:r w:rsidR="00A75B3C" w:rsidRPr="003F23AC">
        <w:rPr>
          <w:rFonts w:cs="Times New Roman"/>
          <w:noProof/>
          <w:lang w:val="sk-SK"/>
        </w:rPr>
        <w:t xml:space="preserve"> s </w:t>
      </w:r>
      <w:r w:rsidRPr="003F23AC">
        <w:rPr>
          <w:rFonts w:cs="Times New Roman"/>
          <w:noProof/>
          <w:lang w:val="sk-SK"/>
        </w:rPr>
        <w:t>vysokými normami energetickej účinnosti</w:t>
      </w:r>
      <w:r w:rsidR="00A75B3C" w:rsidRPr="003F23AC">
        <w:rPr>
          <w:rFonts w:cs="Times New Roman"/>
          <w:noProof/>
          <w:lang w:val="sk-SK"/>
        </w:rPr>
        <w:t>.</w:t>
      </w:r>
    </w:p>
    <w:p w14:paraId="35D63D83" w14:textId="02AB0B5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p>
    <w:p w14:paraId="6D10CF73" w14:textId="6E23D9FF" w:rsidR="00387C70" w:rsidRPr="003F23AC" w:rsidRDefault="000F5AA4" w:rsidP="003F23AC">
      <w:pPr>
        <w:rPr>
          <w:rFonts w:ascii="Times New Roman" w:eastAsiaTheme="minorEastAsia" w:hAnsi="Times New Roman" w:cs="Times New Roman"/>
          <w:b/>
          <w:noProof/>
          <w:sz w:val="24"/>
          <w:u w:val="single"/>
          <w:lang w:val="sk-SK"/>
        </w:rPr>
      </w:pPr>
      <w:r w:rsidRPr="003F23AC">
        <w:rPr>
          <w:rFonts w:ascii="Times New Roman" w:hAnsi="Times New Roman" w:cs="Times New Roman"/>
          <w:noProof/>
          <w:lang w:val="sk-SK"/>
        </w:rPr>
        <w:br w:type="page"/>
      </w:r>
      <w:r w:rsidRPr="003F23AC">
        <w:rPr>
          <w:rFonts w:ascii="Times New Roman" w:hAnsi="Times New Roman" w:cs="Times New Roman"/>
          <w:b/>
          <w:noProof/>
          <w:sz w:val="24"/>
          <w:u w:val="single"/>
          <w:lang w:val="sk-SK"/>
        </w:rPr>
        <w:t>B.1. Opis reforiem</w:t>
      </w:r>
      <w:r w:rsidR="00A75B3C" w:rsidRPr="003F23AC">
        <w:rPr>
          <w:rFonts w:ascii="Times New Roman" w:hAnsi="Times New Roman" w:cs="Times New Roman"/>
          <w:b/>
          <w:noProof/>
          <w:sz w:val="24"/>
          <w:u w:val="single"/>
          <w:lang w:val="sk-SK"/>
        </w:rPr>
        <w:t xml:space="preserve"> a </w:t>
      </w:r>
      <w:r w:rsidRPr="003F23AC">
        <w:rPr>
          <w:rFonts w:ascii="Times New Roman" w:hAnsi="Times New Roman" w:cs="Times New Roman"/>
          <w:b/>
          <w:noProof/>
          <w:sz w:val="24"/>
          <w:u w:val="single"/>
          <w:lang w:val="sk-SK"/>
        </w:rPr>
        <w:t>investícií</w:t>
      </w:r>
      <w:r w:rsidR="00A75B3C" w:rsidRPr="003F23AC">
        <w:rPr>
          <w:rFonts w:ascii="Times New Roman" w:hAnsi="Times New Roman" w:cs="Times New Roman"/>
          <w:b/>
          <w:noProof/>
          <w:sz w:val="24"/>
          <w:u w:val="single"/>
          <w:lang w:val="sk-SK"/>
        </w:rPr>
        <w:t xml:space="preserve"> v </w:t>
      </w:r>
      <w:r w:rsidRPr="003F23AC">
        <w:rPr>
          <w:rFonts w:ascii="Times New Roman" w:hAnsi="Times New Roman" w:cs="Times New Roman"/>
          <w:b/>
          <w:noProof/>
          <w:sz w:val="24"/>
          <w:u w:val="single"/>
          <w:lang w:val="sk-SK"/>
        </w:rPr>
        <w:t>rámci nenávratnej finančnej podpory</w:t>
      </w:r>
    </w:p>
    <w:p w14:paraId="4D40D654" w14:textId="77777777" w:rsidR="00A75B3C" w:rsidRPr="003F23AC" w:rsidRDefault="000F5AA4" w:rsidP="003F23AC">
      <w:pPr>
        <w:pStyle w:val="P68B1DB1-Normal5"/>
        <w:spacing w:before="240" w:after="0" w:line="259" w:lineRule="auto"/>
        <w:ind w:left="851"/>
        <w:jc w:val="both"/>
        <w:outlineLvl w:val="2"/>
        <w:rPr>
          <w:rFonts w:cs="Times New Roman"/>
          <w:b/>
          <w:noProof/>
          <w:lang w:val="sk-SK"/>
        </w:rPr>
      </w:pPr>
      <w:r w:rsidRPr="003F23AC">
        <w:rPr>
          <w:rFonts w:cs="Times New Roman"/>
          <w:noProof/>
          <w:lang w:val="sk-SK"/>
        </w:rPr>
        <w:t>Reforma RE-r04: Národný naliehavý</w:t>
      </w:r>
      <w:r w:rsidR="00A75B3C" w:rsidRPr="003F23AC">
        <w:rPr>
          <w:rFonts w:cs="Times New Roman"/>
          <w:noProof/>
          <w:lang w:val="sk-SK"/>
        </w:rPr>
        <w:t xml:space="preserve"> a </w:t>
      </w:r>
      <w:r w:rsidRPr="003F23AC">
        <w:rPr>
          <w:rFonts w:cs="Times New Roman"/>
          <w:noProof/>
          <w:lang w:val="sk-SK"/>
        </w:rPr>
        <w:t>dočasný plán bývania</w:t>
      </w:r>
    </w:p>
    <w:p w14:paraId="69243C7C" w14:textId="47135F6E"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reformy je vytvoriť národnú verejnú sieť</w:t>
      </w:r>
      <w:r w:rsidR="00A75B3C" w:rsidRPr="003F23AC">
        <w:rPr>
          <w:rFonts w:cs="Times New Roman"/>
          <w:noProof/>
          <w:lang w:val="sk-SK"/>
        </w:rPr>
        <w:t xml:space="preserve"> s </w:t>
      </w:r>
      <w:r w:rsidRPr="003F23AC">
        <w:rPr>
          <w:rFonts w:cs="Times New Roman"/>
          <w:noProof/>
          <w:lang w:val="sk-SK"/>
        </w:rPr>
        <w:t>cieľom reagovať na naliehavé</w:t>
      </w:r>
      <w:r w:rsidR="00A75B3C" w:rsidRPr="003F23AC">
        <w:rPr>
          <w:rFonts w:cs="Times New Roman"/>
          <w:noProof/>
          <w:lang w:val="sk-SK"/>
        </w:rPr>
        <w:t xml:space="preserve"> a </w:t>
      </w:r>
      <w:r w:rsidRPr="003F23AC">
        <w:rPr>
          <w:rFonts w:cs="Times New Roman"/>
          <w:noProof/>
          <w:lang w:val="sk-SK"/>
        </w:rPr>
        <w:t>dočasné potreby</w:t>
      </w:r>
      <w:r w:rsidR="00A75B3C" w:rsidRPr="003F23AC">
        <w:rPr>
          <w:rFonts w:cs="Times New Roman"/>
          <w:noProof/>
          <w:lang w:val="sk-SK"/>
        </w:rPr>
        <w:t xml:space="preserve"> v </w:t>
      </w:r>
      <w:r w:rsidRPr="003F23AC">
        <w:rPr>
          <w:rFonts w:cs="Times New Roman"/>
          <w:noProof/>
          <w:lang w:val="sk-SK"/>
        </w:rPr>
        <w:t>oblasti bývania</w:t>
      </w:r>
      <w:r w:rsidR="00A75B3C" w:rsidRPr="003F23AC">
        <w:rPr>
          <w:rFonts w:cs="Times New Roman"/>
          <w:noProof/>
          <w:lang w:val="sk-SK"/>
        </w:rPr>
        <w:t xml:space="preserve"> v </w:t>
      </w:r>
      <w:r w:rsidRPr="003F23AC">
        <w:rPr>
          <w:rFonts w:cs="Times New Roman"/>
          <w:noProof/>
          <w:lang w:val="sk-SK"/>
        </w:rPr>
        <w:t>rámci obnovy politík bývania</w:t>
      </w:r>
      <w:r w:rsidR="00A75B3C" w:rsidRPr="003F23AC">
        <w:rPr>
          <w:rFonts w:cs="Times New Roman"/>
          <w:noProof/>
          <w:lang w:val="sk-SK"/>
        </w:rPr>
        <w:t xml:space="preserve"> v </w:t>
      </w:r>
      <w:r w:rsidRPr="003F23AC">
        <w:rPr>
          <w:rFonts w:cs="Times New Roman"/>
          <w:noProof/>
          <w:lang w:val="sk-SK"/>
        </w:rPr>
        <w:t>Portugalsku</w:t>
      </w:r>
      <w:r w:rsidR="00A75B3C" w:rsidRPr="003F23AC">
        <w:rPr>
          <w:rFonts w:cs="Times New Roman"/>
          <w:noProof/>
          <w:lang w:val="sk-SK"/>
        </w:rPr>
        <w:t xml:space="preserve"> s </w:t>
      </w:r>
      <w:r w:rsidRPr="003F23AC">
        <w:rPr>
          <w:rFonts w:cs="Times New Roman"/>
          <w:noProof/>
          <w:lang w:val="sk-SK"/>
        </w:rPr>
        <w:t>cieľom chrániť určené cieľové skupiny</w:t>
      </w:r>
      <w:r w:rsidR="00A75B3C" w:rsidRPr="003F23AC">
        <w:rPr>
          <w:rFonts w:cs="Times New Roman"/>
          <w:noProof/>
          <w:lang w:val="sk-SK"/>
        </w:rPr>
        <w:t xml:space="preserve"> a </w:t>
      </w:r>
      <w:r w:rsidRPr="003F23AC">
        <w:rPr>
          <w:rFonts w:cs="Times New Roman"/>
          <w:noProof/>
          <w:lang w:val="sk-SK"/>
        </w:rPr>
        <w:t>posilniť ich postavenie</w:t>
      </w:r>
      <w:r w:rsidR="00A75B3C" w:rsidRPr="003F23AC">
        <w:rPr>
          <w:rFonts w:cs="Times New Roman"/>
          <w:noProof/>
          <w:lang w:val="sk-SK"/>
        </w:rPr>
        <w:t xml:space="preserve"> a </w:t>
      </w:r>
      <w:r w:rsidRPr="003F23AC">
        <w:rPr>
          <w:rFonts w:cs="Times New Roman"/>
          <w:noProof/>
          <w:lang w:val="sk-SK"/>
        </w:rPr>
        <w:t>podporiť sociálne začlenenie</w:t>
      </w:r>
      <w:r w:rsidR="00A75B3C" w:rsidRPr="003F23AC">
        <w:rPr>
          <w:rFonts w:cs="Times New Roman"/>
          <w:noProof/>
          <w:lang w:val="sk-SK"/>
        </w:rPr>
        <w:t xml:space="preserve"> a </w:t>
      </w:r>
      <w:r w:rsidRPr="003F23AC">
        <w:rPr>
          <w:rFonts w:cs="Times New Roman"/>
          <w:noProof/>
          <w:lang w:val="sk-SK"/>
        </w:rPr>
        <w:t>bojovať proti nerovnostiam.</w:t>
      </w:r>
    </w:p>
    <w:p w14:paraId="6FF238BF" w14:textId="35A3CEFA"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Reforma pozostáva</w:t>
      </w:r>
      <w:r w:rsidR="00A75B3C" w:rsidRPr="003F23AC">
        <w:rPr>
          <w:rFonts w:cs="Times New Roman"/>
          <w:noProof/>
          <w:lang w:val="sk-SK"/>
        </w:rPr>
        <w:t xml:space="preserve"> z </w:t>
      </w:r>
      <w:r w:rsidRPr="003F23AC">
        <w:rPr>
          <w:rFonts w:cs="Times New Roman"/>
          <w:noProof/>
          <w:lang w:val="sk-SK"/>
        </w:rPr>
        <w:t>vytvorenia štruktúrovanej</w:t>
      </w:r>
      <w:r w:rsidR="00A75B3C" w:rsidRPr="003F23AC">
        <w:rPr>
          <w:rFonts w:cs="Times New Roman"/>
          <w:noProof/>
          <w:lang w:val="sk-SK"/>
        </w:rPr>
        <w:t xml:space="preserve"> a </w:t>
      </w:r>
      <w:r w:rsidRPr="003F23AC">
        <w:rPr>
          <w:rFonts w:cs="Times New Roman"/>
          <w:noProof/>
          <w:lang w:val="sk-SK"/>
        </w:rPr>
        <w:t>prierezovej reakcie pre ľudí, ktorí potrebujú núdzové alebo dočasné ubytovacie riešenia,</w:t>
      </w:r>
      <w:r w:rsidR="00A75B3C" w:rsidRPr="003F23AC">
        <w:rPr>
          <w:rFonts w:cs="Times New Roman"/>
          <w:noProof/>
          <w:lang w:val="sk-SK"/>
        </w:rPr>
        <w:t xml:space="preserve"> a z </w:t>
      </w:r>
      <w:r w:rsidRPr="003F23AC">
        <w:rPr>
          <w:rFonts w:cs="Times New Roman"/>
          <w:noProof/>
          <w:lang w:val="sk-SK"/>
        </w:rPr>
        <w:t>vytvorenia potrebného právneho</w:t>
      </w:r>
      <w:r w:rsidR="00A75B3C" w:rsidRPr="003F23AC">
        <w:rPr>
          <w:rFonts w:cs="Times New Roman"/>
          <w:noProof/>
          <w:lang w:val="sk-SK"/>
        </w:rPr>
        <w:t xml:space="preserve"> a </w:t>
      </w:r>
      <w:r w:rsidRPr="003F23AC">
        <w:rPr>
          <w:rFonts w:cs="Times New Roman"/>
          <w:noProof/>
          <w:lang w:val="sk-SK"/>
        </w:rPr>
        <w:t>regulačného rámca na vytvorenie modelu riadenia investície RE-C02-i02 (Národný grant na núdzové</w:t>
      </w:r>
      <w:r w:rsidR="00A75B3C" w:rsidRPr="003F23AC">
        <w:rPr>
          <w:rFonts w:cs="Times New Roman"/>
          <w:noProof/>
          <w:lang w:val="sk-SK"/>
        </w:rPr>
        <w:t xml:space="preserve"> a </w:t>
      </w:r>
      <w:r w:rsidRPr="003F23AC">
        <w:rPr>
          <w:rFonts w:cs="Times New Roman"/>
          <w:noProof/>
          <w:lang w:val="sk-SK"/>
        </w:rPr>
        <w:t>dočasné ubytovanie)</w:t>
      </w:r>
      <w:r w:rsidR="00A75B3C" w:rsidRPr="003F23AC">
        <w:rPr>
          <w:rFonts w:cs="Times New Roman"/>
          <w:noProof/>
          <w:lang w:val="sk-SK"/>
        </w:rPr>
        <w:t xml:space="preserve"> a </w:t>
      </w:r>
      <w:r w:rsidRPr="003F23AC">
        <w:rPr>
          <w:rFonts w:cs="Times New Roman"/>
          <w:noProof/>
          <w:lang w:val="sk-SK"/>
        </w:rPr>
        <w:t>stanoví metodiky na označovanie</w:t>
      </w:r>
      <w:r w:rsidR="00A75B3C" w:rsidRPr="003F23AC">
        <w:rPr>
          <w:rFonts w:cs="Times New Roman"/>
          <w:noProof/>
          <w:lang w:val="sk-SK"/>
        </w:rPr>
        <w:t xml:space="preserve"> a </w:t>
      </w:r>
      <w:r w:rsidRPr="003F23AC">
        <w:rPr>
          <w:rFonts w:cs="Times New Roman"/>
          <w:noProof/>
          <w:lang w:val="sk-SK"/>
        </w:rPr>
        <w:t>nasmerovanie na ubytovanie</w:t>
      </w:r>
      <w:r w:rsidR="00A75B3C" w:rsidRPr="003F23AC">
        <w:rPr>
          <w:rFonts w:cs="Times New Roman"/>
          <w:noProof/>
          <w:lang w:val="sk-SK"/>
        </w:rPr>
        <w:t xml:space="preserve"> a </w:t>
      </w:r>
      <w:r w:rsidRPr="003F23AC">
        <w:rPr>
          <w:rFonts w:cs="Times New Roman"/>
          <w:noProof/>
          <w:lang w:val="sk-SK"/>
        </w:rPr>
        <w:t>sociálnu podporu pre podporované osoby</w:t>
      </w:r>
      <w:r w:rsidR="00A75B3C" w:rsidRPr="003F23AC">
        <w:rPr>
          <w:rFonts w:cs="Times New Roman"/>
          <w:noProof/>
          <w:lang w:val="sk-SK"/>
        </w:rPr>
        <w:t>.</w:t>
      </w:r>
    </w:p>
    <w:p w14:paraId="342DEB4C" w14:textId="25C1EBFD"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reformy sa mala dokončiť do 31</w:t>
      </w:r>
      <w:r w:rsidR="00A75B3C" w:rsidRPr="003F23AC">
        <w:rPr>
          <w:rFonts w:cs="Times New Roman"/>
          <w:noProof/>
          <w:lang w:val="sk-SK"/>
        </w:rPr>
        <w:t>. júna</w:t>
      </w:r>
      <w:r w:rsidRPr="003F23AC">
        <w:rPr>
          <w:rFonts w:cs="Times New Roman"/>
          <w:noProof/>
          <w:lang w:val="sk-SK"/>
        </w:rPr>
        <w:t xml:space="preserve"> 2021.</w:t>
      </w:r>
    </w:p>
    <w:p w14:paraId="60A89DB8" w14:textId="471997CE" w:rsidR="00387C70" w:rsidRPr="003F23AC" w:rsidRDefault="000F5AA4" w:rsidP="003F23AC">
      <w:pPr>
        <w:pStyle w:val="P68B1DB1-Normal5"/>
        <w:spacing w:before="240" w:after="0" w:line="259" w:lineRule="auto"/>
        <w:ind w:left="851"/>
        <w:jc w:val="both"/>
        <w:outlineLvl w:val="2"/>
        <w:rPr>
          <w:rFonts w:eastAsiaTheme="minorEastAsia" w:cs="Times New Roman"/>
          <w:b/>
          <w:noProof/>
          <w:lang w:val="sk-SK"/>
        </w:rPr>
      </w:pPr>
      <w:r w:rsidRPr="003F23AC">
        <w:rPr>
          <w:rFonts w:cs="Times New Roman"/>
          <w:noProof/>
          <w:lang w:val="sk-SK"/>
        </w:rPr>
        <w:t>Investície RE-C02-i01: Podporný program pre prístup</w:t>
      </w:r>
      <w:r w:rsidR="00A75B3C" w:rsidRPr="003F23AC">
        <w:rPr>
          <w:rFonts w:cs="Times New Roman"/>
          <w:noProof/>
          <w:lang w:val="sk-SK"/>
        </w:rPr>
        <w:t xml:space="preserve"> k </w:t>
      </w:r>
      <w:r w:rsidRPr="003F23AC">
        <w:rPr>
          <w:rFonts w:cs="Times New Roman"/>
          <w:noProof/>
          <w:lang w:val="sk-SK"/>
        </w:rPr>
        <w:t>bývaniu</w:t>
      </w:r>
    </w:p>
    <w:p w14:paraId="23997943" w14:textId="64AE3A6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investície je zabezpečiť dôstojné</w:t>
      </w:r>
      <w:r w:rsidR="00A75B3C" w:rsidRPr="003F23AC">
        <w:rPr>
          <w:rFonts w:cs="Times New Roman"/>
          <w:noProof/>
          <w:lang w:val="sk-SK"/>
        </w:rPr>
        <w:t xml:space="preserve"> a </w:t>
      </w:r>
      <w:r w:rsidRPr="003F23AC">
        <w:rPr>
          <w:rFonts w:cs="Times New Roman"/>
          <w:noProof/>
          <w:lang w:val="sk-SK"/>
        </w:rPr>
        <w:t>primerané bývanie pre rodiny</w:t>
      </w:r>
      <w:r w:rsidR="00A75B3C" w:rsidRPr="003F23AC">
        <w:rPr>
          <w:rFonts w:cs="Times New Roman"/>
          <w:noProof/>
          <w:lang w:val="sk-SK"/>
        </w:rPr>
        <w:t xml:space="preserve"> s </w:t>
      </w:r>
      <w:r w:rsidRPr="003F23AC">
        <w:rPr>
          <w:rFonts w:cs="Times New Roman"/>
          <w:noProof/>
          <w:lang w:val="sk-SK"/>
        </w:rPr>
        <w:t>najväčšími potrebami</w:t>
      </w:r>
      <w:r w:rsidR="00A75B3C" w:rsidRPr="003F23AC">
        <w:rPr>
          <w:rFonts w:cs="Times New Roman"/>
          <w:noProof/>
          <w:lang w:val="sk-SK"/>
        </w:rPr>
        <w:t xml:space="preserve"> a </w:t>
      </w:r>
      <w:r w:rsidRPr="003F23AC">
        <w:rPr>
          <w:rFonts w:cs="Times New Roman"/>
          <w:noProof/>
          <w:lang w:val="sk-SK"/>
        </w:rPr>
        <w:t>pre najzraniteľnejšie skupiny</w:t>
      </w:r>
      <w:r w:rsidR="00A75B3C" w:rsidRPr="003F23AC">
        <w:rPr>
          <w:rFonts w:cs="Times New Roman"/>
          <w:noProof/>
          <w:lang w:val="sk-SK"/>
        </w:rPr>
        <w:t>.</w:t>
      </w:r>
    </w:p>
    <w:p w14:paraId="5E7F48FF" w14:textId="0EC18F8C"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 najmä</w:t>
      </w:r>
      <w:r w:rsidR="00A75B3C" w:rsidRPr="003F23AC">
        <w:rPr>
          <w:rFonts w:cs="Times New Roman"/>
          <w:noProof/>
          <w:lang w:val="sk-SK"/>
        </w:rPr>
        <w:t xml:space="preserve"> z </w:t>
      </w:r>
      <w:r w:rsidRPr="003F23AC">
        <w:rPr>
          <w:rFonts w:cs="Times New Roman"/>
          <w:noProof/>
          <w:lang w:val="sk-SK"/>
        </w:rPr>
        <w:t>poskytovania ubytovania sociálneho bývania, ale aj poskytovania finančnej podpory na obnovu alebo výstavbu určeným cieľovým skupinám, ktoré nemajú finančnú kapacitu na zaručenie primeranosti vlastného bývania,</w:t>
      </w:r>
      <w:r w:rsidR="00A75B3C" w:rsidRPr="003F23AC">
        <w:rPr>
          <w:rFonts w:cs="Times New Roman"/>
          <w:noProof/>
          <w:lang w:val="sk-SK"/>
        </w:rPr>
        <w:t xml:space="preserve"> a </w:t>
      </w:r>
      <w:r w:rsidRPr="003F23AC">
        <w:rPr>
          <w:rFonts w:cs="Times New Roman"/>
          <w:noProof/>
          <w:lang w:val="sk-SK"/>
        </w:rPr>
        <w:t>to aspoň pre 26000 domácností do roku 2026. Investície pozostávajú</w:t>
      </w:r>
      <w:r w:rsidR="00A75B3C" w:rsidRPr="003F23AC">
        <w:rPr>
          <w:rFonts w:cs="Times New Roman"/>
          <w:noProof/>
          <w:lang w:val="sk-SK"/>
        </w:rPr>
        <w:t xml:space="preserve"> z </w:t>
      </w:r>
      <w:r w:rsidRPr="003F23AC">
        <w:rPr>
          <w:rFonts w:cs="Times New Roman"/>
          <w:noProof/>
          <w:lang w:val="sk-SK"/>
        </w:rPr>
        <w:t>výstavby nových budov alebo obnovy existujúcich obydlí, ako aj</w:t>
      </w:r>
      <w:r w:rsidR="00A75B3C" w:rsidRPr="003F23AC">
        <w:rPr>
          <w:rFonts w:cs="Times New Roman"/>
          <w:noProof/>
          <w:lang w:val="sk-SK"/>
        </w:rPr>
        <w:t xml:space="preserve"> v </w:t>
      </w:r>
      <w:r w:rsidRPr="003F23AC">
        <w:rPr>
          <w:rFonts w:cs="Times New Roman"/>
          <w:noProof/>
          <w:lang w:val="sk-SK"/>
        </w:rPr>
        <w:t>prípade potreby</w:t>
      </w:r>
      <w:r w:rsidR="00A75B3C" w:rsidRPr="003F23AC">
        <w:rPr>
          <w:rFonts w:cs="Times New Roman"/>
          <w:noProof/>
          <w:lang w:val="sk-SK"/>
        </w:rPr>
        <w:t xml:space="preserve"> z </w:t>
      </w:r>
      <w:r w:rsidRPr="003F23AC">
        <w:rPr>
          <w:rFonts w:cs="Times New Roman"/>
          <w:noProof/>
          <w:lang w:val="sk-SK"/>
        </w:rPr>
        <w:t>nadobudnutia nových budov alebo prenájmu budov na podnájom</w:t>
      </w:r>
      <w:r w:rsidR="00A75B3C" w:rsidRPr="003F23AC">
        <w:rPr>
          <w:rFonts w:cs="Times New Roman"/>
          <w:noProof/>
          <w:lang w:val="sk-SK"/>
        </w:rPr>
        <w:t>.</w:t>
      </w:r>
    </w:p>
    <w:p w14:paraId="028C754C" w14:textId="26871CE1"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617C9ADB" w14:textId="25C71A1F" w:rsidR="00387C70" w:rsidRPr="003F23AC" w:rsidRDefault="000F5AA4" w:rsidP="003F23AC">
      <w:pPr>
        <w:pStyle w:val="P68B1DB1-Normal5"/>
        <w:spacing w:before="240" w:after="0" w:line="259" w:lineRule="auto"/>
        <w:ind w:left="851"/>
        <w:jc w:val="both"/>
        <w:outlineLvl w:val="2"/>
        <w:rPr>
          <w:rFonts w:eastAsia="Times New Roman" w:cs="Times New Roman"/>
          <w:noProof/>
          <w:lang w:val="sk-SK"/>
        </w:rPr>
      </w:pPr>
      <w:r w:rsidRPr="003F23AC">
        <w:rPr>
          <w:rFonts w:cs="Times New Roman"/>
          <w:noProof/>
          <w:lang w:val="sk-SK"/>
        </w:rPr>
        <w:t>Investície RE-C02-i02: Národný grant na núdzové</w:t>
      </w:r>
      <w:r w:rsidR="00A75B3C" w:rsidRPr="003F23AC">
        <w:rPr>
          <w:rFonts w:cs="Times New Roman"/>
          <w:noProof/>
          <w:lang w:val="sk-SK"/>
        </w:rPr>
        <w:t xml:space="preserve"> a </w:t>
      </w:r>
      <w:r w:rsidRPr="003F23AC">
        <w:rPr>
          <w:rFonts w:cs="Times New Roman"/>
          <w:noProof/>
          <w:lang w:val="sk-SK"/>
        </w:rPr>
        <w:t>dočasné ubytovanie</w:t>
      </w:r>
    </w:p>
    <w:p w14:paraId="7684AB10" w14:textId="547F246A"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poskytnúť dočasné alebo núdzové ubytovanie zraniteľným skupinám obyvateľstva</w:t>
      </w:r>
      <w:r w:rsidR="00A75B3C" w:rsidRPr="003F23AC">
        <w:rPr>
          <w:rFonts w:cs="Times New Roman"/>
          <w:noProof/>
          <w:lang w:val="sk-SK"/>
        </w:rPr>
        <w:t xml:space="preserve"> v </w:t>
      </w:r>
      <w:r w:rsidRPr="003F23AC">
        <w:rPr>
          <w:rFonts w:cs="Times New Roman"/>
          <w:noProof/>
          <w:lang w:val="sk-SK"/>
        </w:rPr>
        <w:t>kontinentálnom Portugalsku. Tieto investície slúžia na realizáciu reformy národného naliehavého</w:t>
      </w:r>
      <w:r w:rsidR="00A75B3C" w:rsidRPr="003F23AC">
        <w:rPr>
          <w:rFonts w:cs="Times New Roman"/>
          <w:noProof/>
          <w:lang w:val="sk-SK"/>
        </w:rPr>
        <w:t xml:space="preserve"> a </w:t>
      </w:r>
      <w:r w:rsidRPr="003F23AC">
        <w:rPr>
          <w:rFonts w:cs="Times New Roman"/>
          <w:noProof/>
          <w:lang w:val="sk-SK"/>
        </w:rPr>
        <w:t>dočasného plánu bývania, ktorá je súčasťou zložky. Plánované intervencie sú súčasťou týchto rizík alebo sociálnych núdzových situácií: nepredvídateľné alebo výnimočné udalosti, potreba naliehavého ubytovania</w:t>
      </w:r>
      <w:r w:rsidR="00A75B3C" w:rsidRPr="003F23AC">
        <w:rPr>
          <w:rFonts w:cs="Times New Roman"/>
          <w:noProof/>
          <w:lang w:val="sk-SK"/>
        </w:rPr>
        <w:t xml:space="preserve"> a </w:t>
      </w:r>
      <w:r w:rsidRPr="003F23AC">
        <w:rPr>
          <w:rFonts w:cs="Times New Roman"/>
          <w:noProof/>
          <w:lang w:val="sk-SK"/>
        </w:rPr>
        <w:t>posilnenie postavenia osôb dočasne bez domova vrátane obetí domáceho násilia, obetí obchodovania</w:t>
      </w:r>
      <w:r w:rsidR="00A75B3C" w:rsidRPr="003F23AC">
        <w:rPr>
          <w:rFonts w:cs="Times New Roman"/>
          <w:noProof/>
          <w:lang w:val="sk-SK"/>
        </w:rPr>
        <w:t xml:space="preserve"> s </w:t>
      </w:r>
      <w:r w:rsidRPr="003F23AC">
        <w:rPr>
          <w:rFonts w:cs="Times New Roman"/>
          <w:noProof/>
          <w:lang w:val="sk-SK"/>
        </w:rPr>
        <w:t>ľuďmi, osôb pod medzinárodnou ochranou, osôb bez domova; mimoriadne</w:t>
      </w:r>
      <w:r w:rsidR="00A75B3C" w:rsidRPr="003F23AC">
        <w:rPr>
          <w:rFonts w:cs="Times New Roman"/>
          <w:noProof/>
          <w:lang w:val="sk-SK"/>
        </w:rPr>
        <w:t xml:space="preserve"> a </w:t>
      </w:r>
      <w:r w:rsidRPr="003F23AC">
        <w:rPr>
          <w:rFonts w:cs="Times New Roman"/>
          <w:noProof/>
          <w:lang w:val="sk-SK"/>
        </w:rPr>
        <w:t>riadne odôvodnené potreby naliehavého</w:t>
      </w:r>
      <w:r w:rsidR="00A75B3C" w:rsidRPr="003F23AC">
        <w:rPr>
          <w:rFonts w:cs="Times New Roman"/>
          <w:noProof/>
          <w:lang w:val="sk-SK"/>
        </w:rPr>
        <w:t xml:space="preserve"> a </w:t>
      </w:r>
      <w:r w:rsidRPr="003F23AC">
        <w:rPr>
          <w:rFonts w:cs="Times New Roman"/>
          <w:noProof/>
          <w:lang w:val="sk-SK"/>
        </w:rPr>
        <w:t>dočasného ubytovania pre osoby, ktorým hrozí bezprostredné</w:t>
      </w:r>
      <w:r w:rsidR="00A75B3C" w:rsidRPr="003F23AC">
        <w:rPr>
          <w:rFonts w:cs="Times New Roman"/>
          <w:noProof/>
          <w:lang w:val="sk-SK"/>
        </w:rPr>
        <w:t xml:space="preserve"> a </w:t>
      </w:r>
      <w:r w:rsidRPr="003F23AC">
        <w:rPr>
          <w:rFonts w:cs="Times New Roman"/>
          <w:noProof/>
          <w:lang w:val="sk-SK"/>
        </w:rPr>
        <w:t>skutočné riziko, že zostanú bez ubytovania alebo</w:t>
      </w:r>
      <w:r w:rsidR="00A75B3C" w:rsidRPr="003F23AC">
        <w:rPr>
          <w:rFonts w:cs="Times New Roman"/>
          <w:noProof/>
          <w:lang w:val="sk-SK"/>
        </w:rPr>
        <w:t xml:space="preserve"> v </w:t>
      </w:r>
      <w:r w:rsidRPr="003F23AC">
        <w:rPr>
          <w:rFonts w:cs="Times New Roman"/>
          <w:noProof/>
          <w:lang w:val="sk-SK"/>
        </w:rPr>
        <w:t>procese deinštitucionalizácie; ubytovacie potreby štátnych úradníkov</w:t>
      </w:r>
      <w:r w:rsidR="00A75B3C" w:rsidRPr="003F23AC">
        <w:rPr>
          <w:rFonts w:cs="Times New Roman"/>
          <w:noProof/>
          <w:lang w:val="sk-SK"/>
        </w:rPr>
        <w:t xml:space="preserve"> a </w:t>
      </w:r>
      <w:r w:rsidRPr="003F23AC">
        <w:rPr>
          <w:rFonts w:cs="Times New Roman"/>
          <w:noProof/>
          <w:lang w:val="sk-SK"/>
        </w:rPr>
        <w:t>zamestnancov, ktoré sú dočasné</w:t>
      </w:r>
      <w:r w:rsidR="00A75B3C" w:rsidRPr="003F23AC">
        <w:rPr>
          <w:rFonts w:cs="Times New Roman"/>
          <w:noProof/>
          <w:lang w:val="sk-SK"/>
        </w:rPr>
        <w:t xml:space="preserve"> a </w:t>
      </w:r>
      <w:r w:rsidRPr="003F23AC">
        <w:rPr>
          <w:rFonts w:cs="Times New Roman"/>
          <w:noProof/>
          <w:lang w:val="sk-SK"/>
        </w:rPr>
        <w:t>nevyhnutné pre verejný záujem</w:t>
      </w:r>
      <w:r w:rsidR="00A75B3C" w:rsidRPr="003F23AC">
        <w:rPr>
          <w:rFonts w:cs="Times New Roman"/>
          <w:noProof/>
          <w:lang w:val="sk-SK"/>
        </w:rPr>
        <w:t>.</w:t>
      </w:r>
    </w:p>
    <w:p w14:paraId="69716809" w14:textId="4D0A1346"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vytvorenia 2000 núdzových ubytovacích zariadení, ako aj 473 obytných jednotiek, troch blokov pre bezpečnostné sily (v prípadoch odôvodnených verejným záujmom)</w:t>
      </w:r>
      <w:r w:rsidR="00A75B3C" w:rsidRPr="003F23AC">
        <w:rPr>
          <w:rFonts w:cs="Times New Roman"/>
          <w:noProof/>
          <w:lang w:val="sk-SK"/>
        </w:rPr>
        <w:t xml:space="preserve"> a </w:t>
      </w:r>
      <w:r w:rsidRPr="003F23AC">
        <w:rPr>
          <w:rFonts w:cs="Times New Roman"/>
          <w:noProof/>
          <w:lang w:val="sk-SK"/>
        </w:rPr>
        <w:t>piatich centier pre dočasné ubytovanie</w:t>
      </w:r>
      <w:r w:rsidR="00A75B3C" w:rsidRPr="003F23AC">
        <w:rPr>
          <w:rFonts w:cs="Times New Roman"/>
          <w:noProof/>
          <w:lang w:val="sk-SK"/>
        </w:rPr>
        <w:t xml:space="preserve"> z </w:t>
      </w:r>
      <w:r w:rsidRPr="003F23AC">
        <w:rPr>
          <w:rFonts w:cs="Times New Roman"/>
          <w:noProof/>
          <w:lang w:val="sk-SK"/>
        </w:rPr>
        <w:t>humanitárnych alebo bezpečnostných dôvodov.</w:t>
      </w:r>
    </w:p>
    <w:p w14:paraId="0C5E7164" w14:textId="430DA539"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2DD99C3E" w14:textId="77777777" w:rsidR="00387C70" w:rsidRPr="003F23AC" w:rsidRDefault="00387C70" w:rsidP="003F23AC">
      <w:pPr>
        <w:spacing w:before="40" w:after="0" w:line="259" w:lineRule="auto"/>
        <w:jc w:val="both"/>
        <w:rPr>
          <w:rFonts w:ascii="Times New Roman" w:eastAsia="Times New Roman" w:hAnsi="Times New Roman" w:cs="Times New Roman"/>
          <w:noProof/>
          <w:sz w:val="24"/>
          <w:lang w:val="sk-SK"/>
        </w:rPr>
        <w:sectPr w:rsidR="00387C70" w:rsidRPr="003F23AC" w:rsidSect="00E00EDD">
          <w:headerReference w:type="even" r:id="rId42"/>
          <w:headerReference w:type="default" r:id="rId43"/>
          <w:footerReference w:type="even" r:id="rId44"/>
          <w:footerReference w:type="default" r:id="rId45"/>
          <w:headerReference w:type="first" r:id="rId46"/>
          <w:footerReference w:type="first" r:id="rId47"/>
          <w:pgSz w:w="11907" w:h="16839"/>
          <w:pgMar w:top="1134" w:right="1134" w:bottom="1134" w:left="1134" w:header="567" w:footer="567" w:gutter="0"/>
          <w:cols w:space="720"/>
          <w:docGrid w:linePitch="360"/>
        </w:sectPr>
      </w:pPr>
    </w:p>
    <w:p w14:paraId="1E30C2F3" w14:textId="63ABF91A" w:rsidR="00387C70" w:rsidRPr="003F23AC" w:rsidRDefault="000F5AA4" w:rsidP="003F23AC">
      <w:pPr>
        <w:pStyle w:val="P68B1DB1-Normal5"/>
        <w:spacing w:before="240" w:after="0" w:line="259" w:lineRule="auto"/>
        <w:ind w:left="851"/>
        <w:jc w:val="both"/>
        <w:outlineLvl w:val="2"/>
        <w:rPr>
          <w:rFonts w:eastAsia="Times New Roman" w:cs="Times New Roman"/>
          <w:noProof/>
          <w:lang w:val="sk-SK"/>
        </w:rPr>
      </w:pPr>
      <w:r w:rsidRPr="003F23AC">
        <w:rPr>
          <w:rFonts w:cs="Times New Roman"/>
          <w:noProof/>
          <w:lang w:val="sk-SK"/>
        </w:rPr>
        <w:t>Investície RE-C02-i03-RAM: Posilnenie ponuky sociálneho bývania</w:t>
      </w:r>
      <w:r w:rsidR="00A75B3C" w:rsidRPr="003F23AC">
        <w:rPr>
          <w:rFonts w:cs="Times New Roman"/>
          <w:noProof/>
          <w:lang w:val="sk-SK"/>
        </w:rPr>
        <w:t xml:space="preserve"> v </w:t>
      </w:r>
      <w:r w:rsidRPr="003F23AC">
        <w:rPr>
          <w:rFonts w:cs="Times New Roman"/>
          <w:noProof/>
          <w:lang w:val="sk-SK"/>
        </w:rPr>
        <w:t>autonómnej oblasti Madeira</w:t>
      </w:r>
    </w:p>
    <w:p w14:paraId="425F5492" w14:textId="41E26CD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reagovať na potreby bývania rodín, ktoré žijú</w:t>
      </w:r>
      <w:r w:rsidR="00A75B3C" w:rsidRPr="003F23AC">
        <w:rPr>
          <w:rFonts w:cs="Times New Roman"/>
          <w:noProof/>
          <w:lang w:val="sk-SK"/>
        </w:rPr>
        <w:t xml:space="preserve"> v </w:t>
      </w:r>
      <w:r w:rsidRPr="003F23AC">
        <w:rPr>
          <w:rFonts w:cs="Times New Roman"/>
          <w:noProof/>
          <w:lang w:val="sk-SK"/>
        </w:rPr>
        <w:t>ťažkých podmienkach</w:t>
      </w:r>
      <w:r w:rsidR="00A75B3C" w:rsidRPr="003F23AC">
        <w:rPr>
          <w:rFonts w:cs="Times New Roman"/>
          <w:noProof/>
          <w:lang w:val="sk-SK"/>
        </w:rPr>
        <w:t xml:space="preserve"> a </w:t>
      </w:r>
      <w:r w:rsidRPr="003F23AC">
        <w:rPr>
          <w:rFonts w:cs="Times New Roman"/>
          <w:noProof/>
          <w:lang w:val="sk-SK"/>
        </w:rPr>
        <w:t>nemajú finančnú kapacitu na pokrytie nákladov na prístup</w:t>
      </w:r>
      <w:r w:rsidR="00A75B3C" w:rsidRPr="003F23AC">
        <w:rPr>
          <w:rFonts w:cs="Times New Roman"/>
          <w:noProof/>
          <w:lang w:val="sk-SK"/>
        </w:rPr>
        <w:t xml:space="preserve"> k </w:t>
      </w:r>
      <w:r w:rsidRPr="003F23AC">
        <w:rPr>
          <w:rFonts w:cs="Times New Roman"/>
          <w:noProof/>
          <w:lang w:val="sk-SK"/>
        </w:rPr>
        <w:t>primeranému bývaniu</w:t>
      </w:r>
      <w:r w:rsidR="00A75B3C" w:rsidRPr="003F23AC">
        <w:rPr>
          <w:rFonts w:cs="Times New Roman"/>
          <w:noProof/>
          <w:lang w:val="sk-SK"/>
        </w:rPr>
        <w:t xml:space="preserve"> v </w:t>
      </w:r>
      <w:r w:rsidRPr="003F23AC">
        <w:rPr>
          <w:rFonts w:cs="Times New Roman"/>
          <w:noProof/>
          <w:lang w:val="sk-SK"/>
        </w:rPr>
        <w:t>autonómnej oblasti Madeira</w:t>
      </w:r>
      <w:r w:rsidR="00A75B3C" w:rsidRPr="003F23AC">
        <w:rPr>
          <w:rFonts w:cs="Times New Roman"/>
          <w:noProof/>
          <w:lang w:val="sk-SK"/>
        </w:rPr>
        <w:t>.</w:t>
      </w:r>
    </w:p>
    <w:p w14:paraId="3BBCCBA7" w14:textId="25B6BF27"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výstavby a/alebo nadobudnutia ubytovacích zariadení sociálneho bývania pre 805 domácností (investícia zahŕňa aj štúdie, projekty, nadobúdanie pôdy</w:t>
      </w:r>
      <w:r w:rsidR="00A75B3C" w:rsidRPr="003F23AC">
        <w:rPr>
          <w:rFonts w:cs="Times New Roman"/>
          <w:noProof/>
          <w:lang w:val="sk-SK"/>
        </w:rPr>
        <w:t xml:space="preserve"> a </w:t>
      </w:r>
      <w:r w:rsidRPr="003F23AC">
        <w:rPr>
          <w:rFonts w:cs="Times New Roman"/>
          <w:noProof/>
          <w:lang w:val="sk-SK"/>
        </w:rPr>
        <w:t>výstavbu), podporu obnovy 325 súkromných obydlí (vrátane zlepšenia energetickej hospodárnosti). Investícia predpokladá aj obstarávanie služieb na rozvoj informačných systémov</w:t>
      </w:r>
      <w:r w:rsidR="00A75B3C" w:rsidRPr="003F23AC">
        <w:rPr>
          <w:rFonts w:cs="Times New Roman"/>
          <w:noProof/>
          <w:lang w:val="sk-SK"/>
        </w:rPr>
        <w:t xml:space="preserve"> a </w:t>
      </w:r>
      <w:r w:rsidRPr="003F23AC">
        <w:rPr>
          <w:rFonts w:cs="Times New Roman"/>
          <w:noProof/>
          <w:lang w:val="sk-SK"/>
        </w:rPr>
        <w:t>riešení elektronickej verejnej správy</w:t>
      </w:r>
      <w:r w:rsidR="00A75B3C" w:rsidRPr="003F23AC">
        <w:rPr>
          <w:rFonts w:cs="Times New Roman"/>
          <w:noProof/>
          <w:lang w:val="sk-SK"/>
        </w:rPr>
        <w:t xml:space="preserve"> v </w:t>
      </w:r>
      <w:r w:rsidRPr="003F23AC">
        <w:rPr>
          <w:rFonts w:cs="Times New Roman"/>
          <w:noProof/>
          <w:lang w:val="sk-SK"/>
        </w:rPr>
        <w:t>sektore bývania.</w:t>
      </w:r>
    </w:p>
    <w:p w14:paraId="54DD8C40" w14:textId="6B3210CF"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525A5122" w14:textId="4DB6A870" w:rsidR="00387C70" w:rsidRPr="003F23AC" w:rsidRDefault="000F5AA4" w:rsidP="003F23AC">
      <w:pPr>
        <w:pStyle w:val="P68B1DB1-Normal5"/>
        <w:spacing w:before="240" w:after="0" w:line="259" w:lineRule="auto"/>
        <w:ind w:left="851"/>
        <w:jc w:val="both"/>
        <w:outlineLvl w:val="2"/>
        <w:rPr>
          <w:rFonts w:eastAsiaTheme="minorEastAsia" w:cs="Times New Roman"/>
          <w:b/>
          <w:noProof/>
          <w:lang w:val="sk-SK"/>
        </w:rPr>
      </w:pPr>
      <w:r w:rsidRPr="003F23AC">
        <w:rPr>
          <w:rFonts w:cs="Times New Roman"/>
          <w:noProof/>
          <w:lang w:val="sk-SK"/>
        </w:rPr>
        <w:t>Investície RE-02-i04-RAA: Zlepšenie podmienok bývania</w:t>
      </w:r>
      <w:r w:rsidR="00A75B3C" w:rsidRPr="003F23AC">
        <w:rPr>
          <w:rFonts w:cs="Times New Roman"/>
          <w:noProof/>
          <w:lang w:val="sk-SK"/>
        </w:rPr>
        <w:t xml:space="preserve"> v </w:t>
      </w:r>
      <w:r w:rsidRPr="003F23AC">
        <w:rPr>
          <w:rFonts w:cs="Times New Roman"/>
          <w:noProof/>
          <w:lang w:val="sk-SK"/>
        </w:rPr>
        <w:t>bytovom fonde autonómneho regiónu Azory</w:t>
      </w:r>
    </w:p>
    <w:p w14:paraId="47B27601" w14:textId="3B6D3152"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investície je posilniť ponuku bývania na rôznych úrovniach po výraznom zhoršení degradácie budov</w:t>
      </w:r>
      <w:r w:rsidR="00A75B3C" w:rsidRPr="003F23AC">
        <w:rPr>
          <w:rFonts w:cs="Times New Roman"/>
          <w:noProof/>
          <w:lang w:val="sk-SK"/>
        </w:rPr>
        <w:t xml:space="preserve"> v </w:t>
      </w:r>
      <w:r w:rsidRPr="003F23AC">
        <w:rPr>
          <w:rFonts w:cs="Times New Roman"/>
          <w:noProof/>
          <w:lang w:val="sk-SK"/>
        </w:rPr>
        <w:t>autonómnej oblasti Azory</w:t>
      </w:r>
      <w:r w:rsidR="00A75B3C" w:rsidRPr="003F23AC">
        <w:rPr>
          <w:rFonts w:cs="Times New Roman"/>
          <w:noProof/>
          <w:lang w:val="sk-SK"/>
        </w:rPr>
        <w:t xml:space="preserve"> a </w:t>
      </w:r>
      <w:r w:rsidRPr="003F23AC">
        <w:rPr>
          <w:rFonts w:cs="Times New Roman"/>
          <w:noProof/>
          <w:lang w:val="sk-SK"/>
        </w:rPr>
        <w:t>znížení ponuky na trhu</w:t>
      </w:r>
      <w:r w:rsidR="00A75B3C" w:rsidRPr="003F23AC">
        <w:rPr>
          <w:rFonts w:cs="Times New Roman"/>
          <w:noProof/>
          <w:lang w:val="sk-SK"/>
        </w:rPr>
        <w:t xml:space="preserve"> s </w:t>
      </w:r>
      <w:r w:rsidRPr="003F23AC">
        <w:rPr>
          <w:rFonts w:cs="Times New Roman"/>
          <w:noProof/>
          <w:lang w:val="sk-SK"/>
        </w:rPr>
        <w:t>nehnuteľnosťami</w:t>
      </w:r>
      <w:r w:rsidR="00A75B3C" w:rsidRPr="003F23AC">
        <w:rPr>
          <w:rFonts w:cs="Times New Roman"/>
          <w:noProof/>
          <w:lang w:val="sk-SK"/>
        </w:rPr>
        <w:t>.</w:t>
      </w:r>
    </w:p>
    <w:p w14:paraId="63A86507" w14:textId="5E3C3B0E"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Investícia pozostáva na rôznych ostrovoch z:</w:t>
      </w:r>
    </w:p>
    <w:p w14:paraId="26E405E3" w14:textId="77777777" w:rsidR="00A75B3C" w:rsidRPr="003F23AC" w:rsidRDefault="000F5AA4" w:rsidP="003F23AC">
      <w:pPr>
        <w:pStyle w:val="P68B1DB1-Normal4"/>
        <w:numPr>
          <w:ilvl w:val="0"/>
          <w:numId w:val="68"/>
        </w:numPr>
        <w:spacing w:before="40" w:after="160" w:line="259" w:lineRule="auto"/>
        <w:contextualSpacing/>
        <w:jc w:val="both"/>
        <w:rPr>
          <w:rFonts w:cs="Times New Roman"/>
          <w:noProof/>
          <w:lang w:val="sk-SK"/>
        </w:rPr>
      </w:pPr>
      <w:r w:rsidRPr="003F23AC">
        <w:rPr>
          <w:rFonts w:cs="Times New Roman"/>
          <w:noProof/>
          <w:lang w:val="sk-SK"/>
        </w:rPr>
        <w:t>výstavba 100 budov</w:t>
      </w:r>
    </w:p>
    <w:p w14:paraId="0822FF2C" w14:textId="77777777" w:rsidR="00A75B3C" w:rsidRPr="003F23AC" w:rsidRDefault="000F5AA4" w:rsidP="003F23AC">
      <w:pPr>
        <w:pStyle w:val="P68B1DB1-Normal4"/>
        <w:numPr>
          <w:ilvl w:val="0"/>
          <w:numId w:val="68"/>
        </w:numPr>
        <w:spacing w:before="40" w:after="160" w:line="259" w:lineRule="auto"/>
        <w:contextualSpacing/>
        <w:jc w:val="both"/>
        <w:rPr>
          <w:rFonts w:cs="Times New Roman"/>
          <w:noProof/>
          <w:lang w:val="sk-SK"/>
        </w:rPr>
      </w:pPr>
      <w:r w:rsidRPr="003F23AC">
        <w:rPr>
          <w:rFonts w:cs="Times New Roman"/>
          <w:noProof/>
          <w:lang w:val="sk-SK"/>
        </w:rPr>
        <w:t>dokončenie 75 bytov;</w:t>
      </w:r>
      <w:r w:rsidR="00A75B3C" w:rsidRPr="003F23AC">
        <w:rPr>
          <w:rFonts w:cs="Times New Roman"/>
          <w:noProof/>
          <w:lang w:val="sk-SK"/>
        </w:rPr>
        <w:t xml:space="preserve"> a </w:t>
      </w:r>
      <w:r w:rsidRPr="003F23AC">
        <w:rPr>
          <w:rFonts w:cs="Times New Roman"/>
          <w:noProof/>
          <w:lang w:val="sk-SK"/>
        </w:rPr>
        <w:t>zároveň</w:t>
      </w:r>
    </w:p>
    <w:p w14:paraId="75B943A7" w14:textId="14C296E1" w:rsidR="00A75B3C" w:rsidRPr="003F23AC" w:rsidRDefault="000F5AA4" w:rsidP="003F23AC">
      <w:pPr>
        <w:pStyle w:val="P68B1DB1-Normal4"/>
        <w:numPr>
          <w:ilvl w:val="0"/>
          <w:numId w:val="68"/>
        </w:numPr>
        <w:spacing w:before="40" w:after="160" w:line="259" w:lineRule="auto"/>
        <w:contextualSpacing/>
        <w:jc w:val="both"/>
        <w:rPr>
          <w:rFonts w:cs="Times New Roman"/>
          <w:noProof/>
          <w:lang w:val="sk-SK"/>
        </w:rPr>
      </w:pPr>
      <w:r w:rsidRPr="003F23AC">
        <w:rPr>
          <w:rFonts w:cs="Times New Roman"/>
          <w:noProof/>
          <w:lang w:val="sk-SK"/>
        </w:rPr>
        <w:t>obnova budov (hĺbková obnova 63 budov, stredná obnova 329 budov</w:t>
      </w:r>
      <w:r w:rsidR="00A75B3C" w:rsidRPr="003F23AC">
        <w:rPr>
          <w:rFonts w:cs="Times New Roman"/>
          <w:noProof/>
          <w:lang w:val="sk-SK"/>
        </w:rPr>
        <w:t xml:space="preserve"> a </w:t>
      </w:r>
      <w:r w:rsidRPr="003F23AC">
        <w:rPr>
          <w:rFonts w:cs="Times New Roman"/>
          <w:noProof/>
          <w:lang w:val="sk-SK"/>
        </w:rPr>
        <w:t>malá intervencia</w:t>
      </w:r>
      <w:r w:rsidR="00A75B3C" w:rsidRPr="003F23AC">
        <w:rPr>
          <w:rFonts w:cs="Times New Roman"/>
          <w:noProof/>
          <w:lang w:val="sk-SK"/>
        </w:rPr>
        <w:t xml:space="preserve"> v </w:t>
      </w:r>
      <w:r w:rsidRPr="003F23AC">
        <w:rPr>
          <w:rFonts w:cs="Times New Roman"/>
          <w:noProof/>
          <w:lang w:val="sk-SK"/>
        </w:rPr>
        <w:t>135 budovách) spolu 527 zásahov</w:t>
      </w:r>
      <w:r w:rsidR="00A75B3C" w:rsidRPr="003F23AC">
        <w:rPr>
          <w:rFonts w:cs="Times New Roman"/>
          <w:noProof/>
          <w:lang w:val="sk-SK"/>
        </w:rPr>
        <w:t>.</w:t>
      </w:r>
    </w:p>
    <w:p w14:paraId="3F09A5C0" w14:textId="14413EFD"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0311D212" w14:textId="7E660E09" w:rsidR="00387C70" w:rsidRPr="003F23AC" w:rsidRDefault="000F5AA4" w:rsidP="003F23AC">
      <w:pPr>
        <w:pStyle w:val="P68B1DB1-Normal5"/>
        <w:spacing w:before="240" w:after="0" w:line="259" w:lineRule="auto"/>
        <w:ind w:left="851"/>
        <w:jc w:val="both"/>
        <w:outlineLvl w:val="2"/>
        <w:rPr>
          <w:rFonts w:eastAsia="Times New Roman" w:cs="Times New Roman"/>
          <w:noProof/>
          <w:lang w:val="sk-SK"/>
        </w:rPr>
      </w:pPr>
      <w:bookmarkStart w:id="3" w:name="_Toc137472439"/>
      <w:r w:rsidRPr="003F23AC">
        <w:rPr>
          <w:rFonts w:cs="Times New Roman"/>
          <w:noProof/>
          <w:lang w:val="sk-SK"/>
        </w:rPr>
        <w:t>Investície RE-C02-i07-RAA: Infraštruktúra pre pozemky určené na bývanie</w:t>
      </w:r>
      <w:bookmarkEnd w:id="3"/>
    </w:p>
    <w:p w14:paraId="5DB4B2B6" w14:textId="73373832"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Cieľom investície je vytvoriť alebo zlepšiť infraštruktúru pre pozemky</w:t>
      </w:r>
      <w:r w:rsidR="00A75B3C" w:rsidRPr="003F23AC">
        <w:rPr>
          <w:rFonts w:cs="Times New Roman"/>
          <w:noProof/>
          <w:lang w:val="sk-SK"/>
        </w:rPr>
        <w:t xml:space="preserve"> v </w:t>
      </w:r>
      <w:r w:rsidRPr="003F23AC">
        <w:rPr>
          <w:rFonts w:cs="Times New Roman"/>
          <w:noProof/>
          <w:lang w:val="sk-SK"/>
        </w:rPr>
        <w:t>autonómnej oblasti Azory</w:t>
      </w:r>
      <w:r w:rsidR="00A75B3C" w:rsidRPr="003F23AC">
        <w:rPr>
          <w:rFonts w:cs="Times New Roman"/>
          <w:noProof/>
          <w:lang w:val="sk-SK"/>
        </w:rPr>
        <w:t xml:space="preserve"> a </w:t>
      </w:r>
      <w:r w:rsidRPr="003F23AC">
        <w:rPr>
          <w:rFonts w:cs="Times New Roman"/>
          <w:noProof/>
          <w:lang w:val="sk-SK"/>
        </w:rPr>
        <w:t>prideliť ju vybraným uchádzačom. Cieľom je umožniť vybraným uchádzačom postaviť si vlastné domy na týchto pozemkoch za kontrolované náklady. Tento program je ustanovený</w:t>
      </w:r>
      <w:r w:rsidR="00A75B3C" w:rsidRPr="003F23AC">
        <w:rPr>
          <w:rFonts w:cs="Times New Roman"/>
          <w:noProof/>
          <w:lang w:val="sk-SK"/>
        </w:rPr>
        <w:t xml:space="preserve"> v </w:t>
      </w:r>
      <w:r w:rsidRPr="003F23AC">
        <w:rPr>
          <w:rFonts w:cs="Times New Roman"/>
          <w:noProof/>
          <w:lang w:val="sk-SK"/>
        </w:rPr>
        <w:t xml:space="preserve">regionálnom legislatívnom dekréte </w:t>
      </w:r>
      <w:r w:rsidR="00A75B3C" w:rsidRPr="003F23AC">
        <w:rPr>
          <w:rFonts w:cs="Times New Roman"/>
          <w:noProof/>
          <w:lang w:val="sk-SK"/>
        </w:rPr>
        <w:t>č. </w:t>
      </w:r>
      <w:r w:rsidRPr="003F23AC">
        <w:rPr>
          <w:rFonts w:cs="Times New Roman"/>
          <w:noProof/>
          <w:lang w:val="sk-SK"/>
        </w:rPr>
        <w:t>21/2005/A</w:t>
      </w:r>
      <w:r w:rsidR="00A75B3C" w:rsidRPr="003F23AC">
        <w:rPr>
          <w:rFonts w:cs="Times New Roman"/>
          <w:noProof/>
          <w:lang w:val="sk-SK"/>
        </w:rPr>
        <w:t xml:space="preserve"> z </w:t>
      </w:r>
      <w:r w:rsidRPr="003F23AC">
        <w:rPr>
          <w:rFonts w:cs="Times New Roman"/>
          <w:noProof/>
          <w:lang w:val="sk-SK"/>
        </w:rPr>
        <w:t>3</w:t>
      </w:r>
      <w:r w:rsidR="00A75B3C" w:rsidRPr="003F23AC">
        <w:rPr>
          <w:rFonts w:cs="Times New Roman"/>
          <w:noProof/>
          <w:lang w:val="sk-SK"/>
        </w:rPr>
        <w:t>. augusta</w:t>
      </w:r>
      <w:r w:rsidRPr="003F23AC">
        <w:rPr>
          <w:rFonts w:cs="Times New Roman"/>
          <w:noProof/>
          <w:lang w:val="sk-SK"/>
        </w:rPr>
        <w:t xml:space="preserve"> 2005. Investícia pridelí 145 pozemkov.</w:t>
      </w:r>
    </w:p>
    <w:p w14:paraId="4ADE1314" w14:textId="41AA4D7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Pri výbere kandidátov na výstavbu vlastných domov na týchto častiach sa uprednostnia mladí ľudia (mladší ako 35 rokov, ak ide</w:t>
      </w:r>
      <w:r w:rsidR="00A75B3C" w:rsidRPr="003F23AC">
        <w:rPr>
          <w:rFonts w:cs="Times New Roman"/>
          <w:noProof/>
          <w:lang w:val="sk-SK"/>
        </w:rPr>
        <w:t xml:space="preserve"> o </w:t>
      </w:r>
      <w:r w:rsidRPr="003F23AC">
        <w:rPr>
          <w:rFonts w:cs="Times New Roman"/>
          <w:noProof/>
          <w:lang w:val="sk-SK"/>
        </w:rPr>
        <w:t>slobodný život alebo osoby</w:t>
      </w:r>
      <w:r w:rsidR="00A75B3C" w:rsidRPr="003F23AC">
        <w:rPr>
          <w:rFonts w:cs="Times New Roman"/>
          <w:noProof/>
          <w:lang w:val="sk-SK"/>
        </w:rPr>
        <w:t xml:space="preserve"> s </w:t>
      </w:r>
      <w:r w:rsidRPr="003F23AC">
        <w:rPr>
          <w:rFonts w:cs="Times New Roman"/>
          <w:noProof/>
          <w:lang w:val="sk-SK"/>
        </w:rPr>
        <w:t>celkovým vekom menej ako 70 rokov, ak sú zosobášení alebo žijú</w:t>
      </w:r>
      <w:r w:rsidR="00A75B3C" w:rsidRPr="003F23AC">
        <w:rPr>
          <w:rFonts w:cs="Times New Roman"/>
          <w:noProof/>
          <w:lang w:val="sk-SK"/>
        </w:rPr>
        <w:t xml:space="preserve"> v </w:t>
      </w:r>
      <w:r w:rsidRPr="003F23AC">
        <w:rPr>
          <w:rFonts w:cs="Times New Roman"/>
          <w:noProof/>
          <w:lang w:val="sk-SK"/>
        </w:rPr>
        <w:t>páre)</w:t>
      </w:r>
      <w:r w:rsidR="00A75B3C" w:rsidRPr="003F23AC">
        <w:rPr>
          <w:rFonts w:cs="Times New Roman"/>
          <w:noProof/>
          <w:lang w:val="sk-SK"/>
        </w:rPr>
        <w:t>.</w:t>
      </w:r>
    </w:p>
    <w:p w14:paraId="31A951C9" w14:textId="0E5EF72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r w:rsidR="00A75B3C" w:rsidRPr="003F23AC">
        <w:rPr>
          <w:rFonts w:cs="Times New Roman"/>
          <w:noProof/>
          <w:lang w:val="sk-SK"/>
        </w:rPr>
        <w:t>.</w:t>
      </w:r>
    </w:p>
    <w:p w14:paraId="240FFEBB" w14:textId="448EB457" w:rsidR="00387C70" w:rsidRPr="003F23AC" w:rsidRDefault="000F5AA4" w:rsidP="003F23AC">
      <w:pPr>
        <w:pStyle w:val="P68B1DB1-Normal5"/>
        <w:spacing w:before="240" w:after="0" w:line="259" w:lineRule="auto"/>
        <w:ind w:left="851"/>
        <w:jc w:val="both"/>
        <w:outlineLvl w:val="2"/>
        <w:rPr>
          <w:rFonts w:eastAsia="Times New Roman" w:cs="Times New Roman"/>
          <w:noProof/>
          <w:lang w:val="sk-SK"/>
        </w:rPr>
      </w:pPr>
      <w:r w:rsidRPr="003F23AC">
        <w:rPr>
          <w:rFonts w:cs="Times New Roman"/>
          <w:noProof/>
          <w:lang w:val="sk-SK"/>
        </w:rPr>
        <w:t>Investície RE-C02-i08-RAA: Posilnenie fondu sociálneho bývania</w:t>
      </w:r>
    </w:p>
    <w:p w14:paraId="477FE44B" w14:textId="5519611F"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investície je posilniť fond sociálneho bývania autonómneho regiónu Azory. Investícia pozostáva</w:t>
      </w:r>
      <w:r w:rsidR="00A75B3C" w:rsidRPr="003F23AC">
        <w:rPr>
          <w:rFonts w:cs="Times New Roman"/>
          <w:noProof/>
          <w:lang w:val="sk-SK"/>
        </w:rPr>
        <w:t xml:space="preserve"> z </w:t>
      </w:r>
      <w:r w:rsidRPr="003F23AC">
        <w:rPr>
          <w:rFonts w:cs="Times New Roman"/>
          <w:noProof/>
          <w:lang w:val="sk-SK"/>
        </w:rPr>
        <w:t>výstavby 126 obydlí</w:t>
      </w:r>
      <w:r w:rsidR="00A75B3C" w:rsidRPr="003F23AC">
        <w:rPr>
          <w:rFonts w:cs="Times New Roman"/>
          <w:noProof/>
          <w:lang w:val="sk-SK"/>
        </w:rPr>
        <w:t>.</w:t>
      </w:r>
    </w:p>
    <w:p w14:paraId="0909839C" w14:textId="57E58F6E"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3AC718DE" w14:textId="77777777" w:rsidR="00387C70" w:rsidRPr="003F23AC" w:rsidRDefault="00387C70" w:rsidP="003F23AC">
      <w:pPr>
        <w:spacing w:before="40" w:after="0" w:line="259" w:lineRule="auto"/>
        <w:jc w:val="both"/>
        <w:rPr>
          <w:rFonts w:ascii="Times New Roman" w:eastAsia="Times New Roman" w:hAnsi="Times New Roman" w:cs="Times New Roman"/>
          <w:noProof/>
          <w:sz w:val="24"/>
          <w:lang w:val="sk-SK"/>
        </w:rPr>
      </w:pPr>
    </w:p>
    <w:p w14:paraId="54C2FD53" w14:textId="77777777" w:rsidR="00387C70" w:rsidRPr="003F23AC" w:rsidRDefault="00387C70" w:rsidP="003F23AC">
      <w:pPr>
        <w:spacing w:before="40" w:after="0" w:line="259" w:lineRule="auto"/>
        <w:jc w:val="both"/>
        <w:rPr>
          <w:rFonts w:ascii="Times New Roman" w:eastAsia="Times New Roman" w:hAnsi="Times New Roman" w:cs="Times New Roman"/>
          <w:noProof/>
          <w:sz w:val="24"/>
          <w:lang w:val="sk-SK"/>
        </w:rPr>
      </w:pPr>
    </w:p>
    <w:p w14:paraId="0B7342BB" w14:textId="26242C44"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E00EDD">
          <w:headerReference w:type="even" r:id="rId48"/>
          <w:headerReference w:type="default" r:id="rId49"/>
          <w:footerReference w:type="even" r:id="rId50"/>
          <w:footerReference w:type="default" r:id="rId51"/>
          <w:headerReference w:type="first" r:id="rId52"/>
          <w:footerReference w:type="first" r:id="rId53"/>
          <w:pgSz w:w="11907" w:h="16839"/>
          <w:pgMar w:top="1134" w:right="1134" w:bottom="1134" w:left="1134" w:header="567" w:footer="567" w:gutter="0"/>
          <w:cols w:space="720"/>
          <w:docGrid w:linePitch="360"/>
        </w:sectPr>
      </w:pPr>
    </w:p>
    <w:p w14:paraId="5FD3C9BD"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5AEF2E47" w14:textId="41E5C3D6"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B.2. Míľniky,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vykonávania nenávratnej finančnej podpory.</w:t>
      </w:r>
    </w:p>
    <w:p w14:paraId="24CF32BC" w14:textId="77777777" w:rsidR="00387C70" w:rsidRPr="003F23AC" w:rsidRDefault="00387C70" w:rsidP="003F23AC">
      <w:pPr>
        <w:spacing w:before="40" w:after="0" w:line="259" w:lineRule="auto"/>
        <w:jc w:val="both"/>
        <w:rPr>
          <w:rFonts w:ascii="Times New Roman" w:eastAsiaTheme="minorEastAsia" w:hAnsi="Times New Roman" w:cs="Times New Roman"/>
          <w:b/>
          <w:noProof/>
          <w:sz w:val="24"/>
          <w:lang w:val="sk-SK"/>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
        <w:gridCol w:w="1221"/>
        <w:gridCol w:w="1010"/>
        <w:gridCol w:w="1895"/>
        <w:gridCol w:w="1269"/>
        <w:gridCol w:w="957"/>
        <w:gridCol w:w="1063"/>
        <w:gridCol w:w="842"/>
        <w:gridCol w:w="666"/>
        <w:gridCol w:w="402"/>
        <w:gridCol w:w="4639"/>
      </w:tblGrid>
      <w:tr w:rsidR="00387C70" w:rsidRPr="003F23AC" w14:paraId="26812E46" w14:textId="77777777" w:rsidTr="003F23AC">
        <w:trPr>
          <w:trHeight w:val="910"/>
          <w:tblHeader/>
        </w:trPr>
        <w:tc>
          <w:tcPr>
            <w:tcW w:w="1062" w:type="dxa"/>
            <w:vMerge w:val="restart"/>
            <w:shd w:val="clear" w:color="auto" w:fill="BDD6EE"/>
            <w:tcMar>
              <w:left w:w="28" w:type="dxa"/>
              <w:right w:w="28" w:type="dxa"/>
            </w:tcMar>
            <w:vAlign w:val="center"/>
            <w:hideMark/>
          </w:tcPr>
          <w:p w14:paraId="0A30225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21" w:type="dxa"/>
            <w:vMerge w:val="restart"/>
            <w:shd w:val="clear" w:color="auto" w:fill="BDD6EE"/>
            <w:tcMar>
              <w:left w:w="28" w:type="dxa"/>
              <w:right w:w="28" w:type="dxa"/>
            </w:tcMar>
            <w:vAlign w:val="center"/>
            <w:hideMark/>
          </w:tcPr>
          <w:p w14:paraId="73A11A92"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010" w:type="dxa"/>
            <w:vMerge w:val="restart"/>
            <w:shd w:val="clear" w:color="auto" w:fill="BDD6EE"/>
            <w:tcMar>
              <w:left w:w="28" w:type="dxa"/>
              <w:right w:w="28" w:type="dxa"/>
            </w:tcMar>
            <w:vAlign w:val="center"/>
            <w:hideMark/>
          </w:tcPr>
          <w:p w14:paraId="06854622"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1895" w:type="dxa"/>
            <w:vMerge w:val="restart"/>
            <w:shd w:val="clear" w:color="auto" w:fill="BDD6EE"/>
            <w:tcMar>
              <w:left w:w="28" w:type="dxa"/>
              <w:right w:w="28" w:type="dxa"/>
            </w:tcMar>
            <w:vAlign w:val="center"/>
            <w:hideMark/>
          </w:tcPr>
          <w:p w14:paraId="41E039D4"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269" w:type="dxa"/>
            <w:vMerge w:val="restart"/>
            <w:shd w:val="clear" w:color="auto" w:fill="BDD6EE"/>
            <w:tcMar>
              <w:left w:w="28" w:type="dxa"/>
              <w:right w:w="28" w:type="dxa"/>
            </w:tcMar>
            <w:vAlign w:val="center"/>
            <w:hideMark/>
          </w:tcPr>
          <w:p w14:paraId="52174BB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862" w:type="dxa"/>
            <w:gridSpan w:val="3"/>
            <w:shd w:val="clear" w:color="auto" w:fill="BDD6EE"/>
            <w:tcMar>
              <w:left w:w="28" w:type="dxa"/>
              <w:right w:w="28" w:type="dxa"/>
            </w:tcMar>
            <w:vAlign w:val="center"/>
            <w:hideMark/>
          </w:tcPr>
          <w:p w14:paraId="62BF7853"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068" w:type="dxa"/>
            <w:gridSpan w:val="2"/>
            <w:shd w:val="clear" w:color="auto" w:fill="BDD6EE"/>
            <w:tcMar>
              <w:left w:w="28" w:type="dxa"/>
              <w:right w:w="28" w:type="dxa"/>
            </w:tcMar>
            <w:vAlign w:val="center"/>
            <w:hideMark/>
          </w:tcPr>
          <w:p w14:paraId="6677FCBD"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4639" w:type="dxa"/>
            <w:vMerge w:val="restart"/>
            <w:shd w:val="clear" w:color="auto" w:fill="BDD6EE"/>
            <w:noWrap/>
            <w:tcMar>
              <w:left w:w="28" w:type="dxa"/>
              <w:right w:w="28" w:type="dxa"/>
            </w:tcMar>
            <w:vAlign w:val="center"/>
            <w:hideMark/>
          </w:tcPr>
          <w:p w14:paraId="2427D0C7" w14:textId="585313EA"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143446B6" w14:textId="77777777" w:rsidTr="003F23AC">
        <w:trPr>
          <w:trHeight w:val="470"/>
          <w:tblHeader/>
        </w:trPr>
        <w:tc>
          <w:tcPr>
            <w:tcW w:w="1062" w:type="dxa"/>
            <w:vMerge/>
            <w:tcMar>
              <w:left w:w="28" w:type="dxa"/>
              <w:right w:w="28" w:type="dxa"/>
            </w:tcMar>
            <w:vAlign w:val="center"/>
            <w:hideMark/>
          </w:tcPr>
          <w:p w14:paraId="44D8EDF3"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21" w:type="dxa"/>
            <w:vMerge/>
            <w:tcMar>
              <w:left w:w="28" w:type="dxa"/>
              <w:right w:w="28" w:type="dxa"/>
            </w:tcMar>
            <w:vAlign w:val="center"/>
            <w:hideMark/>
          </w:tcPr>
          <w:p w14:paraId="512D57CC"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010" w:type="dxa"/>
            <w:vMerge/>
            <w:tcMar>
              <w:left w:w="28" w:type="dxa"/>
              <w:right w:w="28" w:type="dxa"/>
            </w:tcMar>
            <w:vAlign w:val="center"/>
            <w:hideMark/>
          </w:tcPr>
          <w:p w14:paraId="538E02C0" w14:textId="77777777"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895" w:type="dxa"/>
            <w:vMerge/>
            <w:tcMar>
              <w:left w:w="28" w:type="dxa"/>
              <w:right w:w="28" w:type="dxa"/>
            </w:tcMar>
            <w:vAlign w:val="center"/>
            <w:hideMark/>
          </w:tcPr>
          <w:p w14:paraId="0A0C7132"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69" w:type="dxa"/>
            <w:vMerge/>
            <w:tcMar>
              <w:left w:w="28" w:type="dxa"/>
              <w:right w:w="28" w:type="dxa"/>
            </w:tcMar>
            <w:vAlign w:val="center"/>
            <w:hideMark/>
          </w:tcPr>
          <w:p w14:paraId="1A5F3ECB"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957" w:type="dxa"/>
            <w:shd w:val="clear" w:color="auto" w:fill="BDD6EE"/>
            <w:tcMar>
              <w:left w:w="28" w:type="dxa"/>
              <w:right w:w="28" w:type="dxa"/>
            </w:tcMar>
            <w:vAlign w:val="center"/>
            <w:hideMark/>
          </w:tcPr>
          <w:p w14:paraId="52F8AAFE"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1063" w:type="dxa"/>
            <w:shd w:val="clear" w:color="auto" w:fill="BDD6EE"/>
            <w:tcMar>
              <w:left w:w="28" w:type="dxa"/>
              <w:right w:w="28" w:type="dxa"/>
            </w:tcMar>
            <w:vAlign w:val="center"/>
            <w:hideMark/>
          </w:tcPr>
          <w:p w14:paraId="28C4A36C" w14:textId="7E0C7602" w:rsidR="00387C70" w:rsidRPr="003F23AC" w:rsidRDefault="00680FF6" w:rsidP="003F23AC">
            <w:pPr>
              <w:pStyle w:val="P68B1DB1-Normal6"/>
              <w:spacing w:after="0" w:line="240" w:lineRule="auto"/>
              <w:jc w:val="center"/>
              <w:rPr>
                <w:rFonts w:eastAsia="Times New Roman" w:cs="Times New Roman"/>
                <w:noProof/>
                <w:spacing w:val="-10"/>
                <w:lang w:val="sk-SK"/>
              </w:rPr>
            </w:pPr>
            <w:r w:rsidRPr="003F23AC">
              <w:rPr>
                <w:rFonts w:cs="Times New Roman"/>
                <w:noProof/>
                <w:spacing w:val="-10"/>
                <w:lang w:val="sk-SK"/>
              </w:rPr>
              <w:t>Východisková hodnota</w:t>
            </w:r>
          </w:p>
        </w:tc>
        <w:tc>
          <w:tcPr>
            <w:tcW w:w="842" w:type="dxa"/>
            <w:shd w:val="clear" w:color="auto" w:fill="BDD6EE"/>
            <w:tcMar>
              <w:left w:w="28" w:type="dxa"/>
              <w:right w:w="28" w:type="dxa"/>
            </w:tcMar>
            <w:vAlign w:val="center"/>
            <w:hideMark/>
          </w:tcPr>
          <w:p w14:paraId="1ABE3536" w14:textId="0BE139D1"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666" w:type="dxa"/>
            <w:shd w:val="clear" w:color="auto" w:fill="BDD6EE"/>
            <w:tcMar>
              <w:left w:w="28" w:type="dxa"/>
              <w:right w:w="28" w:type="dxa"/>
            </w:tcMar>
            <w:vAlign w:val="center"/>
            <w:hideMark/>
          </w:tcPr>
          <w:p w14:paraId="0E0C1D54" w14:textId="61DD0094" w:rsidR="00387C70" w:rsidRPr="003F23AC" w:rsidRDefault="00680FF6" w:rsidP="003F23AC">
            <w:pPr>
              <w:pStyle w:val="P68B1DB1-Normal6"/>
              <w:spacing w:after="0" w:line="240" w:lineRule="auto"/>
              <w:jc w:val="center"/>
              <w:rPr>
                <w:rFonts w:eastAsia="Times New Roman" w:cs="Times New Roman"/>
                <w:noProof/>
                <w:spacing w:val="-12"/>
                <w:lang w:val="sk-SK"/>
              </w:rPr>
            </w:pPr>
            <w:r w:rsidRPr="003F23AC">
              <w:rPr>
                <w:rFonts w:cs="Times New Roman"/>
                <w:noProof/>
                <w:spacing w:val="-12"/>
                <w:lang w:val="sk-SK"/>
              </w:rPr>
              <w:t>Štvrťrok</w:t>
            </w:r>
          </w:p>
        </w:tc>
        <w:tc>
          <w:tcPr>
            <w:tcW w:w="402" w:type="dxa"/>
            <w:shd w:val="clear" w:color="auto" w:fill="BDD6EE"/>
            <w:tcMar>
              <w:left w:w="28" w:type="dxa"/>
              <w:right w:w="28" w:type="dxa"/>
            </w:tcMar>
            <w:vAlign w:val="center"/>
            <w:hideMark/>
          </w:tcPr>
          <w:p w14:paraId="01CDE8A6"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4639" w:type="dxa"/>
            <w:vMerge/>
            <w:tcMar>
              <w:left w:w="28" w:type="dxa"/>
              <w:right w:w="28" w:type="dxa"/>
            </w:tcMar>
            <w:vAlign w:val="center"/>
            <w:hideMark/>
          </w:tcPr>
          <w:p w14:paraId="5362E692"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F23AC" w:rsidRPr="003F23AC" w14:paraId="6A7FC94D" w14:textId="77777777" w:rsidTr="003F23AC">
        <w:trPr>
          <w:trHeight w:val="290"/>
        </w:trPr>
        <w:tc>
          <w:tcPr>
            <w:tcW w:w="1062" w:type="dxa"/>
            <w:shd w:val="clear" w:color="auto" w:fill="C5EFCE"/>
            <w:tcMar>
              <w:left w:w="28" w:type="dxa"/>
              <w:right w:w="28" w:type="dxa"/>
            </w:tcMar>
            <w:vAlign w:val="center"/>
            <w:hideMark/>
          </w:tcPr>
          <w:p w14:paraId="34896C2A"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w:t>
            </w:r>
          </w:p>
        </w:tc>
        <w:tc>
          <w:tcPr>
            <w:tcW w:w="1221" w:type="dxa"/>
            <w:shd w:val="clear" w:color="auto" w:fill="C4EFCE"/>
            <w:tcMar>
              <w:left w:w="28" w:type="dxa"/>
              <w:right w:w="28" w:type="dxa"/>
            </w:tcMar>
            <w:vAlign w:val="center"/>
            <w:hideMark/>
          </w:tcPr>
          <w:p w14:paraId="17075C01" w14:textId="1DC4C420"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C02-i01</w:t>
            </w:r>
          </w:p>
        </w:tc>
        <w:tc>
          <w:tcPr>
            <w:tcW w:w="1010" w:type="dxa"/>
            <w:shd w:val="clear" w:color="auto" w:fill="C4EFCE"/>
            <w:tcMar>
              <w:left w:w="28" w:type="dxa"/>
              <w:right w:w="28" w:type="dxa"/>
            </w:tcMar>
            <w:vAlign w:val="center"/>
            <w:hideMark/>
          </w:tcPr>
          <w:p w14:paraId="1061568D" w14:textId="5E61F18E"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hideMark/>
          </w:tcPr>
          <w:p w14:paraId="01421DF1" w14:textId="47E206D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Program podpory prístupu</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bývaniu – podpísané dohody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spolupráci alebo financovaní</w:t>
            </w:r>
          </w:p>
        </w:tc>
        <w:tc>
          <w:tcPr>
            <w:tcW w:w="1269" w:type="dxa"/>
            <w:shd w:val="clear" w:color="auto" w:fill="C4EFCE"/>
            <w:tcMar>
              <w:left w:w="28" w:type="dxa"/>
              <w:right w:w="28" w:type="dxa"/>
            </w:tcMar>
            <w:vAlign w:val="center"/>
            <w:hideMark/>
          </w:tcPr>
          <w:p w14:paraId="60835B4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57" w:type="dxa"/>
            <w:shd w:val="clear" w:color="auto" w:fill="C4EFCE"/>
            <w:tcMar>
              <w:left w:w="28" w:type="dxa"/>
              <w:right w:w="28" w:type="dxa"/>
            </w:tcMar>
            <w:vAlign w:val="center"/>
            <w:hideMark/>
          </w:tcPr>
          <w:p w14:paraId="2A526E05" w14:textId="5E4CF0F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hideMark/>
          </w:tcPr>
          <w:p w14:paraId="37537AF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42" w:type="dxa"/>
            <w:shd w:val="clear" w:color="auto" w:fill="C4EFCE"/>
            <w:tcMar>
              <w:left w:w="28" w:type="dxa"/>
              <w:right w:w="28" w:type="dxa"/>
            </w:tcMar>
            <w:vAlign w:val="center"/>
            <w:hideMark/>
          </w:tcPr>
          <w:p w14:paraId="18A1956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75</w:t>
            </w:r>
          </w:p>
        </w:tc>
        <w:tc>
          <w:tcPr>
            <w:tcW w:w="666" w:type="dxa"/>
            <w:shd w:val="clear" w:color="auto" w:fill="C4EFCE"/>
            <w:tcMar>
              <w:left w:w="28" w:type="dxa"/>
              <w:right w:w="28" w:type="dxa"/>
            </w:tcMar>
            <w:vAlign w:val="center"/>
            <w:hideMark/>
          </w:tcPr>
          <w:p w14:paraId="09ED35F6" w14:textId="58818BE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02" w:type="dxa"/>
            <w:shd w:val="clear" w:color="auto" w:fill="C4EFCE"/>
            <w:tcMar>
              <w:left w:w="28" w:type="dxa"/>
              <w:right w:w="28" w:type="dxa"/>
            </w:tcMar>
            <w:vAlign w:val="center"/>
            <w:hideMark/>
          </w:tcPr>
          <w:p w14:paraId="6C3BD1E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639" w:type="dxa"/>
            <w:shd w:val="clear" w:color="auto" w:fill="C4EFCE"/>
            <w:tcMar>
              <w:left w:w="28" w:type="dxa"/>
              <w:right w:w="28" w:type="dxa"/>
            </w:tcMar>
            <w:vAlign w:val="center"/>
            <w:hideMark/>
          </w:tcPr>
          <w:p w14:paraId="5ED137B1" w14:textId="132362CD" w:rsidR="00A75B3C" w:rsidRPr="003F23AC" w:rsidRDefault="000F5AA4" w:rsidP="003F23AC">
            <w:pPr>
              <w:pStyle w:val="P68B1DB1-Normal8"/>
              <w:spacing w:after="0" w:line="240" w:lineRule="auto"/>
              <w:rPr>
                <w:rFonts w:ascii="Times New Roman" w:hAnsi="Times New Roman" w:cs="Times New Roman"/>
                <w:noProof/>
                <w:lang w:val="sk-SK"/>
              </w:rPr>
            </w:pPr>
            <w:r w:rsidRPr="003F23AC">
              <w:rPr>
                <w:rFonts w:ascii="Times New Roman" w:hAnsi="Times New Roman" w:cs="Times New Roman"/>
                <w:noProof/>
                <w:lang w:val="sk-SK"/>
              </w:rPr>
              <w:t>Podpísanie dohôd</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spolupráci alebo financovaní</w:t>
            </w:r>
            <w:r w:rsidR="00A75B3C" w:rsidRPr="003F23AC">
              <w:rPr>
                <w:rFonts w:ascii="Times New Roman" w:hAnsi="Times New Roman" w:cs="Times New Roman"/>
                <w:noProof/>
                <w:lang w:val="sk-SK"/>
              </w:rPr>
              <w:t>.</w:t>
            </w:r>
          </w:p>
          <w:p w14:paraId="3127316F" w14:textId="3026E2A2" w:rsidR="00387C70" w:rsidRPr="003F23AC" w:rsidRDefault="00387C70" w:rsidP="003F23AC">
            <w:pPr>
              <w:spacing w:after="0" w:line="240" w:lineRule="auto"/>
              <w:rPr>
                <w:rFonts w:ascii="Times New Roman" w:eastAsia="Times New Roman" w:hAnsi="Times New Roman" w:cs="Times New Roman"/>
                <w:noProof/>
                <w:sz w:val="16"/>
                <w:lang w:val="sk-SK"/>
              </w:rPr>
            </w:pPr>
          </w:p>
          <w:p w14:paraId="47A044E4" w14:textId="00E9694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Miestne stratégie ubytovania predkladajú obce.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týchto stratégiách sa identifikujú 1) všetky potreby oprávnené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tohto programu (ako sa uvádza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zákonnom dekréte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37/2018 zo 4</w:t>
            </w:r>
            <w:r w:rsidR="00A75B3C" w:rsidRPr="003F23AC">
              <w:rPr>
                <w:rFonts w:ascii="Times New Roman" w:hAnsi="Times New Roman" w:cs="Times New Roman"/>
                <w:noProof/>
                <w:lang w:val="sk-SK"/>
              </w:rPr>
              <w:t>. júna</w:t>
            </w:r>
            <w:r w:rsidRPr="003F23AC">
              <w:rPr>
                <w:rFonts w:ascii="Times New Roman" w:hAnsi="Times New Roman" w:cs="Times New Roman"/>
                <w:noProof/>
                <w:lang w:val="sk-SK"/>
              </w:rPr>
              <w: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2. subjekty podporujúce riešenia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bývania. Po tom, ako IHRU (Inštitút bývania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mestskej obnovy) potvrdil súlad miestnych ubytovacích stratégií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programom, podpisujú sa dohody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spolupráci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obcami alebo dohody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financovaní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ostatnými príjemcami,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ktorých sa stanovujú konkrétne investície, ktoré sa majú podporovať,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stanoví sa lehota na ich realizáciu.</w:t>
            </w:r>
          </w:p>
        </w:tc>
      </w:tr>
      <w:tr w:rsidR="003F23AC" w:rsidRPr="003F23AC" w14:paraId="31DBD300" w14:textId="77777777" w:rsidTr="003F23AC">
        <w:trPr>
          <w:trHeight w:val="2949"/>
        </w:trPr>
        <w:tc>
          <w:tcPr>
            <w:tcW w:w="1062" w:type="dxa"/>
            <w:shd w:val="clear" w:color="auto" w:fill="C5EFCE"/>
            <w:tcMar>
              <w:left w:w="28" w:type="dxa"/>
              <w:right w:w="28" w:type="dxa"/>
            </w:tcMar>
            <w:vAlign w:val="center"/>
            <w:hideMark/>
          </w:tcPr>
          <w:p w14:paraId="435A6D15"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w:t>
            </w:r>
          </w:p>
        </w:tc>
        <w:tc>
          <w:tcPr>
            <w:tcW w:w="1221" w:type="dxa"/>
            <w:shd w:val="clear" w:color="auto" w:fill="C4EFCE"/>
            <w:tcMar>
              <w:left w:w="28" w:type="dxa"/>
              <w:right w:w="28" w:type="dxa"/>
            </w:tcMar>
            <w:vAlign w:val="center"/>
            <w:hideMark/>
          </w:tcPr>
          <w:p w14:paraId="7F179DDC" w14:textId="69B6FB4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C02-i01</w:t>
            </w:r>
          </w:p>
        </w:tc>
        <w:tc>
          <w:tcPr>
            <w:tcW w:w="1010" w:type="dxa"/>
            <w:shd w:val="clear" w:color="auto" w:fill="C4EFCE"/>
            <w:tcMar>
              <w:left w:w="28" w:type="dxa"/>
              <w:right w:w="28" w:type="dxa"/>
            </w:tcMar>
            <w:vAlign w:val="center"/>
            <w:hideMark/>
          </w:tcPr>
          <w:p w14:paraId="480FFBF4" w14:textId="44866BDE"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hideMark/>
          </w:tcPr>
          <w:p w14:paraId="2841A35F" w14:textId="68813CC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Program na podporu prístupu</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bývaniu – kúpené, postavené (vysoká energetická efektívnosť) alebo renovované (so zlepšenou energetickou hospodárnosťou) byty poskytované domácnostiam</w:t>
            </w:r>
          </w:p>
        </w:tc>
        <w:tc>
          <w:tcPr>
            <w:tcW w:w="1269" w:type="dxa"/>
            <w:shd w:val="clear" w:color="auto" w:fill="C4EFCE"/>
            <w:tcMar>
              <w:left w:w="28" w:type="dxa"/>
              <w:right w:w="28" w:type="dxa"/>
            </w:tcMar>
            <w:vAlign w:val="center"/>
            <w:hideMark/>
          </w:tcPr>
          <w:p w14:paraId="7925444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57" w:type="dxa"/>
            <w:shd w:val="clear" w:color="auto" w:fill="C4EFCE"/>
            <w:tcMar>
              <w:left w:w="28" w:type="dxa"/>
              <w:right w:w="28" w:type="dxa"/>
            </w:tcMar>
            <w:vAlign w:val="center"/>
            <w:hideMark/>
          </w:tcPr>
          <w:p w14:paraId="25B9770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hideMark/>
          </w:tcPr>
          <w:p w14:paraId="5717ADD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42" w:type="dxa"/>
            <w:shd w:val="clear" w:color="auto" w:fill="C4EFCE"/>
            <w:tcMar>
              <w:left w:w="28" w:type="dxa"/>
              <w:right w:w="28" w:type="dxa"/>
            </w:tcMar>
            <w:vAlign w:val="center"/>
            <w:hideMark/>
          </w:tcPr>
          <w:p w14:paraId="427505B2" w14:textId="0DACC7D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1 500</w:t>
            </w:r>
          </w:p>
        </w:tc>
        <w:tc>
          <w:tcPr>
            <w:tcW w:w="666" w:type="dxa"/>
            <w:shd w:val="clear" w:color="auto" w:fill="C4EFCE"/>
            <w:tcMar>
              <w:left w:w="28" w:type="dxa"/>
              <w:right w:w="28" w:type="dxa"/>
            </w:tcMar>
            <w:vAlign w:val="center"/>
            <w:hideMark/>
          </w:tcPr>
          <w:p w14:paraId="1E68496B" w14:textId="01C89F2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02" w:type="dxa"/>
            <w:shd w:val="clear" w:color="auto" w:fill="C4EFCE"/>
            <w:tcMar>
              <w:left w:w="28" w:type="dxa"/>
              <w:right w:w="28" w:type="dxa"/>
            </w:tcMar>
            <w:vAlign w:val="center"/>
            <w:hideMark/>
          </w:tcPr>
          <w:p w14:paraId="21D559D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639" w:type="dxa"/>
            <w:shd w:val="clear" w:color="auto" w:fill="C4EFCE"/>
            <w:tcMar>
              <w:left w:w="28" w:type="dxa"/>
              <w:right w:w="28" w:type="dxa"/>
            </w:tcMar>
            <w:vAlign w:val="center"/>
            <w:hideMark/>
          </w:tcPr>
          <w:p w14:paraId="10E4BAB8" w14:textId="12C6E7C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obydlí dodaných oprávneným domácnostiam programu.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 (s výnimkou prebiehajúcich projektov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projektov zahrnutých do rozpočtu na roky 2021</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2022, čo predstavuje až 188 250 000 EUR</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 xml:space="preserve">celkových prostriedkov pridelených na toto opatrenie). </w:t>
            </w:r>
          </w:p>
        </w:tc>
      </w:tr>
      <w:tr w:rsidR="003F23AC" w:rsidRPr="003F23AC" w14:paraId="375E02BE" w14:textId="77777777" w:rsidTr="003F23AC">
        <w:trPr>
          <w:trHeight w:val="1691"/>
        </w:trPr>
        <w:tc>
          <w:tcPr>
            <w:tcW w:w="1062" w:type="dxa"/>
            <w:shd w:val="clear" w:color="auto" w:fill="C5EFCE"/>
            <w:tcMar>
              <w:left w:w="28" w:type="dxa"/>
              <w:right w:w="28" w:type="dxa"/>
            </w:tcMar>
            <w:vAlign w:val="center"/>
          </w:tcPr>
          <w:p w14:paraId="31060937" w14:textId="2D4F963A"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2.29</w:t>
            </w:r>
          </w:p>
        </w:tc>
        <w:tc>
          <w:tcPr>
            <w:tcW w:w="1221" w:type="dxa"/>
            <w:shd w:val="clear" w:color="auto" w:fill="C4EFCE"/>
            <w:tcMar>
              <w:left w:w="28" w:type="dxa"/>
              <w:right w:w="28" w:type="dxa"/>
            </w:tcMar>
            <w:vAlign w:val="center"/>
          </w:tcPr>
          <w:p w14:paraId="4F9C5B9F" w14:textId="444DEF92"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C02-i01</w:t>
            </w:r>
          </w:p>
        </w:tc>
        <w:tc>
          <w:tcPr>
            <w:tcW w:w="1010" w:type="dxa"/>
            <w:shd w:val="clear" w:color="auto" w:fill="C4EFCE"/>
            <w:tcMar>
              <w:left w:w="28" w:type="dxa"/>
              <w:right w:w="28" w:type="dxa"/>
            </w:tcMar>
            <w:vAlign w:val="center"/>
          </w:tcPr>
          <w:p w14:paraId="3C73B808" w14:textId="32987930"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tcPr>
          <w:p w14:paraId="3E67D982" w14:textId="6BD25C1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Program na podporu prístupu</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bývaniu – kúpené, postavené (vysoká energetická efektívnosť) alebo renovované (so zlepšenou energetickou hospodárnosťou) byty poskytované domácnostiam</w:t>
            </w:r>
          </w:p>
        </w:tc>
        <w:tc>
          <w:tcPr>
            <w:tcW w:w="1269" w:type="dxa"/>
            <w:shd w:val="clear" w:color="auto" w:fill="C4EFCE"/>
            <w:tcMar>
              <w:left w:w="28" w:type="dxa"/>
              <w:right w:w="28" w:type="dxa"/>
            </w:tcMar>
            <w:vAlign w:val="center"/>
          </w:tcPr>
          <w:p w14:paraId="31101875"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57" w:type="dxa"/>
            <w:shd w:val="clear" w:color="auto" w:fill="C4EFCE"/>
            <w:tcMar>
              <w:left w:w="28" w:type="dxa"/>
              <w:right w:w="28" w:type="dxa"/>
            </w:tcMar>
            <w:vAlign w:val="center"/>
          </w:tcPr>
          <w:p w14:paraId="51871E3D" w14:textId="14F82F6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tcPr>
          <w:p w14:paraId="479FECEA" w14:textId="103FA3F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1 500</w:t>
            </w:r>
          </w:p>
        </w:tc>
        <w:tc>
          <w:tcPr>
            <w:tcW w:w="842" w:type="dxa"/>
            <w:shd w:val="clear" w:color="auto" w:fill="C4EFCE"/>
            <w:tcMar>
              <w:left w:w="28" w:type="dxa"/>
              <w:right w:w="28" w:type="dxa"/>
            </w:tcMar>
            <w:vAlign w:val="center"/>
          </w:tcPr>
          <w:p w14:paraId="5D50B648" w14:textId="748205E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10 000</w:t>
            </w:r>
          </w:p>
        </w:tc>
        <w:tc>
          <w:tcPr>
            <w:tcW w:w="666" w:type="dxa"/>
            <w:shd w:val="clear" w:color="auto" w:fill="C4EFCE"/>
            <w:tcMar>
              <w:left w:w="28" w:type="dxa"/>
              <w:right w:w="28" w:type="dxa"/>
            </w:tcMar>
            <w:vAlign w:val="center"/>
          </w:tcPr>
          <w:p w14:paraId="7C6DC9DC" w14:textId="6550E94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02" w:type="dxa"/>
            <w:shd w:val="clear" w:color="auto" w:fill="C4EFCE"/>
            <w:tcMar>
              <w:left w:w="28" w:type="dxa"/>
              <w:right w:w="28" w:type="dxa"/>
            </w:tcMar>
            <w:vAlign w:val="center"/>
          </w:tcPr>
          <w:p w14:paraId="1AE5F7BB" w14:textId="1E2B6B1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639" w:type="dxa"/>
            <w:shd w:val="clear" w:color="auto" w:fill="C4EFCE"/>
            <w:tcMar>
              <w:left w:w="28" w:type="dxa"/>
              <w:right w:w="28" w:type="dxa"/>
            </w:tcMar>
            <w:vAlign w:val="center"/>
          </w:tcPr>
          <w:p w14:paraId="035D8FB0" w14:textId="22290F1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obydlí dodaných oprávneným domácnostiam programu.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 (s výnimkou prebiehajúcich projektov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projektov zahrnutých do rozpočtu na roky 2021</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2022, čo predstavuje až 188 250 000 EUR</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 xml:space="preserve">celkových prostriedkov pridelených na toto opatrenie). </w:t>
            </w:r>
          </w:p>
        </w:tc>
      </w:tr>
      <w:tr w:rsidR="003F23AC" w:rsidRPr="003F23AC" w14:paraId="6BC82244" w14:textId="77777777" w:rsidTr="003F23AC">
        <w:trPr>
          <w:trHeight w:val="509"/>
        </w:trPr>
        <w:tc>
          <w:tcPr>
            <w:tcW w:w="1062" w:type="dxa"/>
            <w:shd w:val="clear" w:color="auto" w:fill="C5EFCE"/>
            <w:tcMar>
              <w:left w:w="28" w:type="dxa"/>
              <w:right w:w="28" w:type="dxa"/>
            </w:tcMar>
            <w:vAlign w:val="center"/>
            <w:hideMark/>
          </w:tcPr>
          <w:p w14:paraId="59350F65"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2.3</w:t>
            </w:r>
          </w:p>
        </w:tc>
        <w:tc>
          <w:tcPr>
            <w:tcW w:w="1221" w:type="dxa"/>
            <w:shd w:val="clear" w:color="auto" w:fill="C4EFCE"/>
            <w:tcMar>
              <w:left w:w="28" w:type="dxa"/>
              <w:right w:w="28" w:type="dxa"/>
            </w:tcMar>
            <w:vAlign w:val="center"/>
            <w:hideMark/>
          </w:tcPr>
          <w:p w14:paraId="639C84CF" w14:textId="17D29C0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C02-i01</w:t>
            </w:r>
          </w:p>
        </w:tc>
        <w:tc>
          <w:tcPr>
            <w:tcW w:w="1010" w:type="dxa"/>
            <w:shd w:val="clear" w:color="auto" w:fill="C4EFCE"/>
            <w:tcMar>
              <w:left w:w="28" w:type="dxa"/>
              <w:right w:w="28" w:type="dxa"/>
            </w:tcMar>
            <w:vAlign w:val="center"/>
            <w:hideMark/>
          </w:tcPr>
          <w:p w14:paraId="069FE15A" w14:textId="7A9511EA"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hideMark/>
          </w:tcPr>
          <w:p w14:paraId="3E94FF9B" w14:textId="0372C5B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Program na podporu prístupu</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 xml:space="preserve">bývaniu – kúpené, postavené (vysoká energetická efektívnosť) alebo renovované (so zlepšenou energetickou hospodárnosťou) byty poskytované domácnostiam </w:t>
            </w:r>
          </w:p>
        </w:tc>
        <w:tc>
          <w:tcPr>
            <w:tcW w:w="1269" w:type="dxa"/>
            <w:shd w:val="clear" w:color="auto" w:fill="C4EFCE"/>
            <w:tcMar>
              <w:left w:w="28" w:type="dxa"/>
              <w:right w:w="28" w:type="dxa"/>
            </w:tcMar>
            <w:vAlign w:val="center"/>
            <w:hideMark/>
          </w:tcPr>
          <w:p w14:paraId="751EA2D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57" w:type="dxa"/>
            <w:shd w:val="clear" w:color="auto" w:fill="C4EFCE"/>
            <w:tcMar>
              <w:left w:w="28" w:type="dxa"/>
              <w:right w:w="28" w:type="dxa"/>
            </w:tcMar>
            <w:vAlign w:val="center"/>
            <w:hideMark/>
          </w:tcPr>
          <w:p w14:paraId="335A018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hideMark/>
          </w:tcPr>
          <w:p w14:paraId="1EF94F6B" w14:textId="113A63A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10 000</w:t>
            </w:r>
          </w:p>
        </w:tc>
        <w:tc>
          <w:tcPr>
            <w:tcW w:w="842" w:type="dxa"/>
            <w:shd w:val="clear" w:color="auto" w:fill="C4EFCE"/>
            <w:tcMar>
              <w:left w:w="28" w:type="dxa"/>
              <w:right w:w="28" w:type="dxa"/>
            </w:tcMar>
            <w:vAlign w:val="center"/>
            <w:hideMark/>
          </w:tcPr>
          <w:p w14:paraId="5D687843" w14:textId="4E17028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22 360</w:t>
            </w:r>
          </w:p>
        </w:tc>
        <w:tc>
          <w:tcPr>
            <w:tcW w:w="666" w:type="dxa"/>
            <w:shd w:val="clear" w:color="auto" w:fill="C4EFCE"/>
            <w:tcMar>
              <w:left w:w="28" w:type="dxa"/>
              <w:right w:w="28" w:type="dxa"/>
            </w:tcMar>
            <w:vAlign w:val="center"/>
            <w:hideMark/>
          </w:tcPr>
          <w:p w14:paraId="0BDA8B9E" w14:textId="6F9BD98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02" w:type="dxa"/>
            <w:shd w:val="clear" w:color="auto" w:fill="C4EFCE"/>
            <w:tcMar>
              <w:left w:w="28" w:type="dxa"/>
              <w:right w:w="28" w:type="dxa"/>
            </w:tcMar>
            <w:vAlign w:val="center"/>
            <w:hideMark/>
          </w:tcPr>
          <w:p w14:paraId="5A2AE7B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639" w:type="dxa"/>
            <w:shd w:val="clear" w:color="auto" w:fill="C4EFCE"/>
            <w:tcMar>
              <w:left w:w="28" w:type="dxa"/>
              <w:right w:w="28" w:type="dxa"/>
            </w:tcMar>
            <w:vAlign w:val="center"/>
            <w:hideMark/>
          </w:tcPr>
          <w:p w14:paraId="3B093878" w14:textId="071CF98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obydlí dodaných oprávneným domácnostiam programu.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 (s výnimkou prebiehajúcich projektov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projektov zahrnutých do rozpočtu na roky 2021</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2022, čo predstavuje až 188 250 000 EUR</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celkových prostriedkov pridelených na toto opatrenie). Pokiaľ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obnovu, referenčná jednotka na obydlie je 73 metrov štvorcových, pre nové stavby 95 metrov štvorcových pre 22360 obydlí. </w:t>
            </w:r>
          </w:p>
        </w:tc>
      </w:tr>
      <w:tr w:rsidR="003F23AC" w:rsidRPr="003F23AC" w14:paraId="1B7EC0D5" w14:textId="77777777" w:rsidTr="003F23AC">
        <w:trPr>
          <w:trHeight w:val="290"/>
        </w:trPr>
        <w:tc>
          <w:tcPr>
            <w:tcW w:w="1062" w:type="dxa"/>
            <w:shd w:val="clear" w:color="auto" w:fill="C5EFCE"/>
            <w:tcMar>
              <w:left w:w="28" w:type="dxa"/>
              <w:right w:w="28" w:type="dxa"/>
            </w:tcMar>
            <w:vAlign w:val="center"/>
            <w:hideMark/>
          </w:tcPr>
          <w:p w14:paraId="77D7804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2.4</w:t>
            </w:r>
          </w:p>
        </w:tc>
        <w:tc>
          <w:tcPr>
            <w:tcW w:w="1221" w:type="dxa"/>
            <w:shd w:val="clear" w:color="auto" w:fill="C4EFCE"/>
            <w:tcMar>
              <w:left w:w="28" w:type="dxa"/>
              <w:right w:w="28" w:type="dxa"/>
            </w:tcMar>
            <w:vAlign w:val="center"/>
            <w:hideMark/>
          </w:tcPr>
          <w:p w14:paraId="21608A65" w14:textId="0510C0DA"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C02-i02</w:t>
            </w:r>
          </w:p>
        </w:tc>
        <w:tc>
          <w:tcPr>
            <w:tcW w:w="1010" w:type="dxa"/>
            <w:shd w:val="clear" w:color="auto" w:fill="C4EFCE"/>
            <w:tcMar>
              <w:left w:w="28" w:type="dxa"/>
              <w:right w:w="28" w:type="dxa"/>
            </w:tcMar>
            <w:vAlign w:val="center"/>
            <w:hideMark/>
          </w:tcPr>
          <w:p w14:paraId="0FAA0881" w14:textId="177AC87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r w:rsidR="00C32C63"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hideMark/>
          </w:tcPr>
          <w:p w14:paraId="0914FF1B" w14:textId="6E42362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Národný grant na núdzové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dočasné ubytovanie – podpísanie dohôd</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financovaní núdzového ubytovania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prechodného ubytovania</w:t>
            </w:r>
          </w:p>
        </w:tc>
        <w:tc>
          <w:tcPr>
            <w:tcW w:w="1269" w:type="dxa"/>
            <w:shd w:val="clear" w:color="auto" w:fill="C4EFCE"/>
            <w:tcMar>
              <w:left w:w="28" w:type="dxa"/>
              <w:right w:w="28" w:type="dxa"/>
            </w:tcMar>
            <w:vAlign w:val="center"/>
            <w:hideMark/>
          </w:tcPr>
          <w:p w14:paraId="058B51C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57" w:type="dxa"/>
            <w:shd w:val="clear" w:color="auto" w:fill="C4EFCE"/>
            <w:tcMar>
              <w:left w:w="28" w:type="dxa"/>
              <w:right w:w="28" w:type="dxa"/>
            </w:tcMar>
            <w:vAlign w:val="center"/>
            <w:hideMark/>
          </w:tcPr>
          <w:p w14:paraId="4CCDF8A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hideMark/>
          </w:tcPr>
          <w:p w14:paraId="14C89D3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42" w:type="dxa"/>
            <w:shd w:val="clear" w:color="auto" w:fill="C4EFCE"/>
            <w:tcMar>
              <w:left w:w="28" w:type="dxa"/>
              <w:right w:w="28" w:type="dxa"/>
            </w:tcMar>
            <w:vAlign w:val="center"/>
            <w:hideMark/>
          </w:tcPr>
          <w:p w14:paraId="6F45426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500</w:t>
            </w:r>
          </w:p>
        </w:tc>
        <w:tc>
          <w:tcPr>
            <w:tcW w:w="666" w:type="dxa"/>
            <w:shd w:val="clear" w:color="auto" w:fill="C4EFCE"/>
            <w:tcMar>
              <w:left w:w="28" w:type="dxa"/>
              <w:right w:w="28" w:type="dxa"/>
            </w:tcMar>
            <w:vAlign w:val="center"/>
            <w:hideMark/>
          </w:tcPr>
          <w:p w14:paraId="4F11D61E" w14:textId="3F1C6E1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r w:rsidR="000F5AA4" w:rsidRPr="003F23AC">
              <w:rPr>
                <w:rFonts w:ascii="Times New Roman" w:hAnsi="Times New Roman" w:cs="Times New Roman"/>
                <w:noProof/>
                <w:lang w:val="sk-SK"/>
              </w:rPr>
              <w:t xml:space="preserve"> </w:t>
            </w:r>
          </w:p>
        </w:tc>
        <w:tc>
          <w:tcPr>
            <w:tcW w:w="402" w:type="dxa"/>
            <w:shd w:val="clear" w:color="auto" w:fill="C4EFCE"/>
            <w:tcMar>
              <w:left w:w="28" w:type="dxa"/>
              <w:right w:w="28" w:type="dxa"/>
            </w:tcMar>
            <w:vAlign w:val="center"/>
            <w:hideMark/>
          </w:tcPr>
          <w:p w14:paraId="7A500F3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639" w:type="dxa"/>
            <w:shd w:val="clear" w:color="auto" w:fill="C4EFCE"/>
            <w:tcMar>
              <w:left w:w="28" w:type="dxa"/>
              <w:right w:w="28" w:type="dxa"/>
            </w:tcMar>
            <w:vAlign w:val="center"/>
            <w:hideMark/>
          </w:tcPr>
          <w:p w14:paraId="447EC338" w14:textId="486521F2"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ubytovacích zariadení, pre ktoré sú podpísané dohody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financovaní</w:t>
            </w:r>
            <w:r w:rsidR="00A75B3C" w:rsidRPr="003F23AC">
              <w:rPr>
                <w:rFonts w:ascii="Times New Roman" w:hAnsi="Times New Roman" w:cs="Times New Roman"/>
                <w:noProof/>
                <w:lang w:val="sk-SK"/>
              </w:rPr>
              <w:t>.</w:t>
            </w:r>
          </w:p>
          <w:p w14:paraId="1401935B" w14:textId="66A9B78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Subjekty predkladajú svoje žiadosti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financovanie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výzvy na predkladanie ponúk vyhlásenej IHRU (Inštitút pre bývanie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rehabilitáciu miest), ktorá po posúdení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vyžiadaní stanoviska ISS (Inštitút sociálneho zabezpečenia)</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platnosti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uskutočniteľnosti predložených žiadostí uzavrie zmluvu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financovaní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stanoví lehotu na jeho realizáciu. Ubytovanie je časť budovy alebo celá budova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nezávislým prístupom pozostávajúca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jedného alebo viacerých obytných priestorov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ďalších súkromných priestorov alebo obytných jednotiek pre viac ako jednu domácnosť.</w:t>
            </w:r>
          </w:p>
        </w:tc>
      </w:tr>
      <w:tr w:rsidR="003F23AC" w:rsidRPr="003F23AC" w14:paraId="301EE51C" w14:textId="77777777" w:rsidTr="003F23AC">
        <w:trPr>
          <w:trHeight w:val="2674"/>
        </w:trPr>
        <w:tc>
          <w:tcPr>
            <w:tcW w:w="1062" w:type="dxa"/>
            <w:shd w:val="clear" w:color="auto" w:fill="C5EFCE"/>
            <w:tcMar>
              <w:left w:w="28" w:type="dxa"/>
              <w:right w:w="28" w:type="dxa"/>
            </w:tcMar>
            <w:vAlign w:val="center"/>
            <w:hideMark/>
          </w:tcPr>
          <w:p w14:paraId="68B87CC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2.5</w:t>
            </w:r>
          </w:p>
        </w:tc>
        <w:tc>
          <w:tcPr>
            <w:tcW w:w="1221" w:type="dxa"/>
            <w:shd w:val="clear" w:color="auto" w:fill="C4EFCE"/>
            <w:tcMar>
              <w:left w:w="28" w:type="dxa"/>
              <w:right w:w="28" w:type="dxa"/>
            </w:tcMar>
            <w:vAlign w:val="center"/>
            <w:hideMark/>
          </w:tcPr>
          <w:p w14:paraId="0896B5A2" w14:textId="4D62CAD4"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C02-i02</w:t>
            </w:r>
          </w:p>
        </w:tc>
        <w:tc>
          <w:tcPr>
            <w:tcW w:w="1010" w:type="dxa"/>
            <w:shd w:val="clear" w:color="auto" w:fill="C4EFCE"/>
            <w:tcMar>
              <w:left w:w="28" w:type="dxa"/>
              <w:right w:w="28" w:type="dxa"/>
            </w:tcMar>
            <w:vAlign w:val="center"/>
            <w:hideMark/>
          </w:tcPr>
          <w:p w14:paraId="18C2C033" w14:textId="3F0D4536"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hideMark/>
          </w:tcPr>
          <w:p w14:paraId="02542EC9" w14:textId="56932D5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Národný grant na núdzové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dočasné ubytovanie – podpísanie dohôd</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financovaní núdzového ubytovania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prechodného ubytovania</w:t>
            </w:r>
          </w:p>
        </w:tc>
        <w:tc>
          <w:tcPr>
            <w:tcW w:w="1269" w:type="dxa"/>
            <w:shd w:val="clear" w:color="auto" w:fill="C4EFCE"/>
            <w:tcMar>
              <w:left w:w="28" w:type="dxa"/>
              <w:right w:w="28" w:type="dxa"/>
            </w:tcMar>
            <w:vAlign w:val="center"/>
            <w:hideMark/>
          </w:tcPr>
          <w:p w14:paraId="729388B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57" w:type="dxa"/>
            <w:shd w:val="clear" w:color="auto" w:fill="C4EFCE"/>
            <w:tcMar>
              <w:left w:w="28" w:type="dxa"/>
              <w:right w:w="28" w:type="dxa"/>
            </w:tcMar>
            <w:vAlign w:val="center"/>
            <w:hideMark/>
          </w:tcPr>
          <w:p w14:paraId="20F0E16D" w14:textId="48C4EEB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hideMark/>
          </w:tcPr>
          <w:p w14:paraId="5404D04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500</w:t>
            </w:r>
          </w:p>
        </w:tc>
        <w:tc>
          <w:tcPr>
            <w:tcW w:w="842" w:type="dxa"/>
            <w:shd w:val="clear" w:color="auto" w:fill="C4EFCE"/>
            <w:tcMar>
              <w:left w:w="28" w:type="dxa"/>
              <w:right w:w="28" w:type="dxa"/>
            </w:tcMar>
            <w:vAlign w:val="center"/>
            <w:hideMark/>
          </w:tcPr>
          <w:p w14:paraId="57B686F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1 000</w:t>
            </w:r>
          </w:p>
        </w:tc>
        <w:tc>
          <w:tcPr>
            <w:tcW w:w="666" w:type="dxa"/>
            <w:shd w:val="clear" w:color="auto" w:fill="C4EFCE"/>
            <w:tcMar>
              <w:left w:w="28" w:type="dxa"/>
              <w:right w:w="28" w:type="dxa"/>
            </w:tcMar>
            <w:vAlign w:val="center"/>
            <w:hideMark/>
          </w:tcPr>
          <w:p w14:paraId="106559ED" w14:textId="00FC642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02" w:type="dxa"/>
            <w:shd w:val="clear" w:color="auto" w:fill="C4EFCE"/>
            <w:tcMar>
              <w:left w:w="28" w:type="dxa"/>
              <w:right w:w="28" w:type="dxa"/>
            </w:tcMar>
            <w:vAlign w:val="center"/>
            <w:hideMark/>
          </w:tcPr>
          <w:p w14:paraId="1B378D8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639" w:type="dxa"/>
            <w:shd w:val="clear" w:color="auto" w:fill="C4EFCE"/>
            <w:tcMar>
              <w:left w:w="28" w:type="dxa"/>
              <w:right w:w="28" w:type="dxa"/>
            </w:tcMar>
            <w:vAlign w:val="center"/>
          </w:tcPr>
          <w:p w14:paraId="1296F222" w14:textId="2C1B3E1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ubytovacích zariadení, pre ktoré sú podpísané dohody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financovaní.</w:t>
            </w:r>
          </w:p>
          <w:p w14:paraId="3D3E1365" w14:textId="35B221E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Subjekty predkladajú svoje žiadosti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financovanie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výzvy na predkladanie ponúk vyhlásenej IHRU (Inštitút pre bývanie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rehabilitáciu miest), ktorá po posúdení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vyžiadaní stanoviska ISS (Inštitút sociálneho zabezpečenia)</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platnosti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uskutočniteľnosti predložených žiadostí uzavrie zmluvu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financovaní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stanoví lehotu na jeho realizáciu. Ubytovanie je časť budovy alebo celá budova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nezávislým prístupom pozostávajúca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jedného alebo viacerých obytných priestorov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ďalších súkromných priestorov alebo obytných jednotiek pre viac ako jednu domácnosť.</w:t>
            </w:r>
          </w:p>
          <w:p w14:paraId="117AD3E0" w14:textId="77777777" w:rsidR="00387C70" w:rsidRPr="003F23AC" w:rsidRDefault="00387C70" w:rsidP="003F23AC">
            <w:pPr>
              <w:spacing w:after="0" w:line="240" w:lineRule="auto"/>
              <w:jc w:val="both"/>
              <w:rPr>
                <w:rFonts w:ascii="Times New Roman" w:eastAsia="Times New Roman" w:hAnsi="Times New Roman" w:cs="Times New Roman"/>
                <w:noProof/>
                <w:sz w:val="16"/>
                <w:lang w:val="sk-SK"/>
              </w:rPr>
            </w:pPr>
          </w:p>
        </w:tc>
      </w:tr>
      <w:tr w:rsidR="003F23AC" w:rsidRPr="003F23AC" w14:paraId="4D975256" w14:textId="77777777" w:rsidTr="003F23AC">
        <w:trPr>
          <w:trHeight w:val="2253"/>
        </w:trPr>
        <w:tc>
          <w:tcPr>
            <w:tcW w:w="1062" w:type="dxa"/>
            <w:shd w:val="clear" w:color="auto" w:fill="C5EFCE"/>
            <w:tcMar>
              <w:left w:w="28" w:type="dxa"/>
              <w:right w:w="28" w:type="dxa"/>
            </w:tcMar>
            <w:vAlign w:val="center"/>
            <w:hideMark/>
          </w:tcPr>
          <w:p w14:paraId="2C482782"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2.6</w:t>
            </w:r>
          </w:p>
        </w:tc>
        <w:tc>
          <w:tcPr>
            <w:tcW w:w="1221" w:type="dxa"/>
            <w:shd w:val="clear" w:color="auto" w:fill="C4EFCE"/>
            <w:tcMar>
              <w:left w:w="28" w:type="dxa"/>
              <w:right w:w="28" w:type="dxa"/>
            </w:tcMar>
            <w:vAlign w:val="center"/>
            <w:hideMark/>
          </w:tcPr>
          <w:p w14:paraId="672072E0" w14:textId="04808118"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C02-i02</w:t>
            </w:r>
          </w:p>
        </w:tc>
        <w:tc>
          <w:tcPr>
            <w:tcW w:w="1010" w:type="dxa"/>
            <w:shd w:val="clear" w:color="auto" w:fill="C4EFCE"/>
            <w:tcMar>
              <w:left w:w="28" w:type="dxa"/>
              <w:right w:w="28" w:type="dxa"/>
            </w:tcMar>
            <w:vAlign w:val="center"/>
            <w:hideMark/>
          </w:tcPr>
          <w:p w14:paraId="62E3F49B" w14:textId="52B45884"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hideMark/>
          </w:tcPr>
          <w:p w14:paraId="5E2BDA77" w14:textId="45E9CE7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Národný núdzový</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dočasný grant na ubytovanie – Začaté alebo zakúpené stavebné práce pre núdzové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prechodné ubytovanie (ktoré sa majú postaviť alebo kúpiť podľa normy energetickej efektívnosti alebo sanovať so zlepšenou energetickou hospodárnosťou) vo výstavbe</w:t>
            </w:r>
          </w:p>
        </w:tc>
        <w:tc>
          <w:tcPr>
            <w:tcW w:w="1269" w:type="dxa"/>
            <w:shd w:val="clear" w:color="auto" w:fill="C4EFCE"/>
            <w:tcMar>
              <w:left w:w="28" w:type="dxa"/>
              <w:right w:w="28" w:type="dxa"/>
            </w:tcMar>
            <w:vAlign w:val="center"/>
            <w:hideMark/>
          </w:tcPr>
          <w:p w14:paraId="5368E03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57" w:type="dxa"/>
            <w:shd w:val="clear" w:color="auto" w:fill="C4EFCE"/>
            <w:tcMar>
              <w:left w:w="28" w:type="dxa"/>
              <w:right w:w="28" w:type="dxa"/>
            </w:tcMar>
            <w:vAlign w:val="center"/>
            <w:hideMark/>
          </w:tcPr>
          <w:p w14:paraId="796FA2A1" w14:textId="460620F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hideMark/>
          </w:tcPr>
          <w:p w14:paraId="4ABF013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42" w:type="dxa"/>
            <w:shd w:val="clear" w:color="auto" w:fill="C4EFCE"/>
            <w:tcMar>
              <w:left w:w="28" w:type="dxa"/>
              <w:right w:w="28" w:type="dxa"/>
            </w:tcMar>
            <w:vAlign w:val="center"/>
            <w:hideMark/>
          </w:tcPr>
          <w:p w14:paraId="1C9E3EE0" w14:textId="496C820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350</w:t>
            </w:r>
          </w:p>
        </w:tc>
        <w:tc>
          <w:tcPr>
            <w:tcW w:w="666" w:type="dxa"/>
            <w:shd w:val="clear" w:color="auto" w:fill="C4EFCE"/>
            <w:tcMar>
              <w:left w:w="28" w:type="dxa"/>
              <w:right w:w="28" w:type="dxa"/>
            </w:tcMar>
            <w:vAlign w:val="center"/>
            <w:hideMark/>
          </w:tcPr>
          <w:p w14:paraId="7DDECB12" w14:textId="017B9A8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02" w:type="dxa"/>
            <w:shd w:val="clear" w:color="auto" w:fill="C4EFCE"/>
            <w:tcMar>
              <w:left w:w="28" w:type="dxa"/>
              <w:right w:w="28" w:type="dxa"/>
            </w:tcMar>
            <w:vAlign w:val="center"/>
            <w:hideMark/>
          </w:tcPr>
          <w:p w14:paraId="67217E7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639" w:type="dxa"/>
            <w:shd w:val="clear" w:color="auto" w:fill="C4EFCE"/>
            <w:tcMar>
              <w:left w:w="28" w:type="dxa"/>
              <w:right w:w="28" w:type="dxa"/>
            </w:tcMar>
            <w:vAlign w:val="center"/>
            <w:hideMark/>
          </w:tcPr>
          <w:p w14:paraId="0AFE01CA" w14:textId="3AAC7EA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Ubytovanie, na ktorom sa začali stavebné práce, alebo zakúpené ubytovanie. Po uzatvorení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financovaní sa suma uvoľní subjektom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závislosti od plnenia zmluvy.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 (s výnimkou prebiehajúcich projektov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projektov zahrnutých do rozpočtu na roky 2021</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2022, čo predstavuje 14 800 000 EUR</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 xml:space="preserve">celkových prostriedkov pridelených na toto opatrenie). </w:t>
            </w:r>
          </w:p>
        </w:tc>
      </w:tr>
      <w:tr w:rsidR="003F23AC" w:rsidRPr="003F23AC" w14:paraId="5D93E105" w14:textId="77777777" w:rsidTr="003F23AC">
        <w:trPr>
          <w:trHeight w:val="509"/>
        </w:trPr>
        <w:tc>
          <w:tcPr>
            <w:tcW w:w="1062" w:type="dxa"/>
            <w:shd w:val="clear" w:color="auto" w:fill="C5EFCE"/>
            <w:tcMar>
              <w:left w:w="28" w:type="dxa"/>
              <w:right w:w="28" w:type="dxa"/>
            </w:tcMar>
            <w:vAlign w:val="center"/>
            <w:hideMark/>
          </w:tcPr>
          <w:p w14:paraId="413E90AC"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2.7</w:t>
            </w:r>
          </w:p>
        </w:tc>
        <w:tc>
          <w:tcPr>
            <w:tcW w:w="1221" w:type="dxa"/>
            <w:shd w:val="clear" w:color="auto" w:fill="C4EFCE"/>
            <w:tcMar>
              <w:left w:w="28" w:type="dxa"/>
              <w:right w:w="28" w:type="dxa"/>
            </w:tcMar>
            <w:vAlign w:val="center"/>
            <w:hideMark/>
          </w:tcPr>
          <w:p w14:paraId="1840F1C0" w14:textId="00480D6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C02-i02</w:t>
            </w:r>
          </w:p>
        </w:tc>
        <w:tc>
          <w:tcPr>
            <w:tcW w:w="1010" w:type="dxa"/>
            <w:shd w:val="clear" w:color="auto" w:fill="C4EFCE"/>
            <w:tcMar>
              <w:left w:w="28" w:type="dxa"/>
              <w:right w:w="28" w:type="dxa"/>
            </w:tcMar>
            <w:vAlign w:val="center"/>
            <w:hideMark/>
          </w:tcPr>
          <w:p w14:paraId="0E870F5F" w14:textId="0B7F86C8"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hideMark/>
          </w:tcPr>
          <w:p w14:paraId="6E6560F6" w14:textId="62F9610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Národný grant na núdzové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dočasné ubytovanie – Núdzové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prechodné ubytovanie vytvorené (vybudované alebo zakúpené podľa normy energetickej efektívnosti alebo renovované, vrátane zakúpených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lepšou energetickou hospodárnosťou)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dodané vývojárom</w:t>
            </w:r>
          </w:p>
        </w:tc>
        <w:tc>
          <w:tcPr>
            <w:tcW w:w="1269" w:type="dxa"/>
            <w:shd w:val="clear" w:color="auto" w:fill="C4EFCE"/>
            <w:tcMar>
              <w:left w:w="28" w:type="dxa"/>
              <w:right w:w="28" w:type="dxa"/>
            </w:tcMar>
            <w:vAlign w:val="center"/>
            <w:hideMark/>
          </w:tcPr>
          <w:p w14:paraId="4245B91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57" w:type="dxa"/>
            <w:shd w:val="clear" w:color="auto" w:fill="C4EFCE"/>
            <w:tcMar>
              <w:left w:w="28" w:type="dxa"/>
              <w:right w:w="28" w:type="dxa"/>
            </w:tcMar>
            <w:vAlign w:val="center"/>
            <w:hideMark/>
          </w:tcPr>
          <w:p w14:paraId="07D9E38D" w14:textId="742C938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hideMark/>
          </w:tcPr>
          <w:p w14:paraId="4CFB3CF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42" w:type="dxa"/>
            <w:shd w:val="clear" w:color="auto" w:fill="C4EFCE"/>
            <w:tcMar>
              <w:left w:w="28" w:type="dxa"/>
              <w:right w:w="28" w:type="dxa"/>
            </w:tcMar>
            <w:vAlign w:val="center"/>
            <w:hideMark/>
          </w:tcPr>
          <w:p w14:paraId="5D5D9D2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2 000</w:t>
            </w:r>
          </w:p>
        </w:tc>
        <w:tc>
          <w:tcPr>
            <w:tcW w:w="666" w:type="dxa"/>
            <w:shd w:val="clear" w:color="auto" w:fill="C4EFCE"/>
            <w:tcMar>
              <w:left w:w="28" w:type="dxa"/>
              <w:right w:w="28" w:type="dxa"/>
            </w:tcMar>
            <w:vAlign w:val="center"/>
            <w:hideMark/>
          </w:tcPr>
          <w:p w14:paraId="6B63A6F4" w14:textId="7D9C85B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02" w:type="dxa"/>
            <w:shd w:val="clear" w:color="auto" w:fill="C4EFCE"/>
            <w:tcMar>
              <w:left w:w="28" w:type="dxa"/>
              <w:right w:w="28" w:type="dxa"/>
            </w:tcMar>
            <w:vAlign w:val="center"/>
            <w:hideMark/>
          </w:tcPr>
          <w:p w14:paraId="6908D62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639" w:type="dxa"/>
            <w:shd w:val="clear" w:color="auto" w:fill="C4EFCE"/>
            <w:tcMar>
              <w:left w:w="28" w:type="dxa"/>
              <w:right w:w="28" w:type="dxa"/>
            </w:tcMar>
            <w:vAlign w:val="center"/>
            <w:hideMark/>
          </w:tcPr>
          <w:p w14:paraId="130C6538" w14:textId="0016C34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Poskytnutie ubytovania sponzorujúcim subjektom. Ubytovanie je časť budovy alebo celá budova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nezávislým prístupom pozostávajúca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jedného alebo viacerých obytných priestorov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ďalších súkromných priestorov alebo obytných jednotiek pre viac ako jednu domácnosť.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 (s výnimkou prebiehajúcich projektov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projektov zahrnutých do rozpočtu na roky 2021</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2022, čo predstavuje 14 800 000 EUR</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celkových prostriedkov pridelených na toto opatrenie). Referenčná jednotka 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priemere 73 metrov štvorcových pre 2000 ubytovacích zariadení. </w:t>
            </w:r>
          </w:p>
        </w:tc>
      </w:tr>
      <w:tr w:rsidR="003F23AC" w:rsidRPr="003F23AC" w14:paraId="7427DF73" w14:textId="77777777" w:rsidTr="003F23AC">
        <w:trPr>
          <w:trHeight w:val="1114"/>
        </w:trPr>
        <w:tc>
          <w:tcPr>
            <w:tcW w:w="1062" w:type="dxa"/>
            <w:shd w:val="clear" w:color="auto" w:fill="C5EFCE"/>
            <w:tcMar>
              <w:left w:w="28" w:type="dxa"/>
              <w:right w:w="28" w:type="dxa"/>
            </w:tcMar>
            <w:vAlign w:val="center"/>
            <w:hideMark/>
          </w:tcPr>
          <w:p w14:paraId="0D2C6831"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2.8</w:t>
            </w:r>
          </w:p>
        </w:tc>
        <w:tc>
          <w:tcPr>
            <w:tcW w:w="1221" w:type="dxa"/>
            <w:shd w:val="clear" w:color="auto" w:fill="C4EFCE"/>
            <w:tcMar>
              <w:left w:w="28" w:type="dxa"/>
              <w:right w:w="28" w:type="dxa"/>
            </w:tcMar>
            <w:vAlign w:val="center"/>
            <w:hideMark/>
          </w:tcPr>
          <w:p w14:paraId="7BA5DE70" w14:textId="4C68930D"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C02-i02</w:t>
            </w:r>
          </w:p>
        </w:tc>
        <w:tc>
          <w:tcPr>
            <w:tcW w:w="1010" w:type="dxa"/>
            <w:shd w:val="clear" w:color="auto" w:fill="C4EFCE"/>
            <w:tcMar>
              <w:left w:w="28" w:type="dxa"/>
              <w:right w:w="28" w:type="dxa"/>
            </w:tcMar>
            <w:vAlign w:val="center"/>
            <w:hideMark/>
          </w:tcPr>
          <w:p w14:paraId="25536932" w14:textId="780006D0"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hideMark/>
          </w:tcPr>
          <w:p w14:paraId="0BF77C68" w14:textId="37DF542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Ubytovanie poskytované bezpečnostným silám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dočasné ubytovanie poskytnuté</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humanitárnych alebo bezpečnostných dôvodov</w:t>
            </w:r>
          </w:p>
        </w:tc>
        <w:tc>
          <w:tcPr>
            <w:tcW w:w="1269" w:type="dxa"/>
            <w:shd w:val="clear" w:color="auto" w:fill="C4EFCE"/>
            <w:tcMar>
              <w:left w:w="28" w:type="dxa"/>
              <w:right w:w="28" w:type="dxa"/>
            </w:tcMar>
            <w:vAlign w:val="center"/>
            <w:hideMark/>
          </w:tcPr>
          <w:p w14:paraId="306C621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57" w:type="dxa"/>
            <w:shd w:val="clear" w:color="auto" w:fill="C4EFCE"/>
            <w:tcMar>
              <w:left w:w="28" w:type="dxa"/>
              <w:right w:w="28" w:type="dxa"/>
            </w:tcMar>
            <w:vAlign w:val="center"/>
            <w:hideMark/>
          </w:tcPr>
          <w:p w14:paraId="48FB208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hideMark/>
          </w:tcPr>
          <w:p w14:paraId="651BF2F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42" w:type="dxa"/>
            <w:shd w:val="clear" w:color="auto" w:fill="C4EFCE"/>
            <w:tcMar>
              <w:left w:w="28" w:type="dxa"/>
              <w:right w:w="28" w:type="dxa"/>
            </w:tcMar>
            <w:vAlign w:val="center"/>
            <w:hideMark/>
          </w:tcPr>
          <w:p w14:paraId="7C46088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473</w:t>
            </w:r>
          </w:p>
        </w:tc>
        <w:tc>
          <w:tcPr>
            <w:tcW w:w="666" w:type="dxa"/>
            <w:shd w:val="clear" w:color="auto" w:fill="C4EFCE"/>
            <w:tcMar>
              <w:left w:w="28" w:type="dxa"/>
              <w:right w:w="28" w:type="dxa"/>
            </w:tcMar>
            <w:vAlign w:val="center"/>
            <w:hideMark/>
          </w:tcPr>
          <w:p w14:paraId="25C353AE" w14:textId="47AA8326"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02" w:type="dxa"/>
            <w:shd w:val="clear" w:color="auto" w:fill="C4EFCE"/>
            <w:tcMar>
              <w:left w:w="28" w:type="dxa"/>
              <w:right w:w="28" w:type="dxa"/>
            </w:tcMar>
            <w:vAlign w:val="center"/>
            <w:hideMark/>
          </w:tcPr>
          <w:p w14:paraId="516E0C4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639" w:type="dxa"/>
            <w:shd w:val="clear" w:color="auto" w:fill="C4EFCE"/>
            <w:tcMar>
              <w:left w:w="28" w:type="dxa"/>
              <w:right w:w="28" w:type="dxa"/>
            </w:tcMar>
            <w:vAlign w:val="center"/>
            <w:hideMark/>
          </w:tcPr>
          <w:p w14:paraId="05D915D9" w14:textId="20F94CE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obydlí dodaných bezpečnostným silám (SSGNR – Sociálne služby pre národnú republikovú gardu; SSPSP – Sociálne služby pre políciu verejnej bezpečnosti) pre potreby dočasného ubytovania vrátane troch blokov pre bezpečnostné sily (v prípadoch odôvodnených verejným záujmom). Investícia zahŕňa aj päť centier dočasného ubytovania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humanitárnych alebo bezpečnostných dôvodov.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F23AC" w:rsidRPr="003F23AC" w14:paraId="7B72B6C0" w14:textId="77777777" w:rsidTr="003F23AC">
        <w:trPr>
          <w:trHeight w:val="1299"/>
        </w:trPr>
        <w:tc>
          <w:tcPr>
            <w:tcW w:w="1062" w:type="dxa"/>
            <w:shd w:val="clear" w:color="auto" w:fill="C5EFCE"/>
            <w:tcMar>
              <w:left w:w="28" w:type="dxa"/>
              <w:right w:w="28" w:type="dxa"/>
            </w:tcMar>
            <w:vAlign w:val="center"/>
            <w:hideMark/>
          </w:tcPr>
          <w:p w14:paraId="516C171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2.10</w:t>
            </w:r>
          </w:p>
        </w:tc>
        <w:tc>
          <w:tcPr>
            <w:tcW w:w="1221" w:type="dxa"/>
            <w:shd w:val="clear" w:color="auto" w:fill="C4EFCE"/>
            <w:tcMar>
              <w:left w:w="28" w:type="dxa"/>
              <w:right w:w="28" w:type="dxa"/>
            </w:tcMar>
            <w:vAlign w:val="center"/>
            <w:hideMark/>
          </w:tcPr>
          <w:p w14:paraId="3ABE46D6" w14:textId="04020F3E"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C02-i03-RAM</w:t>
            </w:r>
          </w:p>
        </w:tc>
        <w:tc>
          <w:tcPr>
            <w:tcW w:w="1010" w:type="dxa"/>
            <w:shd w:val="clear" w:color="auto" w:fill="C4EFCE"/>
            <w:tcMar>
              <w:left w:w="28" w:type="dxa"/>
              <w:right w:w="28" w:type="dxa"/>
            </w:tcMar>
            <w:vAlign w:val="center"/>
            <w:hideMark/>
          </w:tcPr>
          <w:p w14:paraId="30B06126" w14:textId="3B6CEF98"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hideMark/>
          </w:tcPr>
          <w:p w14:paraId="798BCDBC" w14:textId="1B33F28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Podporované bývanie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autonómnej oblasti Madeira</w:t>
            </w:r>
          </w:p>
        </w:tc>
        <w:tc>
          <w:tcPr>
            <w:tcW w:w="1269" w:type="dxa"/>
            <w:shd w:val="clear" w:color="auto" w:fill="C4EFCE"/>
            <w:tcMar>
              <w:left w:w="28" w:type="dxa"/>
              <w:right w:w="28" w:type="dxa"/>
            </w:tcMar>
            <w:vAlign w:val="center"/>
            <w:hideMark/>
          </w:tcPr>
          <w:p w14:paraId="0360AAD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57" w:type="dxa"/>
            <w:shd w:val="clear" w:color="auto" w:fill="C4EFCE"/>
            <w:tcMar>
              <w:left w:w="28" w:type="dxa"/>
              <w:right w:w="28" w:type="dxa"/>
            </w:tcMar>
            <w:vAlign w:val="center"/>
            <w:hideMark/>
          </w:tcPr>
          <w:p w14:paraId="2E860824" w14:textId="520F84D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hideMark/>
          </w:tcPr>
          <w:p w14:paraId="66F31C5A" w14:textId="6271036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42" w:type="dxa"/>
            <w:shd w:val="clear" w:color="auto" w:fill="C4EFCE"/>
            <w:tcMar>
              <w:left w:w="28" w:type="dxa"/>
              <w:right w:w="28" w:type="dxa"/>
            </w:tcMar>
            <w:vAlign w:val="center"/>
            <w:hideMark/>
          </w:tcPr>
          <w:p w14:paraId="1793894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590</w:t>
            </w:r>
          </w:p>
        </w:tc>
        <w:tc>
          <w:tcPr>
            <w:tcW w:w="666" w:type="dxa"/>
            <w:shd w:val="clear" w:color="auto" w:fill="C4EFCE"/>
            <w:tcMar>
              <w:left w:w="28" w:type="dxa"/>
              <w:right w:w="28" w:type="dxa"/>
            </w:tcMar>
            <w:vAlign w:val="center"/>
            <w:hideMark/>
          </w:tcPr>
          <w:p w14:paraId="120647CE" w14:textId="57EFFCA6"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2" w:type="dxa"/>
            <w:shd w:val="clear" w:color="auto" w:fill="C4EFCE"/>
            <w:tcMar>
              <w:left w:w="28" w:type="dxa"/>
              <w:right w:w="28" w:type="dxa"/>
            </w:tcMar>
            <w:vAlign w:val="center"/>
            <w:hideMark/>
          </w:tcPr>
          <w:p w14:paraId="15FD699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639" w:type="dxa"/>
            <w:shd w:val="clear" w:color="auto" w:fill="C4EFCE"/>
            <w:tcMar>
              <w:left w:w="28" w:type="dxa"/>
              <w:right w:w="28" w:type="dxa"/>
            </w:tcMar>
            <w:vAlign w:val="center"/>
            <w:hideMark/>
          </w:tcPr>
          <w:p w14:paraId="35C90287" w14:textId="074AE8F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obydlí pridelených oprávneným domácnostiam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súvislosti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výstavbou sociálneho bývania alebo</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nákupom obytných priestorov pre podporované sociálne bývanie.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takmer nulovou spotrebou energie. </w:t>
            </w:r>
          </w:p>
        </w:tc>
      </w:tr>
      <w:tr w:rsidR="003F23AC" w:rsidRPr="003F23AC" w14:paraId="5BA4E6AD" w14:textId="77777777" w:rsidTr="003F23AC">
        <w:trPr>
          <w:trHeight w:val="1260"/>
        </w:trPr>
        <w:tc>
          <w:tcPr>
            <w:tcW w:w="1062" w:type="dxa"/>
            <w:shd w:val="clear" w:color="auto" w:fill="C5EFCE"/>
            <w:tcMar>
              <w:left w:w="28" w:type="dxa"/>
              <w:right w:w="28" w:type="dxa"/>
            </w:tcMar>
            <w:vAlign w:val="center"/>
            <w:hideMark/>
          </w:tcPr>
          <w:p w14:paraId="7AD9EF6A"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2.11</w:t>
            </w:r>
          </w:p>
        </w:tc>
        <w:tc>
          <w:tcPr>
            <w:tcW w:w="1221" w:type="dxa"/>
            <w:shd w:val="clear" w:color="auto" w:fill="C4EFCE"/>
            <w:tcMar>
              <w:left w:w="28" w:type="dxa"/>
              <w:right w:w="28" w:type="dxa"/>
            </w:tcMar>
            <w:vAlign w:val="center"/>
            <w:hideMark/>
          </w:tcPr>
          <w:p w14:paraId="15C2A587" w14:textId="130CCC0D"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C02-i03-RAM</w:t>
            </w:r>
          </w:p>
        </w:tc>
        <w:tc>
          <w:tcPr>
            <w:tcW w:w="1010" w:type="dxa"/>
            <w:shd w:val="clear" w:color="auto" w:fill="C4EFCE"/>
            <w:tcMar>
              <w:left w:w="28" w:type="dxa"/>
              <w:right w:w="28" w:type="dxa"/>
            </w:tcMar>
            <w:vAlign w:val="center"/>
            <w:hideMark/>
          </w:tcPr>
          <w:p w14:paraId="6754F4CC" w14:textId="257FA508"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hideMark/>
          </w:tcPr>
          <w:p w14:paraId="41401E43" w14:textId="33FB268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Podporované bývanie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autonómnej oblasti Madeira</w:t>
            </w:r>
          </w:p>
        </w:tc>
        <w:tc>
          <w:tcPr>
            <w:tcW w:w="1269" w:type="dxa"/>
            <w:shd w:val="clear" w:color="auto" w:fill="C4EFCE"/>
            <w:tcMar>
              <w:left w:w="28" w:type="dxa"/>
              <w:right w:w="28" w:type="dxa"/>
            </w:tcMar>
            <w:vAlign w:val="center"/>
            <w:hideMark/>
          </w:tcPr>
          <w:p w14:paraId="53D5B63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57" w:type="dxa"/>
            <w:shd w:val="clear" w:color="auto" w:fill="C4EFCE"/>
            <w:tcMar>
              <w:left w:w="28" w:type="dxa"/>
              <w:right w:w="28" w:type="dxa"/>
            </w:tcMar>
            <w:vAlign w:val="center"/>
            <w:hideMark/>
          </w:tcPr>
          <w:p w14:paraId="48BD7AC9" w14:textId="38690FC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hideMark/>
          </w:tcPr>
          <w:p w14:paraId="281C3A1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590</w:t>
            </w:r>
          </w:p>
        </w:tc>
        <w:tc>
          <w:tcPr>
            <w:tcW w:w="842" w:type="dxa"/>
            <w:shd w:val="clear" w:color="auto" w:fill="C4EFCE"/>
            <w:tcMar>
              <w:left w:w="28" w:type="dxa"/>
              <w:right w:w="28" w:type="dxa"/>
            </w:tcMar>
            <w:vAlign w:val="center"/>
            <w:hideMark/>
          </w:tcPr>
          <w:p w14:paraId="5DECC890" w14:textId="5F34FF5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805</w:t>
            </w:r>
          </w:p>
        </w:tc>
        <w:tc>
          <w:tcPr>
            <w:tcW w:w="666" w:type="dxa"/>
            <w:shd w:val="clear" w:color="auto" w:fill="C4EFCE"/>
            <w:tcMar>
              <w:left w:w="28" w:type="dxa"/>
              <w:right w:w="28" w:type="dxa"/>
            </w:tcMar>
            <w:vAlign w:val="center"/>
            <w:hideMark/>
          </w:tcPr>
          <w:p w14:paraId="5FD71819" w14:textId="151EF0FF"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02" w:type="dxa"/>
            <w:shd w:val="clear" w:color="auto" w:fill="C4EFCE"/>
            <w:tcMar>
              <w:left w:w="28" w:type="dxa"/>
              <w:right w:w="28" w:type="dxa"/>
            </w:tcMar>
            <w:vAlign w:val="center"/>
            <w:hideMark/>
          </w:tcPr>
          <w:p w14:paraId="59C4647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639" w:type="dxa"/>
            <w:shd w:val="clear" w:color="auto" w:fill="C4EFCE"/>
            <w:tcMar>
              <w:left w:w="28" w:type="dxa"/>
              <w:right w:w="28" w:type="dxa"/>
            </w:tcMar>
            <w:vAlign w:val="center"/>
            <w:hideMark/>
          </w:tcPr>
          <w:p w14:paraId="7540C970" w14:textId="7886B28A"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obydlí pridelených oprávneným domácnostiam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súvislosti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výstavbou sociálneho bývania alebo</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nákupom obytných priestorov pre podporované sociálne bývanie.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 Referenčná jednotka na obydlie 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90 metrov štvorcových pre 805 obydlí</w:t>
            </w:r>
            <w:r w:rsidR="00A75B3C" w:rsidRPr="003F23AC">
              <w:rPr>
                <w:rFonts w:ascii="Times New Roman" w:hAnsi="Times New Roman" w:cs="Times New Roman"/>
                <w:noProof/>
                <w:lang w:val="sk-SK"/>
              </w:rPr>
              <w:t>.</w:t>
            </w:r>
          </w:p>
          <w:p w14:paraId="158CF522" w14:textId="051310C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Investície okrem toho zahŕňajú aj obstarávanie služieb na rozvoj informačných systémov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riešení elektronickej verejnej správy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sektore bývania.</w:t>
            </w:r>
          </w:p>
        </w:tc>
      </w:tr>
      <w:tr w:rsidR="003F23AC" w:rsidRPr="003F23AC" w14:paraId="28EAD265" w14:textId="77777777" w:rsidTr="003F23AC">
        <w:trPr>
          <w:trHeight w:val="1049"/>
        </w:trPr>
        <w:tc>
          <w:tcPr>
            <w:tcW w:w="1062" w:type="dxa"/>
            <w:shd w:val="clear" w:color="auto" w:fill="C5EFCE"/>
            <w:tcMar>
              <w:left w:w="28" w:type="dxa"/>
              <w:right w:w="28" w:type="dxa"/>
            </w:tcMar>
            <w:vAlign w:val="center"/>
            <w:hideMark/>
          </w:tcPr>
          <w:p w14:paraId="60326612"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2.12</w:t>
            </w:r>
          </w:p>
        </w:tc>
        <w:tc>
          <w:tcPr>
            <w:tcW w:w="1221" w:type="dxa"/>
            <w:shd w:val="clear" w:color="auto" w:fill="C4EFCE"/>
            <w:tcMar>
              <w:left w:w="28" w:type="dxa"/>
              <w:right w:w="28" w:type="dxa"/>
            </w:tcMar>
            <w:vAlign w:val="center"/>
            <w:hideMark/>
          </w:tcPr>
          <w:p w14:paraId="0882979C" w14:textId="3AAF8DCD"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C02-i03-RAM</w:t>
            </w:r>
          </w:p>
        </w:tc>
        <w:tc>
          <w:tcPr>
            <w:tcW w:w="1010" w:type="dxa"/>
            <w:shd w:val="clear" w:color="auto" w:fill="C4EFCE"/>
            <w:tcMar>
              <w:left w:w="28" w:type="dxa"/>
              <w:right w:w="28" w:type="dxa"/>
            </w:tcMar>
            <w:vAlign w:val="center"/>
            <w:hideMark/>
          </w:tcPr>
          <w:p w14:paraId="14FEF1B3" w14:textId="497DAEF4"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hideMark/>
          </w:tcPr>
          <w:p w14:paraId="138B1215" w14:textId="57C943F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 obydlí obývaných súkromným vlastníkom, ktoré boli renovované,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to aj so zlepšenou energetickou efektívnosťou</w:t>
            </w:r>
          </w:p>
        </w:tc>
        <w:tc>
          <w:tcPr>
            <w:tcW w:w="1269" w:type="dxa"/>
            <w:shd w:val="clear" w:color="auto" w:fill="C4EFCE"/>
            <w:tcMar>
              <w:left w:w="28" w:type="dxa"/>
              <w:right w:w="28" w:type="dxa"/>
            </w:tcMar>
            <w:vAlign w:val="center"/>
            <w:hideMark/>
          </w:tcPr>
          <w:p w14:paraId="59416FF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57" w:type="dxa"/>
            <w:shd w:val="clear" w:color="auto" w:fill="C4EFCE"/>
            <w:tcMar>
              <w:left w:w="28" w:type="dxa"/>
              <w:right w:w="28" w:type="dxa"/>
            </w:tcMar>
            <w:vAlign w:val="center"/>
            <w:hideMark/>
          </w:tcPr>
          <w:p w14:paraId="3E723E3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hideMark/>
          </w:tcPr>
          <w:p w14:paraId="3FCA714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42" w:type="dxa"/>
            <w:shd w:val="clear" w:color="auto" w:fill="C4EFCE"/>
            <w:tcMar>
              <w:left w:w="28" w:type="dxa"/>
              <w:right w:w="28" w:type="dxa"/>
            </w:tcMar>
            <w:vAlign w:val="center"/>
            <w:hideMark/>
          </w:tcPr>
          <w:p w14:paraId="5468260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325</w:t>
            </w:r>
          </w:p>
        </w:tc>
        <w:tc>
          <w:tcPr>
            <w:tcW w:w="666" w:type="dxa"/>
            <w:shd w:val="clear" w:color="auto" w:fill="C4EFCE"/>
            <w:tcMar>
              <w:left w:w="28" w:type="dxa"/>
              <w:right w:w="28" w:type="dxa"/>
            </w:tcMar>
            <w:vAlign w:val="center"/>
            <w:hideMark/>
          </w:tcPr>
          <w:p w14:paraId="3A86C835" w14:textId="0A55FEB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02" w:type="dxa"/>
            <w:shd w:val="clear" w:color="auto" w:fill="C4EFCE"/>
            <w:tcMar>
              <w:left w:w="28" w:type="dxa"/>
              <w:right w:w="28" w:type="dxa"/>
            </w:tcMar>
            <w:vAlign w:val="center"/>
            <w:hideMark/>
          </w:tcPr>
          <w:p w14:paraId="5FBB7CE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639" w:type="dxa"/>
            <w:shd w:val="clear" w:color="auto" w:fill="C4EFCE"/>
            <w:tcMar>
              <w:left w:w="28" w:type="dxa"/>
              <w:right w:w="28" w:type="dxa"/>
            </w:tcMar>
            <w:vAlign w:val="center"/>
            <w:hideMark/>
          </w:tcPr>
          <w:p w14:paraId="36B3C073"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obydlí obývaných súkromnými vlastníkmi, ktoré boli renovované pre cieľové skupiny bez finančných prostriedkov na vykonanie rehabilitačných prác. </w:t>
            </w:r>
          </w:p>
        </w:tc>
      </w:tr>
      <w:tr w:rsidR="003F23AC" w:rsidRPr="003F23AC" w14:paraId="05FD9A8C" w14:textId="77777777" w:rsidTr="003F23AC">
        <w:trPr>
          <w:trHeight w:val="420"/>
        </w:trPr>
        <w:tc>
          <w:tcPr>
            <w:tcW w:w="1062" w:type="dxa"/>
            <w:shd w:val="clear" w:color="auto" w:fill="C5EFCE"/>
            <w:tcMar>
              <w:left w:w="28" w:type="dxa"/>
              <w:right w:w="28" w:type="dxa"/>
            </w:tcMar>
            <w:vAlign w:val="center"/>
            <w:hideMark/>
          </w:tcPr>
          <w:p w14:paraId="539645A1"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2.13</w:t>
            </w:r>
          </w:p>
        </w:tc>
        <w:tc>
          <w:tcPr>
            <w:tcW w:w="1221" w:type="dxa"/>
            <w:shd w:val="clear" w:color="auto" w:fill="C4EFCE"/>
            <w:tcMar>
              <w:left w:w="28" w:type="dxa"/>
              <w:right w:w="28" w:type="dxa"/>
            </w:tcMar>
            <w:vAlign w:val="center"/>
            <w:hideMark/>
          </w:tcPr>
          <w:p w14:paraId="46FA22A1" w14:textId="50293488"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C02-i04-RAA</w:t>
            </w:r>
          </w:p>
        </w:tc>
        <w:tc>
          <w:tcPr>
            <w:tcW w:w="1010" w:type="dxa"/>
            <w:shd w:val="clear" w:color="auto" w:fill="C4EFCE"/>
            <w:tcMar>
              <w:left w:w="28" w:type="dxa"/>
              <w:right w:w="28" w:type="dxa"/>
            </w:tcMar>
            <w:vAlign w:val="center"/>
            <w:hideMark/>
          </w:tcPr>
          <w:p w14:paraId="050F5EF9" w14:textId="20824567"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hideMark/>
          </w:tcPr>
          <w:p w14:paraId="39BB19D3" w14:textId="3CF4B08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Zásahy do bytového fondu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autonómnej oblasti Azory </w:t>
            </w:r>
          </w:p>
        </w:tc>
        <w:tc>
          <w:tcPr>
            <w:tcW w:w="1269" w:type="dxa"/>
            <w:shd w:val="clear" w:color="auto" w:fill="C4EFCE"/>
            <w:tcMar>
              <w:left w:w="28" w:type="dxa"/>
              <w:right w:w="28" w:type="dxa"/>
            </w:tcMar>
            <w:vAlign w:val="center"/>
            <w:hideMark/>
          </w:tcPr>
          <w:p w14:paraId="59DA834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57" w:type="dxa"/>
            <w:shd w:val="clear" w:color="auto" w:fill="C4EFCE"/>
            <w:tcMar>
              <w:left w:w="28" w:type="dxa"/>
              <w:right w:w="28" w:type="dxa"/>
            </w:tcMar>
            <w:vAlign w:val="center"/>
            <w:hideMark/>
          </w:tcPr>
          <w:p w14:paraId="2EEBFE0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hideMark/>
          </w:tcPr>
          <w:p w14:paraId="2E7D69A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42" w:type="dxa"/>
            <w:shd w:val="clear" w:color="auto" w:fill="C4EFCE"/>
            <w:tcMar>
              <w:left w:w="28" w:type="dxa"/>
              <w:right w:w="28" w:type="dxa"/>
            </w:tcMar>
            <w:vAlign w:val="center"/>
            <w:hideMark/>
          </w:tcPr>
          <w:p w14:paraId="1C4BD37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24</w:t>
            </w:r>
          </w:p>
        </w:tc>
        <w:tc>
          <w:tcPr>
            <w:tcW w:w="666" w:type="dxa"/>
            <w:shd w:val="clear" w:color="auto" w:fill="C4EFCE"/>
            <w:tcMar>
              <w:left w:w="28" w:type="dxa"/>
              <w:right w:w="28" w:type="dxa"/>
            </w:tcMar>
            <w:vAlign w:val="center"/>
            <w:hideMark/>
          </w:tcPr>
          <w:p w14:paraId="23FD1A62" w14:textId="4F7F783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2" w:type="dxa"/>
            <w:shd w:val="clear" w:color="auto" w:fill="C4EFCE"/>
            <w:tcMar>
              <w:left w:w="28" w:type="dxa"/>
              <w:right w:w="28" w:type="dxa"/>
            </w:tcMar>
            <w:vAlign w:val="center"/>
            <w:hideMark/>
          </w:tcPr>
          <w:p w14:paraId="3FE9EF6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4639" w:type="dxa"/>
            <w:shd w:val="clear" w:color="auto" w:fill="C4EFCE"/>
            <w:tcMar>
              <w:left w:w="28" w:type="dxa"/>
              <w:right w:w="28" w:type="dxa"/>
            </w:tcMar>
            <w:vAlign w:val="center"/>
            <w:hideMark/>
          </w:tcPr>
          <w:p w14:paraId="3CA88D81" w14:textId="3F22AF01"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intervencií vrátane urbanizácie pôdy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potreby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dokončenými prácami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zvýšiť fond sociálneho bývania</w:t>
            </w:r>
            <w:r w:rsidR="00A75B3C" w:rsidRPr="003F23AC">
              <w:rPr>
                <w:rFonts w:ascii="Times New Roman" w:hAnsi="Times New Roman" w:cs="Times New Roman"/>
                <w:noProof/>
                <w:lang w:val="sk-SK"/>
              </w:rPr>
              <w:t>.</w:t>
            </w:r>
          </w:p>
          <w:p w14:paraId="3733CD33" w14:textId="579D89A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Ak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novú výstavbu,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p w14:paraId="5953FC29"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Obydlia majú priemernú veľkosť približne 120 metrov štvorcových.</w:t>
            </w:r>
          </w:p>
        </w:tc>
      </w:tr>
      <w:tr w:rsidR="003F23AC" w:rsidRPr="003F23AC" w14:paraId="14A54223" w14:textId="77777777" w:rsidTr="003F23AC">
        <w:trPr>
          <w:trHeight w:val="420"/>
        </w:trPr>
        <w:tc>
          <w:tcPr>
            <w:tcW w:w="1062" w:type="dxa"/>
            <w:shd w:val="clear" w:color="auto" w:fill="C5EFCE"/>
            <w:tcMar>
              <w:left w:w="28" w:type="dxa"/>
              <w:right w:w="28" w:type="dxa"/>
            </w:tcMar>
            <w:vAlign w:val="center"/>
            <w:hideMark/>
          </w:tcPr>
          <w:p w14:paraId="6D1EA4A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2.14</w:t>
            </w:r>
          </w:p>
        </w:tc>
        <w:tc>
          <w:tcPr>
            <w:tcW w:w="1221" w:type="dxa"/>
            <w:shd w:val="clear" w:color="auto" w:fill="C4EFCE"/>
            <w:tcMar>
              <w:left w:w="28" w:type="dxa"/>
              <w:right w:w="28" w:type="dxa"/>
            </w:tcMar>
            <w:vAlign w:val="center"/>
            <w:hideMark/>
          </w:tcPr>
          <w:p w14:paraId="4BA08D6A" w14:textId="0DEA7714"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C02-i04-RAA</w:t>
            </w:r>
          </w:p>
        </w:tc>
        <w:tc>
          <w:tcPr>
            <w:tcW w:w="1010" w:type="dxa"/>
            <w:shd w:val="clear" w:color="auto" w:fill="C4EFCE"/>
            <w:tcMar>
              <w:left w:w="28" w:type="dxa"/>
              <w:right w:w="28" w:type="dxa"/>
            </w:tcMar>
            <w:vAlign w:val="center"/>
            <w:hideMark/>
          </w:tcPr>
          <w:p w14:paraId="695DEC0E" w14:textId="50B51DF7"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hideMark/>
          </w:tcPr>
          <w:p w14:paraId="5335B90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Zásahy do bytového fondu autonómneho regiónu Azory – renovácia </w:t>
            </w:r>
          </w:p>
        </w:tc>
        <w:tc>
          <w:tcPr>
            <w:tcW w:w="1269" w:type="dxa"/>
            <w:shd w:val="clear" w:color="auto" w:fill="C4EFCE"/>
            <w:tcMar>
              <w:left w:w="28" w:type="dxa"/>
              <w:right w:w="28" w:type="dxa"/>
            </w:tcMar>
            <w:vAlign w:val="center"/>
            <w:hideMark/>
          </w:tcPr>
          <w:p w14:paraId="4F089A4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57" w:type="dxa"/>
            <w:shd w:val="clear" w:color="auto" w:fill="C4EFCE"/>
            <w:tcMar>
              <w:left w:w="28" w:type="dxa"/>
              <w:right w:w="28" w:type="dxa"/>
            </w:tcMar>
            <w:vAlign w:val="center"/>
            <w:hideMark/>
          </w:tcPr>
          <w:p w14:paraId="1814B533" w14:textId="318F9BB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hideMark/>
          </w:tcPr>
          <w:p w14:paraId="6D78199A" w14:textId="6D5675F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42" w:type="dxa"/>
            <w:shd w:val="clear" w:color="auto" w:fill="C4EFCE"/>
            <w:tcMar>
              <w:left w:w="28" w:type="dxa"/>
              <w:right w:w="28" w:type="dxa"/>
            </w:tcMar>
            <w:vAlign w:val="center"/>
            <w:hideMark/>
          </w:tcPr>
          <w:p w14:paraId="337B0C0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40</w:t>
            </w:r>
          </w:p>
        </w:tc>
        <w:tc>
          <w:tcPr>
            <w:tcW w:w="666" w:type="dxa"/>
            <w:shd w:val="clear" w:color="auto" w:fill="C4EFCE"/>
            <w:tcMar>
              <w:left w:w="28" w:type="dxa"/>
              <w:right w:w="28" w:type="dxa"/>
            </w:tcMar>
            <w:vAlign w:val="center"/>
            <w:hideMark/>
          </w:tcPr>
          <w:p w14:paraId="12883AF0" w14:textId="3AAC3FE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2" w:type="dxa"/>
            <w:shd w:val="clear" w:color="auto" w:fill="C4EFCE"/>
            <w:tcMar>
              <w:left w:w="28" w:type="dxa"/>
              <w:right w:w="28" w:type="dxa"/>
            </w:tcMar>
            <w:vAlign w:val="center"/>
            <w:hideMark/>
          </w:tcPr>
          <w:p w14:paraId="0F49C1F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4639" w:type="dxa"/>
            <w:shd w:val="clear" w:color="auto" w:fill="C4EFCE"/>
            <w:tcMar>
              <w:left w:w="28" w:type="dxa"/>
              <w:right w:w="28" w:type="dxa"/>
            </w:tcMar>
            <w:vAlign w:val="center"/>
            <w:hideMark/>
          </w:tcPr>
          <w:p w14:paraId="7DB7F19B" w14:textId="596F8B1A"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Investícia zahŕňa renováciu alebo dokončenie budov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bytov merané počtom zásahov</w:t>
            </w:r>
            <w:r w:rsidR="00A75B3C" w:rsidRPr="003F23AC">
              <w:rPr>
                <w:rFonts w:ascii="Times New Roman" w:hAnsi="Times New Roman" w:cs="Times New Roman"/>
                <w:noProof/>
                <w:lang w:val="sk-SK"/>
              </w:rPr>
              <w:t>.</w:t>
            </w:r>
          </w:p>
          <w:p w14:paraId="71608E96" w14:textId="294957B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Intervencie zahŕňajú:</w:t>
            </w:r>
          </w:p>
          <w:p w14:paraId="512054B7"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prestavba nebytových verejných budov na bývanie,</w:t>
            </w:r>
          </w:p>
          <w:p w14:paraId="774B76C2" w14:textId="57BB8D1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Finančná podpora na rekonverziu znehodnotených sociálnych budov (Bairros Sociais)</w:t>
            </w:r>
          </w:p>
          <w:p w14:paraId="2517E49E" w14:textId="69E1FAC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renovácia verejných bytov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 so súčasnými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bývania, najmä</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požiadavkami na energetickú efektívnosť.</w:t>
            </w:r>
          </w:p>
          <w:p w14:paraId="20AA49DB" w14:textId="529DDF2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Obnovami zameranými na energetickú efektívnosť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dosiahne aspoň stredná hĺbková obnova,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p w14:paraId="3FE022D6"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Príslušná obytná jednotka má priemernú veľkosť približne 100 metrov štvorcových.</w:t>
            </w:r>
          </w:p>
        </w:tc>
      </w:tr>
      <w:tr w:rsidR="003F23AC" w:rsidRPr="003F23AC" w14:paraId="0FFD0E64" w14:textId="77777777" w:rsidTr="003F23AC">
        <w:trPr>
          <w:trHeight w:val="2432"/>
        </w:trPr>
        <w:tc>
          <w:tcPr>
            <w:tcW w:w="1062" w:type="dxa"/>
            <w:shd w:val="clear" w:color="auto" w:fill="C5EFCE"/>
            <w:tcMar>
              <w:left w:w="28" w:type="dxa"/>
              <w:right w:w="28" w:type="dxa"/>
            </w:tcMar>
            <w:vAlign w:val="center"/>
            <w:hideMark/>
          </w:tcPr>
          <w:p w14:paraId="5520375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2.16</w:t>
            </w:r>
          </w:p>
        </w:tc>
        <w:tc>
          <w:tcPr>
            <w:tcW w:w="1221" w:type="dxa"/>
            <w:shd w:val="clear" w:color="auto" w:fill="C4EFCE"/>
            <w:tcMar>
              <w:left w:w="28" w:type="dxa"/>
              <w:right w:w="28" w:type="dxa"/>
            </w:tcMar>
            <w:vAlign w:val="center"/>
            <w:hideMark/>
          </w:tcPr>
          <w:p w14:paraId="4FF83330" w14:textId="13FC268B"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C02-i04-RAA</w:t>
            </w:r>
          </w:p>
        </w:tc>
        <w:tc>
          <w:tcPr>
            <w:tcW w:w="1010" w:type="dxa"/>
            <w:shd w:val="clear" w:color="auto" w:fill="C4EFCE"/>
            <w:tcMar>
              <w:left w:w="28" w:type="dxa"/>
              <w:right w:w="28" w:type="dxa"/>
            </w:tcMar>
            <w:vAlign w:val="center"/>
            <w:hideMark/>
          </w:tcPr>
          <w:p w14:paraId="7FD09AD1" w14:textId="1B45F9BB"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hideMark/>
          </w:tcPr>
          <w:p w14:paraId="00D030B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Zásahy do bytového fondu autonómneho regiónu Azory – renovácia </w:t>
            </w:r>
          </w:p>
        </w:tc>
        <w:tc>
          <w:tcPr>
            <w:tcW w:w="1269" w:type="dxa"/>
            <w:shd w:val="clear" w:color="auto" w:fill="C4EFCE"/>
            <w:tcMar>
              <w:left w:w="28" w:type="dxa"/>
              <w:right w:w="28" w:type="dxa"/>
            </w:tcMar>
            <w:vAlign w:val="center"/>
            <w:hideMark/>
          </w:tcPr>
          <w:p w14:paraId="4DE9F92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57" w:type="dxa"/>
            <w:shd w:val="clear" w:color="auto" w:fill="C4EFCE"/>
            <w:tcMar>
              <w:left w:w="28" w:type="dxa"/>
              <w:right w:w="28" w:type="dxa"/>
            </w:tcMar>
            <w:vAlign w:val="center"/>
            <w:hideMark/>
          </w:tcPr>
          <w:p w14:paraId="2408461B" w14:textId="4C0E68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hideMark/>
          </w:tcPr>
          <w:p w14:paraId="6C763F3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40</w:t>
            </w:r>
          </w:p>
        </w:tc>
        <w:tc>
          <w:tcPr>
            <w:tcW w:w="842" w:type="dxa"/>
            <w:shd w:val="clear" w:color="auto" w:fill="C4EFCE"/>
            <w:tcMar>
              <w:left w:w="28" w:type="dxa"/>
              <w:right w:w="28" w:type="dxa"/>
            </w:tcMar>
            <w:vAlign w:val="center"/>
            <w:hideMark/>
          </w:tcPr>
          <w:p w14:paraId="0F631C49" w14:textId="32CD02E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101</w:t>
            </w:r>
          </w:p>
        </w:tc>
        <w:tc>
          <w:tcPr>
            <w:tcW w:w="666" w:type="dxa"/>
            <w:shd w:val="clear" w:color="auto" w:fill="C4EFCE"/>
            <w:tcMar>
              <w:left w:w="28" w:type="dxa"/>
              <w:right w:w="28" w:type="dxa"/>
            </w:tcMar>
            <w:vAlign w:val="center"/>
            <w:hideMark/>
          </w:tcPr>
          <w:p w14:paraId="6840DC22" w14:textId="67A4399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2" w:type="dxa"/>
            <w:shd w:val="clear" w:color="auto" w:fill="C4EFCE"/>
            <w:tcMar>
              <w:left w:w="28" w:type="dxa"/>
              <w:right w:w="28" w:type="dxa"/>
            </w:tcMar>
            <w:vAlign w:val="center"/>
            <w:hideMark/>
          </w:tcPr>
          <w:p w14:paraId="1B49E65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639" w:type="dxa"/>
            <w:shd w:val="clear" w:color="auto" w:fill="C4EFCE"/>
            <w:tcMar>
              <w:left w:w="28" w:type="dxa"/>
              <w:right w:w="28" w:type="dxa"/>
            </w:tcMar>
            <w:vAlign w:val="center"/>
            <w:hideMark/>
          </w:tcPr>
          <w:p w14:paraId="287E26EE" w14:textId="37915BF6"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Investícia zahŕňa renováciu alebo dokončenie budov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bytov, merané počtom zásahov,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dokončenými prácami</w:t>
            </w:r>
            <w:r w:rsidR="00A75B3C" w:rsidRPr="003F23AC">
              <w:rPr>
                <w:rFonts w:ascii="Times New Roman" w:hAnsi="Times New Roman" w:cs="Times New Roman"/>
                <w:noProof/>
                <w:lang w:val="sk-SK"/>
              </w:rPr>
              <w:t>.</w:t>
            </w:r>
          </w:p>
          <w:p w14:paraId="7B68446D" w14:textId="14BCC27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Intervencie môžu zahŕňať:</w:t>
            </w:r>
          </w:p>
          <w:p w14:paraId="310B6BE0"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prestavba nebytových verejných budov na bývanie,</w:t>
            </w:r>
          </w:p>
          <w:p w14:paraId="6929DEBD" w14:textId="605ED48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Finančná podpora na rekonverziu znehodnotených sociálnych budov (Bairros Sociais)</w:t>
            </w:r>
          </w:p>
          <w:p w14:paraId="0652D4D3" w14:textId="365BC07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Renovácia verejných bytov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 so súčasnými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bývania, najmä</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požiadavkami na energetickú efektívnosť.</w:t>
            </w:r>
          </w:p>
          <w:p w14:paraId="32BB662A" w14:textId="05C460F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Obnovy zamerané na energetickú efektívnosť musia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dosiahnuť aspoň strednú hĺbkovú obnovu,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p w14:paraId="5A4B25FC"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Príslušná obytná jednotka má priemernú veľkosť približne 100 metrov štvorcových.</w:t>
            </w:r>
          </w:p>
        </w:tc>
      </w:tr>
      <w:tr w:rsidR="003F23AC" w:rsidRPr="003F23AC" w14:paraId="0FEE8F26" w14:textId="77777777" w:rsidTr="003F23AC">
        <w:trPr>
          <w:trHeight w:val="420"/>
        </w:trPr>
        <w:tc>
          <w:tcPr>
            <w:tcW w:w="1062" w:type="dxa"/>
            <w:shd w:val="clear" w:color="auto" w:fill="C5EFCE"/>
            <w:tcMar>
              <w:left w:w="28" w:type="dxa"/>
              <w:right w:w="28" w:type="dxa"/>
            </w:tcMar>
            <w:vAlign w:val="center"/>
            <w:hideMark/>
          </w:tcPr>
          <w:p w14:paraId="7A1DBDA2"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2.17</w:t>
            </w:r>
          </w:p>
        </w:tc>
        <w:tc>
          <w:tcPr>
            <w:tcW w:w="1221" w:type="dxa"/>
            <w:shd w:val="clear" w:color="auto" w:fill="C4EFCE"/>
            <w:tcMar>
              <w:left w:w="28" w:type="dxa"/>
              <w:right w:w="28" w:type="dxa"/>
            </w:tcMar>
            <w:vAlign w:val="center"/>
            <w:hideMark/>
          </w:tcPr>
          <w:p w14:paraId="6200EF9A" w14:textId="25776BDA"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C02-i04-RAA</w:t>
            </w:r>
          </w:p>
        </w:tc>
        <w:tc>
          <w:tcPr>
            <w:tcW w:w="1010" w:type="dxa"/>
            <w:shd w:val="clear" w:color="auto" w:fill="C4EFCE"/>
            <w:tcMar>
              <w:left w:w="28" w:type="dxa"/>
              <w:right w:w="28" w:type="dxa"/>
            </w:tcMar>
            <w:vAlign w:val="center"/>
            <w:hideMark/>
          </w:tcPr>
          <w:p w14:paraId="58F4DB9C" w14:textId="5F373766"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hideMark/>
          </w:tcPr>
          <w:p w14:paraId="4499C26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Zásahy do bytového fondu autonómneho regiónu Azory – výstavba budov</w:t>
            </w:r>
          </w:p>
        </w:tc>
        <w:tc>
          <w:tcPr>
            <w:tcW w:w="1269" w:type="dxa"/>
            <w:shd w:val="clear" w:color="auto" w:fill="C4EFCE"/>
            <w:tcMar>
              <w:left w:w="28" w:type="dxa"/>
              <w:right w:w="28" w:type="dxa"/>
            </w:tcMar>
            <w:vAlign w:val="center"/>
            <w:hideMark/>
          </w:tcPr>
          <w:p w14:paraId="59C3648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57" w:type="dxa"/>
            <w:shd w:val="clear" w:color="auto" w:fill="C4EFCE"/>
            <w:tcMar>
              <w:left w:w="28" w:type="dxa"/>
              <w:right w:w="28" w:type="dxa"/>
            </w:tcMar>
            <w:vAlign w:val="center"/>
            <w:hideMark/>
          </w:tcPr>
          <w:p w14:paraId="37F5301E" w14:textId="5FCA761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hideMark/>
          </w:tcPr>
          <w:p w14:paraId="5443BFE5" w14:textId="7DF628D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24</w:t>
            </w:r>
          </w:p>
        </w:tc>
        <w:tc>
          <w:tcPr>
            <w:tcW w:w="842" w:type="dxa"/>
            <w:shd w:val="clear" w:color="auto" w:fill="C4EFCE"/>
            <w:tcMar>
              <w:left w:w="28" w:type="dxa"/>
              <w:right w:w="28" w:type="dxa"/>
            </w:tcMar>
            <w:vAlign w:val="center"/>
            <w:hideMark/>
          </w:tcPr>
          <w:p w14:paraId="46259B98" w14:textId="678AC6A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100</w:t>
            </w:r>
          </w:p>
        </w:tc>
        <w:tc>
          <w:tcPr>
            <w:tcW w:w="666" w:type="dxa"/>
            <w:shd w:val="clear" w:color="auto" w:fill="C4EFCE"/>
            <w:tcMar>
              <w:left w:w="28" w:type="dxa"/>
              <w:right w:w="28" w:type="dxa"/>
            </w:tcMar>
            <w:vAlign w:val="center"/>
            <w:hideMark/>
          </w:tcPr>
          <w:p w14:paraId="2BCEE32C" w14:textId="6D77F836"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2" w:type="dxa"/>
            <w:shd w:val="clear" w:color="auto" w:fill="C4EFCE"/>
            <w:tcMar>
              <w:left w:w="28" w:type="dxa"/>
              <w:right w:w="28" w:type="dxa"/>
            </w:tcMar>
            <w:vAlign w:val="center"/>
            <w:hideMark/>
          </w:tcPr>
          <w:p w14:paraId="3AEDD75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639" w:type="dxa"/>
            <w:shd w:val="clear" w:color="auto" w:fill="C4EFCE"/>
            <w:tcMar>
              <w:left w:w="28" w:type="dxa"/>
              <w:right w:w="28" w:type="dxa"/>
            </w:tcMar>
            <w:vAlign w:val="center"/>
            <w:hideMark/>
          </w:tcPr>
          <w:p w14:paraId="71BB7B92" w14:textId="647653CA"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intervencií vrátane urbanizácie pôdy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potreby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dokončenými prácami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zvýšiť fond sociálneho bývania</w:t>
            </w:r>
            <w:r w:rsidR="00A75B3C" w:rsidRPr="003F23AC">
              <w:rPr>
                <w:rFonts w:ascii="Times New Roman" w:hAnsi="Times New Roman" w:cs="Times New Roman"/>
                <w:noProof/>
                <w:lang w:val="sk-SK"/>
              </w:rPr>
              <w:t>.</w:t>
            </w:r>
          </w:p>
          <w:p w14:paraId="35DAC105" w14:textId="10F3FA5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Ak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novú výstavbu,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p w14:paraId="38B842FC" w14:textId="0042F4F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Obydlia majú priemernú veľkosť približne 120 metrov štvorcových.</w:t>
            </w:r>
          </w:p>
        </w:tc>
      </w:tr>
      <w:tr w:rsidR="003F23AC" w:rsidRPr="003F23AC" w14:paraId="25FEA8B5" w14:textId="77777777" w:rsidTr="003F23AC">
        <w:trPr>
          <w:trHeight w:val="831"/>
        </w:trPr>
        <w:tc>
          <w:tcPr>
            <w:tcW w:w="1062" w:type="dxa"/>
            <w:shd w:val="clear" w:color="auto" w:fill="C5EFCE"/>
            <w:tcMar>
              <w:left w:w="28" w:type="dxa"/>
              <w:right w:w="28" w:type="dxa"/>
            </w:tcMar>
            <w:vAlign w:val="center"/>
            <w:hideMark/>
          </w:tcPr>
          <w:p w14:paraId="4DF650DD"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2.18</w:t>
            </w:r>
          </w:p>
        </w:tc>
        <w:tc>
          <w:tcPr>
            <w:tcW w:w="1221" w:type="dxa"/>
            <w:shd w:val="clear" w:color="auto" w:fill="C4EFCE"/>
            <w:tcMar>
              <w:left w:w="28" w:type="dxa"/>
              <w:right w:w="28" w:type="dxa"/>
            </w:tcMar>
            <w:vAlign w:val="center"/>
            <w:hideMark/>
          </w:tcPr>
          <w:p w14:paraId="7D8900A1" w14:textId="2417D5F7"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C02-i04-RAA</w:t>
            </w:r>
          </w:p>
        </w:tc>
        <w:tc>
          <w:tcPr>
            <w:tcW w:w="1010" w:type="dxa"/>
            <w:shd w:val="clear" w:color="auto" w:fill="C4EFCE"/>
            <w:tcMar>
              <w:left w:w="28" w:type="dxa"/>
              <w:right w:w="28" w:type="dxa"/>
            </w:tcMar>
            <w:vAlign w:val="center"/>
            <w:hideMark/>
          </w:tcPr>
          <w:p w14:paraId="0BEA123C" w14:textId="344B3F1E"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hideMark/>
          </w:tcPr>
          <w:p w14:paraId="2DCA311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Zásahy do bytového fondu autonómneho regiónu Azory – renovácia</w:t>
            </w:r>
          </w:p>
        </w:tc>
        <w:tc>
          <w:tcPr>
            <w:tcW w:w="1269" w:type="dxa"/>
            <w:shd w:val="clear" w:color="auto" w:fill="C4EFCE"/>
            <w:tcMar>
              <w:left w:w="28" w:type="dxa"/>
              <w:right w:w="28" w:type="dxa"/>
            </w:tcMar>
            <w:vAlign w:val="center"/>
            <w:hideMark/>
          </w:tcPr>
          <w:p w14:paraId="40C9CFB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57" w:type="dxa"/>
            <w:shd w:val="clear" w:color="auto" w:fill="C4EFCE"/>
            <w:tcMar>
              <w:left w:w="28" w:type="dxa"/>
              <w:right w:w="28" w:type="dxa"/>
            </w:tcMar>
            <w:vAlign w:val="center"/>
            <w:hideMark/>
          </w:tcPr>
          <w:p w14:paraId="193183B5" w14:textId="752160E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hideMark/>
          </w:tcPr>
          <w:p w14:paraId="1B967865" w14:textId="51F3039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101</w:t>
            </w:r>
          </w:p>
        </w:tc>
        <w:tc>
          <w:tcPr>
            <w:tcW w:w="842" w:type="dxa"/>
            <w:shd w:val="clear" w:color="auto" w:fill="C4EFCE"/>
            <w:tcMar>
              <w:left w:w="28" w:type="dxa"/>
              <w:right w:w="28" w:type="dxa"/>
            </w:tcMar>
            <w:vAlign w:val="center"/>
            <w:hideMark/>
          </w:tcPr>
          <w:p w14:paraId="769572A9" w14:textId="49DD8B0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602</w:t>
            </w:r>
          </w:p>
        </w:tc>
        <w:tc>
          <w:tcPr>
            <w:tcW w:w="666" w:type="dxa"/>
            <w:shd w:val="clear" w:color="auto" w:fill="C4EFCE"/>
            <w:tcMar>
              <w:left w:w="28" w:type="dxa"/>
              <w:right w:w="28" w:type="dxa"/>
            </w:tcMar>
            <w:vAlign w:val="center"/>
            <w:hideMark/>
          </w:tcPr>
          <w:p w14:paraId="5E5CB188" w14:textId="1F642A3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2" w:type="dxa"/>
            <w:shd w:val="clear" w:color="auto" w:fill="C4EFCE"/>
            <w:tcMar>
              <w:left w:w="28" w:type="dxa"/>
              <w:right w:w="28" w:type="dxa"/>
            </w:tcMar>
            <w:vAlign w:val="center"/>
            <w:hideMark/>
          </w:tcPr>
          <w:p w14:paraId="25139D3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639" w:type="dxa"/>
            <w:shd w:val="clear" w:color="auto" w:fill="C4EFCE"/>
            <w:tcMar>
              <w:left w:w="28" w:type="dxa"/>
              <w:right w:w="28" w:type="dxa"/>
            </w:tcMar>
            <w:vAlign w:val="center"/>
            <w:hideMark/>
          </w:tcPr>
          <w:p w14:paraId="1DEB5A8E" w14:textId="350DA05F"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Investícia zahŕňa renováciu alebo dokončenie budov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bytov merané počtom zásahov</w:t>
            </w:r>
            <w:r w:rsidR="00A75B3C" w:rsidRPr="003F23AC">
              <w:rPr>
                <w:rFonts w:ascii="Times New Roman" w:hAnsi="Times New Roman" w:cs="Times New Roman"/>
                <w:noProof/>
                <w:lang w:val="sk-SK"/>
              </w:rPr>
              <w:t>.</w:t>
            </w:r>
          </w:p>
          <w:p w14:paraId="5CC5DAB9" w14:textId="408087E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Intervencie môžu zahŕňať:</w:t>
            </w:r>
          </w:p>
          <w:p w14:paraId="2037DAC8"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prestavba nebytových verejných budov na bývanie,</w:t>
            </w:r>
          </w:p>
          <w:p w14:paraId="6663B64D" w14:textId="1E363264"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 sfunkčnenie plánu na podporu prenájmu mladých ľudí (napr. premena miestneho ubytovania – Alojamento Local – na dlhodobý prenájom, rehabilitácia mestských centier)</w:t>
            </w:r>
            <w:r w:rsidR="00A75B3C" w:rsidRPr="003F23AC">
              <w:rPr>
                <w:rFonts w:ascii="Times New Roman" w:hAnsi="Times New Roman" w:cs="Times New Roman"/>
                <w:noProof/>
                <w:lang w:val="sk-SK"/>
              </w:rPr>
              <w:t>.</w:t>
            </w:r>
          </w:p>
          <w:p w14:paraId="4070F306" w14:textId="68FDA9B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Finančná podpora na rekonverziu znehodnotených sociálnych budov (Bairros Sociais)</w:t>
            </w:r>
          </w:p>
          <w:p w14:paraId="482801D9" w14:textId="6906A93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renovácia verejných bytov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 so súčasnými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bývania, najmä</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požiadavkami na energetickú efektívnosť.</w:t>
            </w:r>
          </w:p>
          <w:p w14:paraId="41DBC569" w14:textId="35B0DE7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Obnovy zamerané na energetickú efektívnosť musia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dosiahnuť aspoň strednú hĺbkovú obnovu,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p w14:paraId="27313658"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Dotknuté obydlia majú priemernú veľkosť približne 100 metrov štvorcových.</w:t>
            </w:r>
          </w:p>
        </w:tc>
      </w:tr>
      <w:tr w:rsidR="003F23AC" w:rsidRPr="003F23AC" w14:paraId="347B37FF" w14:textId="77777777" w:rsidTr="003F23AC">
        <w:trPr>
          <w:trHeight w:val="1897"/>
        </w:trPr>
        <w:tc>
          <w:tcPr>
            <w:tcW w:w="1062" w:type="dxa"/>
            <w:shd w:val="clear" w:color="auto" w:fill="C4EFCE"/>
            <w:tcMar>
              <w:left w:w="28" w:type="dxa"/>
              <w:right w:w="28" w:type="dxa"/>
            </w:tcMar>
            <w:vAlign w:val="center"/>
          </w:tcPr>
          <w:p w14:paraId="55D5B2CB"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2.19</w:t>
            </w:r>
          </w:p>
        </w:tc>
        <w:tc>
          <w:tcPr>
            <w:tcW w:w="1221" w:type="dxa"/>
            <w:shd w:val="clear" w:color="auto" w:fill="C4EFCE"/>
            <w:tcMar>
              <w:left w:w="28" w:type="dxa"/>
              <w:right w:w="28" w:type="dxa"/>
            </w:tcMar>
            <w:vAlign w:val="center"/>
          </w:tcPr>
          <w:p w14:paraId="02390AF0" w14:textId="37E673AF"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C02-r04</w:t>
            </w:r>
          </w:p>
        </w:tc>
        <w:tc>
          <w:tcPr>
            <w:tcW w:w="1010" w:type="dxa"/>
            <w:shd w:val="clear" w:color="auto" w:fill="C4EFCE"/>
            <w:tcMar>
              <w:left w:w="28" w:type="dxa"/>
              <w:right w:w="28" w:type="dxa"/>
            </w:tcMar>
            <w:vAlign w:val="center"/>
          </w:tcPr>
          <w:p w14:paraId="61654FF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895" w:type="dxa"/>
            <w:shd w:val="clear" w:color="auto" w:fill="C4EFCE"/>
            <w:tcMar>
              <w:left w:w="28" w:type="dxa"/>
              <w:right w:w="28" w:type="dxa"/>
            </w:tcMar>
            <w:vAlign w:val="center"/>
          </w:tcPr>
          <w:p w14:paraId="06B961BF" w14:textId="11669C98" w:rsidR="00387C70" w:rsidRPr="003F23AC" w:rsidRDefault="000F5AA4" w:rsidP="003F23AC">
            <w:pPr>
              <w:pStyle w:val="P68B1DB1-Normal9"/>
              <w:spacing w:after="0" w:line="240" w:lineRule="auto"/>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Nadobudnutie účinnosti zákonného dekrétu, ktorým sa schvaľuje právny rámec národného naliehavého</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dočasného plánu</w:t>
            </w:r>
            <w:r w:rsidR="00FF0A91" w:rsidRPr="003F23AC">
              <w:rPr>
                <w:rFonts w:ascii="Times New Roman" w:hAnsi="Times New Roman" w:cs="Times New Roman"/>
                <w:noProof/>
                <w:sz w:val="16"/>
                <w:lang w:val="sk-SK"/>
              </w:rPr>
              <w:t xml:space="preserve"> </w:t>
            </w:r>
            <w:r w:rsidRPr="003F23AC">
              <w:rPr>
                <w:rFonts w:ascii="Times New Roman" w:hAnsi="Times New Roman" w:cs="Times New Roman"/>
                <w:noProof/>
                <w:sz w:val="16"/>
                <w:lang w:val="sk-SK"/>
              </w:rPr>
              <w:t>bývania</w:t>
            </w:r>
          </w:p>
        </w:tc>
        <w:tc>
          <w:tcPr>
            <w:tcW w:w="1269" w:type="dxa"/>
            <w:shd w:val="clear" w:color="auto" w:fill="C4EFCE"/>
            <w:tcMar>
              <w:left w:w="28" w:type="dxa"/>
              <w:right w:w="28" w:type="dxa"/>
            </w:tcMar>
            <w:vAlign w:val="center"/>
          </w:tcPr>
          <w:p w14:paraId="10E78A8C"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zákonného dekrétu</w:t>
            </w:r>
          </w:p>
        </w:tc>
        <w:tc>
          <w:tcPr>
            <w:tcW w:w="957" w:type="dxa"/>
            <w:shd w:val="clear" w:color="auto" w:fill="C4EFCE"/>
            <w:tcMar>
              <w:left w:w="28" w:type="dxa"/>
              <w:right w:w="28" w:type="dxa"/>
            </w:tcMar>
            <w:vAlign w:val="center"/>
          </w:tcPr>
          <w:p w14:paraId="1DBACC24" w14:textId="1C8EF36E"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1063" w:type="dxa"/>
            <w:shd w:val="clear" w:color="auto" w:fill="C4EFCE"/>
            <w:tcMar>
              <w:left w:w="28" w:type="dxa"/>
              <w:right w:w="28" w:type="dxa"/>
            </w:tcMar>
            <w:vAlign w:val="center"/>
          </w:tcPr>
          <w:p w14:paraId="22364C29" w14:textId="331D8C51"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42" w:type="dxa"/>
            <w:shd w:val="clear" w:color="auto" w:fill="C4EFCE"/>
            <w:tcMar>
              <w:left w:w="28" w:type="dxa"/>
              <w:right w:w="28" w:type="dxa"/>
            </w:tcMar>
            <w:vAlign w:val="center"/>
          </w:tcPr>
          <w:p w14:paraId="18147486" w14:textId="0F9CD299"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666" w:type="dxa"/>
            <w:shd w:val="clear" w:color="auto" w:fill="C4EFCE"/>
            <w:tcMar>
              <w:left w:w="28" w:type="dxa"/>
              <w:right w:w="28" w:type="dxa"/>
            </w:tcMar>
            <w:vAlign w:val="center"/>
          </w:tcPr>
          <w:p w14:paraId="63C6F1EC" w14:textId="17C2D466" w:rsidR="00387C70" w:rsidRPr="003F23AC" w:rsidRDefault="00FF0A91"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02" w:type="dxa"/>
            <w:shd w:val="clear" w:color="auto" w:fill="C4EFCE"/>
            <w:tcMar>
              <w:left w:w="28" w:type="dxa"/>
              <w:right w:w="28" w:type="dxa"/>
            </w:tcMar>
            <w:vAlign w:val="center"/>
          </w:tcPr>
          <w:p w14:paraId="623BE23E"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4639" w:type="dxa"/>
            <w:shd w:val="clear" w:color="auto" w:fill="C4EFCE"/>
            <w:tcMar>
              <w:left w:w="28" w:type="dxa"/>
              <w:right w:w="28" w:type="dxa"/>
            </w:tcMar>
            <w:vAlign w:val="center"/>
          </w:tcPr>
          <w:p w14:paraId="2E6359DD" w14:textId="2E16FD1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Zákonný dekrét vymedzuje štruktúru plánu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bytového fondu, najmä pokiaľ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oprávnených príjemcov, riešenia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bývania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model financovania. Spolu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právnym rámcom sa vláde predloží národný plán bývania, ktorý bude zahŕňať strategické plánovanie riešení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bývania, ktoré sa majú presadzovať,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potrebnú podporu na tento účel</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závislosti od miestnych potrieb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špecifík</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sociálno-teritoriálnej súdržnosti.</w:t>
            </w:r>
          </w:p>
        </w:tc>
      </w:tr>
      <w:tr w:rsidR="003F23AC" w:rsidRPr="003F23AC" w14:paraId="4A43709F" w14:textId="77777777" w:rsidTr="003F23AC">
        <w:trPr>
          <w:trHeight w:val="982"/>
        </w:trPr>
        <w:tc>
          <w:tcPr>
            <w:tcW w:w="1062" w:type="dxa"/>
            <w:shd w:val="clear" w:color="auto" w:fill="C4EFCE"/>
            <w:tcMar>
              <w:left w:w="28" w:type="dxa"/>
              <w:right w:w="28" w:type="dxa"/>
            </w:tcMar>
            <w:vAlign w:val="center"/>
          </w:tcPr>
          <w:p w14:paraId="4CC0270E" w14:textId="60006A58"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2.30</w:t>
            </w:r>
          </w:p>
        </w:tc>
        <w:tc>
          <w:tcPr>
            <w:tcW w:w="1221" w:type="dxa"/>
            <w:shd w:val="clear" w:color="auto" w:fill="C4EFCE"/>
            <w:tcMar>
              <w:left w:w="28" w:type="dxa"/>
              <w:right w:w="28" w:type="dxa"/>
            </w:tcMar>
            <w:vAlign w:val="center"/>
          </w:tcPr>
          <w:p w14:paraId="02A729EB" w14:textId="18CFA7FE" w:rsidR="00387C70" w:rsidRPr="003F23AC" w:rsidRDefault="00F218FC"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C02-i07-RAA</w:t>
            </w:r>
          </w:p>
        </w:tc>
        <w:tc>
          <w:tcPr>
            <w:tcW w:w="1010" w:type="dxa"/>
            <w:shd w:val="clear" w:color="auto" w:fill="C4EFCE"/>
            <w:tcMar>
              <w:left w:w="28" w:type="dxa"/>
              <w:right w:w="28" w:type="dxa"/>
            </w:tcMar>
            <w:vAlign w:val="center"/>
          </w:tcPr>
          <w:p w14:paraId="61FFCA13" w14:textId="20151F3B"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tcPr>
          <w:p w14:paraId="2CF83377" w14:textId="702263B8" w:rsidR="00387C70" w:rsidRPr="003F23AC" w:rsidRDefault="000F5AA4" w:rsidP="003F23AC">
            <w:pPr>
              <w:pStyle w:val="P68B1DB1-Normal12"/>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Infraštruktúra pozemkov</w:t>
            </w:r>
          </w:p>
        </w:tc>
        <w:tc>
          <w:tcPr>
            <w:tcW w:w="1269" w:type="dxa"/>
            <w:shd w:val="clear" w:color="auto" w:fill="C4EFCE"/>
            <w:tcMar>
              <w:left w:w="28" w:type="dxa"/>
              <w:right w:w="28" w:type="dxa"/>
            </w:tcMar>
            <w:vAlign w:val="center"/>
          </w:tcPr>
          <w:p w14:paraId="48DB30AD" w14:textId="77777777" w:rsidR="00387C70" w:rsidRPr="003F23AC" w:rsidRDefault="00387C70" w:rsidP="003F23AC">
            <w:pPr>
              <w:spacing w:after="0" w:line="240" w:lineRule="auto"/>
              <w:rPr>
                <w:rFonts w:ascii="Times New Roman" w:eastAsia="Times New Roman" w:hAnsi="Times New Roman" w:cs="Times New Roman"/>
                <w:noProof/>
                <w:sz w:val="16"/>
                <w:lang w:val="sk-SK"/>
              </w:rPr>
            </w:pPr>
          </w:p>
        </w:tc>
        <w:tc>
          <w:tcPr>
            <w:tcW w:w="957" w:type="dxa"/>
            <w:shd w:val="clear" w:color="auto" w:fill="C4EFCE"/>
            <w:tcMar>
              <w:left w:w="28" w:type="dxa"/>
              <w:right w:w="28" w:type="dxa"/>
            </w:tcMar>
            <w:vAlign w:val="center"/>
          </w:tcPr>
          <w:p w14:paraId="1BE72B86" w14:textId="72586D9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tcPr>
          <w:p w14:paraId="0E7D82E2" w14:textId="45707140"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42" w:type="dxa"/>
            <w:shd w:val="clear" w:color="auto" w:fill="C4EFCE"/>
            <w:tcMar>
              <w:left w:w="28" w:type="dxa"/>
              <w:right w:w="28" w:type="dxa"/>
            </w:tcMar>
            <w:vAlign w:val="center"/>
          </w:tcPr>
          <w:p w14:paraId="0012CB5B" w14:textId="05B57DC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145</w:t>
            </w:r>
          </w:p>
        </w:tc>
        <w:tc>
          <w:tcPr>
            <w:tcW w:w="666" w:type="dxa"/>
            <w:shd w:val="clear" w:color="auto" w:fill="C4EFCE"/>
            <w:tcMar>
              <w:left w:w="28" w:type="dxa"/>
              <w:right w:w="28" w:type="dxa"/>
            </w:tcMar>
            <w:vAlign w:val="center"/>
          </w:tcPr>
          <w:p w14:paraId="6C101ED3" w14:textId="4A3B0485" w:rsidR="00387C70" w:rsidRPr="003F23AC" w:rsidRDefault="00FF0A91" w:rsidP="003F23AC">
            <w:pPr>
              <w:pStyle w:val="P68B1DB1-Normal12"/>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02" w:type="dxa"/>
            <w:shd w:val="clear" w:color="auto" w:fill="C4EFCE"/>
            <w:tcMar>
              <w:left w:w="28" w:type="dxa"/>
              <w:right w:w="28" w:type="dxa"/>
            </w:tcMar>
            <w:vAlign w:val="center"/>
          </w:tcPr>
          <w:p w14:paraId="417B6A68" w14:textId="1C7AE05F" w:rsidR="00387C70" w:rsidRPr="003F23AC" w:rsidRDefault="000F5AA4" w:rsidP="003F23AC">
            <w:pPr>
              <w:pStyle w:val="P68B1DB1-Normal12"/>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639" w:type="dxa"/>
            <w:shd w:val="clear" w:color="auto" w:fill="C4EFCE"/>
            <w:tcMar>
              <w:left w:w="28" w:type="dxa"/>
              <w:right w:w="28" w:type="dxa"/>
            </w:tcMar>
            <w:vAlign w:val="center"/>
          </w:tcPr>
          <w:p w14:paraId="36ADF2AC" w14:textId="2F20A774"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pozemkov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infraštruktúrami vytvorenými alebo vylepšenými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pridelenými vybraným uchádzačom na základe výberového konania,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ktorom sa vymedzili podmienky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na výber. Mladí ľudia majú prioritu, ako sa uvádza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opise investície.</w:t>
            </w:r>
          </w:p>
        </w:tc>
      </w:tr>
      <w:tr w:rsidR="003F23AC" w:rsidRPr="003F23AC" w14:paraId="01719C1D" w14:textId="77777777" w:rsidTr="003F23AC">
        <w:trPr>
          <w:trHeight w:val="981"/>
        </w:trPr>
        <w:tc>
          <w:tcPr>
            <w:tcW w:w="1062" w:type="dxa"/>
            <w:shd w:val="clear" w:color="auto" w:fill="C4EFCE"/>
            <w:tcMar>
              <w:left w:w="28" w:type="dxa"/>
              <w:right w:w="28" w:type="dxa"/>
            </w:tcMar>
            <w:vAlign w:val="center"/>
          </w:tcPr>
          <w:p w14:paraId="364FFF3B" w14:textId="22B6B22B"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2.31</w:t>
            </w:r>
          </w:p>
        </w:tc>
        <w:tc>
          <w:tcPr>
            <w:tcW w:w="1221" w:type="dxa"/>
            <w:shd w:val="clear" w:color="auto" w:fill="C4EFCE"/>
            <w:tcMar>
              <w:left w:w="28" w:type="dxa"/>
              <w:right w:w="28" w:type="dxa"/>
            </w:tcMar>
            <w:vAlign w:val="center"/>
          </w:tcPr>
          <w:p w14:paraId="35FF57B8" w14:textId="6AB5ECD4"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C02-i08-RAA</w:t>
            </w:r>
          </w:p>
        </w:tc>
        <w:tc>
          <w:tcPr>
            <w:tcW w:w="1010" w:type="dxa"/>
            <w:shd w:val="clear" w:color="auto" w:fill="C4EFCE"/>
            <w:tcMar>
              <w:left w:w="28" w:type="dxa"/>
              <w:right w:w="28" w:type="dxa"/>
            </w:tcMar>
            <w:vAlign w:val="center"/>
          </w:tcPr>
          <w:p w14:paraId="1FD50D28" w14:textId="12F93BA4" w:rsidR="00387C70" w:rsidRPr="003F23AC" w:rsidRDefault="00C32C63"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1895" w:type="dxa"/>
            <w:shd w:val="clear" w:color="auto" w:fill="C4EFCE"/>
            <w:tcMar>
              <w:left w:w="28" w:type="dxa"/>
              <w:right w:w="28" w:type="dxa"/>
            </w:tcMar>
            <w:vAlign w:val="center"/>
          </w:tcPr>
          <w:p w14:paraId="4B666CCE" w14:textId="478A7D51" w:rsidR="00387C70" w:rsidRPr="003F23AC" w:rsidRDefault="000F5AA4" w:rsidP="003F23AC">
            <w:pPr>
              <w:pStyle w:val="P68B1DB1-Normal12"/>
              <w:spacing w:after="0" w:line="240" w:lineRule="auto"/>
              <w:rPr>
                <w:rFonts w:ascii="Times New Roman" w:hAnsi="Times New Roman" w:cs="Times New Roman"/>
                <w:noProof/>
                <w:lang w:val="sk-SK"/>
              </w:rPr>
            </w:pPr>
            <w:r w:rsidRPr="003F23AC">
              <w:rPr>
                <w:rFonts w:ascii="Times New Roman" w:hAnsi="Times New Roman" w:cs="Times New Roman"/>
                <w:noProof/>
                <w:lang w:val="sk-SK"/>
              </w:rPr>
              <w:t>Posilnenie fondu sociálneho bývania autonómneho regiónu Azory – postavené obydlia</w:t>
            </w:r>
          </w:p>
        </w:tc>
        <w:tc>
          <w:tcPr>
            <w:tcW w:w="1269" w:type="dxa"/>
            <w:shd w:val="clear" w:color="auto" w:fill="C4EFCE"/>
            <w:tcMar>
              <w:left w:w="28" w:type="dxa"/>
              <w:right w:w="28" w:type="dxa"/>
            </w:tcMar>
            <w:vAlign w:val="center"/>
          </w:tcPr>
          <w:p w14:paraId="3368FA4C" w14:textId="77777777" w:rsidR="00387C70" w:rsidRPr="003F23AC" w:rsidRDefault="00387C70" w:rsidP="003F23AC">
            <w:pPr>
              <w:spacing w:after="0" w:line="240" w:lineRule="auto"/>
              <w:rPr>
                <w:rFonts w:ascii="Times New Roman" w:eastAsia="Times New Roman" w:hAnsi="Times New Roman" w:cs="Times New Roman"/>
                <w:noProof/>
                <w:sz w:val="16"/>
                <w:lang w:val="sk-SK"/>
              </w:rPr>
            </w:pPr>
          </w:p>
        </w:tc>
        <w:tc>
          <w:tcPr>
            <w:tcW w:w="957" w:type="dxa"/>
            <w:shd w:val="clear" w:color="auto" w:fill="C4EFCE"/>
            <w:tcMar>
              <w:left w:w="28" w:type="dxa"/>
              <w:right w:w="28" w:type="dxa"/>
            </w:tcMar>
            <w:vAlign w:val="center"/>
          </w:tcPr>
          <w:p w14:paraId="5D56F8D2" w14:textId="26F656FB"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Počet</w:t>
            </w:r>
          </w:p>
        </w:tc>
        <w:tc>
          <w:tcPr>
            <w:tcW w:w="1063" w:type="dxa"/>
            <w:shd w:val="clear" w:color="auto" w:fill="C4EFCE"/>
            <w:tcMar>
              <w:left w:w="28" w:type="dxa"/>
              <w:right w:w="28" w:type="dxa"/>
            </w:tcMar>
            <w:vAlign w:val="center"/>
          </w:tcPr>
          <w:p w14:paraId="6C946781" w14:textId="5373AAC2"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0</w:t>
            </w:r>
          </w:p>
        </w:tc>
        <w:tc>
          <w:tcPr>
            <w:tcW w:w="842" w:type="dxa"/>
            <w:shd w:val="clear" w:color="auto" w:fill="C4EFCE"/>
            <w:tcMar>
              <w:left w:w="28" w:type="dxa"/>
              <w:right w:w="28" w:type="dxa"/>
            </w:tcMar>
            <w:vAlign w:val="center"/>
          </w:tcPr>
          <w:p w14:paraId="1453AA31" w14:textId="176AAA92"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126</w:t>
            </w:r>
          </w:p>
        </w:tc>
        <w:tc>
          <w:tcPr>
            <w:tcW w:w="666" w:type="dxa"/>
            <w:shd w:val="clear" w:color="auto" w:fill="C4EFCE"/>
            <w:tcMar>
              <w:left w:w="28" w:type="dxa"/>
              <w:right w:w="28" w:type="dxa"/>
            </w:tcMar>
            <w:vAlign w:val="center"/>
          </w:tcPr>
          <w:p w14:paraId="68B4C3AF" w14:textId="13E0AFEA" w:rsidR="00387C70" w:rsidRPr="003F23AC" w:rsidRDefault="00FF0A91" w:rsidP="003F23AC">
            <w:pPr>
              <w:pStyle w:val="P68B1DB1-Normal12"/>
              <w:spacing w:after="0" w:line="240" w:lineRule="auto"/>
              <w:rPr>
                <w:rFonts w:ascii="Times New Roman" w:hAnsi="Times New Roman" w:cs="Times New Roman"/>
                <w:noProof/>
                <w:lang w:val="sk-SK"/>
              </w:rPr>
            </w:pPr>
            <w:r w:rsidRPr="003F23AC">
              <w:rPr>
                <w:rFonts w:ascii="Times New Roman" w:hAnsi="Times New Roman" w:cs="Times New Roman"/>
                <w:noProof/>
                <w:lang w:val="sk-SK"/>
              </w:rPr>
              <w:t>4. štvrťrok</w:t>
            </w:r>
          </w:p>
        </w:tc>
        <w:tc>
          <w:tcPr>
            <w:tcW w:w="402" w:type="dxa"/>
            <w:shd w:val="clear" w:color="auto" w:fill="C4EFCE"/>
            <w:tcMar>
              <w:left w:w="28" w:type="dxa"/>
              <w:right w:w="28" w:type="dxa"/>
            </w:tcMar>
            <w:vAlign w:val="center"/>
          </w:tcPr>
          <w:p w14:paraId="79C3FF04" w14:textId="14F788F1" w:rsidR="00387C70" w:rsidRPr="003F23AC" w:rsidRDefault="000F5AA4" w:rsidP="003F23AC">
            <w:pPr>
              <w:pStyle w:val="P68B1DB1-Normal12"/>
              <w:spacing w:after="0" w:line="240" w:lineRule="auto"/>
              <w:rPr>
                <w:rFonts w:ascii="Times New Roman" w:hAnsi="Times New Roman" w:cs="Times New Roman"/>
                <w:noProof/>
                <w:lang w:val="sk-SK"/>
              </w:rPr>
            </w:pPr>
            <w:r w:rsidRPr="003F23AC">
              <w:rPr>
                <w:rFonts w:ascii="Times New Roman" w:hAnsi="Times New Roman" w:cs="Times New Roman"/>
                <w:noProof/>
                <w:lang w:val="sk-SK"/>
              </w:rPr>
              <w:t>2025</w:t>
            </w:r>
          </w:p>
        </w:tc>
        <w:tc>
          <w:tcPr>
            <w:tcW w:w="4639" w:type="dxa"/>
            <w:shd w:val="clear" w:color="auto" w:fill="C4EFCE"/>
            <w:tcMar>
              <w:left w:w="28" w:type="dxa"/>
              <w:right w:w="28" w:type="dxa"/>
            </w:tcMar>
            <w:vAlign w:val="center"/>
          </w:tcPr>
          <w:p w14:paraId="6F1B329D" w14:textId="4DC96D48" w:rsidR="00387C70"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dokončených postavených obydlí.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takmer nulovou spotrebou energie. Priemerná veľkosť obydlí je približne 101 metrov štvorcových. </w:t>
            </w:r>
          </w:p>
        </w:tc>
      </w:tr>
    </w:tbl>
    <w:p w14:paraId="4EA37B94" w14:textId="77777777" w:rsidR="00387C70" w:rsidRPr="003F23AC" w:rsidRDefault="00387C70" w:rsidP="003F23AC">
      <w:pPr>
        <w:spacing w:before="40" w:after="0" w:line="259" w:lineRule="auto"/>
        <w:jc w:val="both"/>
        <w:rPr>
          <w:rFonts w:ascii="Times New Roman" w:eastAsiaTheme="minorEastAsia" w:hAnsi="Times New Roman" w:cs="Times New Roman"/>
          <w:b/>
          <w:noProof/>
          <w:sz w:val="24"/>
          <w:lang w:val="sk-SK"/>
        </w:rPr>
      </w:pPr>
    </w:p>
    <w:p w14:paraId="5E20B4D8" w14:textId="77777777" w:rsidR="00387C70" w:rsidRPr="003F23AC" w:rsidRDefault="00387C70" w:rsidP="003F23AC">
      <w:pPr>
        <w:spacing w:before="40" w:after="0" w:line="259" w:lineRule="auto"/>
        <w:jc w:val="both"/>
        <w:rPr>
          <w:rFonts w:ascii="Times New Roman" w:eastAsiaTheme="minorEastAsia" w:hAnsi="Times New Roman" w:cs="Times New Roman"/>
          <w:b/>
          <w:noProof/>
          <w:sz w:val="24"/>
          <w:lang w:val="sk-SK"/>
        </w:rPr>
      </w:pPr>
    </w:p>
    <w:p w14:paraId="097E5357" w14:textId="77777777" w:rsidR="00387C70" w:rsidRPr="003F23AC" w:rsidRDefault="00387C70" w:rsidP="003F23AC">
      <w:pPr>
        <w:spacing w:before="40" w:after="0" w:line="259" w:lineRule="auto"/>
        <w:jc w:val="both"/>
        <w:rPr>
          <w:rFonts w:ascii="Times New Roman" w:eastAsiaTheme="minorEastAsia" w:hAnsi="Times New Roman" w:cs="Times New Roman"/>
          <w:b/>
          <w:noProof/>
          <w:sz w:val="24"/>
          <w:lang w:val="sk-SK"/>
        </w:rPr>
      </w:pPr>
    </w:p>
    <w:p w14:paraId="4E113063" w14:textId="77777777" w:rsidR="00387C70" w:rsidRPr="003F23AC" w:rsidRDefault="00387C70" w:rsidP="003F23AC">
      <w:pPr>
        <w:spacing w:before="40" w:after="0" w:line="259" w:lineRule="auto"/>
        <w:jc w:val="both"/>
        <w:rPr>
          <w:rFonts w:ascii="Times New Roman" w:eastAsiaTheme="minorEastAsia" w:hAnsi="Times New Roman" w:cs="Times New Roman"/>
          <w:b/>
          <w:noProof/>
          <w:sz w:val="24"/>
          <w:lang w:val="sk-SK"/>
        </w:rPr>
        <w:sectPr w:rsidR="00387C70" w:rsidRPr="003F23AC" w:rsidSect="00E00EDD">
          <w:headerReference w:type="even" r:id="rId54"/>
          <w:headerReference w:type="default" r:id="rId55"/>
          <w:footerReference w:type="even" r:id="rId56"/>
          <w:footerReference w:type="default" r:id="rId57"/>
          <w:headerReference w:type="first" r:id="rId58"/>
          <w:footerReference w:type="first" r:id="rId59"/>
          <w:pgSz w:w="16839" w:h="11907" w:orient="landscape"/>
          <w:pgMar w:top="1134" w:right="1134" w:bottom="1134" w:left="1134" w:header="567" w:footer="567" w:gutter="0"/>
          <w:cols w:space="720"/>
          <w:docGrid w:linePitch="360"/>
        </w:sectPr>
      </w:pPr>
    </w:p>
    <w:p w14:paraId="047A1851"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5B038070" w14:textId="282DDE94"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B.3.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úverového financovania</w:t>
      </w:r>
    </w:p>
    <w:p w14:paraId="30633E8D" w14:textId="77777777" w:rsidR="00387C70" w:rsidRPr="003F23AC" w:rsidRDefault="000F5AA4" w:rsidP="003F23AC">
      <w:pPr>
        <w:pStyle w:val="P68B1DB1-Normal5"/>
        <w:spacing w:before="240" w:after="0" w:line="259" w:lineRule="auto"/>
        <w:ind w:left="851"/>
        <w:jc w:val="both"/>
        <w:outlineLvl w:val="3"/>
        <w:rPr>
          <w:rFonts w:eastAsiaTheme="minorEastAsia" w:cs="Times New Roman"/>
          <w:b/>
          <w:noProof/>
          <w:lang w:val="sk-SK"/>
        </w:rPr>
      </w:pPr>
      <w:r w:rsidRPr="003F23AC">
        <w:rPr>
          <w:rFonts w:cs="Times New Roman"/>
          <w:noProof/>
          <w:lang w:val="sk-SK"/>
        </w:rPr>
        <w:t>Investície RE-C02-i05: Fond cenovo dostupného verejného bývania</w:t>
      </w:r>
    </w:p>
    <w:p w14:paraId="52332A07" w14:textId="1A9D75B8"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investície je reagovať na súčasnú dynamiku cien obytných nehnuteľností</w:t>
      </w:r>
      <w:r w:rsidR="00A75B3C" w:rsidRPr="003F23AC">
        <w:rPr>
          <w:rFonts w:cs="Times New Roman"/>
          <w:noProof/>
          <w:lang w:val="sk-SK"/>
        </w:rPr>
        <w:t xml:space="preserve"> v </w:t>
      </w:r>
      <w:r w:rsidRPr="003F23AC">
        <w:rPr>
          <w:rFonts w:cs="Times New Roman"/>
          <w:noProof/>
          <w:lang w:val="sk-SK"/>
        </w:rPr>
        <w:t>porovnaní</w:t>
      </w:r>
      <w:r w:rsidR="00A75B3C" w:rsidRPr="003F23AC">
        <w:rPr>
          <w:rFonts w:cs="Times New Roman"/>
          <w:noProof/>
          <w:lang w:val="sk-SK"/>
        </w:rPr>
        <w:t xml:space="preserve"> s </w:t>
      </w:r>
      <w:r w:rsidRPr="003F23AC">
        <w:rPr>
          <w:rFonts w:cs="Times New Roman"/>
          <w:noProof/>
          <w:lang w:val="sk-SK"/>
        </w:rPr>
        <w:t>úrovňou príjmov portugalských domácností, najmä vo veľkých mestských oblastiach, poskytnutím verejného fondu domov, ktoré môžu byť prenajaté za dostupné ceny pre konkrétne cieľové skupiny</w:t>
      </w:r>
      <w:r w:rsidR="00A75B3C" w:rsidRPr="003F23AC">
        <w:rPr>
          <w:rFonts w:cs="Times New Roman"/>
          <w:noProof/>
          <w:lang w:val="sk-SK"/>
        </w:rPr>
        <w:t>.</w:t>
      </w:r>
    </w:p>
    <w:p w14:paraId="2565EA2E" w14:textId="3EA4F71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výstavby nových budov vrátane ich nadobudnutia</w:t>
      </w:r>
      <w:r w:rsidR="00A75B3C" w:rsidRPr="003F23AC">
        <w:rPr>
          <w:rFonts w:cs="Times New Roman"/>
          <w:noProof/>
          <w:lang w:val="sk-SK"/>
        </w:rPr>
        <w:t xml:space="preserve"> a </w:t>
      </w:r>
      <w:r w:rsidRPr="003F23AC">
        <w:rPr>
          <w:rFonts w:cs="Times New Roman"/>
          <w:noProof/>
          <w:lang w:val="sk-SK"/>
        </w:rPr>
        <w:t>obnovy verejných obydlí</w:t>
      </w:r>
      <w:r w:rsidR="00A75B3C" w:rsidRPr="003F23AC">
        <w:rPr>
          <w:rFonts w:cs="Times New Roman"/>
          <w:noProof/>
          <w:lang w:val="sk-SK"/>
        </w:rPr>
        <w:t xml:space="preserve"> s </w:t>
      </w:r>
      <w:r w:rsidRPr="003F23AC">
        <w:rPr>
          <w:rFonts w:cs="Times New Roman"/>
          <w:noProof/>
          <w:lang w:val="sk-SK"/>
        </w:rPr>
        <w:t>cieľom poskytnúť 6800 ubytovacích zariadení</w:t>
      </w:r>
      <w:r w:rsidR="00A75B3C" w:rsidRPr="003F23AC">
        <w:rPr>
          <w:rFonts w:cs="Times New Roman"/>
          <w:noProof/>
          <w:lang w:val="sk-SK"/>
        </w:rPr>
        <w:t xml:space="preserve"> a </w:t>
      </w:r>
      <w:r w:rsidRPr="003F23AC">
        <w:rPr>
          <w:rFonts w:cs="Times New Roman"/>
          <w:noProof/>
          <w:lang w:val="sk-SK"/>
        </w:rPr>
        <w:t>následného prenájmu za dostupné ceny pre určené cieľové skupiny</w:t>
      </w:r>
      <w:r w:rsidR="00A75B3C" w:rsidRPr="003F23AC">
        <w:rPr>
          <w:rFonts w:cs="Times New Roman"/>
          <w:noProof/>
          <w:lang w:val="sk-SK"/>
        </w:rPr>
        <w:t>.</w:t>
      </w:r>
    </w:p>
    <w:p w14:paraId="55D88C12" w14:textId="0CA3FFF0"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6F8273EA" w14:textId="7777777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RE-C02-i06: Ubytovanie pre študentov za dostupné ceny</w:t>
      </w:r>
    </w:p>
    <w:p w14:paraId="0ECA6419" w14:textId="4F3DCEC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zvýšiť vnútroštátnu ponuku cenovo dostupného ubytovania pre študentov, keďže toto zostáva jednou</w:t>
      </w:r>
      <w:r w:rsidR="00A75B3C" w:rsidRPr="003F23AC">
        <w:rPr>
          <w:rFonts w:cs="Times New Roman"/>
          <w:noProof/>
          <w:lang w:val="sk-SK"/>
        </w:rPr>
        <w:t xml:space="preserve"> z </w:t>
      </w:r>
      <w:r w:rsidRPr="003F23AC">
        <w:rPr>
          <w:rFonts w:cs="Times New Roman"/>
          <w:noProof/>
          <w:lang w:val="sk-SK"/>
        </w:rPr>
        <w:t>najväčších prekážok prístupu</w:t>
      </w:r>
      <w:r w:rsidR="00A75B3C" w:rsidRPr="003F23AC">
        <w:rPr>
          <w:rFonts w:cs="Times New Roman"/>
          <w:noProof/>
          <w:lang w:val="sk-SK"/>
        </w:rPr>
        <w:t xml:space="preserve"> k </w:t>
      </w:r>
      <w:r w:rsidRPr="003F23AC">
        <w:rPr>
          <w:rFonts w:cs="Times New Roman"/>
          <w:noProof/>
          <w:lang w:val="sk-SK"/>
        </w:rPr>
        <w:t>terciárnemu vzdelávaniu. Tieto ubytovacie zariadenia pomôžu znížiť priame náklady študentov</w:t>
      </w:r>
      <w:r w:rsidR="00A75B3C" w:rsidRPr="003F23AC">
        <w:rPr>
          <w:rFonts w:cs="Times New Roman"/>
          <w:noProof/>
          <w:lang w:val="sk-SK"/>
        </w:rPr>
        <w:t xml:space="preserve"> a </w:t>
      </w:r>
      <w:r w:rsidRPr="003F23AC">
        <w:rPr>
          <w:rFonts w:cs="Times New Roman"/>
          <w:noProof/>
          <w:lang w:val="sk-SK"/>
        </w:rPr>
        <w:t>ich rodín</w:t>
      </w:r>
      <w:r w:rsidR="00A75B3C" w:rsidRPr="003F23AC">
        <w:rPr>
          <w:rFonts w:cs="Times New Roman"/>
          <w:noProof/>
          <w:lang w:val="sk-SK"/>
        </w:rPr>
        <w:t xml:space="preserve"> s </w:t>
      </w:r>
      <w:r w:rsidRPr="003F23AC">
        <w:rPr>
          <w:rFonts w:cs="Times New Roman"/>
          <w:noProof/>
          <w:lang w:val="sk-SK"/>
        </w:rPr>
        <w:t>osobitným zameraním na sociálne</w:t>
      </w:r>
      <w:r w:rsidR="00A75B3C" w:rsidRPr="003F23AC">
        <w:rPr>
          <w:rFonts w:cs="Times New Roman"/>
          <w:noProof/>
          <w:lang w:val="sk-SK"/>
        </w:rPr>
        <w:t xml:space="preserve"> a </w:t>
      </w:r>
      <w:r w:rsidRPr="003F23AC">
        <w:rPr>
          <w:rFonts w:cs="Times New Roman"/>
          <w:noProof/>
          <w:lang w:val="sk-SK"/>
        </w:rPr>
        <w:t>ekonomicky najzraniteľnejších študentov. Existujúca ponuka podporuje len malý podiel (približne 10</w:t>
      </w:r>
      <w:r w:rsidR="00A75B3C" w:rsidRPr="003F23AC">
        <w:rPr>
          <w:rFonts w:cs="Times New Roman"/>
          <w:noProof/>
          <w:lang w:val="sk-SK"/>
        </w:rPr>
        <w:t> %</w:t>
      </w:r>
      <w:r w:rsidRPr="003F23AC">
        <w:rPr>
          <w:rFonts w:cs="Times New Roman"/>
          <w:noProof/>
          <w:lang w:val="sk-SK"/>
        </w:rPr>
        <w:t>) študentov, ktorí potrebujú ubytovanie, vzhľadom na výrazné zvýšenie nákladov na bývanie, najmä</w:t>
      </w:r>
      <w:r w:rsidR="00A75B3C" w:rsidRPr="003F23AC">
        <w:rPr>
          <w:rFonts w:cs="Times New Roman"/>
          <w:noProof/>
          <w:lang w:val="sk-SK"/>
        </w:rPr>
        <w:t xml:space="preserve"> v </w:t>
      </w:r>
      <w:r w:rsidRPr="003F23AC">
        <w:rPr>
          <w:rFonts w:cs="Times New Roman"/>
          <w:noProof/>
          <w:lang w:val="sk-SK"/>
        </w:rPr>
        <w:t>najväčších mestských centrách, kde sa koncentrujú inštitúcie vysokoškolského vzdelávania</w:t>
      </w:r>
      <w:r w:rsidR="00A75B3C" w:rsidRPr="003F23AC">
        <w:rPr>
          <w:rFonts w:cs="Times New Roman"/>
          <w:noProof/>
          <w:lang w:val="sk-SK"/>
        </w:rPr>
        <w:t>.</w:t>
      </w:r>
    </w:p>
    <w:p w14:paraId="4602D132" w14:textId="5EBCB0F9"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poskytnutia 18000 nových</w:t>
      </w:r>
      <w:r w:rsidR="00A75B3C" w:rsidRPr="003F23AC">
        <w:rPr>
          <w:rFonts w:cs="Times New Roman"/>
          <w:noProof/>
          <w:lang w:val="sk-SK"/>
        </w:rPr>
        <w:t xml:space="preserve"> a </w:t>
      </w:r>
      <w:r w:rsidRPr="003F23AC">
        <w:rPr>
          <w:rFonts w:cs="Times New Roman"/>
          <w:noProof/>
          <w:lang w:val="sk-SK"/>
        </w:rPr>
        <w:t>obnovených lôžok prostredníctvom výstavby nových budov, obnovy existujúcich budov</w:t>
      </w:r>
      <w:r w:rsidR="00A75B3C" w:rsidRPr="003F23AC">
        <w:rPr>
          <w:rFonts w:cs="Times New Roman"/>
          <w:noProof/>
          <w:lang w:val="sk-SK"/>
        </w:rPr>
        <w:t xml:space="preserve"> a </w:t>
      </w:r>
      <w:r w:rsidRPr="003F23AC">
        <w:rPr>
          <w:rFonts w:cs="Times New Roman"/>
          <w:noProof/>
          <w:lang w:val="sk-SK"/>
        </w:rPr>
        <w:t>modernizácie</w:t>
      </w:r>
      <w:r w:rsidR="00A75B3C" w:rsidRPr="003F23AC">
        <w:rPr>
          <w:rFonts w:cs="Times New Roman"/>
          <w:noProof/>
          <w:lang w:val="sk-SK"/>
        </w:rPr>
        <w:t xml:space="preserve"> a </w:t>
      </w:r>
      <w:r w:rsidRPr="003F23AC">
        <w:rPr>
          <w:rFonts w:cs="Times New Roman"/>
          <w:noProof/>
          <w:lang w:val="sk-SK"/>
        </w:rPr>
        <w:t>rozšírenia existujúcich ubytovacích jednotiek pre študentov na prioritné využitie študentmi. Okrem toho až po splnení potrieb študentov sa lôžka môžu sprístupniť aj výskumným pracovníkom, učiteľom</w:t>
      </w:r>
      <w:r w:rsidR="00A75B3C" w:rsidRPr="003F23AC">
        <w:rPr>
          <w:rFonts w:cs="Times New Roman"/>
          <w:noProof/>
          <w:lang w:val="sk-SK"/>
        </w:rPr>
        <w:t xml:space="preserve"> a </w:t>
      </w:r>
      <w:r w:rsidRPr="003F23AC">
        <w:rPr>
          <w:rFonts w:cs="Times New Roman"/>
          <w:noProof/>
          <w:lang w:val="sk-SK"/>
        </w:rPr>
        <w:t>nepedagogickým pracovníkom inštitúcií vysokoškolského vzdelávania, najmä</w:t>
      </w:r>
      <w:r w:rsidR="00A75B3C" w:rsidRPr="003F23AC">
        <w:rPr>
          <w:rFonts w:cs="Times New Roman"/>
          <w:noProof/>
          <w:lang w:val="sk-SK"/>
        </w:rPr>
        <w:t xml:space="preserve"> v </w:t>
      </w:r>
      <w:r w:rsidRPr="003F23AC">
        <w:rPr>
          <w:rFonts w:cs="Times New Roman"/>
          <w:noProof/>
          <w:lang w:val="sk-SK"/>
        </w:rPr>
        <w:t>rámci vnútroštátnej alebo medzinárodnej mobility,</w:t>
      </w:r>
      <w:r w:rsidR="00A75B3C" w:rsidRPr="003F23AC">
        <w:rPr>
          <w:rFonts w:cs="Times New Roman"/>
          <w:noProof/>
          <w:lang w:val="sk-SK"/>
        </w:rPr>
        <w:t xml:space="preserve"> a </w:t>
      </w:r>
      <w:r w:rsidRPr="003F23AC">
        <w:rPr>
          <w:rFonts w:cs="Times New Roman"/>
          <w:noProof/>
          <w:lang w:val="sk-SK"/>
        </w:rPr>
        <w:t>to aj</w:t>
      </w:r>
      <w:r w:rsidR="00A75B3C" w:rsidRPr="003F23AC">
        <w:rPr>
          <w:rFonts w:cs="Times New Roman"/>
          <w:noProof/>
          <w:lang w:val="sk-SK"/>
        </w:rPr>
        <w:t xml:space="preserve"> v </w:t>
      </w:r>
      <w:r w:rsidRPr="003F23AC">
        <w:rPr>
          <w:rFonts w:cs="Times New Roman"/>
          <w:noProof/>
          <w:lang w:val="sk-SK"/>
        </w:rPr>
        <w:t>rámci programu ERASMUS+, sietí „európskych univerzít“</w:t>
      </w:r>
      <w:r w:rsidR="00A75B3C" w:rsidRPr="003F23AC">
        <w:rPr>
          <w:rFonts w:cs="Times New Roman"/>
          <w:noProof/>
          <w:lang w:val="sk-SK"/>
        </w:rPr>
        <w:t xml:space="preserve"> a </w:t>
      </w:r>
      <w:r w:rsidRPr="003F23AC">
        <w:rPr>
          <w:rFonts w:cs="Times New Roman"/>
          <w:noProof/>
          <w:lang w:val="sk-SK"/>
        </w:rPr>
        <w:t>iných medzinárodných dohôd</w:t>
      </w:r>
      <w:r w:rsidR="00A75B3C" w:rsidRPr="003F23AC">
        <w:rPr>
          <w:rFonts w:cs="Times New Roman"/>
          <w:noProof/>
          <w:lang w:val="sk-SK"/>
        </w:rPr>
        <w:t xml:space="preserve"> o </w:t>
      </w:r>
      <w:r w:rsidRPr="003F23AC">
        <w:rPr>
          <w:rFonts w:cs="Times New Roman"/>
          <w:noProof/>
          <w:lang w:val="sk-SK"/>
        </w:rPr>
        <w:t>mobilite</w:t>
      </w:r>
      <w:r w:rsidR="00A75B3C" w:rsidRPr="003F23AC">
        <w:rPr>
          <w:rFonts w:cs="Times New Roman"/>
          <w:noProof/>
          <w:lang w:val="sk-SK"/>
        </w:rPr>
        <w:t xml:space="preserve"> s </w:t>
      </w:r>
      <w:r w:rsidRPr="003F23AC">
        <w:rPr>
          <w:rFonts w:cs="Times New Roman"/>
          <w:noProof/>
          <w:lang w:val="sk-SK"/>
        </w:rPr>
        <w:t>portugalským štátom.</w:t>
      </w:r>
    </w:p>
    <w:p w14:paraId="07597B64" w14:textId="62209D7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marca</w:t>
      </w:r>
      <w:r w:rsidRPr="003F23AC">
        <w:rPr>
          <w:rFonts w:cs="Times New Roman"/>
          <w:noProof/>
          <w:lang w:val="sk-SK"/>
        </w:rPr>
        <w:t xml:space="preserve"> 2026</w:t>
      </w:r>
      <w:r w:rsidR="00A75B3C" w:rsidRPr="003F23AC">
        <w:rPr>
          <w:rFonts w:cs="Times New Roman"/>
          <w:noProof/>
          <w:lang w:val="sk-SK"/>
        </w:rPr>
        <w:t>.</w:t>
      </w:r>
    </w:p>
    <w:p w14:paraId="1558FB4C" w14:textId="7020BF5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bookmarkStart w:id="4" w:name="_Hlk143873116"/>
      <w:r w:rsidRPr="003F23AC">
        <w:rPr>
          <w:rFonts w:cs="Times New Roman"/>
          <w:noProof/>
          <w:lang w:val="sk-SK"/>
        </w:rPr>
        <w:t>Investície RE-C02-i09: Rozšírené opatrenie: Podporný program pre prístup</w:t>
      </w:r>
      <w:r w:rsidR="00A75B3C" w:rsidRPr="003F23AC">
        <w:rPr>
          <w:rFonts w:cs="Times New Roman"/>
          <w:noProof/>
          <w:lang w:val="sk-SK"/>
        </w:rPr>
        <w:t xml:space="preserve"> k </w:t>
      </w:r>
      <w:r w:rsidRPr="003F23AC">
        <w:rPr>
          <w:rFonts w:cs="Times New Roman"/>
          <w:noProof/>
          <w:lang w:val="sk-SK"/>
        </w:rPr>
        <w:t>bývaniu (úver)</w:t>
      </w:r>
    </w:p>
    <w:p w14:paraId="11AD560D" w14:textId="262D6F0F"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investície je rozšíriť investície RE-C02-i01: Podporný program pre prístup</w:t>
      </w:r>
      <w:r w:rsidR="00A75B3C" w:rsidRPr="003F23AC">
        <w:rPr>
          <w:rFonts w:cs="Times New Roman"/>
          <w:noProof/>
          <w:lang w:val="sk-SK"/>
        </w:rPr>
        <w:t xml:space="preserve"> k </w:t>
      </w:r>
      <w:r w:rsidRPr="003F23AC">
        <w:rPr>
          <w:rFonts w:cs="Times New Roman"/>
          <w:noProof/>
          <w:lang w:val="sk-SK"/>
        </w:rPr>
        <w:t>bývaniu</w:t>
      </w:r>
      <w:r w:rsidR="00A75B3C" w:rsidRPr="003F23AC">
        <w:rPr>
          <w:rFonts w:cs="Times New Roman"/>
          <w:noProof/>
          <w:lang w:val="sk-SK"/>
        </w:rPr>
        <w:t xml:space="preserve"> v </w:t>
      </w:r>
      <w:r w:rsidRPr="003F23AC">
        <w:rPr>
          <w:rFonts w:cs="Times New Roman"/>
          <w:noProof/>
          <w:lang w:val="sk-SK"/>
        </w:rPr>
        <w:t>rámci zložky 2. Rozširujúcou sa časťou opatrenia sa zvýši počet obydlí poskytnutých domácnostiam.</w:t>
      </w:r>
    </w:p>
    <w:p w14:paraId="41CADB9F" w14:textId="746CD791"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bookmarkEnd w:id="4"/>
    <w:p w14:paraId="3A847D52" w14:textId="77777777" w:rsidR="00387C70" w:rsidRPr="003F23AC" w:rsidRDefault="00387C70" w:rsidP="003F23AC">
      <w:pPr>
        <w:spacing w:before="40" w:after="0" w:line="259" w:lineRule="auto"/>
        <w:jc w:val="both"/>
        <w:rPr>
          <w:rFonts w:ascii="Times New Roman" w:eastAsia="Times New Roman" w:hAnsi="Times New Roman" w:cs="Times New Roman"/>
          <w:noProof/>
          <w:sz w:val="24"/>
          <w:lang w:val="sk-SK"/>
        </w:rPr>
      </w:pPr>
    </w:p>
    <w:p w14:paraId="0CBADF13" w14:textId="77777777" w:rsidR="00387C70" w:rsidRPr="003F23AC" w:rsidRDefault="00387C70" w:rsidP="003F23AC">
      <w:pPr>
        <w:spacing w:before="40" w:after="0" w:line="259" w:lineRule="auto"/>
        <w:ind w:left="130" w:firstLine="720"/>
        <w:jc w:val="both"/>
        <w:outlineLvl w:val="2"/>
        <w:rPr>
          <w:rFonts w:ascii="Times New Roman" w:eastAsiaTheme="minorEastAsia" w:hAnsi="Times New Roman" w:cs="Times New Roman"/>
          <w:b/>
          <w:noProof/>
          <w:sz w:val="24"/>
          <w:u w:val="single"/>
          <w:lang w:val="sk-SK"/>
        </w:rPr>
        <w:sectPr w:rsidR="00387C70" w:rsidRPr="003F23AC" w:rsidSect="00E00EDD">
          <w:headerReference w:type="even" r:id="rId60"/>
          <w:headerReference w:type="default" r:id="rId61"/>
          <w:footerReference w:type="even" r:id="rId62"/>
          <w:footerReference w:type="default" r:id="rId63"/>
          <w:headerReference w:type="first" r:id="rId64"/>
          <w:footerReference w:type="first" r:id="rId65"/>
          <w:pgSz w:w="11907" w:h="16839"/>
          <w:pgMar w:top="1134" w:right="1134" w:bottom="1134" w:left="1134" w:header="567" w:footer="567" w:gutter="0"/>
          <w:cols w:space="720"/>
          <w:docGrid w:linePitch="360"/>
        </w:sectPr>
      </w:pPr>
    </w:p>
    <w:p w14:paraId="780C899B" w14:textId="51491FFA" w:rsidR="00387C70" w:rsidRPr="003F23AC" w:rsidRDefault="000F5AA4" w:rsidP="003F23AC">
      <w:pPr>
        <w:spacing w:before="40" w:after="0" w:line="259" w:lineRule="auto"/>
        <w:ind w:left="130" w:firstLine="720"/>
        <w:jc w:val="both"/>
        <w:outlineLvl w:val="2"/>
        <w:rPr>
          <w:rFonts w:ascii="Times New Roman" w:eastAsiaTheme="minorEastAsia" w:hAnsi="Times New Roman" w:cs="Times New Roman"/>
          <w:b/>
          <w:noProof/>
          <w:sz w:val="24"/>
          <w:u w:val="single"/>
          <w:lang w:val="sk-SK"/>
        </w:rPr>
      </w:pPr>
      <w:r w:rsidRPr="003F23AC">
        <w:rPr>
          <w:rFonts w:ascii="Times New Roman" w:hAnsi="Times New Roman" w:cs="Times New Roman"/>
          <w:b/>
          <w:noProof/>
          <w:sz w:val="24"/>
          <w:u w:val="single"/>
          <w:lang w:val="sk-SK"/>
        </w:rPr>
        <w:t xml:space="preserve">B.4. </w:t>
      </w:r>
      <w:r w:rsidRPr="003F23AC">
        <w:rPr>
          <w:rFonts w:ascii="Times New Roman" w:hAnsi="Times New Roman" w:cs="Times New Roman"/>
          <w:noProof/>
          <w:lang w:val="sk-SK"/>
        </w:rPr>
        <w:tab/>
      </w:r>
      <w:r w:rsidRPr="003F23AC">
        <w:rPr>
          <w:rFonts w:ascii="Times New Roman" w:hAnsi="Times New Roman" w:cs="Times New Roman"/>
          <w:b/>
          <w:noProof/>
          <w:sz w:val="24"/>
          <w:u w:val="single"/>
          <w:lang w:val="sk-SK"/>
        </w:rPr>
        <w:t>Míľniky, ciele, ukazovatele</w:t>
      </w:r>
      <w:r w:rsidR="00A75B3C" w:rsidRPr="003F23AC">
        <w:rPr>
          <w:rFonts w:ascii="Times New Roman" w:hAnsi="Times New Roman" w:cs="Times New Roman"/>
          <w:b/>
          <w:noProof/>
          <w:sz w:val="24"/>
          <w:u w:val="single"/>
          <w:lang w:val="sk-SK"/>
        </w:rPr>
        <w:t xml:space="preserve"> a </w:t>
      </w:r>
      <w:r w:rsidRPr="003F23AC">
        <w:rPr>
          <w:rFonts w:ascii="Times New Roman" w:hAnsi="Times New Roman" w:cs="Times New Roman"/>
          <w:b/>
          <w:noProof/>
          <w:sz w:val="24"/>
          <w:u w:val="single"/>
          <w:lang w:val="sk-SK"/>
        </w:rPr>
        <w:t>harmonogram monitorovania</w:t>
      </w:r>
      <w:r w:rsidR="00A75B3C" w:rsidRPr="003F23AC">
        <w:rPr>
          <w:rFonts w:ascii="Times New Roman" w:hAnsi="Times New Roman" w:cs="Times New Roman"/>
          <w:b/>
          <w:noProof/>
          <w:sz w:val="24"/>
          <w:u w:val="single"/>
          <w:lang w:val="sk-SK"/>
        </w:rPr>
        <w:t xml:space="preserve"> a </w:t>
      </w:r>
      <w:r w:rsidRPr="003F23AC">
        <w:rPr>
          <w:rFonts w:ascii="Times New Roman" w:hAnsi="Times New Roman" w:cs="Times New Roman"/>
          <w:b/>
          <w:noProof/>
          <w:sz w:val="24"/>
          <w:u w:val="single"/>
          <w:lang w:val="sk-SK"/>
        </w:rPr>
        <w:t>realizácie</w:t>
      </w:r>
      <w:r w:rsidR="00A75B3C" w:rsidRPr="003F23AC">
        <w:rPr>
          <w:rFonts w:ascii="Times New Roman" w:hAnsi="Times New Roman" w:cs="Times New Roman"/>
          <w:b/>
          <w:noProof/>
          <w:sz w:val="24"/>
          <w:u w:val="single"/>
          <w:lang w:val="sk-SK"/>
        </w:rPr>
        <w:t xml:space="preserve"> v </w:t>
      </w:r>
      <w:r w:rsidRPr="003F23AC">
        <w:rPr>
          <w:rFonts w:ascii="Times New Roman" w:hAnsi="Times New Roman" w:cs="Times New Roman"/>
          <w:b/>
          <w:noProof/>
          <w:sz w:val="24"/>
          <w:u w:val="single"/>
          <w:lang w:val="sk-SK"/>
        </w:rPr>
        <w:t>súvislosti</w:t>
      </w:r>
      <w:r w:rsidR="00A75B3C" w:rsidRPr="003F23AC">
        <w:rPr>
          <w:rFonts w:ascii="Times New Roman" w:hAnsi="Times New Roman" w:cs="Times New Roman"/>
          <w:b/>
          <w:noProof/>
          <w:sz w:val="24"/>
          <w:u w:val="single"/>
          <w:lang w:val="sk-SK"/>
        </w:rPr>
        <w:t xml:space="preserve"> s </w:t>
      </w:r>
      <w:r w:rsidRPr="003F23AC">
        <w:rPr>
          <w:rFonts w:ascii="Times New Roman" w:hAnsi="Times New Roman" w:cs="Times New Roman"/>
          <w:b/>
          <w:noProof/>
          <w:sz w:val="24"/>
          <w:u w:val="single"/>
          <w:lang w:val="sk-SK"/>
        </w:rPr>
        <w:t>úverom</w:t>
      </w:r>
    </w:p>
    <w:p w14:paraId="1407F7DF"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149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1259"/>
        <w:gridCol w:w="801"/>
        <w:gridCol w:w="1559"/>
        <w:gridCol w:w="1134"/>
        <w:gridCol w:w="1134"/>
        <w:gridCol w:w="993"/>
        <w:gridCol w:w="850"/>
        <w:gridCol w:w="992"/>
        <w:gridCol w:w="514"/>
        <w:gridCol w:w="4606"/>
      </w:tblGrid>
      <w:tr w:rsidR="00387C70" w:rsidRPr="003F23AC" w14:paraId="4C665869" w14:textId="77777777" w:rsidTr="003F23AC">
        <w:trPr>
          <w:trHeight w:val="910"/>
          <w:tblHeader/>
        </w:trPr>
        <w:tc>
          <w:tcPr>
            <w:tcW w:w="1121" w:type="dxa"/>
            <w:vMerge w:val="restart"/>
            <w:shd w:val="clear" w:color="auto" w:fill="BDD6EE"/>
            <w:tcMar>
              <w:left w:w="28" w:type="dxa"/>
              <w:right w:w="28" w:type="dxa"/>
            </w:tcMar>
            <w:vAlign w:val="center"/>
            <w:hideMark/>
          </w:tcPr>
          <w:p w14:paraId="10BCE388"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59" w:type="dxa"/>
            <w:vMerge w:val="restart"/>
            <w:shd w:val="clear" w:color="auto" w:fill="BDD6EE"/>
            <w:tcMar>
              <w:left w:w="28" w:type="dxa"/>
              <w:right w:w="28" w:type="dxa"/>
            </w:tcMar>
            <w:vAlign w:val="center"/>
            <w:hideMark/>
          </w:tcPr>
          <w:p w14:paraId="397190C1"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801" w:type="dxa"/>
            <w:vMerge w:val="restart"/>
            <w:shd w:val="clear" w:color="auto" w:fill="BDD6EE"/>
            <w:tcMar>
              <w:left w:w="28" w:type="dxa"/>
              <w:right w:w="28" w:type="dxa"/>
            </w:tcMar>
            <w:vAlign w:val="center"/>
            <w:hideMark/>
          </w:tcPr>
          <w:p w14:paraId="4250029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Medzník/</w:t>
            </w:r>
          </w:p>
          <w:p w14:paraId="54CB065E" w14:textId="127F2F46"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w:t>
            </w:r>
          </w:p>
        </w:tc>
        <w:tc>
          <w:tcPr>
            <w:tcW w:w="1559" w:type="dxa"/>
            <w:vMerge w:val="restart"/>
            <w:shd w:val="clear" w:color="auto" w:fill="BDD6EE"/>
            <w:tcMar>
              <w:left w:w="28" w:type="dxa"/>
              <w:right w:w="28" w:type="dxa"/>
            </w:tcMar>
            <w:vAlign w:val="center"/>
            <w:hideMark/>
          </w:tcPr>
          <w:p w14:paraId="0BC01E37"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134" w:type="dxa"/>
            <w:vMerge w:val="restart"/>
            <w:shd w:val="clear" w:color="auto" w:fill="BDD6EE"/>
            <w:tcMar>
              <w:left w:w="28" w:type="dxa"/>
              <w:right w:w="28" w:type="dxa"/>
            </w:tcMar>
            <w:vAlign w:val="center"/>
            <w:hideMark/>
          </w:tcPr>
          <w:p w14:paraId="6453E431"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977" w:type="dxa"/>
            <w:gridSpan w:val="3"/>
            <w:shd w:val="clear" w:color="auto" w:fill="BDD6EE"/>
            <w:tcMar>
              <w:left w:w="28" w:type="dxa"/>
              <w:right w:w="28" w:type="dxa"/>
            </w:tcMar>
            <w:vAlign w:val="center"/>
            <w:hideMark/>
          </w:tcPr>
          <w:p w14:paraId="01661F32"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506" w:type="dxa"/>
            <w:gridSpan w:val="2"/>
            <w:shd w:val="clear" w:color="auto" w:fill="BDD6EE"/>
            <w:tcMar>
              <w:left w:w="28" w:type="dxa"/>
              <w:right w:w="28" w:type="dxa"/>
            </w:tcMar>
            <w:vAlign w:val="center"/>
            <w:hideMark/>
          </w:tcPr>
          <w:p w14:paraId="45C76A26"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4606" w:type="dxa"/>
            <w:vMerge w:val="restart"/>
            <w:shd w:val="clear" w:color="auto" w:fill="BDD6EE"/>
            <w:noWrap/>
            <w:tcMar>
              <w:left w:w="28" w:type="dxa"/>
              <w:right w:w="28" w:type="dxa"/>
            </w:tcMar>
            <w:vAlign w:val="center"/>
            <w:hideMark/>
          </w:tcPr>
          <w:p w14:paraId="0E401B5C" w14:textId="37C2D46D"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5F9D413E" w14:textId="77777777" w:rsidTr="003F23AC">
        <w:trPr>
          <w:trHeight w:val="470"/>
          <w:tblHeader/>
        </w:trPr>
        <w:tc>
          <w:tcPr>
            <w:tcW w:w="1121" w:type="dxa"/>
            <w:vMerge/>
            <w:tcMar>
              <w:left w:w="28" w:type="dxa"/>
              <w:right w:w="28" w:type="dxa"/>
            </w:tcMar>
            <w:vAlign w:val="center"/>
            <w:hideMark/>
          </w:tcPr>
          <w:p w14:paraId="0D5A92A2"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59" w:type="dxa"/>
            <w:vMerge/>
            <w:tcMar>
              <w:left w:w="28" w:type="dxa"/>
              <w:right w:w="28" w:type="dxa"/>
            </w:tcMar>
            <w:vAlign w:val="center"/>
            <w:hideMark/>
          </w:tcPr>
          <w:p w14:paraId="66B80633"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801" w:type="dxa"/>
            <w:vMerge/>
            <w:tcMar>
              <w:left w:w="28" w:type="dxa"/>
              <w:right w:w="28" w:type="dxa"/>
            </w:tcMar>
            <w:vAlign w:val="center"/>
            <w:hideMark/>
          </w:tcPr>
          <w:p w14:paraId="3CD2B8F4" w14:textId="5872AC7C"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559" w:type="dxa"/>
            <w:vMerge/>
            <w:tcMar>
              <w:left w:w="28" w:type="dxa"/>
              <w:right w:w="28" w:type="dxa"/>
            </w:tcMar>
            <w:vAlign w:val="center"/>
            <w:hideMark/>
          </w:tcPr>
          <w:p w14:paraId="7B0E4E17"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34" w:type="dxa"/>
            <w:vMerge/>
            <w:tcMar>
              <w:left w:w="28" w:type="dxa"/>
              <w:right w:w="28" w:type="dxa"/>
            </w:tcMar>
            <w:vAlign w:val="center"/>
            <w:hideMark/>
          </w:tcPr>
          <w:p w14:paraId="6ED6C64F"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34" w:type="dxa"/>
            <w:shd w:val="clear" w:color="auto" w:fill="BDD6EE"/>
            <w:tcMar>
              <w:left w:w="28" w:type="dxa"/>
              <w:right w:w="28" w:type="dxa"/>
            </w:tcMar>
            <w:vAlign w:val="center"/>
            <w:hideMark/>
          </w:tcPr>
          <w:p w14:paraId="4082AB93"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993" w:type="dxa"/>
            <w:shd w:val="clear" w:color="auto" w:fill="BDD6EE"/>
            <w:tcMar>
              <w:left w:w="28" w:type="dxa"/>
              <w:right w:w="28" w:type="dxa"/>
            </w:tcMar>
            <w:vAlign w:val="center"/>
            <w:hideMark/>
          </w:tcPr>
          <w:p w14:paraId="6FFD0F60" w14:textId="1B1A3652"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850" w:type="dxa"/>
            <w:shd w:val="clear" w:color="auto" w:fill="BDD6EE"/>
            <w:tcMar>
              <w:left w:w="28" w:type="dxa"/>
              <w:right w:w="28" w:type="dxa"/>
            </w:tcMar>
            <w:vAlign w:val="center"/>
            <w:hideMark/>
          </w:tcPr>
          <w:p w14:paraId="5A43C212" w14:textId="2701B93A"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992" w:type="dxa"/>
            <w:shd w:val="clear" w:color="auto" w:fill="BDD6EE"/>
            <w:tcMar>
              <w:left w:w="28" w:type="dxa"/>
              <w:right w:w="28" w:type="dxa"/>
            </w:tcMar>
            <w:vAlign w:val="center"/>
            <w:hideMark/>
          </w:tcPr>
          <w:p w14:paraId="74791177" w14:textId="29FC5084"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514" w:type="dxa"/>
            <w:shd w:val="clear" w:color="auto" w:fill="BDD6EE"/>
            <w:tcMar>
              <w:left w:w="28" w:type="dxa"/>
              <w:right w:w="28" w:type="dxa"/>
            </w:tcMar>
            <w:vAlign w:val="center"/>
            <w:hideMark/>
          </w:tcPr>
          <w:p w14:paraId="639FF5C5"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4606" w:type="dxa"/>
            <w:vMerge/>
            <w:tcMar>
              <w:left w:w="28" w:type="dxa"/>
              <w:right w:w="28" w:type="dxa"/>
            </w:tcMar>
            <w:vAlign w:val="center"/>
            <w:hideMark/>
          </w:tcPr>
          <w:p w14:paraId="0AA46401"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F23AC" w:rsidRPr="003F23AC" w14:paraId="6365BE4E" w14:textId="77777777" w:rsidTr="003F23AC">
        <w:trPr>
          <w:trHeight w:val="1260"/>
        </w:trPr>
        <w:tc>
          <w:tcPr>
            <w:tcW w:w="1121" w:type="dxa"/>
            <w:shd w:val="clear" w:color="auto" w:fill="C4EFCE"/>
            <w:tcMar>
              <w:left w:w="28" w:type="dxa"/>
              <w:right w:w="28" w:type="dxa"/>
            </w:tcMar>
            <w:vAlign w:val="center"/>
            <w:hideMark/>
          </w:tcPr>
          <w:p w14:paraId="2EDCE14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2.20</w:t>
            </w:r>
          </w:p>
        </w:tc>
        <w:tc>
          <w:tcPr>
            <w:tcW w:w="1259" w:type="dxa"/>
            <w:shd w:val="clear" w:color="auto" w:fill="C4EFCE"/>
            <w:tcMar>
              <w:left w:w="28" w:type="dxa"/>
              <w:right w:w="28" w:type="dxa"/>
            </w:tcMar>
            <w:vAlign w:val="center"/>
            <w:hideMark/>
          </w:tcPr>
          <w:p w14:paraId="6ABB675D" w14:textId="323D4198"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C02-i05</w:t>
            </w:r>
          </w:p>
        </w:tc>
        <w:tc>
          <w:tcPr>
            <w:tcW w:w="801" w:type="dxa"/>
            <w:shd w:val="clear" w:color="auto" w:fill="C4EFCE"/>
            <w:tcMar>
              <w:left w:w="28" w:type="dxa"/>
              <w:right w:w="28" w:type="dxa"/>
            </w:tcMar>
            <w:vAlign w:val="center"/>
            <w:hideMark/>
          </w:tcPr>
          <w:p w14:paraId="32793D51" w14:textId="6BD50395"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59" w:type="dxa"/>
            <w:shd w:val="clear" w:color="auto" w:fill="C4EFCE"/>
            <w:tcMar>
              <w:left w:w="28" w:type="dxa"/>
              <w:right w:w="28" w:type="dxa"/>
            </w:tcMar>
            <w:vAlign w:val="center"/>
            <w:hideMark/>
          </w:tcPr>
          <w:p w14:paraId="703220CB" w14:textId="149653E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Fond cenovo dostupného verejného bývania – obydlia so začiatkom práce (vybudované</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vysokou energetickou účinnosťou alebo renovované so zlepšenou energetickou hospodárnosťou)</w:t>
            </w:r>
          </w:p>
        </w:tc>
        <w:tc>
          <w:tcPr>
            <w:tcW w:w="1134" w:type="dxa"/>
            <w:shd w:val="clear" w:color="auto" w:fill="C4EFCE"/>
            <w:tcMar>
              <w:left w:w="28" w:type="dxa"/>
              <w:right w:w="28" w:type="dxa"/>
            </w:tcMar>
            <w:vAlign w:val="center"/>
            <w:hideMark/>
          </w:tcPr>
          <w:p w14:paraId="4E20F9D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34" w:type="dxa"/>
            <w:shd w:val="clear" w:color="auto" w:fill="C4EFCE"/>
            <w:tcMar>
              <w:left w:w="28" w:type="dxa"/>
              <w:right w:w="28" w:type="dxa"/>
            </w:tcMar>
            <w:vAlign w:val="center"/>
            <w:hideMark/>
          </w:tcPr>
          <w:p w14:paraId="621C9A5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w:t>
            </w:r>
          </w:p>
        </w:tc>
        <w:tc>
          <w:tcPr>
            <w:tcW w:w="993" w:type="dxa"/>
            <w:shd w:val="clear" w:color="auto" w:fill="C4EFCE"/>
            <w:tcMar>
              <w:left w:w="28" w:type="dxa"/>
              <w:right w:w="28" w:type="dxa"/>
            </w:tcMar>
            <w:vAlign w:val="center"/>
            <w:hideMark/>
          </w:tcPr>
          <w:p w14:paraId="7E591BF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tcMar>
              <w:left w:w="28" w:type="dxa"/>
              <w:right w:w="28" w:type="dxa"/>
            </w:tcMar>
            <w:vAlign w:val="center"/>
            <w:hideMark/>
          </w:tcPr>
          <w:p w14:paraId="3B93E82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520</w:t>
            </w:r>
          </w:p>
        </w:tc>
        <w:tc>
          <w:tcPr>
            <w:tcW w:w="992" w:type="dxa"/>
            <w:shd w:val="clear" w:color="auto" w:fill="C4EFCE"/>
            <w:tcMar>
              <w:left w:w="28" w:type="dxa"/>
              <w:right w:w="28" w:type="dxa"/>
            </w:tcMar>
            <w:vAlign w:val="center"/>
            <w:hideMark/>
          </w:tcPr>
          <w:p w14:paraId="343E8E11" w14:textId="0D19EEB0"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14" w:type="dxa"/>
            <w:shd w:val="clear" w:color="auto" w:fill="C4EFCE"/>
            <w:tcMar>
              <w:left w:w="28" w:type="dxa"/>
              <w:right w:w="28" w:type="dxa"/>
            </w:tcMar>
            <w:vAlign w:val="center"/>
            <w:hideMark/>
          </w:tcPr>
          <w:p w14:paraId="5EDCF0D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606" w:type="dxa"/>
            <w:shd w:val="clear" w:color="auto" w:fill="C4EFCE"/>
            <w:tcMar>
              <w:left w:w="28" w:type="dxa"/>
              <w:right w:w="28" w:type="dxa"/>
            </w:tcMar>
            <w:vAlign w:val="center"/>
            <w:hideMark/>
          </w:tcPr>
          <w:p w14:paraId="5D10AA65" w14:textId="765E5F5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obydlí,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ktorých sa práca začína po výberovom konaní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podpísaní zmluvy. Ak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novú výstavbu,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F23AC" w:rsidRPr="003F23AC" w14:paraId="33B4307F" w14:textId="77777777" w:rsidTr="003F23AC">
        <w:trPr>
          <w:trHeight w:val="1066"/>
        </w:trPr>
        <w:tc>
          <w:tcPr>
            <w:tcW w:w="1121" w:type="dxa"/>
            <w:shd w:val="clear" w:color="auto" w:fill="C4EFCE"/>
            <w:tcMar>
              <w:left w:w="28" w:type="dxa"/>
              <w:right w:w="28" w:type="dxa"/>
            </w:tcMar>
            <w:vAlign w:val="center"/>
            <w:hideMark/>
          </w:tcPr>
          <w:p w14:paraId="0EA394F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2.21</w:t>
            </w:r>
          </w:p>
        </w:tc>
        <w:tc>
          <w:tcPr>
            <w:tcW w:w="1259" w:type="dxa"/>
            <w:shd w:val="clear" w:color="auto" w:fill="C4EFCE"/>
            <w:tcMar>
              <w:left w:w="28" w:type="dxa"/>
              <w:right w:w="28" w:type="dxa"/>
            </w:tcMar>
            <w:vAlign w:val="center"/>
            <w:hideMark/>
          </w:tcPr>
          <w:p w14:paraId="34979C95" w14:textId="668F0A13"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C02-i05</w:t>
            </w:r>
          </w:p>
        </w:tc>
        <w:tc>
          <w:tcPr>
            <w:tcW w:w="801" w:type="dxa"/>
            <w:shd w:val="clear" w:color="auto" w:fill="C4EFCE"/>
            <w:tcMar>
              <w:left w:w="28" w:type="dxa"/>
              <w:right w:w="28" w:type="dxa"/>
            </w:tcMar>
            <w:vAlign w:val="center"/>
            <w:hideMark/>
          </w:tcPr>
          <w:p w14:paraId="375EBE78" w14:textId="5E1D01CD"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59" w:type="dxa"/>
            <w:shd w:val="clear" w:color="auto" w:fill="C4EFCE"/>
            <w:tcMar>
              <w:left w:w="28" w:type="dxa"/>
              <w:right w:w="28" w:type="dxa"/>
            </w:tcMar>
            <w:vAlign w:val="center"/>
            <w:hideMark/>
          </w:tcPr>
          <w:p w14:paraId="48BDE03A" w14:textId="5EB8DBF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Fond cenovo dostupného verejného bývania – obydlia so začiatkom práce (vybudované</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vysokou energetickou účinnosťou alebo renovované so zlepšenou energetickou hospodárnosťou)</w:t>
            </w:r>
          </w:p>
        </w:tc>
        <w:tc>
          <w:tcPr>
            <w:tcW w:w="1134" w:type="dxa"/>
            <w:shd w:val="clear" w:color="auto" w:fill="C4EFCE"/>
            <w:tcMar>
              <w:left w:w="28" w:type="dxa"/>
              <w:right w:w="28" w:type="dxa"/>
            </w:tcMar>
            <w:vAlign w:val="center"/>
            <w:hideMark/>
          </w:tcPr>
          <w:p w14:paraId="374FFAB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34" w:type="dxa"/>
            <w:shd w:val="clear" w:color="auto" w:fill="C4EFCE"/>
            <w:tcMar>
              <w:left w:w="28" w:type="dxa"/>
              <w:right w:w="28" w:type="dxa"/>
            </w:tcMar>
            <w:vAlign w:val="center"/>
            <w:hideMark/>
          </w:tcPr>
          <w:p w14:paraId="1252430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w:t>
            </w:r>
          </w:p>
        </w:tc>
        <w:tc>
          <w:tcPr>
            <w:tcW w:w="993" w:type="dxa"/>
            <w:shd w:val="clear" w:color="auto" w:fill="C4EFCE"/>
            <w:tcMar>
              <w:left w:w="28" w:type="dxa"/>
              <w:right w:w="28" w:type="dxa"/>
            </w:tcMar>
            <w:vAlign w:val="center"/>
            <w:hideMark/>
          </w:tcPr>
          <w:p w14:paraId="78E249B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520</w:t>
            </w:r>
          </w:p>
        </w:tc>
        <w:tc>
          <w:tcPr>
            <w:tcW w:w="850" w:type="dxa"/>
            <w:shd w:val="clear" w:color="auto" w:fill="C4EFCE"/>
            <w:tcMar>
              <w:left w:w="28" w:type="dxa"/>
              <w:right w:w="28" w:type="dxa"/>
            </w:tcMar>
            <w:vAlign w:val="center"/>
            <w:hideMark/>
          </w:tcPr>
          <w:p w14:paraId="1C33F4F0" w14:textId="11BE8C74" w:rsidR="00387C70" w:rsidRPr="003F23AC" w:rsidRDefault="000F5AA4" w:rsidP="003F23AC">
            <w:pPr>
              <w:pStyle w:val="P68B1DB1-Normal8"/>
              <w:spacing w:after="0" w:line="240" w:lineRule="auto"/>
              <w:jc w:val="center"/>
              <w:rPr>
                <w:rFonts w:ascii="Times New Roman" w:eastAsia="Calibri" w:hAnsi="Times New Roman" w:cs="Times New Roman"/>
                <w:noProof/>
                <w:lang w:val="sk-SK"/>
              </w:rPr>
            </w:pPr>
            <w:r w:rsidRPr="003F23AC">
              <w:rPr>
                <w:rFonts w:ascii="Times New Roman" w:hAnsi="Times New Roman" w:cs="Times New Roman"/>
                <w:noProof/>
                <w:lang w:val="sk-SK"/>
              </w:rPr>
              <w:t>1400</w:t>
            </w:r>
          </w:p>
        </w:tc>
        <w:tc>
          <w:tcPr>
            <w:tcW w:w="992" w:type="dxa"/>
            <w:shd w:val="clear" w:color="auto" w:fill="C4EFCE"/>
            <w:tcMar>
              <w:left w:w="28" w:type="dxa"/>
              <w:right w:w="28" w:type="dxa"/>
            </w:tcMar>
            <w:vAlign w:val="center"/>
            <w:hideMark/>
          </w:tcPr>
          <w:p w14:paraId="104858DB" w14:textId="46E76586"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14" w:type="dxa"/>
            <w:shd w:val="clear" w:color="auto" w:fill="C4EFCE"/>
            <w:tcMar>
              <w:left w:w="28" w:type="dxa"/>
              <w:right w:w="28" w:type="dxa"/>
            </w:tcMar>
            <w:vAlign w:val="center"/>
            <w:hideMark/>
          </w:tcPr>
          <w:p w14:paraId="42858FD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606" w:type="dxa"/>
            <w:shd w:val="clear" w:color="auto" w:fill="C4EFCE"/>
            <w:tcMar>
              <w:left w:w="28" w:type="dxa"/>
              <w:right w:w="28" w:type="dxa"/>
            </w:tcMar>
            <w:vAlign w:val="center"/>
            <w:hideMark/>
          </w:tcPr>
          <w:p w14:paraId="18EC137C" w14:textId="38E8A82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obydlí,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ktorých sa práca začína po výberovom konaní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podpísaní zmluvy. Ak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novú výstavbu,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F23AC" w:rsidRPr="003F23AC" w14:paraId="367756BF" w14:textId="77777777" w:rsidTr="003F23AC">
        <w:trPr>
          <w:trHeight w:val="1050"/>
        </w:trPr>
        <w:tc>
          <w:tcPr>
            <w:tcW w:w="1121" w:type="dxa"/>
            <w:shd w:val="clear" w:color="auto" w:fill="C4EFCE"/>
            <w:tcMar>
              <w:left w:w="28" w:type="dxa"/>
              <w:right w:w="28" w:type="dxa"/>
            </w:tcMar>
            <w:vAlign w:val="center"/>
            <w:hideMark/>
          </w:tcPr>
          <w:p w14:paraId="06EC68F7"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2.22</w:t>
            </w:r>
          </w:p>
        </w:tc>
        <w:tc>
          <w:tcPr>
            <w:tcW w:w="1259" w:type="dxa"/>
            <w:shd w:val="clear" w:color="auto" w:fill="C4EFCE"/>
            <w:tcMar>
              <w:left w:w="28" w:type="dxa"/>
              <w:right w:w="28" w:type="dxa"/>
            </w:tcMar>
            <w:vAlign w:val="center"/>
            <w:hideMark/>
          </w:tcPr>
          <w:p w14:paraId="36837DB5" w14:textId="5CC5BA00"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C02-i05</w:t>
            </w:r>
          </w:p>
        </w:tc>
        <w:tc>
          <w:tcPr>
            <w:tcW w:w="801" w:type="dxa"/>
            <w:shd w:val="clear" w:color="auto" w:fill="C4EFCE"/>
            <w:tcMar>
              <w:left w:w="28" w:type="dxa"/>
              <w:right w:w="28" w:type="dxa"/>
            </w:tcMar>
            <w:vAlign w:val="center"/>
            <w:hideMark/>
          </w:tcPr>
          <w:p w14:paraId="6D7A6883" w14:textId="7EB14684"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59" w:type="dxa"/>
            <w:shd w:val="clear" w:color="auto" w:fill="C4EFCE"/>
            <w:tcMar>
              <w:left w:w="28" w:type="dxa"/>
              <w:right w:w="28" w:type="dxa"/>
            </w:tcMar>
            <w:vAlign w:val="center"/>
            <w:hideMark/>
          </w:tcPr>
          <w:p w14:paraId="0C0848AD" w14:textId="79B03A7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Cenovo dostupný verejný bytový fond – Priradené obydlia (vybudované</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vysokou energetickou účinnosťou alebo renovované so zlepšenou energetickou hospodárnosťou)</w:t>
            </w:r>
          </w:p>
        </w:tc>
        <w:tc>
          <w:tcPr>
            <w:tcW w:w="1134" w:type="dxa"/>
            <w:shd w:val="clear" w:color="auto" w:fill="C4EFCE"/>
            <w:tcMar>
              <w:left w:w="28" w:type="dxa"/>
              <w:right w:w="28" w:type="dxa"/>
            </w:tcMar>
            <w:vAlign w:val="center"/>
            <w:hideMark/>
          </w:tcPr>
          <w:p w14:paraId="34D8DBA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34" w:type="dxa"/>
            <w:shd w:val="clear" w:color="auto" w:fill="C4EFCE"/>
            <w:tcMar>
              <w:left w:w="28" w:type="dxa"/>
              <w:right w:w="28" w:type="dxa"/>
            </w:tcMar>
            <w:vAlign w:val="center"/>
            <w:hideMark/>
          </w:tcPr>
          <w:p w14:paraId="7E6F887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w:t>
            </w:r>
          </w:p>
        </w:tc>
        <w:tc>
          <w:tcPr>
            <w:tcW w:w="993" w:type="dxa"/>
            <w:shd w:val="clear" w:color="auto" w:fill="C4EFCE"/>
            <w:tcMar>
              <w:left w:w="28" w:type="dxa"/>
              <w:right w:w="28" w:type="dxa"/>
            </w:tcMar>
            <w:vAlign w:val="center"/>
            <w:hideMark/>
          </w:tcPr>
          <w:p w14:paraId="17D2D4D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tcMar>
              <w:left w:w="28" w:type="dxa"/>
              <w:right w:w="28" w:type="dxa"/>
            </w:tcMar>
            <w:vAlign w:val="center"/>
            <w:hideMark/>
          </w:tcPr>
          <w:p w14:paraId="0E3BD19D" w14:textId="561EE8C6" w:rsidR="00387C70" w:rsidRPr="003F23AC" w:rsidRDefault="000F5AA4" w:rsidP="003F23AC">
            <w:pPr>
              <w:pStyle w:val="P68B1DB1-Normal8"/>
              <w:spacing w:after="0" w:line="240" w:lineRule="auto"/>
              <w:jc w:val="center"/>
              <w:rPr>
                <w:rFonts w:ascii="Times New Roman" w:eastAsia="Calibri" w:hAnsi="Times New Roman" w:cs="Times New Roman"/>
                <w:noProof/>
                <w:lang w:val="sk-SK"/>
              </w:rPr>
            </w:pPr>
            <w:r w:rsidRPr="003F23AC">
              <w:rPr>
                <w:rFonts w:ascii="Times New Roman" w:hAnsi="Times New Roman" w:cs="Times New Roman"/>
                <w:noProof/>
                <w:lang w:val="sk-SK"/>
              </w:rPr>
              <w:t>520</w:t>
            </w:r>
          </w:p>
        </w:tc>
        <w:tc>
          <w:tcPr>
            <w:tcW w:w="992" w:type="dxa"/>
            <w:shd w:val="clear" w:color="auto" w:fill="C4EFCE"/>
            <w:tcMar>
              <w:left w:w="28" w:type="dxa"/>
              <w:right w:w="28" w:type="dxa"/>
            </w:tcMar>
            <w:vAlign w:val="center"/>
            <w:hideMark/>
          </w:tcPr>
          <w:p w14:paraId="27E52C88" w14:textId="33B6597E"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14" w:type="dxa"/>
            <w:shd w:val="clear" w:color="auto" w:fill="C4EFCE"/>
            <w:tcMar>
              <w:left w:w="28" w:type="dxa"/>
              <w:right w:w="28" w:type="dxa"/>
            </w:tcMar>
            <w:vAlign w:val="center"/>
            <w:hideMark/>
          </w:tcPr>
          <w:p w14:paraId="1DEA359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606" w:type="dxa"/>
            <w:shd w:val="clear" w:color="auto" w:fill="C4EFCE"/>
            <w:tcMar>
              <w:left w:w="28" w:type="dxa"/>
              <w:right w:w="28" w:type="dxa"/>
            </w:tcMar>
            <w:vAlign w:val="center"/>
            <w:hideMark/>
          </w:tcPr>
          <w:p w14:paraId="3D170067" w14:textId="1DC47E8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dodaných obydlí oprávneným domácnostiam prostredníctvom výmeny bývania za dostupné náklady (DL 82/2020</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2</w:t>
            </w:r>
            <w:r w:rsidR="00A75B3C" w:rsidRPr="003F23AC">
              <w:rPr>
                <w:rFonts w:ascii="Times New Roman" w:hAnsi="Times New Roman" w:cs="Times New Roman"/>
                <w:noProof/>
                <w:lang w:val="sk-SK"/>
              </w:rPr>
              <w:t>. októbra</w:t>
            </w:r>
            <w:r w:rsidRPr="003F23AC">
              <w:rPr>
                <w:rFonts w:ascii="Times New Roman" w:hAnsi="Times New Roman" w:cs="Times New Roman"/>
                <w:noProof/>
                <w:lang w:val="sk-SK"/>
              </w:rPr>
              <w:t>) alebo prostredníctvom komunálneho programu. Cenovo dostupné bývanie sa definuje ako bývanie sprístupnené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programom nájomného na základe zákonného dekrétu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68/2019</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22</w:t>
            </w:r>
            <w:r w:rsidR="00A75B3C" w:rsidRPr="003F23AC">
              <w:rPr>
                <w:rFonts w:ascii="Times New Roman" w:hAnsi="Times New Roman" w:cs="Times New Roman"/>
                <w:noProof/>
                <w:lang w:val="sk-SK"/>
              </w:rPr>
              <w:t>. mája</w:t>
            </w:r>
            <w:r w:rsidRPr="003F23AC">
              <w:rPr>
                <w:rFonts w:ascii="Times New Roman" w:hAnsi="Times New Roman" w:cs="Times New Roman"/>
                <w:noProof/>
                <w:lang w:val="sk-SK"/>
              </w:rPr>
              <w:t xml:space="preserve">, ktorý bol podporený zákonom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81/2014</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19</w:t>
            </w:r>
            <w:r w:rsidR="00A75B3C" w:rsidRPr="003F23AC">
              <w:rPr>
                <w:rFonts w:ascii="Times New Roman" w:hAnsi="Times New Roman" w:cs="Times New Roman"/>
                <w:noProof/>
                <w:lang w:val="sk-SK"/>
              </w:rPr>
              <w:t>. decembra v </w:t>
            </w:r>
            <w:r w:rsidRPr="003F23AC">
              <w:rPr>
                <w:rFonts w:ascii="Times New Roman" w:hAnsi="Times New Roman" w:cs="Times New Roman"/>
                <w:noProof/>
                <w:lang w:val="sk-SK"/>
              </w:rPr>
              <w:t xml:space="preserve">znení zmien, režimu podmieneného nájomného zavedeného zákonom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80/2014</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19</w:t>
            </w:r>
            <w:r w:rsidR="00A75B3C" w:rsidRPr="003F23AC">
              <w:rPr>
                <w:rFonts w:ascii="Times New Roman" w:hAnsi="Times New Roman" w:cs="Times New Roman"/>
                <w:noProof/>
                <w:lang w:val="sk-SK"/>
              </w:rPr>
              <w:t>. decembra</w:t>
            </w:r>
            <w:r w:rsidRPr="003F23AC">
              <w:rPr>
                <w:rFonts w:ascii="Times New Roman" w:hAnsi="Times New Roman" w:cs="Times New Roman"/>
                <w:noProof/>
                <w:lang w:val="sk-SK"/>
              </w:rPr>
              <w:t xml:space="preserve"> 2014, systému kontrolovaných nákladov upraveného ministerskou vykonávacou vyhláškou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65/2019</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19</w:t>
            </w:r>
            <w:r w:rsidR="00A75B3C" w:rsidRPr="003F23AC">
              <w:rPr>
                <w:rFonts w:ascii="Times New Roman" w:hAnsi="Times New Roman" w:cs="Times New Roman"/>
                <w:noProof/>
                <w:lang w:val="sk-SK"/>
              </w:rPr>
              <w:t>. februára</w:t>
            </w:r>
            <w:r w:rsidRPr="003F23AC">
              <w:rPr>
                <w:rFonts w:ascii="Times New Roman" w:hAnsi="Times New Roman" w:cs="Times New Roman"/>
                <w:noProof/>
                <w:lang w:val="sk-SK"/>
              </w:rPr>
              <w:t xml:space="preserve"> alebo osobitných obecných programov. Ak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novú výstavbu,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F23AC" w:rsidRPr="003F23AC" w14:paraId="3D12978B" w14:textId="77777777" w:rsidTr="003F23AC">
        <w:trPr>
          <w:trHeight w:val="1050"/>
        </w:trPr>
        <w:tc>
          <w:tcPr>
            <w:tcW w:w="1121" w:type="dxa"/>
            <w:shd w:val="clear" w:color="auto" w:fill="C4EFCE"/>
            <w:tcMar>
              <w:left w:w="28" w:type="dxa"/>
              <w:right w:w="28" w:type="dxa"/>
            </w:tcMar>
            <w:vAlign w:val="center"/>
            <w:hideMark/>
          </w:tcPr>
          <w:p w14:paraId="1C8AA54B"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2.23</w:t>
            </w:r>
          </w:p>
        </w:tc>
        <w:tc>
          <w:tcPr>
            <w:tcW w:w="1259" w:type="dxa"/>
            <w:shd w:val="clear" w:color="auto" w:fill="C4EFCE"/>
            <w:tcMar>
              <w:left w:w="28" w:type="dxa"/>
              <w:right w:w="28" w:type="dxa"/>
            </w:tcMar>
            <w:vAlign w:val="center"/>
            <w:hideMark/>
          </w:tcPr>
          <w:p w14:paraId="0DF3ED6A" w14:textId="733973C0"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C02-i05</w:t>
            </w:r>
          </w:p>
        </w:tc>
        <w:tc>
          <w:tcPr>
            <w:tcW w:w="801" w:type="dxa"/>
            <w:shd w:val="clear" w:color="auto" w:fill="C4EFCE"/>
            <w:tcMar>
              <w:left w:w="28" w:type="dxa"/>
              <w:right w:w="28" w:type="dxa"/>
            </w:tcMar>
            <w:vAlign w:val="center"/>
            <w:hideMark/>
          </w:tcPr>
          <w:p w14:paraId="61E7B3B4" w14:textId="6752D0A9"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59" w:type="dxa"/>
            <w:shd w:val="clear" w:color="auto" w:fill="C4EFCE"/>
            <w:tcMar>
              <w:left w:w="28" w:type="dxa"/>
              <w:right w:w="28" w:type="dxa"/>
            </w:tcMar>
            <w:vAlign w:val="center"/>
            <w:hideMark/>
          </w:tcPr>
          <w:p w14:paraId="10E5E313" w14:textId="378BD5B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Cenovo dostupný verejný bytový fond – Priradené obydlia (vybudované</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vysokou energetickou účinnosťou alebo renovované so zlepšenou energetickou hospodárnosťou)</w:t>
            </w:r>
          </w:p>
        </w:tc>
        <w:tc>
          <w:tcPr>
            <w:tcW w:w="1134" w:type="dxa"/>
            <w:shd w:val="clear" w:color="auto" w:fill="C4EFCE"/>
            <w:tcMar>
              <w:left w:w="28" w:type="dxa"/>
              <w:right w:w="28" w:type="dxa"/>
            </w:tcMar>
            <w:vAlign w:val="center"/>
            <w:hideMark/>
          </w:tcPr>
          <w:p w14:paraId="5E450BD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34" w:type="dxa"/>
            <w:shd w:val="clear" w:color="auto" w:fill="C4EFCE"/>
            <w:tcMar>
              <w:left w:w="28" w:type="dxa"/>
              <w:right w:w="28" w:type="dxa"/>
            </w:tcMar>
            <w:vAlign w:val="center"/>
            <w:hideMark/>
          </w:tcPr>
          <w:p w14:paraId="19E4434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w:t>
            </w:r>
          </w:p>
        </w:tc>
        <w:tc>
          <w:tcPr>
            <w:tcW w:w="993" w:type="dxa"/>
            <w:shd w:val="clear" w:color="auto" w:fill="C4EFCE"/>
            <w:tcMar>
              <w:left w:w="28" w:type="dxa"/>
              <w:right w:w="28" w:type="dxa"/>
            </w:tcMar>
            <w:vAlign w:val="center"/>
            <w:hideMark/>
          </w:tcPr>
          <w:p w14:paraId="64F68EAD" w14:textId="7AD4DB54" w:rsidR="00387C70" w:rsidRPr="003F23AC" w:rsidRDefault="000F5AA4" w:rsidP="003F23AC">
            <w:pPr>
              <w:pStyle w:val="P68B1DB1-Normal8"/>
              <w:spacing w:after="0" w:line="240" w:lineRule="auto"/>
              <w:jc w:val="center"/>
              <w:rPr>
                <w:rFonts w:ascii="Times New Roman" w:eastAsia="Calibri" w:hAnsi="Times New Roman" w:cs="Times New Roman"/>
                <w:noProof/>
                <w:lang w:val="sk-SK"/>
              </w:rPr>
            </w:pPr>
            <w:r w:rsidRPr="003F23AC">
              <w:rPr>
                <w:rFonts w:ascii="Times New Roman" w:hAnsi="Times New Roman" w:cs="Times New Roman"/>
                <w:noProof/>
                <w:lang w:val="sk-SK"/>
              </w:rPr>
              <w:t>520</w:t>
            </w:r>
          </w:p>
        </w:tc>
        <w:tc>
          <w:tcPr>
            <w:tcW w:w="850" w:type="dxa"/>
            <w:shd w:val="clear" w:color="auto" w:fill="C4EFCE"/>
            <w:tcMar>
              <w:left w:w="28" w:type="dxa"/>
              <w:right w:w="28" w:type="dxa"/>
            </w:tcMar>
            <w:vAlign w:val="center"/>
            <w:hideMark/>
          </w:tcPr>
          <w:p w14:paraId="61CC7B68" w14:textId="52EF18D4" w:rsidR="00387C70" w:rsidRPr="003F23AC" w:rsidRDefault="000F5AA4" w:rsidP="003F23AC">
            <w:pPr>
              <w:pStyle w:val="P68B1DB1-Normal8"/>
              <w:spacing w:after="0" w:line="240" w:lineRule="auto"/>
              <w:jc w:val="center"/>
              <w:rPr>
                <w:rFonts w:ascii="Times New Roman" w:eastAsia="Calibri" w:hAnsi="Times New Roman" w:cs="Times New Roman"/>
                <w:noProof/>
                <w:lang w:val="sk-SK"/>
              </w:rPr>
            </w:pPr>
            <w:r w:rsidRPr="003F23AC">
              <w:rPr>
                <w:rFonts w:ascii="Times New Roman" w:hAnsi="Times New Roman" w:cs="Times New Roman"/>
                <w:noProof/>
                <w:lang w:val="sk-SK"/>
              </w:rPr>
              <w:t>1400</w:t>
            </w:r>
          </w:p>
        </w:tc>
        <w:tc>
          <w:tcPr>
            <w:tcW w:w="992" w:type="dxa"/>
            <w:shd w:val="clear" w:color="auto" w:fill="C4EFCE"/>
            <w:tcMar>
              <w:left w:w="28" w:type="dxa"/>
              <w:right w:w="28" w:type="dxa"/>
            </w:tcMar>
            <w:vAlign w:val="center"/>
            <w:hideMark/>
          </w:tcPr>
          <w:p w14:paraId="7CA72895" w14:textId="4A76BDE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14" w:type="dxa"/>
            <w:shd w:val="clear" w:color="auto" w:fill="C4EFCE"/>
            <w:tcMar>
              <w:left w:w="28" w:type="dxa"/>
              <w:right w:w="28" w:type="dxa"/>
            </w:tcMar>
            <w:vAlign w:val="center"/>
            <w:hideMark/>
          </w:tcPr>
          <w:p w14:paraId="33CCDA3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606" w:type="dxa"/>
            <w:shd w:val="clear" w:color="auto" w:fill="C4EFCE"/>
            <w:tcMar>
              <w:left w:w="28" w:type="dxa"/>
              <w:right w:w="28" w:type="dxa"/>
            </w:tcMar>
            <w:vAlign w:val="center"/>
            <w:hideMark/>
          </w:tcPr>
          <w:p w14:paraId="54DCFE3F" w14:textId="5C8D211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dodaných obydlí oprávneným domácnostiam prostredníctvom výmeny bývania za dostupné náklady (DL 82/2020</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2</w:t>
            </w:r>
            <w:r w:rsidR="00A75B3C" w:rsidRPr="003F23AC">
              <w:rPr>
                <w:rFonts w:ascii="Times New Roman" w:hAnsi="Times New Roman" w:cs="Times New Roman"/>
                <w:noProof/>
                <w:lang w:val="sk-SK"/>
              </w:rPr>
              <w:t>. októbra</w:t>
            </w:r>
            <w:r w:rsidRPr="003F23AC">
              <w:rPr>
                <w:rFonts w:ascii="Times New Roman" w:hAnsi="Times New Roman" w:cs="Times New Roman"/>
                <w:noProof/>
                <w:lang w:val="sk-SK"/>
              </w:rPr>
              <w:t>) alebo prostredníctvom komunálneho programu. Cenovo dostupné bývanie sa definuje ako bývanie sprístupnené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programom nájomného na základe zákonného dekrétu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68/2019</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22</w:t>
            </w:r>
            <w:r w:rsidR="00A75B3C" w:rsidRPr="003F23AC">
              <w:rPr>
                <w:rFonts w:ascii="Times New Roman" w:hAnsi="Times New Roman" w:cs="Times New Roman"/>
                <w:noProof/>
                <w:lang w:val="sk-SK"/>
              </w:rPr>
              <w:t>. mája</w:t>
            </w:r>
            <w:r w:rsidRPr="003F23AC">
              <w:rPr>
                <w:rFonts w:ascii="Times New Roman" w:hAnsi="Times New Roman" w:cs="Times New Roman"/>
                <w:noProof/>
                <w:lang w:val="sk-SK"/>
              </w:rPr>
              <w:t xml:space="preserve">, ktorý bol podporený zákonom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81/2014</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19</w:t>
            </w:r>
            <w:r w:rsidR="00A75B3C" w:rsidRPr="003F23AC">
              <w:rPr>
                <w:rFonts w:ascii="Times New Roman" w:hAnsi="Times New Roman" w:cs="Times New Roman"/>
                <w:noProof/>
                <w:lang w:val="sk-SK"/>
              </w:rPr>
              <w:t>. decembra v </w:t>
            </w:r>
            <w:r w:rsidRPr="003F23AC">
              <w:rPr>
                <w:rFonts w:ascii="Times New Roman" w:hAnsi="Times New Roman" w:cs="Times New Roman"/>
                <w:noProof/>
                <w:lang w:val="sk-SK"/>
              </w:rPr>
              <w:t xml:space="preserve">znení zmien, režimu podmieneného nájomného zavedeného zákonom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80/2014</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19</w:t>
            </w:r>
            <w:r w:rsidR="00A75B3C" w:rsidRPr="003F23AC">
              <w:rPr>
                <w:rFonts w:ascii="Times New Roman" w:hAnsi="Times New Roman" w:cs="Times New Roman"/>
                <w:noProof/>
                <w:lang w:val="sk-SK"/>
              </w:rPr>
              <w:t>. decembra</w:t>
            </w:r>
            <w:r w:rsidRPr="003F23AC">
              <w:rPr>
                <w:rFonts w:ascii="Times New Roman" w:hAnsi="Times New Roman" w:cs="Times New Roman"/>
                <w:noProof/>
                <w:lang w:val="sk-SK"/>
              </w:rPr>
              <w:t xml:space="preserve"> 2014, systému kontrolovaných nákladov upraveného ministerskou vykonávacou vyhláškou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65/2019</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19</w:t>
            </w:r>
            <w:r w:rsidR="00A75B3C" w:rsidRPr="003F23AC">
              <w:rPr>
                <w:rFonts w:ascii="Times New Roman" w:hAnsi="Times New Roman" w:cs="Times New Roman"/>
                <w:noProof/>
                <w:lang w:val="sk-SK"/>
              </w:rPr>
              <w:t>. februára</w:t>
            </w:r>
            <w:r w:rsidRPr="003F23AC">
              <w:rPr>
                <w:rFonts w:ascii="Times New Roman" w:hAnsi="Times New Roman" w:cs="Times New Roman"/>
                <w:noProof/>
                <w:lang w:val="sk-SK"/>
              </w:rPr>
              <w:t xml:space="preserve"> alebo osobitných obecných programov. Ak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novú výstavbu,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F23AC" w:rsidRPr="003F23AC" w14:paraId="609C4778" w14:textId="77777777" w:rsidTr="003F23AC">
        <w:trPr>
          <w:trHeight w:val="1050"/>
        </w:trPr>
        <w:tc>
          <w:tcPr>
            <w:tcW w:w="1121" w:type="dxa"/>
            <w:shd w:val="clear" w:color="auto" w:fill="C4EFCE"/>
            <w:tcMar>
              <w:left w:w="28" w:type="dxa"/>
              <w:right w:w="28" w:type="dxa"/>
            </w:tcMar>
            <w:vAlign w:val="center"/>
            <w:hideMark/>
          </w:tcPr>
          <w:p w14:paraId="30CCA252"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2.24</w:t>
            </w:r>
          </w:p>
        </w:tc>
        <w:tc>
          <w:tcPr>
            <w:tcW w:w="1259" w:type="dxa"/>
            <w:shd w:val="clear" w:color="auto" w:fill="C4EFCE"/>
            <w:tcMar>
              <w:left w:w="28" w:type="dxa"/>
              <w:right w:w="28" w:type="dxa"/>
            </w:tcMar>
            <w:vAlign w:val="center"/>
            <w:hideMark/>
          </w:tcPr>
          <w:p w14:paraId="357BE13B" w14:textId="5B4DC202"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C02-i05</w:t>
            </w:r>
          </w:p>
        </w:tc>
        <w:tc>
          <w:tcPr>
            <w:tcW w:w="801" w:type="dxa"/>
            <w:shd w:val="clear" w:color="auto" w:fill="C4EFCE"/>
            <w:tcMar>
              <w:left w:w="28" w:type="dxa"/>
              <w:right w:w="28" w:type="dxa"/>
            </w:tcMar>
            <w:vAlign w:val="center"/>
            <w:hideMark/>
          </w:tcPr>
          <w:p w14:paraId="6C7C6C2C" w14:textId="16657667"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59" w:type="dxa"/>
            <w:shd w:val="clear" w:color="auto" w:fill="C4EFCE"/>
            <w:tcMar>
              <w:left w:w="28" w:type="dxa"/>
              <w:right w:w="28" w:type="dxa"/>
            </w:tcMar>
            <w:vAlign w:val="center"/>
            <w:hideMark/>
          </w:tcPr>
          <w:p w14:paraId="7C4EC8B8" w14:textId="1B59F20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Cenovo dostupný verejný bytový fond – Priradené obydlia (vybudované</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vysokou energetickou účinnosťou alebo renovované so zlepšenou energetickou hospodárnosťou)</w:t>
            </w:r>
          </w:p>
        </w:tc>
        <w:tc>
          <w:tcPr>
            <w:tcW w:w="1134" w:type="dxa"/>
            <w:shd w:val="clear" w:color="auto" w:fill="C4EFCE"/>
            <w:tcMar>
              <w:left w:w="28" w:type="dxa"/>
              <w:right w:w="28" w:type="dxa"/>
            </w:tcMar>
            <w:vAlign w:val="center"/>
            <w:hideMark/>
          </w:tcPr>
          <w:p w14:paraId="75773B0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34" w:type="dxa"/>
            <w:shd w:val="clear" w:color="auto" w:fill="C4EFCE"/>
            <w:tcMar>
              <w:left w:w="28" w:type="dxa"/>
              <w:right w:w="28" w:type="dxa"/>
            </w:tcMar>
            <w:vAlign w:val="center"/>
            <w:hideMark/>
          </w:tcPr>
          <w:p w14:paraId="7A210D1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w:t>
            </w:r>
          </w:p>
        </w:tc>
        <w:tc>
          <w:tcPr>
            <w:tcW w:w="993" w:type="dxa"/>
            <w:shd w:val="clear" w:color="auto" w:fill="C4EFCE"/>
            <w:tcMar>
              <w:left w:w="28" w:type="dxa"/>
              <w:right w:w="28" w:type="dxa"/>
            </w:tcMar>
            <w:vAlign w:val="center"/>
            <w:hideMark/>
          </w:tcPr>
          <w:p w14:paraId="6100A53D" w14:textId="39986BD6" w:rsidR="00387C70" w:rsidRPr="003F23AC" w:rsidRDefault="000F5AA4" w:rsidP="003F23AC">
            <w:pPr>
              <w:pStyle w:val="P68B1DB1-Normal8"/>
              <w:spacing w:after="0" w:line="240" w:lineRule="auto"/>
              <w:jc w:val="center"/>
              <w:rPr>
                <w:rFonts w:ascii="Times New Roman" w:eastAsia="Calibri" w:hAnsi="Times New Roman" w:cs="Times New Roman"/>
                <w:noProof/>
                <w:lang w:val="sk-SK"/>
              </w:rPr>
            </w:pPr>
            <w:r w:rsidRPr="003F23AC">
              <w:rPr>
                <w:rFonts w:ascii="Times New Roman" w:hAnsi="Times New Roman" w:cs="Times New Roman"/>
                <w:noProof/>
                <w:lang w:val="sk-SK"/>
              </w:rPr>
              <w:t>1400</w:t>
            </w:r>
          </w:p>
        </w:tc>
        <w:tc>
          <w:tcPr>
            <w:tcW w:w="850" w:type="dxa"/>
            <w:shd w:val="clear" w:color="auto" w:fill="C4EFCE"/>
            <w:tcMar>
              <w:left w:w="28" w:type="dxa"/>
              <w:right w:w="28" w:type="dxa"/>
            </w:tcMar>
            <w:vAlign w:val="center"/>
            <w:hideMark/>
          </w:tcPr>
          <w:p w14:paraId="70D00CA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6 800</w:t>
            </w:r>
          </w:p>
        </w:tc>
        <w:tc>
          <w:tcPr>
            <w:tcW w:w="992" w:type="dxa"/>
            <w:shd w:val="clear" w:color="auto" w:fill="C4EFCE"/>
            <w:tcMar>
              <w:left w:w="28" w:type="dxa"/>
              <w:right w:w="28" w:type="dxa"/>
            </w:tcMar>
            <w:vAlign w:val="center"/>
            <w:hideMark/>
          </w:tcPr>
          <w:p w14:paraId="7882F175" w14:textId="589C5CE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14" w:type="dxa"/>
            <w:shd w:val="clear" w:color="auto" w:fill="C4EFCE"/>
            <w:tcMar>
              <w:left w:w="28" w:type="dxa"/>
              <w:right w:w="28" w:type="dxa"/>
            </w:tcMar>
            <w:vAlign w:val="center"/>
            <w:hideMark/>
          </w:tcPr>
          <w:p w14:paraId="527600B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606" w:type="dxa"/>
            <w:shd w:val="clear" w:color="auto" w:fill="C4EFCE"/>
            <w:tcMar>
              <w:left w:w="28" w:type="dxa"/>
              <w:right w:w="28" w:type="dxa"/>
            </w:tcMar>
            <w:vAlign w:val="center"/>
            <w:hideMark/>
          </w:tcPr>
          <w:p w14:paraId="1406B6B7" w14:textId="4E4CF52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dodaných obydlí oprávneným domácnostiam prostredníctvom výmeny bývania za dostupné náklady (DL 82/2020</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2</w:t>
            </w:r>
            <w:r w:rsidR="00A75B3C" w:rsidRPr="003F23AC">
              <w:rPr>
                <w:rFonts w:ascii="Times New Roman" w:hAnsi="Times New Roman" w:cs="Times New Roman"/>
                <w:noProof/>
                <w:lang w:val="sk-SK"/>
              </w:rPr>
              <w:t>. októbra</w:t>
            </w:r>
            <w:r w:rsidRPr="003F23AC">
              <w:rPr>
                <w:rFonts w:ascii="Times New Roman" w:hAnsi="Times New Roman" w:cs="Times New Roman"/>
                <w:noProof/>
                <w:lang w:val="sk-SK"/>
              </w:rPr>
              <w:t>) alebo prostredníctvom komunálneho programu. Cenovo dostupné bývanie sa definuje ako bývanie sprístupnené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programom nájomného na základe zákonného dekrétu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68/2019</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22</w:t>
            </w:r>
            <w:r w:rsidR="00A75B3C" w:rsidRPr="003F23AC">
              <w:rPr>
                <w:rFonts w:ascii="Times New Roman" w:hAnsi="Times New Roman" w:cs="Times New Roman"/>
                <w:noProof/>
                <w:lang w:val="sk-SK"/>
              </w:rPr>
              <w:t>. mája</w:t>
            </w:r>
            <w:r w:rsidRPr="003F23AC">
              <w:rPr>
                <w:rFonts w:ascii="Times New Roman" w:hAnsi="Times New Roman" w:cs="Times New Roman"/>
                <w:noProof/>
                <w:lang w:val="sk-SK"/>
              </w:rPr>
              <w:t xml:space="preserve">, ktorý bol podporený zákonom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81/2014</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19</w:t>
            </w:r>
            <w:r w:rsidR="00A75B3C" w:rsidRPr="003F23AC">
              <w:rPr>
                <w:rFonts w:ascii="Times New Roman" w:hAnsi="Times New Roman" w:cs="Times New Roman"/>
                <w:noProof/>
                <w:lang w:val="sk-SK"/>
              </w:rPr>
              <w:t>. decembra v </w:t>
            </w:r>
            <w:r w:rsidRPr="003F23AC">
              <w:rPr>
                <w:rFonts w:ascii="Times New Roman" w:hAnsi="Times New Roman" w:cs="Times New Roman"/>
                <w:noProof/>
                <w:lang w:val="sk-SK"/>
              </w:rPr>
              <w:t xml:space="preserve">znení zmien, režimu podmieneného nájomného zavedeného zákonom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80/2014</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19</w:t>
            </w:r>
            <w:r w:rsidR="00A75B3C" w:rsidRPr="003F23AC">
              <w:rPr>
                <w:rFonts w:ascii="Times New Roman" w:hAnsi="Times New Roman" w:cs="Times New Roman"/>
                <w:noProof/>
                <w:lang w:val="sk-SK"/>
              </w:rPr>
              <w:t>. decembra</w:t>
            </w:r>
            <w:r w:rsidRPr="003F23AC">
              <w:rPr>
                <w:rFonts w:ascii="Times New Roman" w:hAnsi="Times New Roman" w:cs="Times New Roman"/>
                <w:noProof/>
                <w:lang w:val="sk-SK"/>
              </w:rPr>
              <w:t xml:space="preserve"> 2014, systému kontrolovaných nákladov upraveného ministerskou vykonávacou vyhláškou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65/2019</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19</w:t>
            </w:r>
            <w:r w:rsidR="00A75B3C" w:rsidRPr="003F23AC">
              <w:rPr>
                <w:rFonts w:ascii="Times New Roman" w:hAnsi="Times New Roman" w:cs="Times New Roman"/>
                <w:noProof/>
                <w:lang w:val="sk-SK"/>
              </w:rPr>
              <w:t>. februára</w:t>
            </w:r>
            <w:r w:rsidRPr="003F23AC">
              <w:rPr>
                <w:rFonts w:ascii="Times New Roman" w:hAnsi="Times New Roman" w:cs="Times New Roman"/>
                <w:noProof/>
                <w:lang w:val="sk-SK"/>
              </w:rPr>
              <w:t xml:space="preserve"> alebo osobitných obecných programov. Ak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novú výstavbu,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F23AC" w:rsidRPr="003F23AC" w14:paraId="0C0D0EA3" w14:textId="77777777" w:rsidTr="003F23AC">
        <w:trPr>
          <w:trHeight w:val="2254"/>
        </w:trPr>
        <w:tc>
          <w:tcPr>
            <w:tcW w:w="1121" w:type="dxa"/>
            <w:shd w:val="clear" w:color="auto" w:fill="C4EFCE"/>
            <w:tcMar>
              <w:left w:w="28" w:type="dxa"/>
              <w:right w:w="28" w:type="dxa"/>
            </w:tcMar>
            <w:vAlign w:val="center"/>
            <w:hideMark/>
          </w:tcPr>
          <w:p w14:paraId="4DFAE66D"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2.25</w:t>
            </w:r>
          </w:p>
        </w:tc>
        <w:tc>
          <w:tcPr>
            <w:tcW w:w="1259" w:type="dxa"/>
            <w:shd w:val="clear" w:color="auto" w:fill="C4EFCE"/>
            <w:tcMar>
              <w:left w:w="28" w:type="dxa"/>
              <w:right w:w="28" w:type="dxa"/>
            </w:tcMar>
            <w:vAlign w:val="center"/>
            <w:hideMark/>
          </w:tcPr>
          <w:p w14:paraId="2D66C9F3" w14:textId="39DD2073"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C02-i06</w:t>
            </w:r>
          </w:p>
        </w:tc>
        <w:tc>
          <w:tcPr>
            <w:tcW w:w="801" w:type="dxa"/>
            <w:shd w:val="clear" w:color="auto" w:fill="C4EFCE"/>
            <w:tcMar>
              <w:left w:w="28" w:type="dxa"/>
              <w:right w:w="28" w:type="dxa"/>
            </w:tcMar>
            <w:vAlign w:val="center"/>
            <w:hideMark/>
          </w:tcPr>
          <w:p w14:paraId="5B5E4DC3" w14:textId="2ACD90C2"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59" w:type="dxa"/>
            <w:shd w:val="clear" w:color="auto" w:fill="C4EFCE"/>
            <w:tcMar>
              <w:left w:w="28" w:type="dxa"/>
              <w:right w:w="28" w:type="dxa"/>
            </w:tcMar>
            <w:vAlign w:val="center"/>
            <w:hideMark/>
          </w:tcPr>
          <w:p w14:paraId="405985C2" w14:textId="52462DC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Ubytovanie pre študentov za prijateľné ceny – počet ubytovacích miest pre študentov so začatou verejnou súťažou</w:t>
            </w:r>
          </w:p>
        </w:tc>
        <w:tc>
          <w:tcPr>
            <w:tcW w:w="1134" w:type="dxa"/>
            <w:shd w:val="clear" w:color="auto" w:fill="C4EFCE"/>
            <w:tcMar>
              <w:left w:w="28" w:type="dxa"/>
              <w:right w:w="28" w:type="dxa"/>
            </w:tcMar>
            <w:vAlign w:val="center"/>
            <w:hideMark/>
          </w:tcPr>
          <w:p w14:paraId="456D3B1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34" w:type="dxa"/>
            <w:shd w:val="clear" w:color="auto" w:fill="C4EFCE"/>
            <w:tcMar>
              <w:left w:w="28" w:type="dxa"/>
              <w:right w:w="28" w:type="dxa"/>
            </w:tcMar>
            <w:vAlign w:val="center"/>
            <w:hideMark/>
          </w:tcPr>
          <w:p w14:paraId="0A7FE1F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w:t>
            </w:r>
          </w:p>
        </w:tc>
        <w:tc>
          <w:tcPr>
            <w:tcW w:w="993" w:type="dxa"/>
            <w:shd w:val="clear" w:color="auto" w:fill="C4EFCE"/>
            <w:tcMar>
              <w:left w:w="28" w:type="dxa"/>
              <w:right w:w="28" w:type="dxa"/>
            </w:tcMar>
            <w:vAlign w:val="center"/>
            <w:hideMark/>
          </w:tcPr>
          <w:p w14:paraId="670D15C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tcMar>
              <w:left w:w="28" w:type="dxa"/>
              <w:right w:w="28" w:type="dxa"/>
            </w:tcMar>
            <w:vAlign w:val="center"/>
            <w:hideMark/>
          </w:tcPr>
          <w:p w14:paraId="7C08501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7000</w:t>
            </w:r>
          </w:p>
        </w:tc>
        <w:tc>
          <w:tcPr>
            <w:tcW w:w="992" w:type="dxa"/>
            <w:shd w:val="clear" w:color="auto" w:fill="C4EFCE"/>
            <w:tcMar>
              <w:left w:w="28" w:type="dxa"/>
              <w:right w:w="28" w:type="dxa"/>
            </w:tcMar>
            <w:vAlign w:val="center"/>
            <w:hideMark/>
          </w:tcPr>
          <w:p w14:paraId="65F5B7C1" w14:textId="3F95952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14" w:type="dxa"/>
            <w:shd w:val="clear" w:color="auto" w:fill="C4EFCE"/>
            <w:tcMar>
              <w:left w:w="28" w:type="dxa"/>
              <w:right w:w="28" w:type="dxa"/>
            </w:tcMar>
            <w:vAlign w:val="center"/>
            <w:hideMark/>
          </w:tcPr>
          <w:p w14:paraId="1E975DE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606" w:type="dxa"/>
            <w:shd w:val="clear" w:color="auto" w:fill="C4EFCE"/>
            <w:tcMar>
              <w:left w:w="28" w:type="dxa"/>
              <w:right w:w="28" w:type="dxa"/>
            </w:tcMar>
            <w:vAlign w:val="center"/>
            <w:hideMark/>
          </w:tcPr>
          <w:p w14:paraId="2FF93065" w14:textId="275F421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nových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rekonštruovaných ubytovacích miest pre predovšetkým vysokoškolských študentov, na ktorých boli vyhlásené verejné súťaže.</w:t>
            </w:r>
          </w:p>
          <w:p w14:paraId="05C25A40" w14:textId="4B297E2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 Obnovami zameranými na energetickú efektívnosť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dosiahne aspoň stredná hĺbková obnova,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F23AC" w:rsidRPr="003F23AC" w14:paraId="0D33B44C" w14:textId="77777777" w:rsidTr="003F23AC">
        <w:trPr>
          <w:trHeight w:val="543"/>
        </w:trPr>
        <w:tc>
          <w:tcPr>
            <w:tcW w:w="1121" w:type="dxa"/>
            <w:shd w:val="clear" w:color="auto" w:fill="C4EFCE"/>
            <w:tcMar>
              <w:left w:w="28" w:type="dxa"/>
              <w:right w:w="28" w:type="dxa"/>
            </w:tcMar>
            <w:vAlign w:val="center"/>
            <w:hideMark/>
          </w:tcPr>
          <w:p w14:paraId="6BF73E55"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2.26</w:t>
            </w:r>
          </w:p>
        </w:tc>
        <w:tc>
          <w:tcPr>
            <w:tcW w:w="1259" w:type="dxa"/>
            <w:shd w:val="clear" w:color="auto" w:fill="C4EFCE"/>
            <w:tcMar>
              <w:left w:w="28" w:type="dxa"/>
              <w:right w:w="28" w:type="dxa"/>
            </w:tcMar>
            <w:vAlign w:val="center"/>
            <w:hideMark/>
          </w:tcPr>
          <w:p w14:paraId="071F28C9" w14:textId="7C09791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C02-i06</w:t>
            </w:r>
          </w:p>
        </w:tc>
        <w:tc>
          <w:tcPr>
            <w:tcW w:w="801" w:type="dxa"/>
            <w:shd w:val="clear" w:color="auto" w:fill="C4EFCE"/>
            <w:tcMar>
              <w:left w:w="28" w:type="dxa"/>
              <w:right w:w="28" w:type="dxa"/>
            </w:tcMar>
            <w:vAlign w:val="center"/>
            <w:hideMark/>
          </w:tcPr>
          <w:p w14:paraId="516C5BB2" w14:textId="00C70477"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59" w:type="dxa"/>
            <w:shd w:val="clear" w:color="auto" w:fill="C4EFCE"/>
            <w:tcMar>
              <w:left w:w="28" w:type="dxa"/>
              <w:right w:w="28" w:type="dxa"/>
            </w:tcMar>
            <w:vAlign w:val="center"/>
            <w:hideMark/>
          </w:tcPr>
          <w:p w14:paraId="450689B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Ubytovanie pre študentov za prijateľné náklady </w:t>
            </w:r>
          </w:p>
        </w:tc>
        <w:tc>
          <w:tcPr>
            <w:tcW w:w="1134" w:type="dxa"/>
            <w:shd w:val="clear" w:color="auto" w:fill="C4EFCE"/>
            <w:tcMar>
              <w:left w:w="28" w:type="dxa"/>
              <w:right w:w="28" w:type="dxa"/>
            </w:tcMar>
            <w:vAlign w:val="center"/>
            <w:hideMark/>
          </w:tcPr>
          <w:p w14:paraId="26DEFBD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34" w:type="dxa"/>
            <w:shd w:val="clear" w:color="auto" w:fill="C4EFCE"/>
            <w:tcMar>
              <w:left w:w="28" w:type="dxa"/>
              <w:right w:w="28" w:type="dxa"/>
            </w:tcMar>
            <w:vAlign w:val="center"/>
            <w:hideMark/>
          </w:tcPr>
          <w:p w14:paraId="53703B5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w:t>
            </w:r>
          </w:p>
        </w:tc>
        <w:tc>
          <w:tcPr>
            <w:tcW w:w="993" w:type="dxa"/>
            <w:shd w:val="clear" w:color="auto" w:fill="C4EFCE"/>
            <w:tcMar>
              <w:left w:w="28" w:type="dxa"/>
              <w:right w:w="28" w:type="dxa"/>
            </w:tcMar>
            <w:vAlign w:val="center"/>
            <w:hideMark/>
          </w:tcPr>
          <w:p w14:paraId="13A0BF4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tcMar>
              <w:left w:w="28" w:type="dxa"/>
              <w:right w:w="28" w:type="dxa"/>
            </w:tcMar>
            <w:vAlign w:val="center"/>
            <w:hideMark/>
          </w:tcPr>
          <w:p w14:paraId="18D72F16" w14:textId="276DBD0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7 200</w:t>
            </w:r>
          </w:p>
        </w:tc>
        <w:tc>
          <w:tcPr>
            <w:tcW w:w="992" w:type="dxa"/>
            <w:shd w:val="clear" w:color="auto" w:fill="C4EFCE"/>
            <w:tcMar>
              <w:left w:w="28" w:type="dxa"/>
              <w:right w:w="28" w:type="dxa"/>
            </w:tcMar>
            <w:vAlign w:val="center"/>
            <w:hideMark/>
          </w:tcPr>
          <w:p w14:paraId="1236111F" w14:textId="406E661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14" w:type="dxa"/>
            <w:shd w:val="clear" w:color="auto" w:fill="C4EFCE"/>
            <w:tcMar>
              <w:left w:w="28" w:type="dxa"/>
              <w:right w:w="28" w:type="dxa"/>
            </w:tcMar>
            <w:vAlign w:val="center"/>
            <w:hideMark/>
          </w:tcPr>
          <w:p w14:paraId="3F3B9998" w14:textId="37F93F3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606" w:type="dxa"/>
            <w:shd w:val="clear" w:color="auto" w:fill="C4EFCE"/>
            <w:tcMar>
              <w:left w:w="28" w:type="dxa"/>
              <w:right w:w="28" w:type="dxa"/>
            </w:tcMar>
            <w:vAlign w:val="center"/>
            <w:hideMark/>
          </w:tcPr>
          <w:p w14:paraId="1E46C75E" w14:textId="520DDE08"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nových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renovovaných miest, ktoré sú</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dispozícii predovšetkým vysokoškolským študentom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mestských alebo zmiešaných budovách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ktoré sú úplne alebo čiastočne určené na dočasné ubytovanie pre študentov, ktorí študujú na inom mieste ako je ich bydlisko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potrebujú ubytovanie na účely vysokoškolského vzdelávania, vrátane študentských bytov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vysokoškolského vzdelávania, ktoré nevyhnutne zahŕňajú izby, kúpeľne, kuchyne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stravovacie priestory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môžu zahŕňať študijné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ubytovacie miesta, parkovanie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vybavenie</w:t>
            </w:r>
            <w:r w:rsidR="00A75B3C" w:rsidRPr="003F23AC">
              <w:rPr>
                <w:rFonts w:ascii="Times New Roman" w:hAnsi="Times New Roman" w:cs="Times New Roman"/>
                <w:noProof/>
                <w:lang w:val="sk-SK"/>
              </w:rPr>
              <w:t>;</w:t>
            </w:r>
          </w:p>
          <w:p w14:paraId="6C80330F" w14:textId="7849919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 Obnovy zamerané na energetickú efektívnosť musia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dosiahnuť aspoň strednú hĺbkovú obnovu,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F23AC" w:rsidRPr="003F23AC" w14:paraId="6E7A4C44" w14:textId="77777777" w:rsidTr="003F23AC">
        <w:trPr>
          <w:trHeight w:val="543"/>
        </w:trPr>
        <w:tc>
          <w:tcPr>
            <w:tcW w:w="1121" w:type="dxa"/>
            <w:shd w:val="clear" w:color="auto" w:fill="C4EFCE"/>
            <w:tcMar>
              <w:left w:w="28" w:type="dxa"/>
              <w:right w:w="28" w:type="dxa"/>
            </w:tcMar>
            <w:vAlign w:val="center"/>
            <w:hideMark/>
          </w:tcPr>
          <w:p w14:paraId="2FE553C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2.27</w:t>
            </w:r>
          </w:p>
        </w:tc>
        <w:tc>
          <w:tcPr>
            <w:tcW w:w="1259" w:type="dxa"/>
            <w:shd w:val="clear" w:color="auto" w:fill="C4EFCE"/>
            <w:tcMar>
              <w:left w:w="28" w:type="dxa"/>
              <w:right w:w="28" w:type="dxa"/>
            </w:tcMar>
            <w:vAlign w:val="center"/>
            <w:hideMark/>
          </w:tcPr>
          <w:p w14:paraId="0BCB48BE" w14:textId="7F6122B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C02-i06</w:t>
            </w:r>
          </w:p>
        </w:tc>
        <w:tc>
          <w:tcPr>
            <w:tcW w:w="801" w:type="dxa"/>
            <w:shd w:val="clear" w:color="auto" w:fill="C4EFCE"/>
            <w:tcMar>
              <w:left w:w="28" w:type="dxa"/>
              <w:right w:w="28" w:type="dxa"/>
            </w:tcMar>
            <w:vAlign w:val="center"/>
            <w:hideMark/>
          </w:tcPr>
          <w:p w14:paraId="10B25FE4" w14:textId="02638BEA"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59" w:type="dxa"/>
            <w:shd w:val="clear" w:color="auto" w:fill="C4EFCE"/>
            <w:tcMar>
              <w:left w:w="28" w:type="dxa"/>
              <w:right w:w="28" w:type="dxa"/>
            </w:tcMar>
            <w:vAlign w:val="center"/>
            <w:hideMark/>
          </w:tcPr>
          <w:p w14:paraId="2615708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Ubytovanie pre študentov za prijateľné náklady </w:t>
            </w:r>
          </w:p>
        </w:tc>
        <w:tc>
          <w:tcPr>
            <w:tcW w:w="1134" w:type="dxa"/>
            <w:shd w:val="clear" w:color="auto" w:fill="C4EFCE"/>
            <w:tcMar>
              <w:left w:w="28" w:type="dxa"/>
              <w:right w:w="28" w:type="dxa"/>
            </w:tcMar>
            <w:vAlign w:val="center"/>
            <w:hideMark/>
          </w:tcPr>
          <w:p w14:paraId="1F8A44C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34" w:type="dxa"/>
            <w:shd w:val="clear" w:color="auto" w:fill="C4EFCE"/>
            <w:tcMar>
              <w:left w:w="28" w:type="dxa"/>
              <w:right w:w="28" w:type="dxa"/>
            </w:tcMar>
            <w:vAlign w:val="center"/>
            <w:hideMark/>
          </w:tcPr>
          <w:p w14:paraId="167C80E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3" w:type="dxa"/>
            <w:shd w:val="clear" w:color="auto" w:fill="C4EFCE"/>
            <w:tcMar>
              <w:left w:w="28" w:type="dxa"/>
              <w:right w:w="28" w:type="dxa"/>
            </w:tcMar>
            <w:vAlign w:val="center"/>
            <w:hideMark/>
          </w:tcPr>
          <w:p w14:paraId="416AAB49" w14:textId="54C17EC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7 200</w:t>
            </w:r>
          </w:p>
        </w:tc>
        <w:tc>
          <w:tcPr>
            <w:tcW w:w="850" w:type="dxa"/>
            <w:shd w:val="clear" w:color="auto" w:fill="C4EFCE"/>
            <w:tcMar>
              <w:left w:w="28" w:type="dxa"/>
              <w:right w:w="28" w:type="dxa"/>
            </w:tcMar>
            <w:vAlign w:val="center"/>
            <w:hideMark/>
          </w:tcPr>
          <w:p w14:paraId="3439E949" w14:textId="1E287A3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13 300</w:t>
            </w:r>
          </w:p>
        </w:tc>
        <w:tc>
          <w:tcPr>
            <w:tcW w:w="992" w:type="dxa"/>
            <w:shd w:val="clear" w:color="auto" w:fill="C4EFCE"/>
            <w:tcMar>
              <w:left w:w="28" w:type="dxa"/>
              <w:right w:w="28" w:type="dxa"/>
            </w:tcMar>
            <w:vAlign w:val="center"/>
            <w:hideMark/>
          </w:tcPr>
          <w:p w14:paraId="2CB76039" w14:textId="1E77BBB6"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14" w:type="dxa"/>
            <w:shd w:val="clear" w:color="auto" w:fill="C4EFCE"/>
            <w:tcMar>
              <w:left w:w="28" w:type="dxa"/>
              <w:right w:w="28" w:type="dxa"/>
            </w:tcMar>
            <w:vAlign w:val="center"/>
            <w:hideMark/>
          </w:tcPr>
          <w:p w14:paraId="11F34838" w14:textId="11E49FF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606" w:type="dxa"/>
            <w:shd w:val="clear" w:color="auto" w:fill="C4EFCE"/>
            <w:tcMar>
              <w:left w:w="28" w:type="dxa"/>
              <w:right w:w="28" w:type="dxa"/>
            </w:tcMar>
            <w:vAlign w:val="center"/>
            <w:hideMark/>
          </w:tcPr>
          <w:p w14:paraId="3D265A32" w14:textId="20997E6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nových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renovovaných miest, ktoré sú</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dispozícii predovšetkým pre vysokoškolských študentov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mestských alebo zmiešaných budovách určených úplne alebo čiastočne na dočasné ubytovanie pre študentov, ktorí študujú na inom mieste ako je ich bydlisko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potrebujú ubytovanie na účely vysokoškolského vzdelávania, vrátane študentských bytov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vysokoškolského vzdelávania, ktoré nevyhnutne zahŕňajú spálne, kúpeľne, kuchyne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stravovacie priestory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môžu zahŕňať študijné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ubytovacie miesta, parkovanie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vybavenie;</w:t>
            </w:r>
          </w:p>
          <w:p w14:paraId="035EFF71" w14:textId="41B96EC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 Obnovy zamerané na energetickú efektívnosť musia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dosiahnuť aspoň strednú hĺbkovú obnovu,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F23AC" w:rsidRPr="003F23AC" w14:paraId="3787F6D4" w14:textId="77777777" w:rsidTr="003F23AC">
        <w:trPr>
          <w:trHeight w:val="1050"/>
        </w:trPr>
        <w:tc>
          <w:tcPr>
            <w:tcW w:w="1121" w:type="dxa"/>
            <w:shd w:val="clear" w:color="auto" w:fill="C4EFCE"/>
            <w:tcMar>
              <w:left w:w="28" w:type="dxa"/>
              <w:right w:w="28" w:type="dxa"/>
            </w:tcMar>
            <w:vAlign w:val="center"/>
            <w:hideMark/>
          </w:tcPr>
          <w:p w14:paraId="64CCD21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2.28</w:t>
            </w:r>
          </w:p>
        </w:tc>
        <w:tc>
          <w:tcPr>
            <w:tcW w:w="1259" w:type="dxa"/>
            <w:shd w:val="clear" w:color="auto" w:fill="C4EFCE"/>
            <w:tcMar>
              <w:left w:w="28" w:type="dxa"/>
              <w:right w:w="28" w:type="dxa"/>
            </w:tcMar>
            <w:vAlign w:val="center"/>
            <w:hideMark/>
          </w:tcPr>
          <w:p w14:paraId="20A40908" w14:textId="03EAA74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C02-i06</w:t>
            </w:r>
          </w:p>
        </w:tc>
        <w:tc>
          <w:tcPr>
            <w:tcW w:w="801" w:type="dxa"/>
            <w:shd w:val="clear" w:color="auto" w:fill="C4EFCE"/>
            <w:tcMar>
              <w:left w:w="28" w:type="dxa"/>
              <w:right w:w="28" w:type="dxa"/>
            </w:tcMar>
            <w:vAlign w:val="center"/>
            <w:hideMark/>
          </w:tcPr>
          <w:p w14:paraId="4FFB417C" w14:textId="27302883"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59" w:type="dxa"/>
            <w:shd w:val="clear" w:color="auto" w:fill="C4EFCE"/>
            <w:tcMar>
              <w:left w:w="28" w:type="dxa"/>
              <w:right w:w="28" w:type="dxa"/>
            </w:tcMar>
            <w:vAlign w:val="center"/>
            <w:hideMark/>
          </w:tcPr>
          <w:p w14:paraId="750C1A1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Ubytovanie pre študentov za prijateľné náklady </w:t>
            </w:r>
          </w:p>
        </w:tc>
        <w:tc>
          <w:tcPr>
            <w:tcW w:w="1134" w:type="dxa"/>
            <w:shd w:val="clear" w:color="auto" w:fill="C4EFCE"/>
            <w:tcMar>
              <w:left w:w="28" w:type="dxa"/>
              <w:right w:w="28" w:type="dxa"/>
            </w:tcMar>
            <w:vAlign w:val="center"/>
            <w:hideMark/>
          </w:tcPr>
          <w:p w14:paraId="6C52FC9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34" w:type="dxa"/>
            <w:shd w:val="clear" w:color="auto" w:fill="C4EFCE"/>
            <w:tcMar>
              <w:left w:w="28" w:type="dxa"/>
              <w:right w:w="28" w:type="dxa"/>
            </w:tcMar>
            <w:vAlign w:val="center"/>
            <w:hideMark/>
          </w:tcPr>
          <w:p w14:paraId="46B0105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w:t>
            </w:r>
          </w:p>
        </w:tc>
        <w:tc>
          <w:tcPr>
            <w:tcW w:w="993" w:type="dxa"/>
            <w:shd w:val="clear" w:color="auto" w:fill="C4EFCE"/>
            <w:tcMar>
              <w:left w:w="28" w:type="dxa"/>
              <w:right w:w="28" w:type="dxa"/>
            </w:tcMar>
            <w:vAlign w:val="center"/>
            <w:hideMark/>
          </w:tcPr>
          <w:p w14:paraId="6B6F55A2" w14:textId="430D0E7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13 300</w:t>
            </w:r>
          </w:p>
        </w:tc>
        <w:tc>
          <w:tcPr>
            <w:tcW w:w="850" w:type="dxa"/>
            <w:shd w:val="clear" w:color="auto" w:fill="C4EFCE"/>
            <w:tcMar>
              <w:left w:w="28" w:type="dxa"/>
              <w:right w:w="28" w:type="dxa"/>
            </w:tcMar>
            <w:vAlign w:val="center"/>
            <w:hideMark/>
          </w:tcPr>
          <w:p w14:paraId="29351001" w14:textId="66F0DDA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18 000</w:t>
            </w:r>
          </w:p>
        </w:tc>
        <w:tc>
          <w:tcPr>
            <w:tcW w:w="992" w:type="dxa"/>
            <w:shd w:val="clear" w:color="auto" w:fill="C4EFCE"/>
            <w:tcMar>
              <w:left w:w="28" w:type="dxa"/>
              <w:right w:w="28" w:type="dxa"/>
            </w:tcMar>
            <w:vAlign w:val="center"/>
            <w:hideMark/>
          </w:tcPr>
          <w:p w14:paraId="73B3BC6B" w14:textId="5AD501C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14" w:type="dxa"/>
            <w:shd w:val="clear" w:color="auto" w:fill="C4EFCE"/>
            <w:tcMar>
              <w:left w:w="28" w:type="dxa"/>
              <w:right w:w="28" w:type="dxa"/>
            </w:tcMar>
            <w:vAlign w:val="center"/>
            <w:hideMark/>
          </w:tcPr>
          <w:p w14:paraId="51504EB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606" w:type="dxa"/>
            <w:shd w:val="clear" w:color="auto" w:fill="C4EFCE"/>
            <w:tcMar>
              <w:left w:w="28" w:type="dxa"/>
              <w:right w:w="28" w:type="dxa"/>
            </w:tcMar>
            <w:vAlign w:val="center"/>
            <w:hideMark/>
          </w:tcPr>
          <w:p w14:paraId="6DCE48D0" w14:textId="78803D0D"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nových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renovovaných miest, ktoré sú</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dispozícii predovšetkým pre vysokoškolských študentov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mestských alebo zmiešaných budovách určených úplne alebo čiastočne na dočasné ubytovanie pre študentov, ktorí študujú na inom mieste ako je ich bydlisko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potrebujú ubytovanie na účely vysokoškolského vzdelávania, vrátane študentských bytov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vysokoškolského vzdelávania, ktoré nevyhnutne zahŕňajú spálne, kúpeľne, kuchyne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stravovacie priestory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môžu zahŕňať študijné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ubytovacie miesta, parkovanie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vybavenie</w:t>
            </w:r>
            <w:r w:rsidR="00A75B3C" w:rsidRPr="003F23AC">
              <w:rPr>
                <w:rFonts w:ascii="Times New Roman" w:hAnsi="Times New Roman" w:cs="Times New Roman"/>
                <w:noProof/>
                <w:lang w:val="sk-SK"/>
              </w:rPr>
              <w:t>;</w:t>
            </w:r>
          </w:p>
          <w:p w14:paraId="10E836B8" w14:textId="61D3A4E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 Obnovy zamerané na energetickú efektívnosť musia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dosiahnuť aspoň strednú hĺbkovú obnovu,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F23AC" w:rsidRPr="003F23AC" w14:paraId="60C698ED" w14:textId="77777777" w:rsidTr="003F23AC">
        <w:trPr>
          <w:trHeight w:val="1050"/>
        </w:trPr>
        <w:tc>
          <w:tcPr>
            <w:tcW w:w="1121" w:type="dxa"/>
            <w:shd w:val="clear" w:color="auto" w:fill="C4EFCE"/>
            <w:tcMar>
              <w:left w:w="28" w:type="dxa"/>
              <w:right w:w="28" w:type="dxa"/>
            </w:tcMar>
            <w:vAlign w:val="center"/>
          </w:tcPr>
          <w:p w14:paraId="4705E034" w14:textId="4AC666D2"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2.32</w:t>
            </w:r>
          </w:p>
        </w:tc>
        <w:tc>
          <w:tcPr>
            <w:tcW w:w="1259" w:type="dxa"/>
            <w:shd w:val="clear" w:color="auto" w:fill="C4EFCE"/>
            <w:tcMar>
              <w:left w:w="28" w:type="dxa"/>
              <w:right w:w="28" w:type="dxa"/>
            </w:tcMar>
            <w:vAlign w:val="center"/>
          </w:tcPr>
          <w:p w14:paraId="4776F9DD" w14:textId="48A0FA5D" w:rsidR="00387C70" w:rsidRPr="003F23AC" w:rsidRDefault="00F218FC"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C02-i09</w:t>
            </w:r>
          </w:p>
        </w:tc>
        <w:tc>
          <w:tcPr>
            <w:tcW w:w="801" w:type="dxa"/>
            <w:shd w:val="clear" w:color="auto" w:fill="C4EFCE"/>
            <w:tcMar>
              <w:left w:w="28" w:type="dxa"/>
              <w:right w:w="28" w:type="dxa"/>
            </w:tcMar>
            <w:vAlign w:val="center"/>
          </w:tcPr>
          <w:p w14:paraId="3A5C7E5C" w14:textId="72584692"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59" w:type="dxa"/>
            <w:shd w:val="clear" w:color="auto" w:fill="C4EFCE"/>
            <w:tcMar>
              <w:left w:w="28" w:type="dxa"/>
              <w:right w:w="28" w:type="dxa"/>
            </w:tcMar>
            <w:vAlign w:val="center"/>
          </w:tcPr>
          <w:p w14:paraId="0968588E" w14:textId="62D03C8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Program na podporu prístupu</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bývaniu (úveru) – Kúpané, postavené (vysoká energetická efektívnosť) alebo renovované (so zlepšenou energetickou hospodárnosťou) byty poskytované domácnostiam</w:t>
            </w:r>
          </w:p>
        </w:tc>
        <w:tc>
          <w:tcPr>
            <w:tcW w:w="1134" w:type="dxa"/>
            <w:shd w:val="clear" w:color="auto" w:fill="C4EFCE"/>
            <w:tcMar>
              <w:left w:w="28" w:type="dxa"/>
              <w:right w:w="28" w:type="dxa"/>
            </w:tcMar>
            <w:vAlign w:val="center"/>
          </w:tcPr>
          <w:p w14:paraId="0319FDDB"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1134" w:type="dxa"/>
            <w:shd w:val="clear" w:color="auto" w:fill="C4EFCE"/>
            <w:tcMar>
              <w:left w:w="28" w:type="dxa"/>
              <w:right w:w="28" w:type="dxa"/>
            </w:tcMar>
            <w:vAlign w:val="center"/>
          </w:tcPr>
          <w:p w14:paraId="172C6BDD" w14:textId="4AB1B92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3" w:type="dxa"/>
            <w:shd w:val="clear" w:color="auto" w:fill="C4EFCE"/>
            <w:tcMar>
              <w:left w:w="28" w:type="dxa"/>
              <w:right w:w="28" w:type="dxa"/>
            </w:tcMar>
            <w:vAlign w:val="center"/>
          </w:tcPr>
          <w:p w14:paraId="1E32C4B2" w14:textId="1372481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22 360</w:t>
            </w:r>
          </w:p>
        </w:tc>
        <w:tc>
          <w:tcPr>
            <w:tcW w:w="850" w:type="dxa"/>
            <w:shd w:val="clear" w:color="auto" w:fill="C4EFCE"/>
            <w:tcMar>
              <w:left w:w="28" w:type="dxa"/>
              <w:right w:w="28" w:type="dxa"/>
            </w:tcMar>
            <w:vAlign w:val="center"/>
          </w:tcPr>
          <w:p w14:paraId="1CB0AF1E" w14:textId="43D15A0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26 000</w:t>
            </w:r>
          </w:p>
        </w:tc>
        <w:tc>
          <w:tcPr>
            <w:tcW w:w="992" w:type="dxa"/>
            <w:shd w:val="clear" w:color="auto" w:fill="C4EFCE"/>
            <w:tcMar>
              <w:left w:w="28" w:type="dxa"/>
              <w:right w:w="28" w:type="dxa"/>
            </w:tcMar>
            <w:vAlign w:val="center"/>
          </w:tcPr>
          <w:p w14:paraId="413ACC31" w14:textId="0BCDE23C"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14" w:type="dxa"/>
            <w:shd w:val="clear" w:color="auto" w:fill="C4EFCE"/>
            <w:tcMar>
              <w:left w:w="28" w:type="dxa"/>
              <w:right w:w="28" w:type="dxa"/>
            </w:tcMar>
            <w:vAlign w:val="center"/>
          </w:tcPr>
          <w:p w14:paraId="07B859C8" w14:textId="44A10FA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606" w:type="dxa"/>
            <w:shd w:val="clear" w:color="auto" w:fill="C4EFCE"/>
            <w:tcMar>
              <w:left w:w="28" w:type="dxa"/>
              <w:right w:w="28" w:type="dxa"/>
            </w:tcMar>
            <w:vAlign w:val="center"/>
          </w:tcPr>
          <w:p w14:paraId="4659094D" w14:textId="1911DBDA"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obydlí dodaných oprávneným domácnostiam programu.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 Pokiaľ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obnovu, referenčná jednotka na obydlie je 73 metrov štvorcových, pre nové stavby 95 metrov štvorcových pre 3640 obydlí.</w:t>
            </w:r>
            <w:r w:rsidR="00A75B3C" w:rsidRPr="003F23AC">
              <w:rPr>
                <w:rFonts w:ascii="Times New Roman" w:hAnsi="Times New Roman" w:cs="Times New Roman"/>
                <w:noProof/>
                <w:lang w:val="sk-SK"/>
              </w:rPr>
              <w:t xml:space="preserve"> </w:t>
            </w:r>
          </w:p>
        </w:tc>
      </w:tr>
    </w:tbl>
    <w:p w14:paraId="3369A928"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E00EDD">
          <w:headerReference w:type="even" r:id="rId66"/>
          <w:headerReference w:type="default" r:id="rId67"/>
          <w:footerReference w:type="even" r:id="rId68"/>
          <w:footerReference w:type="default" r:id="rId69"/>
          <w:headerReference w:type="first" r:id="rId70"/>
          <w:footerReference w:type="first" r:id="rId71"/>
          <w:pgSz w:w="16839" w:h="11907" w:orient="landscape"/>
          <w:pgMar w:top="1134" w:right="1134" w:bottom="1134" w:left="1134" w:header="567" w:footer="567" w:gutter="0"/>
          <w:cols w:space="720"/>
          <w:docGrid w:linePitch="360"/>
        </w:sectPr>
      </w:pPr>
    </w:p>
    <w:p w14:paraId="778B2B3C" w14:textId="27E859C6"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C</w:t>
      </w:r>
      <w:r w:rsidR="00C32C63" w:rsidRPr="003F23AC">
        <w:rPr>
          <w:rFonts w:cs="Times New Roman"/>
          <w:noProof/>
          <w:lang w:val="sk-SK"/>
        </w:rPr>
        <w:t>. KOMPONENT</w:t>
      </w:r>
      <w:r w:rsidRPr="003F23AC">
        <w:rPr>
          <w:rFonts w:cs="Times New Roman"/>
          <w:noProof/>
          <w:lang w:val="sk-SK"/>
        </w:rPr>
        <w:t xml:space="preserve"> 3: Sociálne reakcie</w:t>
      </w:r>
    </w:p>
    <w:p w14:paraId="58EF4723" w14:textId="346483E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Portugalsko už mnoho rokov čelí významným demografickým</w:t>
      </w:r>
      <w:r w:rsidR="00A75B3C" w:rsidRPr="003F23AC">
        <w:rPr>
          <w:rFonts w:cs="Times New Roman"/>
          <w:noProof/>
          <w:lang w:val="sk-SK"/>
        </w:rPr>
        <w:t xml:space="preserve"> a </w:t>
      </w:r>
      <w:r w:rsidRPr="003F23AC">
        <w:rPr>
          <w:rFonts w:cs="Times New Roman"/>
          <w:noProof/>
          <w:lang w:val="sk-SK"/>
        </w:rPr>
        <w:t>sociálno-ekonomickým výzvam, ktoré pandémia COVID-19 ešte zosilnila. Táto zložka portugalského plánu obnovy</w:t>
      </w:r>
      <w:r w:rsidR="00A75B3C" w:rsidRPr="003F23AC">
        <w:rPr>
          <w:rFonts w:cs="Times New Roman"/>
          <w:noProof/>
          <w:lang w:val="sk-SK"/>
        </w:rPr>
        <w:t xml:space="preserve"> a </w:t>
      </w:r>
      <w:r w:rsidRPr="003F23AC">
        <w:rPr>
          <w:rFonts w:cs="Times New Roman"/>
          <w:noProof/>
          <w:lang w:val="sk-SK"/>
        </w:rPr>
        <w:t>odolnosti rieši tieto výzvy: demografické starnutie, práva osôb so zdravotným postihnutím</w:t>
      </w:r>
      <w:r w:rsidR="00A75B3C" w:rsidRPr="003F23AC">
        <w:rPr>
          <w:rFonts w:cs="Times New Roman"/>
          <w:noProof/>
          <w:lang w:val="sk-SK"/>
        </w:rPr>
        <w:t xml:space="preserve"> a </w:t>
      </w:r>
      <w:r w:rsidRPr="003F23AC">
        <w:rPr>
          <w:rFonts w:cs="Times New Roman"/>
          <w:noProof/>
          <w:lang w:val="sk-SK"/>
        </w:rPr>
        <w:t>iných osôb so závislosťou</w:t>
      </w:r>
      <w:r w:rsidR="00A75B3C" w:rsidRPr="003F23AC">
        <w:rPr>
          <w:rFonts w:cs="Times New Roman"/>
          <w:noProof/>
          <w:lang w:val="sk-SK"/>
        </w:rPr>
        <w:t xml:space="preserve"> a </w:t>
      </w:r>
      <w:r w:rsidRPr="003F23AC">
        <w:rPr>
          <w:rFonts w:cs="Times New Roman"/>
          <w:noProof/>
          <w:lang w:val="sk-SK"/>
        </w:rPr>
        <w:t>chudobou</w:t>
      </w:r>
      <w:r w:rsidR="00A75B3C" w:rsidRPr="003F23AC">
        <w:rPr>
          <w:rFonts w:cs="Times New Roman"/>
          <w:noProof/>
          <w:lang w:val="sk-SK"/>
        </w:rPr>
        <w:t xml:space="preserve"> a </w:t>
      </w:r>
      <w:r w:rsidRPr="003F23AC">
        <w:rPr>
          <w:rFonts w:cs="Times New Roman"/>
          <w:noProof/>
          <w:lang w:val="sk-SK"/>
        </w:rPr>
        <w:t>sociálnym vylúčením medzi znevýhodnenými komunitami</w:t>
      </w:r>
      <w:r w:rsidR="00A75B3C" w:rsidRPr="003F23AC">
        <w:rPr>
          <w:rFonts w:cs="Times New Roman"/>
          <w:noProof/>
          <w:lang w:val="sk-SK"/>
        </w:rPr>
        <w:t xml:space="preserve"> a </w:t>
      </w:r>
      <w:r w:rsidRPr="003F23AC">
        <w:rPr>
          <w:rFonts w:cs="Times New Roman"/>
          <w:noProof/>
          <w:lang w:val="sk-SK"/>
        </w:rPr>
        <w:t>skupinami</w:t>
      </w:r>
      <w:r w:rsidR="00A75B3C" w:rsidRPr="003F23AC">
        <w:rPr>
          <w:rFonts w:cs="Times New Roman"/>
          <w:noProof/>
          <w:lang w:val="sk-SK"/>
        </w:rPr>
        <w:t>.</w:t>
      </w:r>
    </w:p>
    <w:p w14:paraId="13F6371D" w14:textId="5FEF012B"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V tejto súvislosti sa táto zložka zaoberá výzvami súvisiacimi so štrukturálnou sociálnou politikou</w:t>
      </w:r>
      <w:r w:rsidR="00A75B3C" w:rsidRPr="003F23AC">
        <w:rPr>
          <w:rFonts w:cs="Times New Roman"/>
          <w:noProof/>
          <w:lang w:val="sk-SK"/>
        </w:rPr>
        <w:t xml:space="preserve"> a </w:t>
      </w:r>
      <w:r w:rsidRPr="003F23AC">
        <w:rPr>
          <w:rFonts w:cs="Times New Roman"/>
          <w:noProof/>
          <w:lang w:val="sk-SK"/>
        </w:rPr>
        <w:t>nedostatkom sociálnych služieb pre obyvateľstvo/regióny</w:t>
      </w:r>
      <w:r w:rsidR="00A75B3C" w:rsidRPr="003F23AC">
        <w:rPr>
          <w:rFonts w:cs="Times New Roman"/>
          <w:noProof/>
          <w:lang w:val="sk-SK"/>
        </w:rPr>
        <w:t xml:space="preserve"> v </w:t>
      </w:r>
      <w:r w:rsidRPr="003F23AC">
        <w:rPr>
          <w:rFonts w:cs="Times New Roman"/>
          <w:noProof/>
          <w:lang w:val="sk-SK"/>
        </w:rPr>
        <w:t>núdzi,</w:t>
      </w:r>
      <w:r w:rsidR="00A75B3C" w:rsidRPr="003F23AC">
        <w:rPr>
          <w:rFonts w:cs="Times New Roman"/>
          <w:noProof/>
          <w:lang w:val="sk-SK"/>
        </w:rPr>
        <w:t xml:space="preserve"> a </w:t>
      </w:r>
      <w:r w:rsidRPr="003F23AC">
        <w:rPr>
          <w:rFonts w:cs="Times New Roman"/>
          <w:noProof/>
          <w:lang w:val="sk-SK"/>
        </w:rPr>
        <w:t>to</w:t>
      </w:r>
      <w:r w:rsidR="00A75B3C" w:rsidRPr="003F23AC">
        <w:rPr>
          <w:rFonts w:cs="Times New Roman"/>
          <w:noProof/>
          <w:lang w:val="sk-SK"/>
        </w:rPr>
        <w:t xml:space="preserve"> v </w:t>
      </w:r>
      <w:r w:rsidRPr="003F23AC">
        <w:rPr>
          <w:rFonts w:cs="Times New Roman"/>
          <w:noProof/>
          <w:lang w:val="sk-SK"/>
        </w:rPr>
        <w:t>kontinentálnom Portugalsku, ako aj</w:t>
      </w:r>
      <w:r w:rsidR="00A75B3C" w:rsidRPr="003F23AC">
        <w:rPr>
          <w:rFonts w:cs="Times New Roman"/>
          <w:noProof/>
          <w:lang w:val="sk-SK"/>
        </w:rPr>
        <w:t xml:space="preserve"> v </w:t>
      </w:r>
      <w:r w:rsidRPr="003F23AC">
        <w:rPr>
          <w:rFonts w:cs="Times New Roman"/>
          <w:noProof/>
          <w:lang w:val="sk-SK"/>
        </w:rPr>
        <w:t>autonómnych regiónoch Azory</w:t>
      </w:r>
      <w:r w:rsidR="00A75B3C" w:rsidRPr="003F23AC">
        <w:rPr>
          <w:rFonts w:cs="Times New Roman"/>
          <w:noProof/>
          <w:lang w:val="sk-SK"/>
        </w:rPr>
        <w:t xml:space="preserve"> a </w:t>
      </w:r>
      <w:r w:rsidRPr="003F23AC">
        <w:rPr>
          <w:rFonts w:cs="Times New Roman"/>
          <w:noProof/>
          <w:lang w:val="sk-SK"/>
        </w:rPr>
        <w:t>Madeiry</w:t>
      </w:r>
      <w:r w:rsidR="00A75B3C" w:rsidRPr="003F23AC">
        <w:rPr>
          <w:rFonts w:cs="Times New Roman"/>
          <w:noProof/>
          <w:lang w:val="sk-SK"/>
        </w:rPr>
        <w:t>.</w:t>
      </w:r>
    </w:p>
    <w:p w14:paraId="5F00D562" w14:textId="313C953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Hlavné ciele zložky sú: I) zlepšenie zariadení sociálnej starostlivosti</w:t>
      </w:r>
      <w:r w:rsidR="00A75B3C" w:rsidRPr="003F23AC">
        <w:rPr>
          <w:rFonts w:cs="Times New Roman"/>
          <w:noProof/>
          <w:lang w:val="sk-SK"/>
        </w:rPr>
        <w:t xml:space="preserve"> a </w:t>
      </w:r>
      <w:r w:rsidRPr="003F23AC">
        <w:rPr>
          <w:rFonts w:cs="Times New Roman"/>
          <w:noProof/>
          <w:lang w:val="sk-SK"/>
        </w:rPr>
        <w:t>zabezpečenie lepšieho územného pokrytia; II) posilnenie</w:t>
      </w:r>
      <w:r w:rsidR="00A75B3C" w:rsidRPr="003F23AC">
        <w:rPr>
          <w:rFonts w:cs="Times New Roman"/>
          <w:noProof/>
          <w:lang w:val="sk-SK"/>
        </w:rPr>
        <w:t xml:space="preserve"> a </w:t>
      </w:r>
      <w:r w:rsidRPr="003F23AC">
        <w:rPr>
          <w:rFonts w:cs="Times New Roman"/>
          <w:noProof/>
          <w:lang w:val="sk-SK"/>
        </w:rPr>
        <w:t>rozšírenie siete sociálnych reakcií inovačnými riešeniami</w:t>
      </w:r>
      <w:r w:rsidR="00A75B3C" w:rsidRPr="003F23AC">
        <w:rPr>
          <w:rFonts w:cs="Times New Roman"/>
          <w:noProof/>
          <w:lang w:val="sk-SK"/>
        </w:rPr>
        <w:t xml:space="preserve"> a </w:t>
      </w:r>
      <w:r w:rsidRPr="003F23AC">
        <w:rPr>
          <w:rFonts w:cs="Times New Roman"/>
          <w:noProof/>
          <w:lang w:val="sk-SK"/>
        </w:rPr>
        <w:t>pilotnými projektmi</w:t>
      </w:r>
      <w:r w:rsidR="00A75B3C" w:rsidRPr="003F23AC">
        <w:rPr>
          <w:rFonts w:cs="Times New Roman"/>
          <w:noProof/>
          <w:lang w:val="sk-SK"/>
        </w:rPr>
        <w:t xml:space="preserve"> a </w:t>
      </w:r>
      <w:r w:rsidRPr="003F23AC">
        <w:rPr>
          <w:rFonts w:cs="Times New Roman"/>
          <w:noProof/>
          <w:lang w:val="sk-SK"/>
        </w:rPr>
        <w:t>intervenciami; III) vypracúvanie nových komunitných podporných reakcií, ktoré prispievajú</w:t>
      </w:r>
      <w:r w:rsidR="00A75B3C" w:rsidRPr="003F23AC">
        <w:rPr>
          <w:rFonts w:cs="Times New Roman"/>
          <w:noProof/>
          <w:lang w:val="sk-SK"/>
        </w:rPr>
        <w:t xml:space="preserve"> k </w:t>
      </w:r>
      <w:r w:rsidRPr="003F23AC">
        <w:rPr>
          <w:rFonts w:cs="Times New Roman"/>
          <w:noProof/>
          <w:lang w:val="sk-SK"/>
        </w:rPr>
        <w:t>podpore nezávislého života, predchádzaniu závislosti</w:t>
      </w:r>
      <w:r w:rsidR="00A75B3C" w:rsidRPr="003F23AC">
        <w:rPr>
          <w:rFonts w:cs="Times New Roman"/>
          <w:noProof/>
          <w:lang w:val="sk-SK"/>
        </w:rPr>
        <w:t xml:space="preserve"> a </w:t>
      </w:r>
      <w:r w:rsidRPr="003F23AC">
        <w:rPr>
          <w:rFonts w:cs="Times New Roman"/>
          <w:noProof/>
          <w:lang w:val="sk-SK"/>
        </w:rPr>
        <w:t>rozvoju reakcií na neinštitucionalizáciu</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Dohovorom OSN</w:t>
      </w:r>
      <w:r w:rsidR="00A75B3C" w:rsidRPr="003F23AC">
        <w:rPr>
          <w:rFonts w:cs="Times New Roman"/>
          <w:noProof/>
          <w:lang w:val="sk-SK"/>
        </w:rPr>
        <w:t xml:space="preserve"> o </w:t>
      </w:r>
      <w:r w:rsidRPr="003F23AC">
        <w:rPr>
          <w:rFonts w:cs="Times New Roman"/>
          <w:noProof/>
          <w:lang w:val="sk-SK"/>
        </w:rPr>
        <w:t>právach osôb so zdravotným postihnutím; IV) zabezpečenie prístupu</w:t>
      </w:r>
      <w:r w:rsidR="00A75B3C" w:rsidRPr="003F23AC">
        <w:rPr>
          <w:rFonts w:cs="Times New Roman"/>
          <w:noProof/>
          <w:lang w:val="sk-SK"/>
        </w:rPr>
        <w:t xml:space="preserve"> k </w:t>
      </w:r>
      <w:r w:rsidRPr="003F23AC">
        <w:rPr>
          <w:rFonts w:cs="Times New Roman"/>
          <w:noProof/>
          <w:lang w:val="sk-SK"/>
        </w:rPr>
        <w:t>inkluzívnemu životu</w:t>
      </w:r>
      <w:r w:rsidR="00A75B3C" w:rsidRPr="003F23AC">
        <w:rPr>
          <w:rFonts w:cs="Times New Roman"/>
          <w:noProof/>
          <w:lang w:val="sk-SK"/>
        </w:rPr>
        <w:t xml:space="preserve"> a </w:t>
      </w:r>
      <w:r w:rsidRPr="003F23AC">
        <w:rPr>
          <w:rFonts w:cs="Times New Roman"/>
          <w:noProof/>
          <w:lang w:val="sk-SK"/>
        </w:rPr>
        <w:t>účasti na živote spoločnosti</w:t>
      </w:r>
      <w:r w:rsidR="00A75B3C" w:rsidRPr="003F23AC">
        <w:rPr>
          <w:rFonts w:cs="Times New Roman"/>
          <w:noProof/>
          <w:lang w:val="sk-SK"/>
        </w:rPr>
        <w:t xml:space="preserve"> a </w:t>
      </w:r>
      <w:r w:rsidRPr="003F23AC">
        <w:rPr>
          <w:rFonts w:cs="Times New Roman"/>
          <w:noProof/>
          <w:lang w:val="sk-SK"/>
        </w:rPr>
        <w:t>hospodárstve pre osoby so zdravotným postihnutím;</w:t>
      </w:r>
      <w:r w:rsidR="00A75B3C" w:rsidRPr="003F23AC">
        <w:rPr>
          <w:rFonts w:cs="Times New Roman"/>
          <w:noProof/>
          <w:lang w:val="sk-SK"/>
        </w:rPr>
        <w:t xml:space="preserve"> a </w:t>
      </w:r>
      <w:r w:rsidRPr="003F23AC">
        <w:rPr>
          <w:rFonts w:cs="Times New Roman"/>
          <w:noProof/>
          <w:lang w:val="sk-SK"/>
        </w:rPr>
        <w:t>v) podpora odstraňovania chudoby vypracovaním komplexnej národnej stratégie zameranej na najzraniteľnejšie</w:t>
      </w:r>
      <w:r w:rsidR="00A75B3C" w:rsidRPr="003F23AC">
        <w:rPr>
          <w:rFonts w:cs="Times New Roman"/>
          <w:noProof/>
          <w:lang w:val="sk-SK"/>
        </w:rPr>
        <w:t xml:space="preserve"> a </w:t>
      </w:r>
      <w:r w:rsidRPr="003F23AC">
        <w:rPr>
          <w:rFonts w:cs="Times New Roman"/>
          <w:noProof/>
          <w:lang w:val="sk-SK"/>
        </w:rPr>
        <w:t>najviac znevýhodnené komunity.</w:t>
      </w:r>
    </w:p>
    <w:p w14:paraId="3E070AF6" w14:textId="2145ED32"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zložka podporuje plnenie odporúčania pre jednotlivé krajiny týkajúceho sa posilnenia odolnosti systému zdravotnej starostlivosti</w:t>
      </w:r>
      <w:r w:rsidR="00A75B3C" w:rsidRPr="003F23AC">
        <w:rPr>
          <w:rFonts w:cs="Times New Roman"/>
          <w:noProof/>
          <w:lang w:val="sk-SK"/>
        </w:rPr>
        <w:t xml:space="preserve"> a </w:t>
      </w:r>
      <w:r w:rsidRPr="003F23AC">
        <w:rPr>
          <w:rFonts w:cs="Times New Roman"/>
          <w:noProof/>
          <w:lang w:val="sk-SK"/>
        </w:rPr>
        <w:t>zabezpečenia rovnakého prístupu ku kvalitnej zdravotnej</w:t>
      </w:r>
      <w:r w:rsidR="00A75B3C" w:rsidRPr="003F23AC">
        <w:rPr>
          <w:rFonts w:cs="Times New Roman"/>
          <w:noProof/>
          <w:lang w:val="sk-SK"/>
        </w:rPr>
        <w:t xml:space="preserve"> a </w:t>
      </w:r>
      <w:r w:rsidRPr="003F23AC">
        <w:rPr>
          <w:rFonts w:cs="Times New Roman"/>
          <w:noProof/>
          <w:lang w:val="sk-SK"/>
        </w:rPr>
        <w:t>dlhodobej starostlivosti (odporúčanie pre jednotlivé krajiny 1 2020). Okrem toho prispieva</w:t>
      </w:r>
      <w:r w:rsidR="00A75B3C" w:rsidRPr="003F23AC">
        <w:rPr>
          <w:rFonts w:cs="Times New Roman"/>
          <w:noProof/>
          <w:lang w:val="sk-SK"/>
        </w:rPr>
        <w:t xml:space="preserve"> k </w:t>
      </w:r>
      <w:r w:rsidRPr="003F23AC">
        <w:rPr>
          <w:rFonts w:cs="Times New Roman"/>
          <w:noProof/>
          <w:lang w:val="sk-SK"/>
        </w:rPr>
        <w:t>plneniu odporúčania pre jednotlivé krajiny týkajúceho sa zlepšenia účinnosti</w:t>
      </w:r>
      <w:r w:rsidR="00A75B3C" w:rsidRPr="003F23AC">
        <w:rPr>
          <w:rFonts w:cs="Times New Roman"/>
          <w:noProof/>
          <w:lang w:val="sk-SK"/>
        </w:rPr>
        <w:t xml:space="preserve"> a </w:t>
      </w:r>
      <w:r w:rsidRPr="003F23AC">
        <w:rPr>
          <w:rFonts w:cs="Times New Roman"/>
          <w:noProof/>
          <w:lang w:val="sk-SK"/>
        </w:rPr>
        <w:t>primeranosti záchrannej sociálnej siete</w:t>
      </w:r>
      <w:r w:rsidR="00A75B3C" w:rsidRPr="003F23AC">
        <w:rPr>
          <w:rFonts w:cs="Times New Roman"/>
          <w:noProof/>
          <w:lang w:val="sk-SK"/>
        </w:rPr>
        <w:t xml:space="preserve"> a </w:t>
      </w:r>
      <w:r w:rsidRPr="003F23AC">
        <w:rPr>
          <w:rFonts w:cs="Times New Roman"/>
          <w:noProof/>
          <w:lang w:val="sk-SK"/>
        </w:rPr>
        <w:t>zlepšenia úrovne zručností obyvateľstva (odporúčanie pre jednotlivé krajiny 2 2019), zaručeniu dostatočnej sociálnej ochrany</w:t>
      </w:r>
      <w:r w:rsidR="00A75B3C" w:rsidRPr="003F23AC">
        <w:rPr>
          <w:rFonts w:cs="Times New Roman"/>
          <w:noProof/>
          <w:lang w:val="sk-SK"/>
        </w:rPr>
        <w:t xml:space="preserve"> a </w:t>
      </w:r>
      <w:r w:rsidRPr="003F23AC">
        <w:rPr>
          <w:rFonts w:cs="Times New Roman"/>
          <w:noProof/>
          <w:lang w:val="sk-SK"/>
        </w:rPr>
        <w:t>podpory príjmu</w:t>
      </w:r>
      <w:r w:rsidR="00A75B3C" w:rsidRPr="003F23AC">
        <w:rPr>
          <w:rFonts w:cs="Times New Roman"/>
          <w:noProof/>
          <w:lang w:val="sk-SK"/>
        </w:rPr>
        <w:t xml:space="preserve"> a </w:t>
      </w:r>
      <w:r w:rsidRPr="003F23AC">
        <w:rPr>
          <w:rFonts w:cs="Times New Roman"/>
          <w:noProof/>
          <w:lang w:val="sk-SK"/>
        </w:rPr>
        <w:t>zabezpečeniu rovnakého prístupu ku kvalitnému vzdelávaniu</w:t>
      </w:r>
      <w:r w:rsidR="00A75B3C" w:rsidRPr="003F23AC">
        <w:rPr>
          <w:rFonts w:cs="Times New Roman"/>
          <w:noProof/>
          <w:lang w:val="sk-SK"/>
        </w:rPr>
        <w:t xml:space="preserve"> a </w:t>
      </w:r>
      <w:r w:rsidRPr="003F23AC">
        <w:rPr>
          <w:rFonts w:cs="Times New Roman"/>
          <w:noProof/>
          <w:lang w:val="sk-SK"/>
        </w:rPr>
        <w:t>odbornej príprave (odporúčanie 2 2020)</w:t>
      </w:r>
      <w:r w:rsidR="00A75B3C" w:rsidRPr="003F23AC">
        <w:rPr>
          <w:rFonts w:cs="Times New Roman"/>
          <w:noProof/>
          <w:lang w:val="sk-SK"/>
        </w:rPr>
        <w:t xml:space="preserve"> a k </w:t>
      </w:r>
      <w:r w:rsidRPr="003F23AC">
        <w:rPr>
          <w:rFonts w:cs="Times New Roman"/>
          <w:noProof/>
          <w:lang w:val="sk-SK"/>
        </w:rPr>
        <w:t>zlepšeniu účinnosti portugalského systému sociálnej ochrany, najmä zjednodušením jeho rámca (odporúčanie pre jednotlivé krajiny 1 2022</w:t>
      </w:r>
      <w:r w:rsidR="00A75B3C" w:rsidRPr="003F23AC">
        <w:rPr>
          <w:rFonts w:cs="Times New Roman"/>
          <w:noProof/>
          <w:lang w:val="sk-SK"/>
        </w:rPr>
        <w:t xml:space="preserve"> a </w:t>
      </w:r>
      <w:r w:rsidRPr="003F23AC">
        <w:rPr>
          <w:rFonts w:cs="Times New Roman"/>
          <w:noProof/>
          <w:lang w:val="sk-SK"/>
        </w:rPr>
        <w:t>2023). Zložka takisto nepriamo podporuje plnenie odporúčania pre jednotlivé krajiny</w:t>
      </w:r>
      <w:r w:rsidR="00A75B3C" w:rsidRPr="003F23AC">
        <w:rPr>
          <w:rFonts w:cs="Times New Roman"/>
          <w:noProof/>
          <w:lang w:val="sk-SK"/>
        </w:rPr>
        <w:t xml:space="preserve"> o </w:t>
      </w:r>
      <w:r w:rsidRPr="003F23AC">
        <w:rPr>
          <w:rFonts w:cs="Times New Roman"/>
          <w:noProof/>
          <w:lang w:val="sk-SK"/>
        </w:rPr>
        <w:t>zameraní investícií na zelenú</w:t>
      </w:r>
      <w:r w:rsidR="00A75B3C" w:rsidRPr="003F23AC">
        <w:rPr>
          <w:rFonts w:cs="Times New Roman"/>
          <w:noProof/>
          <w:lang w:val="sk-SK"/>
        </w:rPr>
        <w:t xml:space="preserve"> a </w:t>
      </w:r>
      <w:r w:rsidRPr="003F23AC">
        <w:rPr>
          <w:rFonts w:cs="Times New Roman"/>
          <w:noProof/>
          <w:lang w:val="sk-SK"/>
        </w:rPr>
        <w:t>digitálnu transformáciu (odporúčanie pre jednotlivé krajiny 3 2020).</w:t>
      </w:r>
    </w:p>
    <w:p w14:paraId="77E0E27F" w14:textId="1DE5BA08"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Očakáva sa, že táto zložka prispeje</w:t>
      </w:r>
      <w:r w:rsidR="00A75B3C" w:rsidRPr="003F23AC">
        <w:rPr>
          <w:rFonts w:cs="Times New Roman"/>
          <w:noProof/>
          <w:lang w:val="sk-SK"/>
        </w:rPr>
        <w:t xml:space="preserve"> k </w:t>
      </w:r>
      <w:r w:rsidRPr="003F23AC">
        <w:rPr>
          <w:rFonts w:cs="Times New Roman"/>
          <w:noProof/>
          <w:lang w:val="sk-SK"/>
        </w:rPr>
        <w:t>zelenej aj digitálnej transformácii. Projekty súvisiace</w:t>
      </w:r>
      <w:r w:rsidR="00A75B3C" w:rsidRPr="003F23AC">
        <w:rPr>
          <w:rFonts w:cs="Times New Roman"/>
          <w:noProof/>
          <w:lang w:val="sk-SK"/>
        </w:rPr>
        <w:t xml:space="preserve"> s </w:t>
      </w:r>
      <w:r w:rsidRPr="003F23AC">
        <w:rPr>
          <w:rFonts w:cs="Times New Roman"/>
          <w:noProof/>
          <w:lang w:val="sk-SK"/>
        </w:rPr>
        <w:t>výstavbou, rozširovaním</w:t>
      </w:r>
      <w:r w:rsidR="00A75B3C" w:rsidRPr="003F23AC">
        <w:rPr>
          <w:rFonts w:cs="Times New Roman"/>
          <w:noProof/>
          <w:lang w:val="sk-SK"/>
        </w:rPr>
        <w:t xml:space="preserve"> a </w:t>
      </w:r>
      <w:r w:rsidRPr="003F23AC">
        <w:rPr>
          <w:rFonts w:cs="Times New Roman"/>
          <w:noProof/>
          <w:lang w:val="sk-SK"/>
        </w:rPr>
        <w:t>obnovou zariadení sociálnej reakcie sa zameriavajú na energetickú efektívnosť, využívanie energie</w:t>
      </w:r>
      <w:r w:rsidR="00A75B3C" w:rsidRPr="003F23AC">
        <w:rPr>
          <w:rFonts w:cs="Times New Roman"/>
          <w:noProof/>
          <w:lang w:val="sk-SK"/>
        </w:rPr>
        <w:t xml:space="preserve"> z </w:t>
      </w:r>
      <w:r w:rsidRPr="003F23AC">
        <w:rPr>
          <w:rFonts w:cs="Times New Roman"/>
          <w:noProof/>
          <w:lang w:val="sk-SK"/>
        </w:rPr>
        <w:t>obnoviteľných zdrojov na vlastnú spotrebu</w:t>
      </w:r>
      <w:r w:rsidR="00A75B3C" w:rsidRPr="003F23AC">
        <w:rPr>
          <w:rFonts w:cs="Times New Roman"/>
          <w:noProof/>
          <w:lang w:val="sk-SK"/>
        </w:rPr>
        <w:t xml:space="preserve"> a </w:t>
      </w:r>
      <w:r w:rsidRPr="003F23AC">
        <w:rPr>
          <w:rFonts w:cs="Times New Roman"/>
          <w:noProof/>
          <w:lang w:val="sk-SK"/>
        </w:rPr>
        <w:t>zníženie nákladov na energiu</w:t>
      </w:r>
      <w:r w:rsidR="00A75B3C" w:rsidRPr="003F23AC">
        <w:rPr>
          <w:rFonts w:cs="Times New Roman"/>
          <w:noProof/>
          <w:lang w:val="sk-SK"/>
        </w:rPr>
        <w:t xml:space="preserve"> a </w:t>
      </w:r>
      <w:r w:rsidRPr="003F23AC">
        <w:rPr>
          <w:rFonts w:cs="Times New Roman"/>
          <w:noProof/>
          <w:lang w:val="sk-SK"/>
        </w:rPr>
        <w:t>palivo. Environmentálne rozmery sa začlenia prostredníctvom podpory novej výstavby</w:t>
      </w:r>
      <w:r w:rsidR="00A75B3C" w:rsidRPr="003F23AC">
        <w:rPr>
          <w:rFonts w:cs="Times New Roman"/>
          <w:noProof/>
          <w:lang w:val="sk-SK"/>
        </w:rPr>
        <w:t xml:space="preserve"> s </w:t>
      </w:r>
      <w:r w:rsidRPr="003F23AC">
        <w:rPr>
          <w:rFonts w:cs="Times New Roman"/>
          <w:noProof/>
          <w:lang w:val="sk-SK"/>
        </w:rPr>
        <w:t>vysokými normami energetickej účinnosti. Zúčastnené subjekty musia byť okrem toho vybavené ľahkými vozidlami</w:t>
      </w:r>
      <w:r w:rsidR="00A75B3C" w:rsidRPr="003F23AC">
        <w:rPr>
          <w:rFonts w:cs="Times New Roman"/>
          <w:noProof/>
          <w:lang w:val="sk-SK"/>
        </w:rPr>
        <w:t xml:space="preserve"> s </w:t>
      </w:r>
      <w:r w:rsidRPr="003F23AC">
        <w:rPr>
          <w:rFonts w:cs="Times New Roman"/>
          <w:noProof/>
          <w:lang w:val="sk-SK"/>
        </w:rPr>
        <w:t>nulovými emisiami. Táto zložka napokon zahŕňa opatrenia, ktoré zlepšujú využívanie digitálnych nástrojov, najmä prostredníctvom sociálnych služieb, ktoré poskytujú podporu starším osobám,</w:t>
      </w:r>
      <w:r w:rsidR="00A75B3C" w:rsidRPr="003F23AC">
        <w:rPr>
          <w:rFonts w:cs="Times New Roman"/>
          <w:noProof/>
          <w:lang w:val="sk-SK"/>
        </w:rPr>
        <w:t xml:space="preserve"> a </w:t>
      </w:r>
      <w:r w:rsidRPr="003F23AC">
        <w:rPr>
          <w:rFonts w:cs="Times New Roman"/>
          <w:noProof/>
          <w:lang w:val="sk-SK"/>
        </w:rPr>
        <w:t>zo strany vlády prostredníctvom vytvorenia nástrojov IKT</w:t>
      </w:r>
      <w:r w:rsidR="00A75B3C" w:rsidRPr="003F23AC">
        <w:rPr>
          <w:rFonts w:cs="Times New Roman"/>
          <w:noProof/>
          <w:lang w:val="sk-SK"/>
        </w:rPr>
        <w:t xml:space="preserve"> a </w:t>
      </w:r>
      <w:r w:rsidRPr="003F23AC">
        <w:rPr>
          <w:rFonts w:cs="Times New Roman"/>
          <w:noProof/>
          <w:lang w:val="sk-SK"/>
        </w:rPr>
        <w:t>elektronických služieb zameraných na osoby so zdravotným postihnutím</w:t>
      </w:r>
      <w:r w:rsidR="00A75B3C" w:rsidRPr="003F23AC">
        <w:rPr>
          <w:rFonts w:cs="Times New Roman"/>
          <w:noProof/>
          <w:lang w:val="sk-SK"/>
        </w:rPr>
        <w:t>.</w:t>
      </w:r>
    </w:p>
    <w:p w14:paraId="37069125" w14:textId="58987DCC"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p>
    <w:p w14:paraId="11FB0FD0"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679A4A18" w14:textId="57292E6B"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C.1 Opis reforiem</w:t>
      </w:r>
      <w:r w:rsidR="00A75B3C" w:rsidRPr="003F23AC">
        <w:rPr>
          <w:rFonts w:cs="Times New Roman"/>
          <w:noProof/>
          <w:lang w:val="sk-SK"/>
        </w:rPr>
        <w:t xml:space="preserve"> a </w:t>
      </w:r>
      <w:r w:rsidRPr="003F23AC">
        <w:rPr>
          <w:rFonts w:cs="Times New Roman"/>
          <w:noProof/>
          <w:lang w:val="sk-SK"/>
        </w:rPr>
        <w:t>investícií pre nenávratnú finančnú podporu</w:t>
      </w:r>
    </w:p>
    <w:p w14:paraId="423361EC" w14:textId="77777777" w:rsidR="00A75B3C" w:rsidRPr="003F23AC" w:rsidRDefault="000F5AA4" w:rsidP="003F23AC">
      <w:pPr>
        <w:pStyle w:val="P68B1DB1-Normal5"/>
        <w:spacing w:before="240" w:after="0" w:line="259" w:lineRule="auto"/>
        <w:ind w:left="851"/>
        <w:jc w:val="both"/>
        <w:outlineLvl w:val="3"/>
        <w:rPr>
          <w:rFonts w:cs="Times New Roman"/>
          <w:noProof/>
          <w:lang w:val="sk-SK"/>
        </w:rPr>
      </w:pPr>
      <w:r w:rsidRPr="003F23AC">
        <w:rPr>
          <w:rFonts w:cs="Times New Roman"/>
          <w:noProof/>
          <w:lang w:val="sk-SK"/>
        </w:rPr>
        <w:t>Reforma RE-r05: Reforma ponuky zariadení</w:t>
      </w:r>
      <w:r w:rsidR="00A75B3C" w:rsidRPr="003F23AC">
        <w:rPr>
          <w:rFonts w:cs="Times New Roman"/>
          <w:noProof/>
          <w:lang w:val="sk-SK"/>
        </w:rPr>
        <w:t xml:space="preserve"> a </w:t>
      </w:r>
      <w:r w:rsidRPr="003F23AC">
        <w:rPr>
          <w:rFonts w:cs="Times New Roman"/>
          <w:noProof/>
          <w:lang w:val="sk-SK"/>
        </w:rPr>
        <w:t>sociálnych reakcií</w:t>
      </w:r>
    </w:p>
    <w:p w14:paraId="77D75DB3" w14:textId="611A1F65"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tohto opatrenia je rozšíriť, modernizovať</w:t>
      </w:r>
      <w:r w:rsidR="00A75B3C" w:rsidRPr="003F23AC">
        <w:rPr>
          <w:rFonts w:cs="Times New Roman"/>
          <w:noProof/>
          <w:lang w:val="sk-SK"/>
        </w:rPr>
        <w:t xml:space="preserve"> a </w:t>
      </w:r>
      <w:r w:rsidRPr="003F23AC">
        <w:rPr>
          <w:rFonts w:cs="Times New Roman"/>
          <w:noProof/>
          <w:lang w:val="sk-SK"/>
        </w:rPr>
        <w:t>obnoviť sieť sociálnych služieb</w:t>
      </w:r>
      <w:r w:rsidR="00A75B3C" w:rsidRPr="003F23AC">
        <w:rPr>
          <w:rFonts w:cs="Times New Roman"/>
          <w:noProof/>
          <w:lang w:val="sk-SK"/>
        </w:rPr>
        <w:t xml:space="preserve"> a </w:t>
      </w:r>
      <w:r w:rsidRPr="003F23AC">
        <w:rPr>
          <w:rFonts w:cs="Times New Roman"/>
          <w:noProof/>
          <w:lang w:val="sk-SK"/>
        </w:rPr>
        <w:t>zariadenia poskytované verejnými</w:t>
      </w:r>
      <w:r w:rsidR="00A75B3C" w:rsidRPr="003F23AC">
        <w:rPr>
          <w:rFonts w:cs="Times New Roman"/>
          <w:noProof/>
          <w:lang w:val="sk-SK"/>
        </w:rPr>
        <w:t xml:space="preserve"> a </w:t>
      </w:r>
      <w:r w:rsidRPr="003F23AC">
        <w:rPr>
          <w:rFonts w:cs="Times New Roman"/>
          <w:noProof/>
          <w:lang w:val="sk-SK"/>
        </w:rPr>
        <w:t>súkromnými sociálnymi inštitúciami. Opatrenie sa zameriava najmä na zraniteľné skupiny</w:t>
      </w:r>
      <w:r w:rsidR="00A75B3C" w:rsidRPr="003F23AC">
        <w:rPr>
          <w:rFonts w:cs="Times New Roman"/>
          <w:noProof/>
          <w:lang w:val="sk-SK"/>
        </w:rPr>
        <w:t xml:space="preserve"> z </w:t>
      </w:r>
      <w:r w:rsidRPr="003F23AC">
        <w:rPr>
          <w:rFonts w:cs="Times New Roman"/>
          <w:noProof/>
          <w:lang w:val="sk-SK"/>
        </w:rPr>
        <w:t>hospodárskeho, sociálneho</w:t>
      </w:r>
      <w:r w:rsidR="00A75B3C" w:rsidRPr="003F23AC">
        <w:rPr>
          <w:rFonts w:cs="Times New Roman"/>
          <w:noProof/>
          <w:lang w:val="sk-SK"/>
        </w:rPr>
        <w:t xml:space="preserve"> a </w:t>
      </w:r>
      <w:r w:rsidRPr="003F23AC">
        <w:rPr>
          <w:rFonts w:cs="Times New Roman"/>
          <w:noProof/>
          <w:lang w:val="sk-SK"/>
        </w:rPr>
        <w:t>zdravotného hľadiska, ako sú ľudia</w:t>
      </w:r>
      <w:r w:rsidR="00A75B3C" w:rsidRPr="003F23AC">
        <w:rPr>
          <w:rFonts w:cs="Times New Roman"/>
          <w:noProof/>
          <w:lang w:val="sk-SK"/>
        </w:rPr>
        <w:t xml:space="preserve"> a </w:t>
      </w:r>
      <w:r w:rsidRPr="003F23AC">
        <w:rPr>
          <w:rFonts w:cs="Times New Roman"/>
          <w:noProof/>
          <w:lang w:val="sk-SK"/>
        </w:rPr>
        <w:t>rodiny trpiace chudobou alebo</w:t>
      </w:r>
      <w:r w:rsidR="00A75B3C" w:rsidRPr="003F23AC">
        <w:rPr>
          <w:rFonts w:cs="Times New Roman"/>
          <w:noProof/>
          <w:lang w:val="sk-SK"/>
        </w:rPr>
        <w:t xml:space="preserve"> s </w:t>
      </w:r>
      <w:r w:rsidRPr="003F23AC">
        <w:rPr>
          <w:rFonts w:cs="Times New Roman"/>
          <w:noProof/>
          <w:lang w:val="sk-SK"/>
        </w:rPr>
        <w:t>nízkym príjmom, starší ľudia</w:t>
      </w:r>
      <w:r w:rsidR="00A75B3C" w:rsidRPr="003F23AC">
        <w:rPr>
          <w:rFonts w:cs="Times New Roman"/>
          <w:noProof/>
          <w:lang w:val="sk-SK"/>
        </w:rPr>
        <w:t xml:space="preserve"> a </w:t>
      </w:r>
      <w:r w:rsidRPr="003F23AC">
        <w:rPr>
          <w:rFonts w:cs="Times New Roman"/>
          <w:noProof/>
          <w:lang w:val="sk-SK"/>
        </w:rPr>
        <w:t>ľudia</w:t>
      </w:r>
      <w:r w:rsidR="00A75B3C" w:rsidRPr="003F23AC">
        <w:rPr>
          <w:rFonts w:cs="Times New Roman"/>
          <w:noProof/>
          <w:lang w:val="sk-SK"/>
        </w:rPr>
        <w:t xml:space="preserve"> v </w:t>
      </w:r>
      <w:r w:rsidRPr="003F23AC">
        <w:rPr>
          <w:rFonts w:cs="Times New Roman"/>
          <w:noProof/>
          <w:lang w:val="sk-SK"/>
        </w:rPr>
        <w:t>situácii závislosti, osoby so zdravotným postihnutím, deti</w:t>
      </w:r>
      <w:r w:rsidR="00A75B3C" w:rsidRPr="003F23AC">
        <w:rPr>
          <w:rFonts w:cs="Times New Roman"/>
          <w:noProof/>
          <w:lang w:val="sk-SK"/>
        </w:rPr>
        <w:t xml:space="preserve"> a </w:t>
      </w:r>
      <w:r w:rsidRPr="003F23AC">
        <w:rPr>
          <w:rFonts w:cs="Times New Roman"/>
          <w:noProof/>
          <w:lang w:val="sk-SK"/>
        </w:rPr>
        <w:t>mladí ľudia. Okrem toho integrované intervencie</w:t>
      </w:r>
      <w:r w:rsidR="00A75B3C" w:rsidRPr="003F23AC">
        <w:rPr>
          <w:rFonts w:cs="Times New Roman"/>
          <w:noProof/>
          <w:lang w:val="sk-SK"/>
        </w:rPr>
        <w:t xml:space="preserve"> v </w:t>
      </w:r>
      <w:r w:rsidRPr="003F23AC">
        <w:rPr>
          <w:rFonts w:cs="Times New Roman"/>
          <w:noProof/>
          <w:lang w:val="sk-SK"/>
        </w:rPr>
        <w:t>oblasti zdravotnej</w:t>
      </w:r>
      <w:r w:rsidR="00A75B3C" w:rsidRPr="003F23AC">
        <w:rPr>
          <w:rFonts w:cs="Times New Roman"/>
          <w:noProof/>
          <w:lang w:val="sk-SK"/>
        </w:rPr>
        <w:t xml:space="preserve"> a </w:t>
      </w:r>
      <w:r w:rsidRPr="003F23AC">
        <w:rPr>
          <w:rFonts w:cs="Times New Roman"/>
          <w:noProof/>
          <w:lang w:val="sk-SK"/>
        </w:rPr>
        <w:t>sociálnej podpory predpokladané</w:t>
      </w:r>
      <w:r w:rsidR="00A75B3C" w:rsidRPr="003F23AC">
        <w:rPr>
          <w:rFonts w:cs="Times New Roman"/>
          <w:noProof/>
          <w:lang w:val="sk-SK"/>
        </w:rPr>
        <w:t xml:space="preserve"> v </w:t>
      </w:r>
      <w:r w:rsidRPr="003F23AC">
        <w:rPr>
          <w:rFonts w:cs="Times New Roman"/>
          <w:noProof/>
          <w:lang w:val="sk-SK"/>
        </w:rPr>
        <w:t>tomto opatrení podporujú autonómiu závislých osôb prostredníctvom ich rehabilitácie</w:t>
      </w:r>
      <w:r w:rsidR="00A75B3C" w:rsidRPr="003F23AC">
        <w:rPr>
          <w:rFonts w:cs="Times New Roman"/>
          <w:noProof/>
          <w:lang w:val="sk-SK"/>
        </w:rPr>
        <w:t xml:space="preserve"> a </w:t>
      </w:r>
      <w:r w:rsidRPr="003F23AC">
        <w:rPr>
          <w:rFonts w:cs="Times New Roman"/>
          <w:noProof/>
          <w:lang w:val="sk-SK"/>
        </w:rPr>
        <w:t>sociálnej reintegrácie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Dohovorom Organizácie Spojených národov</w:t>
      </w:r>
      <w:r w:rsidR="00A75B3C" w:rsidRPr="003F23AC">
        <w:rPr>
          <w:rFonts w:cs="Times New Roman"/>
          <w:noProof/>
          <w:lang w:val="sk-SK"/>
        </w:rPr>
        <w:t xml:space="preserve"> o </w:t>
      </w:r>
      <w:r w:rsidRPr="003F23AC">
        <w:rPr>
          <w:rFonts w:cs="Times New Roman"/>
          <w:noProof/>
          <w:lang w:val="sk-SK"/>
        </w:rPr>
        <w:t>právach osôb so zdravotným postihnutím</w:t>
      </w:r>
      <w:r w:rsidRPr="003F23AC">
        <w:rPr>
          <w:rFonts w:cs="Times New Roman"/>
          <w:noProof/>
          <w:lang w:val="sk-SK"/>
        </w:rPr>
        <w:footnoteReference w:id="2"/>
      </w:r>
      <w:r w:rsidR="00A75B3C" w:rsidRPr="003F23AC">
        <w:rPr>
          <w:rFonts w:cs="Times New Roman"/>
          <w:noProof/>
          <w:lang w:val="sk-SK"/>
        </w:rPr>
        <w:t xml:space="preserve"> a </w:t>
      </w:r>
      <w:r w:rsidRPr="003F23AC">
        <w:rPr>
          <w:rFonts w:cs="Times New Roman"/>
          <w:noProof/>
          <w:lang w:val="sk-SK"/>
        </w:rPr>
        <w:t>Európskou stratégiou</w:t>
      </w:r>
      <w:r w:rsidR="00A75B3C" w:rsidRPr="003F23AC">
        <w:rPr>
          <w:rFonts w:cs="Times New Roman"/>
          <w:noProof/>
          <w:lang w:val="sk-SK"/>
        </w:rPr>
        <w:t xml:space="preserve"> v </w:t>
      </w:r>
      <w:r w:rsidRPr="003F23AC">
        <w:rPr>
          <w:rFonts w:cs="Times New Roman"/>
          <w:noProof/>
          <w:lang w:val="sk-SK"/>
        </w:rPr>
        <w:t>oblasti práv osôb so zdravotným postihnutím na roky 2021 – 2030</w:t>
      </w:r>
      <w:r w:rsidRPr="003F23AC">
        <w:rPr>
          <w:rFonts w:cs="Times New Roman"/>
          <w:noProof/>
          <w:lang w:val="sk-SK"/>
        </w:rPr>
        <w:footnoteReference w:id="3"/>
      </w:r>
      <w:r w:rsidR="00A75B3C" w:rsidRPr="003F23AC">
        <w:rPr>
          <w:rFonts w:cs="Times New Roman"/>
          <w:noProof/>
          <w:lang w:val="sk-SK"/>
        </w:rPr>
        <w:t xml:space="preserve"> a </w:t>
      </w:r>
      <w:r w:rsidRPr="003F23AC">
        <w:rPr>
          <w:rFonts w:cs="Times New Roman"/>
          <w:noProof/>
          <w:lang w:val="sk-SK"/>
        </w:rPr>
        <w:t>Zelenou knihou</w:t>
      </w:r>
      <w:r w:rsidR="00A75B3C" w:rsidRPr="003F23AC">
        <w:rPr>
          <w:rFonts w:cs="Times New Roman"/>
          <w:noProof/>
          <w:lang w:val="sk-SK"/>
        </w:rPr>
        <w:t xml:space="preserve"> o </w:t>
      </w:r>
      <w:r w:rsidRPr="003F23AC">
        <w:rPr>
          <w:rFonts w:cs="Times New Roman"/>
          <w:noProof/>
          <w:lang w:val="sk-SK"/>
        </w:rPr>
        <w:t>starnutí – Podpora solidarity</w:t>
      </w:r>
      <w:r w:rsidR="00A75B3C" w:rsidRPr="003F23AC">
        <w:rPr>
          <w:rFonts w:cs="Times New Roman"/>
          <w:noProof/>
          <w:lang w:val="sk-SK"/>
        </w:rPr>
        <w:t xml:space="preserve"> a </w:t>
      </w:r>
      <w:r w:rsidRPr="003F23AC">
        <w:rPr>
          <w:rFonts w:cs="Times New Roman"/>
          <w:noProof/>
          <w:lang w:val="sk-SK"/>
        </w:rPr>
        <w:t>zodpovednosti medzi generáciami</w:t>
      </w:r>
      <w:r w:rsidRPr="003F23AC">
        <w:rPr>
          <w:rFonts w:cs="Times New Roman"/>
          <w:noProof/>
          <w:lang w:val="sk-SK"/>
        </w:rPr>
        <w:footnoteReference w:id="4"/>
      </w:r>
      <w:r w:rsidR="00A75B3C" w:rsidRPr="003F23AC">
        <w:rPr>
          <w:rFonts w:cs="Times New Roman"/>
          <w:noProof/>
          <w:lang w:val="sk-SK"/>
        </w:rPr>
        <w:t>.</w:t>
      </w:r>
    </w:p>
    <w:p w14:paraId="6DD98AC1" w14:textId="3D62324B"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reforma pozostáva zo spustenia programu novej generácie vybavenia</w:t>
      </w:r>
      <w:r w:rsidR="00A75B3C" w:rsidRPr="003F23AC">
        <w:rPr>
          <w:rFonts w:cs="Times New Roman"/>
          <w:noProof/>
          <w:lang w:val="sk-SK"/>
        </w:rPr>
        <w:t xml:space="preserve"> a </w:t>
      </w:r>
      <w:r w:rsidRPr="003F23AC">
        <w:rPr>
          <w:rFonts w:cs="Times New Roman"/>
          <w:noProof/>
          <w:lang w:val="sk-SK"/>
        </w:rPr>
        <w:t>sociálnej reakcie prostredníctvom nadobudnutia účinnosti zjednodušenia režimu inštalácií sociálneho vybavenia. Program sa zameriava na opatrenia, ako sú</w:t>
      </w:r>
      <w:r w:rsidR="00A75B3C" w:rsidRPr="003F23AC">
        <w:rPr>
          <w:rFonts w:cs="Times New Roman"/>
          <w:noProof/>
          <w:lang w:val="sk-SK"/>
        </w:rPr>
        <w:t>:</w:t>
      </w:r>
    </w:p>
    <w:p w14:paraId="70568603" w14:textId="02079FA8" w:rsidR="00387C70" w:rsidRPr="003F23AC" w:rsidRDefault="000F5AA4" w:rsidP="003F23AC">
      <w:pPr>
        <w:pStyle w:val="P68B1DB1-Normal4"/>
        <w:numPr>
          <w:ilvl w:val="0"/>
          <w:numId w:val="62"/>
        </w:numPr>
        <w:spacing w:before="40" w:after="160" w:line="259" w:lineRule="auto"/>
        <w:contextualSpacing/>
        <w:jc w:val="both"/>
        <w:rPr>
          <w:rFonts w:eastAsia="Times New Roman" w:cs="Times New Roman"/>
          <w:noProof/>
          <w:lang w:val="sk-SK"/>
        </w:rPr>
      </w:pPr>
      <w:r w:rsidRPr="003F23AC">
        <w:rPr>
          <w:rFonts w:cs="Times New Roman"/>
          <w:noProof/>
          <w:lang w:val="sk-SK"/>
        </w:rPr>
        <w:t>Zlepšenie sociálnej starostlivosti</w:t>
      </w:r>
      <w:r w:rsidR="00A75B3C" w:rsidRPr="003F23AC">
        <w:rPr>
          <w:rFonts w:cs="Times New Roman"/>
          <w:noProof/>
          <w:lang w:val="sk-SK"/>
        </w:rPr>
        <w:t xml:space="preserve"> a </w:t>
      </w:r>
      <w:r w:rsidRPr="003F23AC">
        <w:rPr>
          <w:rFonts w:cs="Times New Roman"/>
          <w:noProof/>
          <w:lang w:val="sk-SK"/>
        </w:rPr>
        <w:t>personalizovaných služieb poskytovaných</w:t>
      </w:r>
      <w:r w:rsidR="00A75B3C" w:rsidRPr="003F23AC">
        <w:rPr>
          <w:rFonts w:cs="Times New Roman"/>
          <w:noProof/>
          <w:lang w:val="sk-SK"/>
        </w:rPr>
        <w:t xml:space="preserve"> v </w:t>
      </w:r>
      <w:r w:rsidRPr="003F23AC">
        <w:rPr>
          <w:rFonts w:cs="Times New Roman"/>
          <w:noProof/>
          <w:lang w:val="sk-SK"/>
        </w:rPr>
        <w:t>zariadeniach rezidenčnej starostlivosti pre starších ľudí (ERPI) po vyhodnotení potrieb;</w:t>
      </w:r>
    </w:p>
    <w:p w14:paraId="4260130E" w14:textId="77777777" w:rsidR="00387C70" w:rsidRPr="003F23AC" w:rsidRDefault="000F5AA4" w:rsidP="003F23AC">
      <w:pPr>
        <w:pStyle w:val="P68B1DB1-Normal4"/>
        <w:numPr>
          <w:ilvl w:val="0"/>
          <w:numId w:val="62"/>
        </w:numPr>
        <w:spacing w:before="40" w:after="160" w:line="259" w:lineRule="auto"/>
        <w:contextualSpacing/>
        <w:jc w:val="both"/>
        <w:rPr>
          <w:rFonts w:eastAsia="Times New Roman" w:cs="Times New Roman"/>
          <w:noProof/>
          <w:lang w:val="sk-SK"/>
        </w:rPr>
      </w:pPr>
      <w:r w:rsidRPr="003F23AC">
        <w:rPr>
          <w:rFonts w:cs="Times New Roman"/>
          <w:noProof/>
          <w:lang w:val="sk-SK"/>
        </w:rPr>
        <w:t>Podpora udeľovania licencií a/regularizácie ERPI mimo oficiálneho systému;</w:t>
      </w:r>
    </w:p>
    <w:p w14:paraId="6CB0B278" w14:textId="77777777" w:rsidR="00A75B3C" w:rsidRPr="003F23AC" w:rsidRDefault="000F5AA4" w:rsidP="003F23AC">
      <w:pPr>
        <w:pStyle w:val="P68B1DB1-Normal4"/>
        <w:numPr>
          <w:ilvl w:val="0"/>
          <w:numId w:val="62"/>
        </w:numPr>
        <w:spacing w:before="40" w:after="160" w:line="259" w:lineRule="auto"/>
        <w:contextualSpacing/>
        <w:jc w:val="both"/>
        <w:rPr>
          <w:rFonts w:cs="Times New Roman"/>
          <w:noProof/>
          <w:lang w:val="sk-SK"/>
        </w:rPr>
      </w:pPr>
      <w:r w:rsidRPr="003F23AC">
        <w:rPr>
          <w:rFonts w:cs="Times New Roman"/>
          <w:noProof/>
          <w:lang w:val="sk-SK"/>
        </w:rPr>
        <w:t>Preskúmanie legislatívneho rámca pre udeľovanie licencií sociálnym zariadeniam,</w:t>
      </w:r>
    </w:p>
    <w:p w14:paraId="61985867" w14:textId="48407AB8" w:rsidR="00387C70" w:rsidRPr="003F23AC" w:rsidRDefault="000F5AA4" w:rsidP="003F23AC">
      <w:pPr>
        <w:pStyle w:val="P68B1DB1-Normal4"/>
        <w:numPr>
          <w:ilvl w:val="0"/>
          <w:numId w:val="62"/>
        </w:numPr>
        <w:spacing w:before="40" w:after="160" w:line="259" w:lineRule="auto"/>
        <w:contextualSpacing/>
        <w:jc w:val="both"/>
        <w:rPr>
          <w:rFonts w:eastAsia="Times New Roman" w:cs="Times New Roman"/>
          <w:noProof/>
          <w:lang w:val="sk-SK"/>
        </w:rPr>
      </w:pPr>
      <w:r w:rsidRPr="003F23AC">
        <w:rPr>
          <w:rFonts w:cs="Times New Roman"/>
          <w:noProof/>
          <w:lang w:val="sk-SK"/>
        </w:rPr>
        <w:t>Podpora inovatívnych sociálnych reakcií, ako je malé kolaboratívne bývanie;</w:t>
      </w:r>
    </w:p>
    <w:p w14:paraId="2C845D6E" w14:textId="77777777" w:rsidR="00387C70" w:rsidRPr="003F23AC" w:rsidRDefault="000F5AA4" w:rsidP="003F23AC">
      <w:pPr>
        <w:pStyle w:val="P68B1DB1-Normal4"/>
        <w:numPr>
          <w:ilvl w:val="0"/>
          <w:numId w:val="62"/>
        </w:numPr>
        <w:spacing w:before="40" w:after="160" w:line="259" w:lineRule="auto"/>
        <w:contextualSpacing/>
        <w:jc w:val="both"/>
        <w:rPr>
          <w:rFonts w:eastAsia="Times New Roman" w:cs="Times New Roman"/>
          <w:noProof/>
          <w:lang w:val="sk-SK"/>
        </w:rPr>
      </w:pPr>
      <w:r w:rsidRPr="003F23AC">
        <w:rPr>
          <w:rFonts w:cs="Times New Roman"/>
          <w:noProof/>
          <w:lang w:val="sk-SK"/>
        </w:rPr>
        <w:t>Vývoj inovatívneho modelu domácej podpory;</w:t>
      </w:r>
    </w:p>
    <w:p w14:paraId="6D012205" w14:textId="4CFEF75F" w:rsidR="00387C70" w:rsidRPr="003F23AC" w:rsidRDefault="000F5AA4" w:rsidP="003F23AC">
      <w:pPr>
        <w:pStyle w:val="P68B1DB1-Normal4"/>
        <w:numPr>
          <w:ilvl w:val="0"/>
          <w:numId w:val="62"/>
        </w:numPr>
        <w:spacing w:before="40" w:after="160" w:line="259" w:lineRule="auto"/>
        <w:contextualSpacing/>
        <w:jc w:val="both"/>
        <w:rPr>
          <w:rFonts w:eastAsia="Times New Roman" w:cs="Times New Roman"/>
          <w:noProof/>
          <w:lang w:val="sk-SK"/>
        </w:rPr>
      </w:pPr>
      <w:r w:rsidRPr="003F23AC">
        <w:rPr>
          <w:rFonts w:cs="Times New Roman"/>
          <w:noProof/>
          <w:lang w:val="sk-SK"/>
        </w:rPr>
        <w:t>Posilnenie sociálnej podpory pre ľudí</w:t>
      </w:r>
      <w:r w:rsidR="00A75B3C" w:rsidRPr="003F23AC">
        <w:rPr>
          <w:rFonts w:cs="Times New Roman"/>
          <w:noProof/>
          <w:lang w:val="sk-SK"/>
        </w:rPr>
        <w:t xml:space="preserve"> v </w:t>
      </w:r>
      <w:r w:rsidRPr="003F23AC">
        <w:rPr>
          <w:rFonts w:cs="Times New Roman"/>
          <w:noProof/>
          <w:lang w:val="sk-SK"/>
        </w:rPr>
        <w:t>situácii sociálnej izolácie prostredníctvom vytvorenia multidisciplinárnych tímov</w:t>
      </w:r>
      <w:r w:rsidR="00A75B3C" w:rsidRPr="003F23AC">
        <w:rPr>
          <w:rFonts w:cs="Times New Roman"/>
          <w:noProof/>
          <w:lang w:val="sk-SK"/>
        </w:rPr>
        <w:t xml:space="preserve"> a </w:t>
      </w:r>
      <w:r w:rsidRPr="003F23AC">
        <w:rPr>
          <w:rFonts w:cs="Times New Roman"/>
          <w:noProof/>
          <w:lang w:val="sk-SK"/>
        </w:rPr>
        <w:t>mechanizmu na mapovanie</w:t>
      </w:r>
      <w:r w:rsidR="00A75B3C" w:rsidRPr="003F23AC">
        <w:rPr>
          <w:rFonts w:cs="Times New Roman"/>
          <w:noProof/>
          <w:lang w:val="sk-SK"/>
        </w:rPr>
        <w:t xml:space="preserve"> a </w:t>
      </w:r>
      <w:r w:rsidRPr="003F23AC">
        <w:rPr>
          <w:rFonts w:cs="Times New Roman"/>
          <w:noProof/>
          <w:lang w:val="sk-SK"/>
        </w:rPr>
        <w:t>monitorovanie sociálne zraniteľných situácií (sociálne projekty Radyr);</w:t>
      </w:r>
    </w:p>
    <w:p w14:paraId="5F830A95" w14:textId="7491E66A" w:rsidR="00387C70" w:rsidRPr="003F23AC" w:rsidRDefault="000F5AA4" w:rsidP="003F23AC">
      <w:pPr>
        <w:pStyle w:val="P68B1DB1-Normal4"/>
        <w:numPr>
          <w:ilvl w:val="0"/>
          <w:numId w:val="62"/>
        </w:numPr>
        <w:spacing w:before="40" w:after="160" w:line="259" w:lineRule="auto"/>
        <w:contextualSpacing/>
        <w:jc w:val="both"/>
        <w:rPr>
          <w:rFonts w:eastAsia="Times New Roman" w:cs="Times New Roman"/>
          <w:noProof/>
          <w:lang w:val="sk-SK"/>
        </w:rPr>
      </w:pPr>
      <w:r w:rsidRPr="003F23AC">
        <w:rPr>
          <w:rFonts w:cs="Times New Roman"/>
          <w:noProof/>
          <w:lang w:val="sk-SK"/>
        </w:rPr>
        <w:t>Zvýšenie úrovne pracovnej sily</w:t>
      </w:r>
      <w:r w:rsidR="00A75B3C" w:rsidRPr="003F23AC">
        <w:rPr>
          <w:rFonts w:cs="Times New Roman"/>
          <w:noProof/>
          <w:lang w:val="sk-SK"/>
        </w:rPr>
        <w:t xml:space="preserve"> a </w:t>
      </w:r>
      <w:r w:rsidRPr="003F23AC">
        <w:rPr>
          <w:rFonts w:cs="Times New Roman"/>
          <w:noProof/>
          <w:lang w:val="sk-SK"/>
        </w:rPr>
        <w:t>kvality poskytovania sociálnych reakcií, najmä na územiach</w:t>
      </w:r>
      <w:r w:rsidR="00A75B3C" w:rsidRPr="003F23AC">
        <w:rPr>
          <w:rFonts w:cs="Times New Roman"/>
          <w:noProof/>
          <w:lang w:val="sk-SK"/>
        </w:rPr>
        <w:t xml:space="preserve"> s </w:t>
      </w:r>
      <w:r w:rsidRPr="003F23AC">
        <w:rPr>
          <w:rFonts w:cs="Times New Roman"/>
          <w:noProof/>
          <w:lang w:val="sk-SK"/>
        </w:rPr>
        <w:t>nízkou úrovňou pokrytia;</w:t>
      </w:r>
    </w:p>
    <w:p w14:paraId="4139DE34" w14:textId="785C64B3" w:rsidR="00387C70" w:rsidRPr="003F23AC" w:rsidRDefault="000F5AA4" w:rsidP="003F23AC">
      <w:pPr>
        <w:pStyle w:val="P68B1DB1-Normal4"/>
        <w:numPr>
          <w:ilvl w:val="0"/>
          <w:numId w:val="62"/>
        </w:numPr>
        <w:spacing w:before="40" w:after="160" w:line="259" w:lineRule="auto"/>
        <w:contextualSpacing/>
        <w:jc w:val="both"/>
        <w:rPr>
          <w:rFonts w:eastAsia="Times New Roman" w:cs="Times New Roman"/>
          <w:noProof/>
          <w:lang w:val="sk-SK"/>
        </w:rPr>
      </w:pPr>
      <w:r w:rsidRPr="003F23AC">
        <w:rPr>
          <w:rFonts w:cs="Times New Roman"/>
          <w:noProof/>
          <w:lang w:val="sk-SK"/>
        </w:rPr>
        <w:t>Posilnenie sociálnych služieb</w:t>
      </w:r>
      <w:r w:rsidR="00A75B3C" w:rsidRPr="003F23AC">
        <w:rPr>
          <w:rFonts w:cs="Times New Roman"/>
          <w:noProof/>
          <w:lang w:val="sk-SK"/>
        </w:rPr>
        <w:t xml:space="preserve"> a </w:t>
      </w:r>
      <w:r w:rsidRPr="003F23AC">
        <w:rPr>
          <w:rFonts w:cs="Times New Roman"/>
          <w:noProof/>
          <w:lang w:val="sk-SK"/>
        </w:rPr>
        <w:t>podpory zameranej na osoby so zdravotným postihnutím alebo odkázanými osobami</w:t>
      </w:r>
      <w:r w:rsidR="00A75B3C" w:rsidRPr="003F23AC">
        <w:rPr>
          <w:rFonts w:cs="Times New Roman"/>
          <w:noProof/>
          <w:lang w:val="sk-SK"/>
        </w:rPr>
        <w:t xml:space="preserve"> a </w:t>
      </w:r>
      <w:r w:rsidRPr="003F23AC">
        <w:rPr>
          <w:rFonts w:cs="Times New Roman"/>
          <w:noProof/>
          <w:lang w:val="sk-SK"/>
        </w:rPr>
        <w:t>podpora ich samostatnosti</w:t>
      </w:r>
      <w:r w:rsidR="00A75B3C" w:rsidRPr="003F23AC">
        <w:rPr>
          <w:rFonts w:cs="Times New Roman"/>
          <w:noProof/>
          <w:lang w:val="sk-SK"/>
        </w:rPr>
        <w:t xml:space="preserve"> a </w:t>
      </w:r>
      <w:r w:rsidRPr="003F23AC">
        <w:rPr>
          <w:rFonts w:cs="Times New Roman"/>
          <w:noProof/>
          <w:lang w:val="sk-SK"/>
        </w:rPr>
        <w:t>nezávislého života.</w:t>
      </w:r>
    </w:p>
    <w:p w14:paraId="5AD18A13" w14:textId="303022F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Investície RE-C03-i01 – Nová generácia zariadení</w:t>
      </w:r>
      <w:r w:rsidR="00A75B3C" w:rsidRPr="003F23AC">
        <w:rPr>
          <w:rFonts w:cs="Times New Roman"/>
          <w:noProof/>
          <w:lang w:val="sk-SK"/>
        </w:rPr>
        <w:t xml:space="preserve"> a </w:t>
      </w:r>
      <w:r w:rsidRPr="003F23AC">
        <w:rPr>
          <w:rFonts w:cs="Times New Roman"/>
          <w:noProof/>
          <w:lang w:val="sk-SK"/>
        </w:rPr>
        <w:t>sociálnych reakcií prispeje</w:t>
      </w:r>
      <w:r w:rsidR="00A75B3C" w:rsidRPr="003F23AC">
        <w:rPr>
          <w:rFonts w:cs="Times New Roman"/>
          <w:noProof/>
          <w:lang w:val="sk-SK"/>
        </w:rPr>
        <w:t xml:space="preserve"> k </w:t>
      </w:r>
      <w:r w:rsidRPr="003F23AC">
        <w:rPr>
          <w:rFonts w:cs="Times New Roman"/>
          <w:noProof/>
          <w:lang w:val="sk-SK"/>
        </w:rPr>
        <w:t>realizácii reformy</w:t>
      </w:r>
      <w:r w:rsidR="00A75B3C" w:rsidRPr="003F23AC">
        <w:rPr>
          <w:rFonts w:cs="Times New Roman"/>
          <w:noProof/>
          <w:lang w:val="sk-SK"/>
        </w:rPr>
        <w:t>.</w:t>
      </w:r>
    </w:p>
    <w:p w14:paraId="150D85D2" w14:textId="45C1F245"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Míľnik súvisiaci</w:t>
      </w:r>
      <w:r w:rsidR="00A75B3C" w:rsidRPr="003F23AC">
        <w:rPr>
          <w:rFonts w:cs="Times New Roman"/>
          <w:noProof/>
          <w:lang w:val="sk-SK"/>
        </w:rPr>
        <w:t xml:space="preserve"> s </w:t>
      </w:r>
      <w:r w:rsidRPr="003F23AC">
        <w:rPr>
          <w:rFonts w:cs="Times New Roman"/>
          <w:noProof/>
          <w:lang w:val="sk-SK"/>
        </w:rPr>
        <w:t>vykonávaním reformy sa dokončí do 31</w:t>
      </w:r>
      <w:r w:rsidR="00A75B3C" w:rsidRPr="003F23AC">
        <w:rPr>
          <w:rFonts w:cs="Times New Roman"/>
          <w:noProof/>
          <w:lang w:val="sk-SK"/>
        </w:rPr>
        <w:t>. decembra</w:t>
      </w:r>
      <w:r w:rsidRPr="003F23AC">
        <w:rPr>
          <w:rFonts w:cs="Times New Roman"/>
          <w:noProof/>
          <w:lang w:val="sk-SK"/>
        </w:rPr>
        <w:t xml:space="preserve"> 2021.</w:t>
      </w:r>
    </w:p>
    <w:p w14:paraId="42D391F8" w14:textId="7777777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Reforma RE-r06: Národná stratégia začleňovania osôb so zdravotným postihnutím na roky 2021 – 2025</w:t>
      </w:r>
    </w:p>
    <w:p w14:paraId="4993B847" w14:textId="08C6F024"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Cieľom tohto opatrenia je uľahčiť</w:t>
      </w:r>
      <w:r w:rsidR="00A75B3C" w:rsidRPr="003F23AC">
        <w:rPr>
          <w:rFonts w:cs="Times New Roman"/>
          <w:noProof/>
          <w:lang w:val="sk-SK"/>
        </w:rPr>
        <w:t xml:space="preserve"> a </w:t>
      </w:r>
      <w:r w:rsidRPr="003F23AC">
        <w:rPr>
          <w:rFonts w:cs="Times New Roman"/>
          <w:noProof/>
          <w:lang w:val="sk-SK"/>
        </w:rPr>
        <w:t>prehĺbiť začlenenie osôb so zdravotným postihnutím do všetkých oblastí života, podporovať ich samostatnosť, nezávislosť</w:t>
      </w:r>
      <w:r w:rsidR="00A75B3C" w:rsidRPr="003F23AC">
        <w:rPr>
          <w:rFonts w:cs="Times New Roman"/>
          <w:noProof/>
          <w:lang w:val="sk-SK"/>
        </w:rPr>
        <w:t xml:space="preserve"> a </w:t>
      </w:r>
      <w:r w:rsidRPr="003F23AC">
        <w:rPr>
          <w:rFonts w:cs="Times New Roman"/>
          <w:noProof/>
          <w:lang w:val="sk-SK"/>
        </w:rPr>
        <w:t>sebaurčenie, ako aj zabezpečiť rovnaké príležitosti pre všetkých občanov bez ohľadu na ich schopnosti.</w:t>
      </w:r>
    </w:p>
    <w:p w14:paraId="431145D2" w14:textId="766D4150"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Táto reforma spočíva</w:t>
      </w:r>
      <w:r w:rsidR="00A75B3C" w:rsidRPr="003F23AC">
        <w:rPr>
          <w:rFonts w:cs="Times New Roman"/>
          <w:noProof/>
          <w:lang w:val="sk-SK"/>
        </w:rPr>
        <w:t xml:space="preserve"> v </w:t>
      </w:r>
      <w:r w:rsidRPr="003F23AC">
        <w:rPr>
          <w:rFonts w:cs="Times New Roman"/>
          <w:noProof/>
          <w:lang w:val="sk-SK"/>
        </w:rPr>
        <w:t>prijatí národnej stratégie začleňovania osôb so zdravotným postihnutím na roky 2021 – 2025. Stratégia odráža záväzky Dohovoru Organizácie Spojených národov</w:t>
      </w:r>
      <w:r w:rsidR="00A75B3C" w:rsidRPr="003F23AC">
        <w:rPr>
          <w:rFonts w:cs="Times New Roman"/>
          <w:noProof/>
          <w:lang w:val="sk-SK"/>
        </w:rPr>
        <w:t xml:space="preserve"> o </w:t>
      </w:r>
      <w:r w:rsidRPr="003F23AC">
        <w:rPr>
          <w:rFonts w:cs="Times New Roman"/>
          <w:noProof/>
          <w:lang w:val="sk-SK"/>
        </w:rPr>
        <w:t>právach osôb so zdravotným postihnutím</w:t>
      </w:r>
      <w:r w:rsidRPr="003F23AC">
        <w:rPr>
          <w:rFonts w:cs="Times New Roman"/>
          <w:noProof/>
          <w:lang w:val="sk-SK"/>
        </w:rPr>
        <w:footnoteReference w:id="5"/>
      </w:r>
      <w:r w:rsidR="00A75B3C" w:rsidRPr="003F23AC">
        <w:rPr>
          <w:rFonts w:cs="Times New Roman"/>
          <w:noProof/>
          <w:lang w:val="sk-SK"/>
        </w:rPr>
        <w:t xml:space="preserve"> a </w:t>
      </w:r>
      <w:r w:rsidRPr="003F23AC">
        <w:rPr>
          <w:rFonts w:cs="Times New Roman"/>
          <w:noProof/>
          <w:lang w:val="sk-SK"/>
        </w:rPr>
        <w:t>umožňuje zavedenie súboru opatrení, ako sú:</w:t>
      </w:r>
    </w:p>
    <w:p w14:paraId="596C13F8" w14:textId="77777777" w:rsidR="00A75B3C" w:rsidRPr="003F23AC" w:rsidRDefault="000F5AA4" w:rsidP="003F23AC">
      <w:pPr>
        <w:pStyle w:val="P68B1DB1-Normal4"/>
        <w:numPr>
          <w:ilvl w:val="0"/>
          <w:numId w:val="63"/>
        </w:numPr>
        <w:spacing w:before="40" w:after="160" w:line="259" w:lineRule="auto"/>
        <w:contextualSpacing/>
        <w:jc w:val="both"/>
        <w:rPr>
          <w:rFonts w:cs="Times New Roman"/>
          <w:noProof/>
          <w:lang w:val="sk-SK"/>
        </w:rPr>
      </w:pPr>
      <w:r w:rsidRPr="003F23AC">
        <w:rPr>
          <w:rFonts w:cs="Times New Roman"/>
          <w:noProof/>
          <w:lang w:val="sk-SK"/>
        </w:rPr>
        <w:t>Preformulovanie súčasného regulačného rámca vždy, keď je to potrebné</w:t>
      </w:r>
      <w:r w:rsidR="00A75B3C" w:rsidRPr="003F23AC">
        <w:rPr>
          <w:rFonts w:cs="Times New Roman"/>
          <w:noProof/>
          <w:lang w:val="sk-SK"/>
        </w:rPr>
        <w:t>;</w:t>
      </w:r>
    </w:p>
    <w:p w14:paraId="250A5CFC" w14:textId="495BF875" w:rsidR="00387C70" w:rsidRPr="003F23AC" w:rsidRDefault="000F5AA4" w:rsidP="003F23AC">
      <w:pPr>
        <w:pStyle w:val="P68B1DB1-Normal4"/>
        <w:numPr>
          <w:ilvl w:val="0"/>
          <w:numId w:val="63"/>
        </w:numPr>
        <w:spacing w:before="40" w:after="160" w:line="259" w:lineRule="auto"/>
        <w:contextualSpacing/>
        <w:jc w:val="both"/>
        <w:rPr>
          <w:rFonts w:eastAsia="Times New Roman" w:cs="Times New Roman"/>
          <w:noProof/>
          <w:lang w:val="sk-SK"/>
        </w:rPr>
      </w:pPr>
      <w:r w:rsidRPr="003F23AC">
        <w:rPr>
          <w:rFonts w:cs="Times New Roman"/>
          <w:noProof/>
          <w:lang w:val="sk-SK"/>
        </w:rPr>
        <w:t>Preformulovanie systému posudzovania zdravotného postihnutia</w:t>
      </w:r>
      <w:r w:rsidR="00A75B3C" w:rsidRPr="003F23AC">
        <w:rPr>
          <w:rFonts w:cs="Times New Roman"/>
          <w:noProof/>
          <w:lang w:val="sk-SK"/>
        </w:rPr>
        <w:t xml:space="preserve"> a </w:t>
      </w:r>
      <w:r w:rsidRPr="003F23AC">
        <w:rPr>
          <w:rFonts w:cs="Times New Roman"/>
          <w:noProof/>
          <w:lang w:val="sk-SK"/>
        </w:rPr>
        <w:t>certifikácie;</w:t>
      </w:r>
    </w:p>
    <w:p w14:paraId="199DE32D" w14:textId="7EC0F65A" w:rsidR="00387C70" w:rsidRPr="003F23AC" w:rsidRDefault="000F5AA4" w:rsidP="003F23AC">
      <w:pPr>
        <w:pStyle w:val="P68B1DB1-Normal4"/>
        <w:numPr>
          <w:ilvl w:val="0"/>
          <w:numId w:val="63"/>
        </w:numPr>
        <w:spacing w:before="40" w:after="160" w:line="259" w:lineRule="auto"/>
        <w:contextualSpacing/>
        <w:jc w:val="both"/>
        <w:rPr>
          <w:rFonts w:eastAsia="Times New Roman" w:cs="Times New Roman"/>
          <w:noProof/>
          <w:lang w:val="sk-SK"/>
        </w:rPr>
      </w:pPr>
      <w:r w:rsidRPr="003F23AC">
        <w:rPr>
          <w:rFonts w:cs="Times New Roman"/>
          <w:noProof/>
          <w:lang w:val="sk-SK"/>
        </w:rPr>
        <w:t>Komplexná diagnostika osôb so zdravotným postihnutím prostredníctvom vývoja systémov zberu údajov</w:t>
      </w:r>
      <w:r w:rsidR="00A75B3C" w:rsidRPr="003F23AC">
        <w:rPr>
          <w:rFonts w:cs="Times New Roman"/>
          <w:noProof/>
          <w:lang w:val="sk-SK"/>
        </w:rPr>
        <w:t xml:space="preserve"> a </w:t>
      </w:r>
      <w:r w:rsidRPr="003F23AC">
        <w:rPr>
          <w:rFonts w:cs="Times New Roman"/>
          <w:noProof/>
          <w:lang w:val="sk-SK"/>
        </w:rPr>
        <w:t>monitorovania ukazovateľov na podporu rozhodovania;</w:t>
      </w:r>
    </w:p>
    <w:p w14:paraId="5920EE97" w14:textId="76DBF46D" w:rsidR="00387C70" w:rsidRPr="003F23AC" w:rsidRDefault="000F5AA4" w:rsidP="003F23AC">
      <w:pPr>
        <w:pStyle w:val="P68B1DB1-Normal4"/>
        <w:numPr>
          <w:ilvl w:val="0"/>
          <w:numId w:val="63"/>
        </w:numPr>
        <w:spacing w:before="40" w:after="160" w:line="259" w:lineRule="auto"/>
        <w:contextualSpacing/>
        <w:jc w:val="both"/>
        <w:rPr>
          <w:rFonts w:eastAsia="Times New Roman" w:cs="Times New Roman"/>
          <w:noProof/>
          <w:lang w:val="sk-SK"/>
        </w:rPr>
      </w:pPr>
      <w:r w:rsidRPr="003F23AC">
        <w:rPr>
          <w:rFonts w:cs="Times New Roman"/>
          <w:noProof/>
          <w:lang w:val="sk-SK"/>
        </w:rPr>
        <w:t>Intervencie na verejných priestranstvách</w:t>
      </w:r>
      <w:r w:rsidR="00A75B3C" w:rsidRPr="003F23AC">
        <w:rPr>
          <w:rFonts w:cs="Times New Roman"/>
          <w:noProof/>
          <w:lang w:val="sk-SK"/>
        </w:rPr>
        <w:t xml:space="preserve"> s </w:t>
      </w:r>
      <w:r w:rsidRPr="003F23AC">
        <w:rPr>
          <w:rFonts w:cs="Times New Roman"/>
          <w:noProof/>
          <w:lang w:val="sk-SK"/>
        </w:rPr>
        <w:t>cieľom uľahčiť prístup osôb so zdravotným postihnutím;</w:t>
      </w:r>
    </w:p>
    <w:p w14:paraId="5F6E0E5D" w14:textId="68BCCB0F" w:rsidR="00387C70" w:rsidRPr="003F23AC" w:rsidRDefault="000F5AA4" w:rsidP="003F23AC">
      <w:pPr>
        <w:pStyle w:val="P68B1DB1-Normal4"/>
        <w:numPr>
          <w:ilvl w:val="0"/>
          <w:numId w:val="63"/>
        </w:numPr>
        <w:spacing w:before="40" w:after="160" w:line="259" w:lineRule="auto"/>
        <w:contextualSpacing/>
        <w:jc w:val="both"/>
        <w:rPr>
          <w:rFonts w:eastAsia="Times New Roman" w:cs="Times New Roman"/>
          <w:noProof/>
          <w:lang w:val="sk-SK"/>
        </w:rPr>
      </w:pPr>
      <w:r w:rsidRPr="003F23AC">
        <w:rPr>
          <w:rFonts w:cs="Times New Roman"/>
          <w:noProof/>
          <w:lang w:val="sk-SK"/>
        </w:rPr>
        <w:t>Prispôsobenie systémov odbornej prípravy, zamestnanosti</w:t>
      </w:r>
      <w:r w:rsidR="00A75B3C" w:rsidRPr="003F23AC">
        <w:rPr>
          <w:rFonts w:cs="Times New Roman"/>
          <w:noProof/>
          <w:lang w:val="sk-SK"/>
        </w:rPr>
        <w:t xml:space="preserve"> a </w:t>
      </w:r>
      <w:r w:rsidRPr="003F23AC">
        <w:rPr>
          <w:rFonts w:cs="Times New Roman"/>
          <w:noProof/>
          <w:lang w:val="sk-SK"/>
        </w:rPr>
        <w:t>kvalifikácie osôb so zdravotným postihnutím;</w:t>
      </w:r>
    </w:p>
    <w:p w14:paraId="1C29FB20" w14:textId="439D5B70" w:rsidR="00387C70" w:rsidRPr="003F23AC" w:rsidRDefault="000F5AA4" w:rsidP="003F23AC">
      <w:pPr>
        <w:pStyle w:val="P68B1DB1-Normal4"/>
        <w:numPr>
          <w:ilvl w:val="0"/>
          <w:numId w:val="63"/>
        </w:numPr>
        <w:spacing w:before="40" w:after="160" w:line="259" w:lineRule="auto"/>
        <w:contextualSpacing/>
        <w:jc w:val="both"/>
        <w:rPr>
          <w:rFonts w:eastAsia="Times New Roman" w:cs="Times New Roman"/>
          <w:noProof/>
          <w:lang w:val="sk-SK"/>
        </w:rPr>
      </w:pPr>
      <w:r w:rsidRPr="003F23AC">
        <w:rPr>
          <w:rFonts w:cs="Times New Roman"/>
          <w:noProof/>
          <w:lang w:val="sk-SK"/>
        </w:rPr>
        <w:t>Rozvoj inovatívnych sociálnych služieb</w:t>
      </w:r>
      <w:r w:rsidR="00A75B3C" w:rsidRPr="003F23AC">
        <w:rPr>
          <w:rFonts w:cs="Times New Roman"/>
          <w:noProof/>
          <w:lang w:val="sk-SK"/>
        </w:rPr>
        <w:t xml:space="preserve"> a </w:t>
      </w:r>
      <w:r w:rsidRPr="003F23AC">
        <w:rPr>
          <w:rFonts w:cs="Times New Roman"/>
          <w:noProof/>
          <w:lang w:val="sk-SK"/>
        </w:rPr>
        <w:t>komunitných prístupov;</w:t>
      </w:r>
    </w:p>
    <w:p w14:paraId="1193BF56" w14:textId="03952F3E" w:rsidR="00387C70" w:rsidRPr="003F23AC" w:rsidRDefault="000F5AA4" w:rsidP="003F23AC">
      <w:pPr>
        <w:pStyle w:val="P68B1DB1-Normal4"/>
        <w:numPr>
          <w:ilvl w:val="0"/>
          <w:numId w:val="63"/>
        </w:numPr>
        <w:spacing w:before="40" w:after="160" w:line="259" w:lineRule="auto"/>
        <w:contextualSpacing/>
        <w:jc w:val="both"/>
        <w:rPr>
          <w:rFonts w:eastAsia="Times New Roman" w:cs="Times New Roman"/>
          <w:noProof/>
          <w:lang w:val="sk-SK"/>
        </w:rPr>
      </w:pPr>
      <w:r w:rsidRPr="003F23AC">
        <w:rPr>
          <w:rFonts w:cs="Times New Roman"/>
          <w:noProof/>
          <w:lang w:val="sk-SK"/>
        </w:rPr>
        <w:t>Účasť osôb so zdravotným postihnutím na športových, kultúrnych</w:t>
      </w:r>
      <w:r w:rsidR="00A75B3C" w:rsidRPr="003F23AC">
        <w:rPr>
          <w:rFonts w:cs="Times New Roman"/>
          <w:noProof/>
          <w:lang w:val="sk-SK"/>
        </w:rPr>
        <w:t xml:space="preserve"> a </w:t>
      </w:r>
      <w:r w:rsidRPr="003F23AC">
        <w:rPr>
          <w:rFonts w:cs="Times New Roman"/>
          <w:noProof/>
          <w:lang w:val="sk-SK"/>
        </w:rPr>
        <w:t>voľnočasových aktivitách.</w:t>
      </w:r>
    </w:p>
    <w:p w14:paraId="6C200F5F" w14:textId="77777777" w:rsidR="00387C70" w:rsidRPr="003F23AC" w:rsidRDefault="000F5AA4" w:rsidP="003F23AC">
      <w:pPr>
        <w:pStyle w:val="P68B1DB1-Normal4"/>
        <w:numPr>
          <w:ilvl w:val="0"/>
          <w:numId w:val="63"/>
        </w:numPr>
        <w:spacing w:before="40" w:after="160" w:line="259" w:lineRule="auto"/>
        <w:contextualSpacing/>
        <w:jc w:val="both"/>
        <w:rPr>
          <w:rFonts w:eastAsia="Times New Roman" w:cs="Times New Roman"/>
          <w:noProof/>
          <w:lang w:val="sk-SK"/>
        </w:rPr>
      </w:pPr>
      <w:r w:rsidRPr="003F23AC">
        <w:rPr>
          <w:rFonts w:cs="Times New Roman"/>
          <w:noProof/>
          <w:lang w:val="sk-SK"/>
        </w:rPr>
        <w:t>Rozšírenie modelu podpory nezávislého života, ktorý poskytuje osobnú asistenciu osobám so zdravotným postihnutím;</w:t>
      </w:r>
    </w:p>
    <w:p w14:paraId="3F67C3E4" w14:textId="6D9DBDF8"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Investície RE-C03-i02: Prístupnosť 360°</w:t>
      </w:r>
      <w:r w:rsidR="00A75B3C" w:rsidRPr="003F23AC">
        <w:rPr>
          <w:rFonts w:cs="Times New Roman"/>
          <w:noProof/>
          <w:lang w:val="sk-SK"/>
        </w:rPr>
        <w:t xml:space="preserve"> a </w:t>
      </w:r>
      <w:r w:rsidRPr="003F23AC">
        <w:rPr>
          <w:rFonts w:cs="Times New Roman"/>
          <w:noProof/>
          <w:lang w:val="sk-SK"/>
        </w:rPr>
        <w:t>RE-C03-i05: Platforma</w:t>
      </w:r>
      <w:r w:rsidR="00A75B3C" w:rsidRPr="003F23AC">
        <w:rPr>
          <w:rFonts w:cs="Times New Roman"/>
          <w:noProof/>
          <w:lang w:val="sk-SK"/>
        </w:rPr>
        <w:t xml:space="preserve"> a </w:t>
      </w:r>
      <w:r w:rsidRPr="003F23AC">
        <w:rPr>
          <w:rFonts w:cs="Times New Roman"/>
          <w:noProof/>
          <w:lang w:val="sk-SK"/>
        </w:rPr>
        <w:t>prístup, ako aj investície RE-C01-i02: Národná sieť integrovanej</w:t>
      </w:r>
      <w:r w:rsidR="00A75B3C" w:rsidRPr="003F23AC">
        <w:rPr>
          <w:rFonts w:cs="Times New Roman"/>
          <w:noProof/>
          <w:lang w:val="sk-SK"/>
        </w:rPr>
        <w:t xml:space="preserve"> a </w:t>
      </w:r>
      <w:r w:rsidRPr="003F23AC">
        <w:rPr>
          <w:rFonts w:cs="Times New Roman"/>
          <w:noProof/>
          <w:lang w:val="sk-SK"/>
        </w:rPr>
        <w:t>nepretržitej starostlivosti</w:t>
      </w:r>
      <w:r w:rsidR="00A75B3C" w:rsidRPr="003F23AC">
        <w:rPr>
          <w:rFonts w:cs="Times New Roman"/>
          <w:noProof/>
          <w:lang w:val="sk-SK"/>
        </w:rPr>
        <w:t xml:space="preserve"> a </w:t>
      </w:r>
      <w:r w:rsidRPr="003F23AC">
        <w:rPr>
          <w:rFonts w:cs="Times New Roman"/>
          <w:noProof/>
          <w:lang w:val="sk-SK"/>
        </w:rPr>
        <w:t>národná sieť paliatívnej starostlivosti prispievajú</w:t>
      </w:r>
      <w:r w:rsidR="00A75B3C" w:rsidRPr="003F23AC">
        <w:rPr>
          <w:rFonts w:cs="Times New Roman"/>
          <w:noProof/>
          <w:lang w:val="sk-SK"/>
        </w:rPr>
        <w:t xml:space="preserve"> k </w:t>
      </w:r>
      <w:r w:rsidRPr="003F23AC">
        <w:rPr>
          <w:rFonts w:cs="Times New Roman"/>
          <w:noProof/>
          <w:lang w:val="sk-SK"/>
        </w:rPr>
        <w:t>realizácii reformy</w:t>
      </w:r>
      <w:r w:rsidR="00A75B3C" w:rsidRPr="003F23AC">
        <w:rPr>
          <w:rFonts w:cs="Times New Roman"/>
          <w:noProof/>
          <w:lang w:val="sk-SK"/>
        </w:rPr>
        <w:t>.</w:t>
      </w:r>
    </w:p>
    <w:p w14:paraId="3C1200D2" w14:textId="65E6B0E0"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Míľnik súvisiaci</w:t>
      </w:r>
      <w:r w:rsidR="00A75B3C" w:rsidRPr="003F23AC">
        <w:rPr>
          <w:rFonts w:cs="Times New Roman"/>
          <w:noProof/>
          <w:lang w:val="sk-SK"/>
        </w:rPr>
        <w:t xml:space="preserve"> s </w:t>
      </w:r>
      <w:r w:rsidRPr="003F23AC">
        <w:rPr>
          <w:rFonts w:cs="Times New Roman"/>
          <w:noProof/>
          <w:lang w:val="sk-SK"/>
        </w:rPr>
        <w:t>vykonávaním reformy sa dokončí do 31</w:t>
      </w:r>
      <w:r w:rsidR="00A75B3C" w:rsidRPr="003F23AC">
        <w:rPr>
          <w:rFonts w:cs="Times New Roman"/>
          <w:noProof/>
          <w:lang w:val="sk-SK"/>
        </w:rPr>
        <w:t>. decembra</w:t>
      </w:r>
      <w:r w:rsidRPr="003F23AC">
        <w:rPr>
          <w:rFonts w:cs="Times New Roman"/>
          <w:noProof/>
          <w:lang w:val="sk-SK"/>
        </w:rPr>
        <w:t xml:space="preserve"> 2021.</w:t>
      </w:r>
    </w:p>
    <w:p w14:paraId="19B646AB" w14:textId="774EBDA0"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Reforma RE-r07: Uzatváranie zmlúv</w:t>
      </w:r>
      <w:r w:rsidR="00A75B3C" w:rsidRPr="003F23AC">
        <w:rPr>
          <w:rFonts w:cs="Times New Roman"/>
          <w:noProof/>
          <w:lang w:val="sk-SK"/>
        </w:rPr>
        <w:t xml:space="preserve"> o </w:t>
      </w:r>
      <w:r w:rsidRPr="003F23AC">
        <w:rPr>
          <w:rFonts w:cs="Times New Roman"/>
          <w:noProof/>
          <w:lang w:val="sk-SK"/>
        </w:rPr>
        <w:t>integrovaných podporných programoch pre znevýhodnené komunity</w:t>
      </w:r>
      <w:r w:rsidR="00A75B3C" w:rsidRPr="003F23AC">
        <w:rPr>
          <w:rFonts w:cs="Times New Roman"/>
          <w:noProof/>
          <w:lang w:val="sk-SK"/>
        </w:rPr>
        <w:t xml:space="preserve"> v </w:t>
      </w:r>
      <w:r w:rsidRPr="003F23AC">
        <w:rPr>
          <w:rFonts w:cs="Times New Roman"/>
          <w:noProof/>
          <w:lang w:val="sk-SK"/>
        </w:rPr>
        <w:t>metropolitných oblastiach</w:t>
      </w:r>
    </w:p>
    <w:p w14:paraId="52FD866D" w14:textId="0C2166F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tohto opatrenia je bojovať proti chudobe</w:t>
      </w:r>
      <w:r w:rsidR="00A75B3C" w:rsidRPr="003F23AC">
        <w:rPr>
          <w:rFonts w:cs="Times New Roman"/>
          <w:noProof/>
          <w:lang w:val="sk-SK"/>
        </w:rPr>
        <w:t xml:space="preserve"> a </w:t>
      </w:r>
      <w:r w:rsidRPr="003F23AC">
        <w:rPr>
          <w:rFonts w:cs="Times New Roman"/>
          <w:noProof/>
          <w:lang w:val="sk-SK"/>
        </w:rPr>
        <w:t>sociálnemu vylúčeniu</w:t>
      </w:r>
      <w:r w:rsidR="00A75B3C" w:rsidRPr="003F23AC">
        <w:rPr>
          <w:rFonts w:cs="Times New Roman"/>
          <w:noProof/>
          <w:lang w:val="sk-SK"/>
        </w:rPr>
        <w:t xml:space="preserve"> v </w:t>
      </w:r>
      <w:r w:rsidRPr="003F23AC">
        <w:rPr>
          <w:rFonts w:cs="Times New Roman"/>
          <w:noProof/>
          <w:lang w:val="sk-SK"/>
        </w:rPr>
        <w:t>najviac znevýhodnených obciach metropolitných oblastí Lisabon</w:t>
      </w:r>
      <w:r w:rsidR="00A75B3C" w:rsidRPr="003F23AC">
        <w:rPr>
          <w:rFonts w:cs="Times New Roman"/>
          <w:noProof/>
          <w:lang w:val="sk-SK"/>
        </w:rPr>
        <w:t xml:space="preserve"> a </w:t>
      </w:r>
      <w:r w:rsidRPr="003F23AC">
        <w:rPr>
          <w:rFonts w:cs="Times New Roman"/>
          <w:noProof/>
          <w:lang w:val="sk-SK"/>
        </w:rPr>
        <w:t>Porto</w:t>
      </w:r>
      <w:r w:rsidR="00A75B3C" w:rsidRPr="003F23AC">
        <w:rPr>
          <w:rFonts w:cs="Times New Roman"/>
          <w:noProof/>
          <w:lang w:val="sk-SK"/>
        </w:rPr>
        <w:t>.</w:t>
      </w:r>
    </w:p>
    <w:p w14:paraId="7E50E1B1" w14:textId="535EF919"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reforma pozostáva zo súboru integrovaných pilotných akcií, ktoré sa majú vypracovať na základe posúdenia</w:t>
      </w:r>
      <w:r w:rsidR="00A75B3C" w:rsidRPr="003F23AC">
        <w:rPr>
          <w:rFonts w:cs="Times New Roman"/>
          <w:noProof/>
          <w:lang w:val="sk-SK"/>
        </w:rPr>
        <w:t xml:space="preserve"> a </w:t>
      </w:r>
      <w:r w:rsidRPr="003F23AC">
        <w:rPr>
          <w:rFonts w:cs="Times New Roman"/>
          <w:noProof/>
          <w:lang w:val="sk-SK"/>
        </w:rPr>
        <w:t>identifikácie osobitných potrieb spoločenstva. Po tejto diagnostickej fáze sa integrované intervencie navrhnú</w:t>
      </w:r>
      <w:r w:rsidR="00A75B3C" w:rsidRPr="003F23AC">
        <w:rPr>
          <w:rFonts w:cs="Times New Roman"/>
          <w:noProof/>
          <w:lang w:val="sk-SK"/>
        </w:rPr>
        <w:t xml:space="preserve"> a </w:t>
      </w:r>
      <w:r w:rsidRPr="003F23AC">
        <w:rPr>
          <w:rFonts w:cs="Times New Roman"/>
          <w:noProof/>
          <w:lang w:val="sk-SK"/>
        </w:rPr>
        <w:t>zamerajú sa na dve oblasti</w:t>
      </w:r>
      <w:r w:rsidR="00A75B3C" w:rsidRPr="003F23AC">
        <w:rPr>
          <w:rFonts w:cs="Times New Roman"/>
          <w:noProof/>
          <w:lang w:val="sk-SK"/>
        </w:rPr>
        <w:t>:</w:t>
      </w:r>
    </w:p>
    <w:p w14:paraId="0B7DAF3A" w14:textId="50C55F30" w:rsidR="00387C70" w:rsidRPr="003F23AC" w:rsidRDefault="000F5AA4" w:rsidP="003F23AC">
      <w:pPr>
        <w:pStyle w:val="P68B1DB1-Normal4"/>
        <w:numPr>
          <w:ilvl w:val="0"/>
          <w:numId w:val="52"/>
        </w:numPr>
        <w:spacing w:before="40" w:after="160" w:line="259" w:lineRule="auto"/>
        <w:contextualSpacing/>
        <w:jc w:val="both"/>
        <w:rPr>
          <w:rFonts w:eastAsiaTheme="minorEastAsia" w:cs="Times New Roman"/>
          <w:noProof/>
          <w:lang w:val="sk-SK"/>
        </w:rPr>
      </w:pPr>
      <w:r w:rsidRPr="003F23AC">
        <w:rPr>
          <w:rFonts w:cs="Times New Roman"/>
          <w:noProof/>
          <w:lang w:val="sk-SK"/>
        </w:rPr>
        <w:t>Zásahy do verejných priestorov</w:t>
      </w:r>
      <w:r w:rsidR="00A75B3C" w:rsidRPr="003F23AC">
        <w:rPr>
          <w:rFonts w:cs="Times New Roman"/>
          <w:noProof/>
          <w:lang w:val="sk-SK"/>
        </w:rPr>
        <w:t xml:space="preserve"> a </w:t>
      </w:r>
      <w:r w:rsidRPr="003F23AC">
        <w:rPr>
          <w:rFonts w:cs="Times New Roman"/>
          <w:noProof/>
          <w:lang w:val="sk-SK"/>
        </w:rPr>
        <w:t>sociálnych infraštruktúr, ako sú jasle</w:t>
      </w:r>
      <w:r w:rsidR="00A75B3C" w:rsidRPr="003F23AC">
        <w:rPr>
          <w:rFonts w:cs="Times New Roman"/>
          <w:noProof/>
          <w:lang w:val="sk-SK"/>
        </w:rPr>
        <w:t xml:space="preserve"> a </w:t>
      </w:r>
      <w:r w:rsidRPr="003F23AC">
        <w:rPr>
          <w:rFonts w:cs="Times New Roman"/>
          <w:noProof/>
          <w:lang w:val="sk-SK"/>
        </w:rPr>
        <w:t>základné školy, zdravotnícke zariadenia</w:t>
      </w:r>
      <w:r w:rsidR="00A75B3C" w:rsidRPr="003F23AC">
        <w:rPr>
          <w:rFonts w:cs="Times New Roman"/>
          <w:noProof/>
          <w:lang w:val="sk-SK"/>
        </w:rPr>
        <w:t xml:space="preserve"> a </w:t>
      </w:r>
      <w:r w:rsidRPr="003F23AC">
        <w:rPr>
          <w:rFonts w:cs="Times New Roman"/>
          <w:noProof/>
          <w:lang w:val="sk-SK"/>
        </w:rPr>
        <w:t>zariadenia pre spoločenské</w:t>
      </w:r>
      <w:r w:rsidR="00A75B3C" w:rsidRPr="003F23AC">
        <w:rPr>
          <w:rFonts w:cs="Times New Roman"/>
          <w:noProof/>
          <w:lang w:val="sk-SK"/>
        </w:rPr>
        <w:t xml:space="preserve"> a </w:t>
      </w:r>
      <w:r w:rsidRPr="003F23AC">
        <w:rPr>
          <w:rFonts w:cs="Times New Roman"/>
          <w:noProof/>
          <w:lang w:val="sk-SK"/>
        </w:rPr>
        <w:t>kultúrne podujatia, workshopy a/alebo kurzy odbornej prípravy;</w:t>
      </w:r>
      <w:r w:rsidR="00A75B3C" w:rsidRPr="003F23AC">
        <w:rPr>
          <w:rFonts w:cs="Times New Roman"/>
          <w:noProof/>
          <w:lang w:val="sk-SK"/>
        </w:rPr>
        <w:t xml:space="preserve"> a </w:t>
      </w:r>
      <w:r w:rsidRPr="003F23AC">
        <w:rPr>
          <w:rFonts w:cs="Times New Roman"/>
          <w:noProof/>
          <w:lang w:val="sk-SK"/>
        </w:rPr>
        <w:t>zároveň</w:t>
      </w:r>
    </w:p>
    <w:p w14:paraId="1A1AF2F0" w14:textId="358A89B8" w:rsidR="00A75B3C" w:rsidRPr="003F23AC" w:rsidRDefault="000F5AA4" w:rsidP="003F23AC">
      <w:pPr>
        <w:pStyle w:val="P68B1DB1-Normal4"/>
        <w:numPr>
          <w:ilvl w:val="0"/>
          <w:numId w:val="52"/>
        </w:numPr>
        <w:spacing w:before="40" w:after="160" w:line="259" w:lineRule="auto"/>
        <w:contextualSpacing/>
        <w:jc w:val="both"/>
        <w:rPr>
          <w:rFonts w:cs="Times New Roman"/>
          <w:noProof/>
          <w:lang w:val="sk-SK"/>
        </w:rPr>
      </w:pPr>
      <w:r w:rsidRPr="003F23AC">
        <w:rPr>
          <w:rFonts w:cs="Times New Roman"/>
          <w:noProof/>
          <w:lang w:val="sk-SK"/>
        </w:rPr>
        <w:t>Intervencie nehmotného charakteru na podporu sociálnej súdržnosti, ako je aktívne zapojenie komunít do ich navrhovania</w:t>
      </w:r>
      <w:r w:rsidR="00A75B3C" w:rsidRPr="003F23AC">
        <w:rPr>
          <w:rFonts w:cs="Times New Roman"/>
          <w:noProof/>
          <w:lang w:val="sk-SK"/>
        </w:rPr>
        <w:t xml:space="preserve"> a </w:t>
      </w:r>
      <w:r w:rsidRPr="003F23AC">
        <w:rPr>
          <w:rFonts w:cs="Times New Roman"/>
          <w:noProof/>
          <w:lang w:val="sk-SK"/>
        </w:rPr>
        <w:t>vykonávania, podpora podnikania malých miestnych podnikov, navrhovanie projektov na boj proti neúspechu</w:t>
      </w:r>
      <w:r w:rsidR="00A75B3C" w:rsidRPr="003F23AC">
        <w:rPr>
          <w:rFonts w:cs="Times New Roman"/>
          <w:noProof/>
          <w:lang w:val="sk-SK"/>
        </w:rPr>
        <w:t xml:space="preserve"> v </w:t>
      </w:r>
      <w:r w:rsidRPr="003F23AC">
        <w:rPr>
          <w:rFonts w:cs="Times New Roman"/>
          <w:noProof/>
          <w:lang w:val="sk-SK"/>
        </w:rPr>
        <w:t>škole</w:t>
      </w:r>
      <w:r w:rsidR="00A75B3C" w:rsidRPr="003F23AC">
        <w:rPr>
          <w:rFonts w:cs="Times New Roman"/>
          <w:noProof/>
          <w:lang w:val="sk-SK"/>
        </w:rPr>
        <w:t xml:space="preserve"> a </w:t>
      </w:r>
      <w:r w:rsidRPr="003F23AC">
        <w:rPr>
          <w:rFonts w:cs="Times New Roman"/>
          <w:noProof/>
          <w:lang w:val="sk-SK"/>
        </w:rPr>
        <w:t>predčasnému ukončeniu školskej dochádzky, ponuka odbornej prípravy</w:t>
      </w:r>
      <w:r w:rsidR="00A75B3C" w:rsidRPr="003F23AC">
        <w:rPr>
          <w:rFonts w:cs="Times New Roman"/>
          <w:noProof/>
          <w:lang w:val="sk-SK"/>
        </w:rPr>
        <w:t xml:space="preserve"> a </w:t>
      </w:r>
      <w:r w:rsidRPr="003F23AC">
        <w:rPr>
          <w:rFonts w:cs="Times New Roman"/>
          <w:noProof/>
          <w:lang w:val="sk-SK"/>
        </w:rPr>
        <w:t>podpora športu</w:t>
      </w:r>
      <w:r w:rsidR="00A75B3C" w:rsidRPr="003F23AC">
        <w:rPr>
          <w:rFonts w:cs="Times New Roman"/>
          <w:noProof/>
          <w:lang w:val="sk-SK"/>
        </w:rPr>
        <w:t>.</w:t>
      </w:r>
    </w:p>
    <w:p w14:paraId="28DED88A" w14:textId="093E909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reforma bude podporená</w:t>
      </w:r>
      <w:r w:rsidR="00A75B3C" w:rsidRPr="003F23AC">
        <w:rPr>
          <w:rFonts w:cs="Times New Roman"/>
          <w:noProof/>
          <w:lang w:val="sk-SK"/>
        </w:rPr>
        <w:t xml:space="preserve"> a </w:t>
      </w:r>
      <w:r w:rsidRPr="003F23AC">
        <w:rPr>
          <w:rFonts w:cs="Times New Roman"/>
          <w:noProof/>
          <w:lang w:val="sk-SK"/>
        </w:rPr>
        <w:t>štruktúrovaná</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vôbec prvou národnou stratégiou Portugalska na boj proti chudobe (ENCP)</w:t>
      </w:r>
      <w:r w:rsidR="00A75B3C" w:rsidRPr="003F23AC">
        <w:rPr>
          <w:rFonts w:cs="Times New Roman"/>
          <w:noProof/>
          <w:lang w:val="sk-SK"/>
        </w:rPr>
        <w:t xml:space="preserve"> a </w:t>
      </w:r>
      <w:r w:rsidRPr="003F23AC">
        <w:rPr>
          <w:rFonts w:cs="Times New Roman"/>
          <w:noProof/>
          <w:lang w:val="sk-SK"/>
        </w:rPr>
        <w:t>tematickými intervenciami pre osobitné skupiny, ktoré sú</w:t>
      </w:r>
      <w:r w:rsidR="00A75B3C" w:rsidRPr="003F23AC">
        <w:rPr>
          <w:rFonts w:cs="Times New Roman"/>
          <w:noProof/>
          <w:lang w:val="sk-SK"/>
        </w:rPr>
        <w:t xml:space="preserve"> v </w:t>
      </w:r>
      <w:r w:rsidRPr="003F23AC">
        <w:rPr>
          <w:rFonts w:cs="Times New Roman"/>
          <w:noProof/>
          <w:lang w:val="sk-SK"/>
        </w:rPr>
        <w:t>nej určené</w:t>
      </w:r>
      <w:r w:rsidR="00A75B3C" w:rsidRPr="003F23AC">
        <w:rPr>
          <w:rFonts w:cs="Times New Roman"/>
          <w:noProof/>
          <w:lang w:val="sk-SK"/>
        </w:rPr>
        <w:t>.</w:t>
      </w:r>
    </w:p>
    <w:p w14:paraId="5852842A" w14:textId="050D1AE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Reforma sa vykoná prostredníctvom investícií RE-C03-i06 – Integrované operácie</w:t>
      </w:r>
      <w:r w:rsidR="00A75B3C" w:rsidRPr="003F23AC">
        <w:rPr>
          <w:rFonts w:cs="Times New Roman"/>
          <w:noProof/>
          <w:lang w:val="sk-SK"/>
        </w:rPr>
        <w:t xml:space="preserve"> v </w:t>
      </w:r>
      <w:r w:rsidRPr="003F23AC">
        <w:rPr>
          <w:rFonts w:cs="Times New Roman"/>
          <w:noProof/>
          <w:lang w:val="sk-SK"/>
        </w:rPr>
        <w:t>znevýhodnených komunitách</w:t>
      </w:r>
      <w:r w:rsidR="00A75B3C" w:rsidRPr="003F23AC">
        <w:rPr>
          <w:rFonts w:cs="Times New Roman"/>
          <w:noProof/>
          <w:lang w:val="sk-SK"/>
        </w:rPr>
        <w:t xml:space="preserve"> v </w:t>
      </w:r>
      <w:r w:rsidRPr="003F23AC">
        <w:rPr>
          <w:rFonts w:cs="Times New Roman"/>
          <w:noProof/>
          <w:lang w:val="sk-SK"/>
        </w:rPr>
        <w:t>metropolitných oblastiach Lisabon</w:t>
      </w:r>
      <w:r w:rsidR="00A75B3C" w:rsidRPr="003F23AC">
        <w:rPr>
          <w:rFonts w:cs="Times New Roman"/>
          <w:noProof/>
          <w:lang w:val="sk-SK"/>
        </w:rPr>
        <w:t xml:space="preserve"> a </w:t>
      </w:r>
      <w:r w:rsidRPr="003F23AC">
        <w:rPr>
          <w:rFonts w:cs="Times New Roman"/>
          <w:noProof/>
          <w:lang w:val="sk-SK"/>
        </w:rPr>
        <w:t>Porto.</w:t>
      </w:r>
    </w:p>
    <w:p w14:paraId="70A526E2" w14:textId="03316425"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Míľnik súvisiaci</w:t>
      </w:r>
      <w:r w:rsidR="00A75B3C" w:rsidRPr="003F23AC">
        <w:rPr>
          <w:rFonts w:cs="Times New Roman"/>
          <w:noProof/>
          <w:lang w:val="sk-SK"/>
        </w:rPr>
        <w:t xml:space="preserve"> s </w:t>
      </w:r>
      <w:r w:rsidRPr="003F23AC">
        <w:rPr>
          <w:rFonts w:cs="Times New Roman"/>
          <w:noProof/>
          <w:lang w:val="sk-SK"/>
        </w:rPr>
        <w:t>vykonávaním reformy sa dokončí do 31</w:t>
      </w:r>
      <w:r w:rsidR="00A75B3C" w:rsidRPr="003F23AC">
        <w:rPr>
          <w:rFonts w:cs="Times New Roman"/>
          <w:noProof/>
          <w:lang w:val="sk-SK"/>
        </w:rPr>
        <w:t>. decembra</w:t>
      </w:r>
      <w:r w:rsidRPr="003F23AC">
        <w:rPr>
          <w:rFonts w:cs="Times New Roman"/>
          <w:noProof/>
          <w:lang w:val="sk-SK"/>
        </w:rPr>
        <w:t xml:space="preserve"> 2021.</w:t>
      </w:r>
    </w:p>
    <w:p w14:paraId="0AD18DF6" w14:textId="7777777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Reforma RE-r08: Národná stratégia boja proti chudobe</w:t>
      </w:r>
    </w:p>
    <w:p w14:paraId="243FD289" w14:textId="201AB609"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Cieľom tohto opatrenia je bojovať proti chudobe prostredníctvom rozvoja viacrozmerného, integrovaného, strednodobého</w:t>
      </w:r>
      <w:r w:rsidR="00A75B3C" w:rsidRPr="003F23AC">
        <w:rPr>
          <w:rFonts w:cs="Times New Roman"/>
          <w:noProof/>
          <w:lang w:val="sk-SK"/>
        </w:rPr>
        <w:t xml:space="preserve"> a </w:t>
      </w:r>
      <w:r w:rsidRPr="003F23AC">
        <w:rPr>
          <w:rFonts w:cs="Times New Roman"/>
          <w:noProof/>
          <w:lang w:val="sk-SK"/>
        </w:rPr>
        <w:t>dlhodobého prístupu.</w:t>
      </w:r>
    </w:p>
    <w:p w14:paraId="3F7CA624" w14:textId="62C3CF06"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Reforma pozostáva</w:t>
      </w:r>
      <w:r w:rsidR="00A75B3C" w:rsidRPr="003F23AC">
        <w:rPr>
          <w:rFonts w:cs="Times New Roman"/>
          <w:noProof/>
          <w:lang w:val="sk-SK"/>
        </w:rPr>
        <w:t xml:space="preserve"> z </w:t>
      </w:r>
      <w:r w:rsidRPr="003F23AC">
        <w:rPr>
          <w:rFonts w:cs="Times New Roman"/>
          <w:noProof/>
          <w:lang w:val="sk-SK"/>
        </w:rPr>
        <w:t>prijatia národnej stratégie boja proti chudobe (ENCP). Stratégia poskytuje rámec pre tematické intervencie zamerané na konkrétne skupiny, od detí až po staršie osoby vrátane najzraniteľnejších skupín. Stanovia sa</w:t>
      </w:r>
      <w:r w:rsidR="00A75B3C" w:rsidRPr="003F23AC">
        <w:rPr>
          <w:rFonts w:cs="Times New Roman"/>
          <w:noProof/>
          <w:lang w:val="sk-SK"/>
        </w:rPr>
        <w:t xml:space="preserve"> v </w:t>
      </w:r>
      <w:r w:rsidRPr="003F23AC">
        <w:rPr>
          <w:rFonts w:cs="Times New Roman"/>
          <w:noProof/>
          <w:lang w:val="sk-SK"/>
        </w:rPr>
        <w:t>ňom podmienky rozvoja</w:t>
      </w:r>
      <w:r w:rsidR="00A75B3C" w:rsidRPr="003F23AC">
        <w:rPr>
          <w:rFonts w:cs="Times New Roman"/>
          <w:noProof/>
          <w:lang w:val="sk-SK"/>
        </w:rPr>
        <w:t xml:space="preserve"> a </w:t>
      </w:r>
      <w:r w:rsidRPr="003F23AC">
        <w:rPr>
          <w:rFonts w:cs="Times New Roman"/>
          <w:noProof/>
          <w:lang w:val="sk-SK"/>
        </w:rPr>
        <w:t>vykonávania integrovaných politík zameraných na špecifiká sociálneho vylúčenia</w:t>
      </w:r>
      <w:r w:rsidR="00A75B3C" w:rsidRPr="003F23AC">
        <w:rPr>
          <w:rFonts w:cs="Times New Roman"/>
          <w:noProof/>
          <w:lang w:val="sk-SK"/>
        </w:rPr>
        <w:t xml:space="preserve"> a </w:t>
      </w:r>
      <w:r w:rsidRPr="003F23AC">
        <w:rPr>
          <w:rFonts w:cs="Times New Roman"/>
          <w:noProof/>
          <w:lang w:val="sk-SK"/>
        </w:rPr>
        <w:t>chudoby na miestnej úrovni. Okrem toho sa</w:t>
      </w:r>
      <w:r w:rsidR="00A75B3C" w:rsidRPr="003F23AC">
        <w:rPr>
          <w:rFonts w:cs="Times New Roman"/>
          <w:noProof/>
          <w:lang w:val="sk-SK"/>
        </w:rPr>
        <w:t xml:space="preserve"> v </w:t>
      </w:r>
      <w:r w:rsidRPr="003F23AC">
        <w:rPr>
          <w:rFonts w:cs="Times New Roman"/>
          <w:noProof/>
          <w:lang w:val="sk-SK"/>
        </w:rPr>
        <w:t>ňom nariaďuje aj vytvorenie jednotného rámca monitorovania ukazovateľov súvisiacich</w:t>
      </w:r>
      <w:r w:rsidR="00A75B3C" w:rsidRPr="003F23AC">
        <w:rPr>
          <w:rFonts w:cs="Times New Roman"/>
          <w:noProof/>
          <w:lang w:val="sk-SK"/>
        </w:rPr>
        <w:t xml:space="preserve"> s </w:t>
      </w:r>
      <w:r w:rsidRPr="003F23AC">
        <w:rPr>
          <w:rFonts w:cs="Times New Roman"/>
          <w:noProof/>
          <w:lang w:val="sk-SK"/>
        </w:rPr>
        <w:t>chudobou.</w:t>
      </w:r>
    </w:p>
    <w:p w14:paraId="2BFE7AC9" w14:textId="0AC5C2D2"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InvestmentRE-C03-i06 – Integrované operácie</w:t>
      </w:r>
      <w:r w:rsidR="00A75B3C" w:rsidRPr="003F23AC">
        <w:rPr>
          <w:rFonts w:cs="Times New Roman"/>
          <w:noProof/>
          <w:lang w:val="sk-SK"/>
        </w:rPr>
        <w:t xml:space="preserve"> v </w:t>
      </w:r>
      <w:r w:rsidRPr="003F23AC">
        <w:rPr>
          <w:rFonts w:cs="Times New Roman"/>
          <w:noProof/>
          <w:lang w:val="sk-SK"/>
        </w:rPr>
        <w:t>znevýhodnených komunitách</w:t>
      </w:r>
      <w:r w:rsidR="00A75B3C" w:rsidRPr="003F23AC">
        <w:rPr>
          <w:rFonts w:cs="Times New Roman"/>
          <w:noProof/>
          <w:lang w:val="sk-SK"/>
        </w:rPr>
        <w:t xml:space="preserve"> v </w:t>
      </w:r>
      <w:r w:rsidRPr="003F23AC">
        <w:rPr>
          <w:rFonts w:cs="Times New Roman"/>
          <w:noProof/>
          <w:lang w:val="sk-SK"/>
        </w:rPr>
        <w:t>metropolitných oblastiach Lisabon</w:t>
      </w:r>
      <w:r w:rsidR="00A75B3C" w:rsidRPr="003F23AC">
        <w:rPr>
          <w:rFonts w:cs="Times New Roman"/>
          <w:noProof/>
          <w:lang w:val="sk-SK"/>
        </w:rPr>
        <w:t xml:space="preserve"> a </w:t>
      </w:r>
      <w:r w:rsidRPr="003F23AC">
        <w:rPr>
          <w:rFonts w:cs="Times New Roman"/>
          <w:noProof/>
          <w:lang w:val="sk-SK"/>
        </w:rPr>
        <w:t>Porto prispievajú</w:t>
      </w:r>
      <w:r w:rsidR="00A75B3C" w:rsidRPr="003F23AC">
        <w:rPr>
          <w:rFonts w:cs="Times New Roman"/>
          <w:noProof/>
          <w:lang w:val="sk-SK"/>
        </w:rPr>
        <w:t xml:space="preserve"> k </w:t>
      </w:r>
      <w:r w:rsidRPr="003F23AC">
        <w:rPr>
          <w:rFonts w:cs="Times New Roman"/>
          <w:noProof/>
          <w:lang w:val="sk-SK"/>
        </w:rPr>
        <w:t>realizácii reformy.</w:t>
      </w:r>
    </w:p>
    <w:p w14:paraId="5CB94457" w14:textId="29AD1110" w:rsidR="00387C70" w:rsidRPr="003F23AC" w:rsidRDefault="000F5AA4" w:rsidP="003F23AC">
      <w:pPr>
        <w:pStyle w:val="P68B1DB1-Normal4"/>
        <w:spacing w:before="40" w:after="0" w:line="259" w:lineRule="auto"/>
        <w:jc w:val="both"/>
        <w:rPr>
          <w:rFonts w:eastAsiaTheme="minorEastAsia" w:cs="Times New Roman"/>
          <w:noProof/>
          <w:highlight w:val="yellow"/>
          <w:lang w:val="sk-SK"/>
        </w:rPr>
      </w:pPr>
      <w:r w:rsidRPr="003F23AC">
        <w:rPr>
          <w:rFonts w:cs="Times New Roman"/>
          <w:noProof/>
          <w:lang w:val="sk-SK"/>
        </w:rPr>
        <w:t>Míľnik súvisiaci</w:t>
      </w:r>
      <w:r w:rsidR="00A75B3C" w:rsidRPr="003F23AC">
        <w:rPr>
          <w:rFonts w:cs="Times New Roman"/>
          <w:noProof/>
          <w:lang w:val="sk-SK"/>
        </w:rPr>
        <w:t xml:space="preserve"> s </w:t>
      </w:r>
      <w:r w:rsidRPr="003F23AC">
        <w:rPr>
          <w:rFonts w:cs="Times New Roman"/>
          <w:noProof/>
          <w:lang w:val="sk-SK"/>
        </w:rPr>
        <w:t>vykonávaním reformy sa dokončí do 30</w:t>
      </w:r>
      <w:r w:rsidR="00A75B3C" w:rsidRPr="003F23AC">
        <w:rPr>
          <w:rFonts w:cs="Times New Roman"/>
          <w:noProof/>
          <w:lang w:val="sk-SK"/>
        </w:rPr>
        <w:t>. septembra</w:t>
      </w:r>
      <w:r w:rsidRPr="003F23AC">
        <w:rPr>
          <w:rFonts w:cs="Times New Roman"/>
          <w:noProof/>
          <w:lang w:val="sk-SK"/>
        </w:rPr>
        <w:t xml:space="preserve"> 2021.</w:t>
      </w:r>
    </w:p>
    <w:p w14:paraId="4A7F96D8" w14:textId="3E6FE6D9" w:rsidR="00387C70" w:rsidRPr="003F23AC" w:rsidRDefault="000F5AA4" w:rsidP="00A26F8D">
      <w:pPr>
        <w:pStyle w:val="P68B1DB1-Normal5"/>
        <w:keepNext/>
        <w:keepLines/>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RE-C03-i01: Nová generácia zariadení</w:t>
      </w:r>
      <w:r w:rsidR="00A75B3C" w:rsidRPr="003F23AC">
        <w:rPr>
          <w:rFonts w:cs="Times New Roman"/>
          <w:noProof/>
          <w:lang w:val="sk-SK"/>
        </w:rPr>
        <w:t xml:space="preserve"> a </w:t>
      </w:r>
      <w:r w:rsidRPr="003F23AC">
        <w:rPr>
          <w:rFonts w:cs="Times New Roman"/>
          <w:noProof/>
          <w:lang w:val="sk-SK"/>
        </w:rPr>
        <w:t>reakcie</w:t>
      </w:r>
      <w:r w:rsidR="00A75B3C" w:rsidRPr="003F23AC">
        <w:rPr>
          <w:rFonts w:cs="Times New Roman"/>
          <w:noProof/>
          <w:lang w:val="sk-SK"/>
        </w:rPr>
        <w:t xml:space="preserve"> v </w:t>
      </w:r>
      <w:r w:rsidRPr="003F23AC">
        <w:rPr>
          <w:rFonts w:cs="Times New Roman"/>
          <w:noProof/>
          <w:lang w:val="sk-SK"/>
        </w:rPr>
        <w:t>sociálnej oblasti</w:t>
      </w:r>
    </w:p>
    <w:p w14:paraId="1BCAC31F" w14:textId="57EC6F69" w:rsidR="00387C70" w:rsidRPr="00A26F8D" w:rsidRDefault="000F5AA4" w:rsidP="00A26F8D">
      <w:pPr>
        <w:pStyle w:val="P68B1DB1-Normal4"/>
        <w:keepNext/>
        <w:keepLines/>
        <w:spacing w:before="40" w:after="0" w:line="259" w:lineRule="auto"/>
        <w:jc w:val="both"/>
        <w:rPr>
          <w:rFonts w:eastAsiaTheme="minorEastAsia" w:cs="Times New Roman"/>
          <w:noProof/>
          <w:spacing w:val="-6"/>
          <w:lang w:val="sk-SK"/>
        </w:rPr>
      </w:pPr>
      <w:r w:rsidRPr="00A26F8D">
        <w:rPr>
          <w:rFonts w:cs="Times New Roman"/>
          <w:noProof/>
          <w:spacing w:val="-6"/>
          <w:lang w:val="sk-SK"/>
        </w:rPr>
        <w:t>Cieľom tohto opatrenia je modernizovať</w:t>
      </w:r>
      <w:r w:rsidR="00A75B3C" w:rsidRPr="00A26F8D">
        <w:rPr>
          <w:rFonts w:cs="Times New Roman"/>
          <w:noProof/>
          <w:spacing w:val="-6"/>
          <w:lang w:val="sk-SK"/>
        </w:rPr>
        <w:t xml:space="preserve"> a </w:t>
      </w:r>
      <w:r w:rsidRPr="00A26F8D">
        <w:rPr>
          <w:rFonts w:cs="Times New Roman"/>
          <w:noProof/>
          <w:spacing w:val="-6"/>
          <w:lang w:val="sk-SK"/>
        </w:rPr>
        <w:t>rozšíriť sieť služieb sociálnej starostlivosti</w:t>
      </w:r>
      <w:r w:rsidR="00A75B3C" w:rsidRPr="00A26F8D">
        <w:rPr>
          <w:rFonts w:cs="Times New Roman"/>
          <w:noProof/>
          <w:spacing w:val="-6"/>
          <w:lang w:val="sk-SK"/>
        </w:rPr>
        <w:t xml:space="preserve"> s </w:t>
      </w:r>
      <w:r w:rsidRPr="00A26F8D">
        <w:rPr>
          <w:rFonts w:cs="Times New Roman"/>
          <w:noProof/>
          <w:spacing w:val="-6"/>
          <w:lang w:val="sk-SK"/>
        </w:rPr>
        <w:t>cieľom vyvinúť efektívnejšie metódy poskytovania služieb, získať širšie vnútroštátne územné pokrytie</w:t>
      </w:r>
      <w:r w:rsidR="00A75B3C" w:rsidRPr="00A26F8D">
        <w:rPr>
          <w:rFonts w:cs="Times New Roman"/>
          <w:noProof/>
          <w:spacing w:val="-6"/>
          <w:lang w:val="sk-SK"/>
        </w:rPr>
        <w:t xml:space="preserve"> a </w:t>
      </w:r>
      <w:r w:rsidRPr="00A26F8D">
        <w:rPr>
          <w:rFonts w:cs="Times New Roman"/>
          <w:noProof/>
          <w:spacing w:val="-6"/>
          <w:lang w:val="sk-SK"/>
        </w:rPr>
        <w:t>zlepšiť pracovné podmienky odborníkov</w:t>
      </w:r>
      <w:r w:rsidR="00A75B3C" w:rsidRPr="00A26F8D">
        <w:rPr>
          <w:rFonts w:cs="Times New Roman"/>
          <w:noProof/>
          <w:spacing w:val="-6"/>
          <w:lang w:val="sk-SK"/>
        </w:rPr>
        <w:t xml:space="preserve"> v </w:t>
      </w:r>
      <w:r w:rsidRPr="00A26F8D">
        <w:rPr>
          <w:rFonts w:cs="Times New Roman"/>
          <w:noProof/>
          <w:spacing w:val="-6"/>
          <w:lang w:val="sk-SK"/>
        </w:rPr>
        <w:t>týchto štruktúrach</w:t>
      </w:r>
      <w:r w:rsidR="00A75B3C" w:rsidRPr="00A26F8D">
        <w:rPr>
          <w:rFonts w:cs="Times New Roman"/>
          <w:noProof/>
          <w:spacing w:val="-6"/>
          <w:lang w:val="sk-SK"/>
        </w:rPr>
        <w:t xml:space="preserve"> a </w:t>
      </w:r>
      <w:r w:rsidRPr="00A26F8D">
        <w:rPr>
          <w:rFonts w:cs="Times New Roman"/>
          <w:noProof/>
          <w:spacing w:val="-6"/>
          <w:lang w:val="sk-SK"/>
        </w:rPr>
        <w:t>kvalitu starostlivosti poskytovanej používateľom.</w:t>
      </w:r>
    </w:p>
    <w:p w14:paraId="4CAC5042" w14:textId="7777777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investícia pozostáva z:</w:t>
      </w:r>
    </w:p>
    <w:p w14:paraId="098FBF35" w14:textId="66157B02" w:rsidR="00387C70" w:rsidRPr="003F23AC" w:rsidRDefault="000F5AA4" w:rsidP="003F23AC">
      <w:pPr>
        <w:pStyle w:val="P68B1DB1-Normal4"/>
        <w:numPr>
          <w:ilvl w:val="0"/>
          <w:numId w:val="52"/>
        </w:numPr>
        <w:spacing w:before="40" w:after="160" w:line="259" w:lineRule="auto"/>
        <w:contextualSpacing/>
        <w:jc w:val="both"/>
        <w:rPr>
          <w:rFonts w:eastAsiaTheme="minorEastAsia" w:cs="Times New Roman"/>
          <w:noProof/>
          <w:lang w:val="sk-SK"/>
        </w:rPr>
      </w:pPr>
      <w:r w:rsidRPr="003F23AC">
        <w:rPr>
          <w:rFonts w:cs="Times New Roman"/>
          <w:noProof/>
          <w:lang w:val="sk-SK"/>
        </w:rPr>
        <w:t>renovácia</w:t>
      </w:r>
      <w:r w:rsidR="00A75B3C" w:rsidRPr="003F23AC">
        <w:rPr>
          <w:rFonts w:cs="Times New Roman"/>
          <w:noProof/>
          <w:lang w:val="sk-SK"/>
        </w:rPr>
        <w:t xml:space="preserve"> a </w:t>
      </w:r>
      <w:r w:rsidRPr="003F23AC">
        <w:rPr>
          <w:rFonts w:cs="Times New Roman"/>
          <w:noProof/>
          <w:lang w:val="sk-SK"/>
        </w:rPr>
        <w:t>rozšírenie existujúcich zariadení sociálnych služieb</w:t>
      </w:r>
      <w:r w:rsidR="00A75B3C" w:rsidRPr="003F23AC">
        <w:rPr>
          <w:rFonts w:cs="Times New Roman"/>
          <w:noProof/>
          <w:lang w:val="sk-SK"/>
        </w:rPr>
        <w:t xml:space="preserve"> a </w:t>
      </w:r>
      <w:r w:rsidRPr="003F23AC">
        <w:rPr>
          <w:rFonts w:cs="Times New Roman"/>
          <w:noProof/>
          <w:lang w:val="sk-SK"/>
        </w:rPr>
        <w:t>výstavba nových zariadení, ako sú jasle, domovy rezidenčnej starostlivosti</w:t>
      </w:r>
      <w:r w:rsidR="00A75B3C" w:rsidRPr="003F23AC">
        <w:rPr>
          <w:rFonts w:cs="Times New Roman"/>
          <w:noProof/>
          <w:lang w:val="sk-SK"/>
        </w:rPr>
        <w:t xml:space="preserve"> o </w:t>
      </w:r>
      <w:r w:rsidRPr="003F23AC">
        <w:rPr>
          <w:rFonts w:cs="Times New Roman"/>
          <w:noProof/>
          <w:lang w:val="sk-SK"/>
        </w:rPr>
        <w:t>staršie osoby (ERPI)</w:t>
      </w:r>
      <w:r w:rsidR="00A75B3C" w:rsidRPr="003F23AC">
        <w:rPr>
          <w:rFonts w:cs="Times New Roman"/>
          <w:noProof/>
          <w:lang w:val="sk-SK"/>
        </w:rPr>
        <w:t xml:space="preserve"> a </w:t>
      </w:r>
      <w:r w:rsidRPr="003F23AC">
        <w:rPr>
          <w:rFonts w:cs="Times New Roman"/>
          <w:noProof/>
          <w:lang w:val="sk-SK"/>
        </w:rPr>
        <w:t>strediská pre činnosti</w:t>
      </w:r>
      <w:r w:rsidR="00A75B3C" w:rsidRPr="003F23AC">
        <w:rPr>
          <w:rFonts w:cs="Times New Roman"/>
          <w:noProof/>
          <w:lang w:val="sk-SK"/>
        </w:rPr>
        <w:t xml:space="preserve"> a </w:t>
      </w:r>
      <w:r w:rsidRPr="003F23AC">
        <w:rPr>
          <w:rFonts w:cs="Times New Roman"/>
          <w:noProof/>
          <w:lang w:val="sk-SK"/>
        </w:rPr>
        <w:t>posilnenie postavenia</w:t>
      </w:r>
      <w:r w:rsidR="00A75B3C" w:rsidRPr="003F23AC">
        <w:rPr>
          <w:rFonts w:cs="Times New Roman"/>
          <w:noProof/>
          <w:lang w:val="sk-SK"/>
        </w:rPr>
        <w:t xml:space="preserve"> v </w:t>
      </w:r>
      <w:r w:rsidRPr="003F23AC">
        <w:rPr>
          <w:rFonts w:cs="Times New Roman"/>
          <w:noProof/>
          <w:lang w:val="sk-SK"/>
        </w:rPr>
        <w:t>záujme začlenenia (CACI);</w:t>
      </w:r>
    </w:p>
    <w:p w14:paraId="14B58FC0" w14:textId="2C0B9866" w:rsidR="00A75B3C" w:rsidRPr="003F23AC" w:rsidRDefault="000F5AA4" w:rsidP="003F23AC">
      <w:pPr>
        <w:pStyle w:val="P68B1DB1-Normal4"/>
        <w:numPr>
          <w:ilvl w:val="0"/>
          <w:numId w:val="52"/>
        </w:numPr>
        <w:spacing w:before="40" w:after="160" w:line="259" w:lineRule="auto"/>
        <w:contextualSpacing/>
        <w:jc w:val="both"/>
        <w:rPr>
          <w:rFonts w:cs="Times New Roman"/>
          <w:noProof/>
          <w:lang w:val="sk-SK"/>
        </w:rPr>
      </w:pPr>
      <w:r w:rsidRPr="003F23AC">
        <w:rPr>
          <w:rFonts w:cs="Times New Roman"/>
          <w:noProof/>
          <w:lang w:val="sk-SK"/>
        </w:rPr>
        <w:t>rozšírenie sociálnych sietí Residences for Autonomy and Inclusion and Home Support Services,</w:t>
      </w:r>
      <w:r w:rsidR="00A75B3C" w:rsidRPr="003F23AC">
        <w:rPr>
          <w:rFonts w:cs="Times New Roman"/>
          <w:noProof/>
          <w:lang w:val="sk-SK"/>
        </w:rPr>
        <w:t xml:space="preserve"> a </w:t>
      </w:r>
      <w:r w:rsidRPr="003F23AC">
        <w:rPr>
          <w:rFonts w:cs="Times New Roman"/>
          <w:noProof/>
          <w:lang w:val="sk-SK"/>
        </w:rPr>
        <w:t>to zvýšením počtu používateľov, ktorí by mohli byť zahrnutí</w:t>
      </w:r>
      <w:r w:rsidR="00A75B3C" w:rsidRPr="003F23AC">
        <w:rPr>
          <w:rFonts w:cs="Times New Roman"/>
          <w:noProof/>
          <w:lang w:val="sk-SK"/>
        </w:rPr>
        <w:t>;</w:t>
      </w:r>
    </w:p>
    <w:p w14:paraId="26FCCA4B" w14:textId="2246E46B" w:rsidR="00387C70" w:rsidRPr="003F23AC" w:rsidRDefault="000F5AA4" w:rsidP="003F23AC">
      <w:pPr>
        <w:pStyle w:val="P68B1DB1-Normal4"/>
        <w:numPr>
          <w:ilvl w:val="0"/>
          <w:numId w:val="52"/>
        </w:numPr>
        <w:spacing w:before="40" w:after="160" w:line="259" w:lineRule="auto"/>
        <w:contextualSpacing/>
        <w:jc w:val="both"/>
        <w:rPr>
          <w:rFonts w:eastAsiaTheme="minorEastAsia" w:cs="Times New Roman"/>
          <w:noProof/>
          <w:lang w:val="sk-SK"/>
        </w:rPr>
      </w:pPr>
      <w:r w:rsidRPr="003F23AC">
        <w:rPr>
          <w:rFonts w:cs="Times New Roman"/>
          <w:noProof/>
          <w:lang w:val="sk-SK"/>
        </w:rPr>
        <w:t>rozšírenie siete sociálnych reakcií pomocou nových typológií, ako je spoločné bývanie;</w:t>
      </w:r>
    </w:p>
    <w:p w14:paraId="221D0B2D" w14:textId="77777777" w:rsidR="00A75B3C" w:rsidRPr="003F23AC" w:rsidRDefault="000F5AA4" w:rsidP="003F23AC">
      <w:pPr>
        <w:pStyle w:val="P68B1DB1-Normal4"/>
        <w:numPr>
          <w:ilvl w:val="0"/>
          <w:numId w:val="52"/>
        </w:numPr>
        <w:spacing w:before="40" w:after="160" w:line="259" w:lineRule="auto"/>
        <w:contextualSpacing/>
        <w:jc w:val="both"/>
        <w:rPr>
          <w:rFonts w:cs="Times New Roman"/>
          <w:noProof/>
          <w:lang w:val="sk-SK"/>
        </w:rPr>
      </w:pPr>
      <w:r w:rsidRPr="003F23AC">
        <w:rPr>
          <w:rFonts w:cs="Times New Roman"/>
          <w:noProof/>
          <w:lang w:val="sk-SK"/>
        </w:rPr>
        <w:t>nákup technického</w:t>
      </w:r>
      <w:r w:rsidR="00A75B3C" w:rsidRPr="003F23AC">
        <w:rPr>
          <w:rFonts w:cs="Times New Roman"/>
          <w:noProof/>
          <w:lang w:val="sk-SK"/>
        </w:rPr>
        <w:t xml:space="preserve"> a </w:t>
      </w:r>
      <w:r w:rsidRPr="003F23AC">
        <w:rPr>
          <w:rFonts w:cs="Times New Roman"/>
          <w:noProof/>
          <w:lang w:val="sk-SK"/>
        </w:rPr>
        <w:t>digitálneho vybavenia vrátane nákupu elektrických vozidiel;</w:t>
      </w:r>
      <w:r w:rsidR="00A75B3C" w:rsidRPr="003F23AC">
        <w:rPr>
          <w:rFonts w:cs="Times New Roman"/>
          <w:noProof/>
          <w:lang w:val="sk-SK"/>
        </w:rPr>
        <w:t xml:space="preserve"> a </w:t>
      </w:r>
      <w:r w:rsidRPr="003F23AC">
        <w:rPr>
          <w:rFonts w:cs="Times New Roman"/>
          <w:noProof/>
          <w:lang w:val="sk-SK"/>
        </w:rPr>
        <w:t>zároveň</w:t>
      </w:r>
    </w:p>
    <w:p w14:paraId="78A6605F" w14:textId="51BB8653" w:rsidR="00387C70" w:rsidRPr="00A26F8D" w:rsidRDefault="000F5AA4" w:rsidP="003F23AC">
      <w:pPr>
        <w:pStyle w:val="P68B1DB1-Normal4"/>
        <w:numPr>
          <w:ilvl w:val="0"/>
          <w:numId w:val="52"/>
        </w:numPr>
        <w:spacing w:before="40" w:after="160" w:line="259" w:lineRule="auto"/>
        <w:contextualSpacing/>
        <w:jc w:val="both"/>
        <w:rPr>
          <w:rFonts w:eastAsiaTheme="minorEastAsia" w:cs="Times New Roman"/>
          <w:noProof/>
          <w:spacing w:val="-4"/>
          <w:lang w:val="sk-SK"/>
        </w:rPr>
      </w:pPr>
      <w:r w:rsidRPr="00A26F8D">
        <w:rPr>
          <w:rFonts w:cs="Times New Roman"/>
          <w:noProof/>
          <w:spacing w:val="-4"/>
          <w:lang w:val="sk-SK"/>
        </w:rPr>
        <w:t>spustenie pilotného projektu</w:t>
      </w:r>
      <w:r w:rsidR="00A75B3C" w:rsidRPr="00A26F8D">
        <w:rPr>
          <w:rFonts w:cs="Times New Roman"/>
          <w:noProof/>
          <w:spacing w:val="-4"/>
          <w:lang w:val="sk-SK"/>
        </w:rPr>
        <w:t xml:space="preserve"> s </w:t>
      </w:r>
      <w:r w:rsidRPr="00A26F8D">
        <w:rPr>
          <w:rFonts w:cs="Times New Roman"/>
          <w:noProof/>
          <w:spacing w:val="-4"/>
          <w:lang w:val="sk-SK"/>
        </w:rPr>
        <w:t>názvom „Radar Social“, ktorého cieľom je otestovať na vnútroštátnej úrovni takmer proaktívny</w:t>
      </w:r>
      <w:r w:rsidR="00A75B3C" w:rsidRPr="00A26F8D">
        <w:rPr>
          <w:rFonts w:cs="Times New Roman"/>
          <w:noProof/>
          <w:spacing w:val="-4"/>
          <w:lang w:val="sk-SK"/>
        </w:rPr>
        <w:t xml:space="preserve"> a </w:t>
      </w:r>
      <w:r w:rsidRPr="00A26F8D">
        <w:rPr>
          <w:rFonts w:cs="Times New Roman"/>
          <w:noProof/>
          <w:spacing w:val="-4"/>
          <w:lang w:val="sk-SK"/>
        </w:rPr>
        <w:t>inovatívny model integrovanej sociálnej podpory. Tento model už bol testovaný</w:t>
      </w:r>
      <w:r w:rsidR="00A75B3C" w:rsidRPr="00A26F8D">
        <w:rPr>
          <w:rFonts w:cs="Times New Roman"/>
          <w:noProof/>
          <w:spacing w:val="-4"/>
          <w:lang w:val="sk-SK"/>
        </w:rPr>
        <w:t xml:space="preserve"> v </w:t>
      </w:r>
      <w:r w:rsidRPr="00A26F8D">
        <w:rPr>
          <w:rFonts w:cs="Times New Roman"/>
          <w:noProof/>
          <w:spacing w:val="-4"/>
          <w:lang w:val="sk-SK"/>
        </w:rPr>
        <w:t>obci Lisabon, ktorý sa vzťahoval len na jednu cieľovú skupinu (starších),</w:t>
      </w:r>
      <w:r w:rsidR="00A75B3C" w:rsidRPr="00A26F8D">
        <w:rPr>
          <w:rFonts w:cs="Times New Roman"/>
          <w:noProof/>
          <w:spacing w:val="-4"/>
          <w:lang w:val="sk-SK"/>
        </w:rPr>
        <w:t xml:space="preserve"> a </w:t>
      </w:r>
      <w:r w:rsidRPr="00A26F8D">
        <w:rPr>
          <w:rFonts w:cs="Times New Roman"/>
          <w:noProof/>
          <w:spacing w:val="-4"/>
          <w:lang w:val="sk-SK"/>
        </w:rPr>
        <w:t>teraz je určený na pokrytie celej pevniny so širším rozsahom pôsobnosti, pokiaľ ide</w:t>
      </w:r>
      <w:r w:rsidR="00A75B3C" w:rsidRPr="00A26F8D">
        <w:rPr>
          <w:rFonts w:cs="Times New Roman"/>
          <w:noProof/>
          <w:spacing w:val="-4"/>
          <w:lang w:val="sk-SK"/>
        </w:rPr>
        <w:t xml:space="preserve"> o </w:t>
      </w:r>
      <w:r w:rsidRPr="00A26F8D">
        <w:rPr>
          <w:rFonts w:cs="Times New Roman"/>
          <w:noProof/>
          <w:spacing w:val="-4"/>
          <w:lang w:val="sk-SK"/>
        </w:rPr>
        <w:t>cieľovú skupinu (každá osoba, ktorej hrozí sociálne vylúčenie,</w:t>
      </w:r>
      <w:r w:rsidR="00A75B3C" w:rsidRPr="00A26F8D">
        <w:rPr>
          <w:rFonts w:cs="Times New Roman"/>
          <w:noProof/>
          <w:spacing w:val="-4"/>
          <w:lang w:val="sk-SK"/>
        </w:rPr>
        <w:t xml:space="preserve"> s </w:t>
      </w:r>
      <w:r w:rsidRPr="00A26F8D">
        <w:rPr>
          <w:rFonts w:cs="Times New Roman"/>
          <w:noProof/>
          <w:spacing w:val="-4"/>
          <w:lang w:val="sk-SK"/>
        </w:rPr>
        <w:t>nedostatočnou sociálnou a/alebo rodinnou podporou). Projekt zahŕňa identifikáciu</w:t>
      </w:r>
      <w:r w:rsidR="00A75B3C" w:rsidRPr="00A26F8D">
        <w:rPr>
          <w:rFonts w:cs="Times New Roman"/>
          <w:noProof/>
          <w:spacing w:val="-4"/>
          <w:lang w:val="sk-SK"/>
        </w:rPr>
        <w:t xml:space="preserve"> a </w:t>
      </w:r>
      <w:r w:rsidRPr="00A26F8D">
        <w:rPr>
          <w:rFonts w:cs="Times New Roman"/>
          <w:noProof/>
          <w:spacing w:val="-4"/>
          <w:lang w:val="sk-SK"/>
        </w:rPr>
        <w:t>mapovanie potrieb</w:t>
      </w:r>
      <w:r w:rsidR="00A75B3C" w:rsidRPr="00A26F8D">
        <w:rPr>
          <w:rFonts w:cs="Times New Roman"/>
          <w:noProof/>
          <w:spacing w:val="-4"/>
          <w:lang w:val="sk-SK"/>
        </w:rPr>
        <w:t xml:space="preserve"> a </w:t>
      </w:r>
      <w:r w:rsidRPr="00A26F8D">
        <w:rPr>
          <w:rFonts w:cs="Times New Roman"/>
          <w:noProof/>
          <w:spacing w:val="-4"/>
          <w:lang w:val="sk-SK"/>
        </w:rPr>
        <w:t>iné akcie, ako je podpora občianskej účasti, podpora využívania digitálnych</w:t>
      </w:r>
      <w:r w:rsidR="00A75B3C" w:rsidRPr="00A26F8D">
        <w:rPr>
          <w:rFonts w:cs="Times New Roman"/>
          <w:noProof/>
          <w:spacing w:val="-4"/>
          <w:lang w:val="sk-SK"/>
        </w:rPr>
        <w:t xml:space="preserve"> a </w:t>
      </w:r>
      <w:r w:rsidRPr="00A26F8D">
        <w:rPr>
          <w:rFonts w:cs="Times New Roman"/>
          <w:noProof/>
          <w:spacing w:val="-4"/>
          <w:lang w:val="sk-SK"/>
        </w:rPr>
        <w:t>IT nástrojov na prístup</w:t>
      </w:r>
      <w:r w:rsidR="00A75B3C" w:rsidRPr="00A26F8D">
        <w:rPr>
          <w:rFonts w:cs="Times New Roman"/>
          <w:noProof/>
          <w:spacing w:val="-4"/>
          <w:lang w:val="sk-SK"/>
        </w:rPr>
        <w:t xml:space="preserve"> k </w:t>
      </w:r>
      <w:r w:rsidRPr="00A26F8D">
        <w:rPr>
          <w:rFonts w:cs="Times New Roman"/>
          <w:noProof/>
          <w:spacing w:val="-4"/>
          <w:lang w:val="sk-SK"/>
        </w:rPr>
        <w:t>základným komunitným službám</w:t>
      </w:r>
      <w:r w:rsidR="00A75B3C" w:rsidRPr="00A26F8D">
        <w:rPr>
          <w:rFonts w:cs="Times New Roman"/>
          <w:noProof/>
          <w:spacing w:val="-4"/>
          <w:lang w:val="sk-SK"/>
        </w:rPr>
        <w:t xml:space="preserve"> a </w:t>
      </w:r>
      <w:r w:rsidRPr="00A26F8D">
        <w:rPr>
          <w:rFonts w:cs="Times New Roman"/>
          <w:noProof/>
          <w:spacing w:val="-4"/>
          <w:lang w:val="sk-SK"/>
        </w:rPr>
        <w:t>podpora športu. Na tento účel sa vytvorí 278 sociálnych zásahových tímov</w:t>
      </w:r>
      <w:r w:rsidR="00A75B3C" w:rsidRPr="00A26F8D">
        <w:rPr>
          <w:rFonts w:cs="Times New Roman"/>
          <w:noProof/>
          <w:spacing w:val="-4"/>
          <w:lang w:val="sk-SK"/>
        </w:rPr>
        <w:t xml:space="preserve"> v </w:t>
      </w:r>
      <w:r w:rsidRPr="00A26F8D">
        <w:rPr>
          <w:rFonts w:cs="Times New Roman"/>
          <w:noProof/>
          <w:spacing w:val="-4"/>
          <w:lang w:val="sk-SK"/>
        </w:rPr>
        <w:t>obciach kontinentálneho Portugalska. Tímy sú zodpovedné za identifikáciu starších</w:t>
      </w:r>
      <w:r w:rsidR="00A75B3C" w:rsidRPr="00A26F8D">
        <w:rPr>
          <w:rFonts w:cs="Times New Roman"/>
          <w:noProof/>
          <w:spacing w:val="-4"/>
          <w:lang w:val="sk-SK"/>
        </w:rPr>
        <w:t xml:space="preserve"> a </w:t>
      </w:r>
      <w:r w:rsidRPr="00A26F8D">
        <w:rPr>
          <w:rFonts w:cs="Times New Roman"/>
          <w:noProof/>
          <w:spacing w:val="-4"/>
          <w:lang w:val="sk-SK"/>
        </w:rPr>
        <w:t>iných zraniteľných osôb, ktorým hrozí sociálne vylúčenie,</w:t>
      </w:r>
      <w:r w:rsidR="00A75B3C" w:rsidRPr="00A26F8D">
        <w:rPr>
          <w:rFonts w:cs="Times New Roman"/>
          <w:noProof/>
          <w:spacing w:val="-4"/>
          <w:lang w:val="sk-SK"/>
        </w:rPr>
        <w:t xml:space="preserve"> a </w:t>
      </w:r>
      <w:r w:rsidRPr="00A26F8D">
        <w:rPr>
          <w:rFonts w:cs="Times New Roman"/>
          <w:noProof/>
          <w:spacing w:val="-4"/>
          <w:lang w:val="sk-SK"/>
        </w:rPr>
        <w:t>za poskytovanie podpory na základe ich individuálnych potrieb.</w:t>
      </w:r>
    </w:p>
    <w:p w14:paraId="21CC04BD" w14:textId="14F13CA1"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marca</w:t>
      </w:r>
      <w:r w:rsidRPr="003F23AC">
        <w:rPr>
          <w:rFonts w:cs="Times New Roman"/>
          <w:noProof/>
          <w:lang w:val="sk-SK"/>
        </w:rPr>
        <w:t xml:space="preserve"> 2026.</w:t>
      </w:r>
    </w:p>
    <w:p w14:paraId="2ADE939D" w14:textId="7777777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RE-C03-i02: Prístupnosť 360°</w:t>
      </w:r>
    </w:p>
    <w:p w14:paraId="34B466D0" w14:textId="2BBB33A2"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tohto opatrenia je zlepšiť podmienky prístupnosti pre osoby so zdravotným postihnutím na verejných priestranstvách, verejných budovách</w:t>
      </w:r>
      <w:r w:rsidR="00A75B3C" w:rsidRPr="003F23AC">
        <w:rPr>
          <w:rFonts w:cs="Times New Roman"/>
          <w:noProof/>
          <w:lang w:val="sk-SK"/>
        </w:rPr>
        <w:t xml:space="preserve"> a </w:t>
      </w:r>
      <w:r w:rsidRPr="003F23AC">
        <w:rPr>
          <w:rFonts w:cs="Times New Roman"/>
          <w:noProof/>
          <w:lang w:val="sk-SK"/>
        </w:rPr>
        <w:t>obydliach na celom území</w:t>
      </w:r>
      <w:r w:rsidR="00A75B3C" w:rsidRPr="003F23AC">
        <w:rPr>
          <w:rFonts w:cs="Times New Roman"/>
          <w:noProof/>
          <w:lang w:val="sk-SK"/>
        </w:rPr>
        <w:t>.</w:t>
      </w:r>
    </w:p>
    <w:p w14:paraId="034FEC2F" w14:textId="0D5D18A5"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investícia musí byť plne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Európskou stratégiou</w:t>
      </w:r>
      <w:r w:rsidR="00A75B3C" w:rsidRPr="003F23AC">
        <w:rPr>
          <w:rFonts w:cs="Times New Roman"/>
          <w:noProof/>
          <w:lang w:val="sk-SK"/>
        </w:rPr>
        <w:t xml:space="preserve"> v </w:t>
      </w:r>
      <w:r w:rsidRPr="003F23AC">
        <w:rPr>
          <w:rFonts w:cs="Times New Roman"/>
          <w:noProof/>
          <w:lang w:val="sk-SK"/>
        </w:rPr>
        <w:t>oblasti práv osôb so zdravotným postihnutím na roky 2021 – 2030</w:t>
      </w:r>
      <w:r w:rsidRPr="003F23AC">
        <w:rPr>
          <w:rFonts w:cs="Times New Roman"/>
          <w:noProof/>
          <w:lang w:val="sk-SK"/>
        </w:rPr>
        <w:footnoteReference w:id="6"/>
      </w:r>
      <w:r w:rsidR="00A75B3C" w:rsidRPr="003F23AC">
        <w:rPr>
          <w:rFonts w:cs="Times New Roman"/>
          <w:noProof/>
          <w:lang w:val="sk-SK"/>
        </w:rPr>
        <w:t xml:space="preserve"> a </w:t>
      </w:r>
      <w:r w:rsidRPr="003F23AC">
        <w:rPr>
          <w:rFonts w:cs="Times New Roman"/>
          <w:noProof/>
          <w:lang w:val="sk-SK"/>
        </w:rPr>
        <w:t>pozostáva</w:t>
      </w:r>
      <w:r w:rsidR="00A75B3C" w:rsidRPr="003F23AC">
        <w:rPr>
          <w:rFonts w:cs="Times New Roman"/>
          <w:noProof/>
          <w:lang w:val="sk-SK"/>
        </w:rPr>
        <w:t xml:space="preserve"> z </w:t>
      </w:r>
      <w:r w:rsidRPr="003F23AC">
        <w:rPr>
          <w:rFonts w:cs="Times New Roman"/>
          <w:noProof/>
          <w:lang w:val="sk-SK"/>
        </w:rPr>
        <w:t>troch zložiek:</w:t>
      </w:r>
    </w:p>
    <w:p w14:paraId="212848A1" w14:textId="6BFCB9B1" w:rsidR="00A75B3C" w:rsidRPr="003F23AC" w:rsidRDefault="000F5AA4" w:rsidP="003F23AC">
      <w:pPr>
        <w:pStyle w:val="P68B1DB1-Normal4"/>
        <w:numPr>
          <w:ilvl w:val="0"/>
          <w:numId w:val="20"/>
        </w:numPr>
        <w:spacing w:before="40" w:after="160" w:line="259" w:lineRule="auto"/>
        <w:contextualSpacing/>
        <w:jc w:val="both"/>
        <w:rPr>
          <w:rFonts w:cs="Times New Roman"/>
          <w:noProof/>
          <w:lang w:val="sk-SK"/>
        </w:rPr>
      </w:pPr>
      <w:r w:rsidRPr="003F23AC">
        <w:rPr>
          <w:rFonts w:cs="Times New Roman"/>
          <w:noProof/>
          <w:lang w:val="sk-SK"/>
        </w:rPr>
        <w:t>intervenčný program verejných ciest na roky 2021 – 2025 (PIVP), ktorý zahŕňa prevádzku</w:t>
      </w:r>
      <w:r w:rsidR="00A75B3C" w:rsidRPr="003F23AC">
        <w:rPr>
          <w:rFonts w:cs="Times New Roman"/>
          <w:noProof/>
          <w:lang w:val="sk-SK"/>
        </w:rPr>
        <w:t xml:space="preserve"> a </w:t>
      </w:r>
      <w:r w:rsidRPr="003F23AC">
        <w:rPr>
          <w:rFonts w:cs="Times New Roman"/>
          <w:noProof/>
          <w:lang w:val="sk-SK"/>
        </w:rPr>
        <w:t>stavebné práce na najmenej 200 000 m² verejného priestoru, ako sú bočnice</w:t>
      </w:r>
      <w:r w:rsidR="00A75B3C" w:rsidRPr="003F23AC">
        <w:rPr>
          <w:rFonts w:cs="Times New Roman"/>
          <w:noProof/>
          <w:lang w:val="sk-SK"/>
        </w:rPr>
        <w:t xml:space="preserve"> a </w:t>
      </w:r>
      <w:r w:rsidRPr="003F23AC">
        <w:rPr>
          <w:rFonts w:cs="Times New Roman"/>
          <w:noProof/>
          <w:lang w:val="sk-SK"/>
        </w:rPr>
        <w:t>námestia</w:t>
      </w:r>
      <w:r w:rsidR="00A75B3C" w:rsidRPr="003F23AC">
        <w:rPr>
          <w:rFonts w:cs="Times New Roman"/>
          <w:noProof/>
          <w:lang w:val="sk-SK"/>
        </w:rPr>
        <w:t>;</w:t>
      </w:r>
    </w:p>
    <w:p w14:paraId="7D9FAE99" w14:textId="7470A896" w:rsidR="00387C70" w:rsidRPr="003F23AC" w:rsidRDefault="000F5AA4" w:rsidP="003F23AC">
      <w:pPr>
        <w:pStyle w:val="P68B1DB1-Normal4"/>
        <w:numPr>
          <w:ilvl w:val="0"/>
          <w:numId w:val="20"/>
        </w:numPr>
        <w:spacing w:before="40" w:after="160" w:line="259" w:lineRule="auto"/>
        <w:contextualSpacing/>
        <w:jc w:val="both"/>
        <w:rPr>
          <w:rFonts w:eastAsiaTheme="minorEastAsia" w:cs="Times New Roman"/>
          <w:noProof/>
          <w:lang w:val="sk-SK"/>
        </w:rPr>
      </w:pPr>
      <w:r w:rsidRPr="003F23AC">
        <w:rPr>
          <w:rFonts w:cs="Times New Roman"/>
          <w:noProof/>
          <w:lang w:val="sk-SK"/>
        </w:rPr>
        <w:t>intervenčný program vo verejných budovách na roky 2021 – 2025 (PiEP), ktorý zahŕňa prevádzku</w:t>
      </w:r>
      <w:r w:rsidR="00A75B3C" w:rsidRPr="003F23AC">
        <w:rPr>
          <w:rFonts w:cs="Times New Roman"/>
          <w:noProof/>
          <w:lang w:val="sk-SK"/>
        </w:rPr>
        <w:t xml:space="preserve"> a </w:t>
      </w:r>
      <w:r w:rsidRPr="003F23AC">
        <w:rPr>
          <w:rFonts w:cs="Times New Roman"/>
          <w:noProof/>
          <w:lang w:val="sk-SK"/>
        </w:rPr>
        <w:t>stavebné práce</w:t>
      </w:r>
      <w:r w:rsidR="00A75B3C" w:rsidRPr="003F23AC">
        <w:rPr>
          <w:rFonts w:cs="Times New Roman"/>
          <w:noProof/>
          <w:lang w:val="sk-SK"/>
        </w:rPr>
        <w:t xml:space="preserve"> v </w:t>
      </w:r>
      <w:r w:rsidRPr="003F23AC">
        <w:rPr>
          <w:rFonts w:cs="Times New Roman"/>
          <w:noProof/>
          <w:lang w:val="sk-SK"/>
        </w:rPr>
        <w:t>najmenej 1500 budovách verejných služieb;</w:t>
      </w:r>
      <w:r w:rsidR="00A75B3C" w:rsidRPr="003F23AC">
        <w:rPr>
          <w:rFonts w:cs="Times New Roman"/>
          <w:noProof/>
          <w:lang w:val="sk-SK"/>
        </w:rPr>
        <w:t xml:space="preserve"> a </w:t>
      </w:r>
      <w:r w:rsidRPr="003F23AC">
        <w:rPr>
          <w:rFonts w:cs="Times New Roman"/>
          <w:noProof/>
          <w:lang w:val="sk-SK"/>
        </w:rPr>
        <w:t>zároveň</w:t>
      </w:r>
    </w:p>
    <w:p w14:paraId="2A40B0D4" w14:textId="28473F02" w:rsidR="00A75B3C" w:rsidRPr="003F23AC" w:rsidRDefault="000F5AA4" w:rsidP="003F23AC">
      <w:pPr>
        <w:pStyle w:val="P68B1DB1-Normal4"/>
        <w:numPr>
          <w:ilvl w:val="0"/>
          <w:numId w:val="20"/>
        </w:numPr>
        <w:spacing w:before="40" w:after="160" w:line="259" w:lineRule="auto"/>
        <w:contextualSpacing/>
        <w:jc w:val="both"/>
        <w:rPr>
          <w:rFonts w:cs="Times New Roman"/>
          <w:noProof/>
          <w:lang w:val="sk-SK"/>
        </w:rPr>
      </w:pPr>
      <w:r w:rsidRPr="003F23AC">
        <w:rPr>
          <w:rFonts w:cs="Times New Roman"/>
          <w:noProof/>
          <w:lang w:val="sk-SK"/>
        </w:rPr>
        <w:t>program intervencie</w:t>
      </w:r>
      <w:r w:rsidR="00A75B3C" w:rsidRPr="003F23AC">
        <w:rPr>
          <w:rFonts w:cs="Times New Roman"/>
          <w:noProof/>
          <w:lang w:val="sk-SK"/>
        </w:rPr>
        <w:t xml:space="preserve"> v </w:t>
      </w:r>
      <w:r w:rsidRPr="003F23AC">
        <w:rPr>
          <w:rFonts w:cs="Times New Roman"/>
          <w:noProof/>
          <w:lang w:val="sk-SK"/>
        </w:rPr>
        <w:t>oblasti bývania na roky 2021 – 2025, ktorý zahŕňa renovačné</w:t>
      </w:r>
      <w:r w:rsidR="00A75B3C" w:rsidRPr="003F23AC">
        <w:rPr>
          <w:rFonts w:cs="Times New Roman"/>
          <w:noProof/>
          <w:lang w:val="sk-SK"/>
        </w:rPr>
        <w:t xml:space="preserve"> a </w:t>
      </w:r>
      <w:r w:rsidRPr="003F23AC">
        <w:rPr>
          <w:rFonts w:cs="Times New Roman"/>
          <w:noProof/>
          <w:lang w:val="sk-SK"/>
        </w:rPr>
        <w:t>stavebné práce aspoň</w:t>
      </w:r>
      <w:r w:rsidR="00A75B3C" w:rsidRPr="003F23AC">
        <w:rPr>
          <w:rFonts w:cs="Times New Roman"/>
          <w:noProof/>
          <w:lang w:val="sk-SK"/>
        </w:rPr>
        <w:t xml:space="preserve"> v </w:t>
      </w:r>
      <w:r w:rsidRPr="003F23AC">
        <w:rPr>
          <w:rFonts w:cs="Times New Roman"/>
          <w:noProof/>
          <w:lang w:val="sk-SK"/>
        </w:rPr>
        <w:t>1000 existujúcich obydliach osôb so zdravotným postihnutím</w:t>
      </w:r>
      <w:r w:rsidR="00A75B3C" w:rsidRPr="003F23AC">
        <w:rPr>
          <w:rFonts w:cs="Times New Roman"/>
          <w:noProof/>
          <w:lang w:val="sk-SK"/>
        </w:rPr>
        <w:t>.</w:t>
      </w:r>
    </w:p>
    <w:p w14:paraId="21A3A591" w14:textId="3A6F353F"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1E137E06" w14:textId="37EB1993"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RE-C03-i03-i03-RAM: Posilnenie sociálnych reakcií</w:t>
      </w:r>
      <w:r w:rsidR="00A75B3C" w:rsidRPr="003F23AC">
        <w:rPr>
          <w:rFonts w:cs="Times New Roman"/>
          <w:noProof/>
          <w:lang w:val="sk-SK"/>
        </w:rPr>
        <w:t xml:space="preserve"> v </w:t>
      </w:r>
      <w:r w:rsidRPr="003F23AC">
        <w:rPr>
          <w:rFonts w:cs="Times New Roman"/>
          <w:noProof/>
          <w:lang w:val="sk-SK"/>
        </w:rPr>
        <w:t>autonómnej oblasti Madeira (ARM)</w:t>
      </w:r>
    </w:p>
    <w:p w14:paraId="6CD6778E" w14:textId="4037081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tohto opatrenia je posilniť sieť sociálnych služieb</w:t>
      </w:r>
      <w:r w:rsidR="00A75B3C" w:rsidRPr="003F23AC">
        <w:rPr>
          <w:rFonts w:cs="Times New Roman"/>
          <w:noProof/>
          <w:lang w:val="sk-SK"/>
        </w:rPr>
        <w:t xml:space="preserve"> v </w:t>
      </w:r>
      <w:r w:rsidRPr="003F23AC">
        <w:rPr>
          <w:rFonts w:cs="Times New Roman"/>
          <w:noProof/>
          <w:lang w:val="sk-SK"/>
        </w:rPr>
        <w:t>autonómnej oblasti Madeira.</w:t>
      </w:r>
    </w:p>
    <w:p w14:paraId="579164BD" w14:textId="76FF31F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investícia pozostáva zo zásahov</w:t>
      </w:r>
      <w:r w:rsidR="00A75B3C" w:rsidRPr="003F23AC">
        <w:rPr>
          <w:rFonts w:cs="Times New Roman"/>
          <w:noProof/>
          <w:lang w:val="sk-SK"/>
        </w:rPr>
        <w:t xml:space="preserve"> v </w:t>
      </w:r>
      <w:r w:rsidRPr="003F23AC">
        <w:rPr>
          <w:rFonts w:cs="Times New Roman"/>
          <w:noProof/>
          <w:lang w:val="sk-SK"/>
        </w:rPr>
        <w:t>domovoch rezidenčnej starostlivosti</w:t>
      </w:r>
      <w:r w:rsidR="00A75B3C" w:rsidRPr="003F23AC">
        <w:rPr>
          <w:rFonts w:cs="Times New Roman"/>
          <w:noProof/>
          <w:lang w:val="sk-SK"/>
        </w:rPr>
        <w:t xml:space="preserve"> o </w:t>
      </w:r>
      <w:r w:rsidRPr="003F23AC">
        <w:rPr>
          <w:rFonts w:cs="Times New Roman"/>
          <w:noProof/>
          <w:lang w:val="sk-SK"/>
        </w:rPr>
        <w:t>starších ľudí (ERPI)</w:t>
      </w:r>
      <w:r w:rsidR="00A75B3C" w:rsidRPr="003F23AC">
        <w:rPr>
          <w:rFonts w:cs="Times New Roman"/>
          <w:noProof/>
          <w:lang w:val="sk-SK"/>
        </w:rPr>
        <w:t xml:space="preserve"> a z </w:t>
      </w:r>
      <w:r w:rsidRPr="003F23AC">
        <w:rPr>
          <w:rFonts w:cs="Times New Roman"/>
          <w:noProof/>
          <w:lang w:val="sk-SK"/>
        </w:rPr>
        <w:t>rozšírenia štruktúr sociálnej podpory pre bezdomovcov. Tieto intervencie zahŕňajú výstavbu nových</w:t>
      </w:r>
      <w:r w:rsidR="00A75B3C" w:rsidRPr="003F23AC">
        <w:rPr>
          <w:rFonts w:cs="Times New Roman"/>
          <w:noProof/>
          <w:lang w:val="sk-SK"/>
        </w:rPr>
        <w:t xml:space="preserve"> a </w:t>
      </w:r>
      <w:r w:rsidRPr="003F23AC">
        <w:rPr>
          <w:rFonts w:cs="Times New Roman"/>
          <w:noProof/>
          <w:lang w:val="sk-SK"/>
        </w:rPr>
        <w:t>renováciu</w:t>
      </w:r>
      <w:r w:rsidR="00A75B3C" w:rsidRPr="003F23AC">
        <w:rPr>
          <w:rFonts w:cs="Times New Roman"/>
          <w:noProof/>
          <w:lang w:val="sk-SK"/>
        </w:rPr>
        <w:t xml:space="preserve"> a </w:t>
      </w:r>
      <w:r w:rsidRPr="003F23AC">
        <w:rPr>
          <w:rFonts w:cs="Times New Roman"/>
          <w:noProof/>
          <w:lang w:val="sk-SK"/>
        </w:rPr>
        <w:t>modernizáciu existujúcich zariadení</w:t>
      </w:r>
      <w:r w:rsidR="00A75B3C" w:rsidRPr="003F23AC">
        <w:rPr>
          <w:rFonts w:cs="Times New Roman"/>
          <w:noProof/>
          <w:lang w:val="sk-SK"/>
        </w:rPr>
        <w:t xml:space="preserve"> a </w:t>
      </w:r>
      <w:r w:rsidRPr="003F23AC">
        <w:rPr>
          <w:rFonts w:cs="Times New Roman"/>
          <w:noProof/>
          <w:lang w:val="sk-SK"/>
        </w:rPr>
        <w:t>nákup potrebného technického, digitálneho</w:t>
      </w:r>
      <w:r w:rsidR="00A75B3C" w:rsidRPr="003F23AC">
        <w:rPr>
          <w:rFonts w:cs="Times New Roman"/>
          <w:noProof/>
          <w:lang w:val="sk-SK"/>
        </w:rPr>
        <w:t xml:space="preserve"> a </w:t>
      </w:r>
      <w:r w:rsidRPr="003F23AC">
        <w:rPr>
          <w:rFonts w:cs="Times New Roman"/>
          <w:noProof/>
          <w:lang w:val="sk-SK"/>
        </w:rPr>
        <w:t>IT vybavenia vrátane nákupu elektrických vozidiel</w:t>
      </w:r>
      <w:r w:rsidR="00A75B3C" w:rsidRPr="003F23AC">
        <w:rPr>
          <w:rFonts w:cs="Times New Roman"/>
          <w:noProof/>
          <w:lang w:val="sk-SK"/>
        </w:rPr>
        <w:t xml:space="preserve"> s </w:t>
      </w:r>
      <w:r w:rsidRPr="003F23AC">
        <w:rPr>
          <w:rFonts w:cs="Times New Roman"/>
          <w:noProof/>
          <w:lang w:val="sk-SK"/>
        </w:rPr>
        <w:t>cieľom uľahčiť</w:t>
      </w:r>
      <w:r w:rsidR="00A75B3C" w:rsidRPr="003F23AC">
        <w:rPr>
          <w:rFonts w:cs="Times New Roman"/>
          <w:noProof/>
          <w:lang w:val="sk-SK"/>
        </w:rPr>
        <w:t xml:space="preserve"> a </w:t>
      </w:r>
      <w:r w:rsidRPr="003F23AC">
        <w:rPr>
          <w:rFonts w:cs="Times New Roman"/>
          <w:noProof/>
          <w:lang w:val="sk-SK"/>
        </w:rPr>
        <w:t>zlepšiť dosah odborníkov</w:t>
      </w:r>
      <w:r w:rsidR="00A75B3C" w:rsidRPr="003F23AC">
        <w:rPr>
          <w:rFonts w:cs="Times New Roman"/>
          <w:noProof/>
          <w:lang w:val="sk-SK"/>
        </w:rPr>
        <w:t xml:space="preserve"> v </w:t>
      </w:r>
      <w:r w:rsidRPr="003F23AC">
        <w:rPr>
          <w:rFonts w:cs="Times New Roman"/>
          <w:noProof/>
          <w:lang w:val="sk-SK"/>
        </w:rPr>
        <w:t>oblasti sociálnych služieb vo vzdialených oblastiach</w:t>
      </w:r>
      <w:r w:rsidR="00A75B3C" w:rsidRPr="003F23AC">
        <w:rPr>
          <w:rFonts w:cs="Times New Roman"/>
          <w:noProof/>
          <w:lang w:val="sk-SK"/>
        </w:rPr>
        <w:t>.</w:t>
      </w:r>
    </w:p>
    <w:p w14:paraId="4CC03BD5" w14:textId="3034BDDF" w:rsidR="00A75B3C" w:rsidRPr="00A26F8D" w:rsidRDefault="000F5AA4" w:rsidP="003F23AC">
      <w:pPr>
        <w:pStyle w:val="P68B1DB1-Normal4"/>
        <w:spacing w:before="40" w:after="0" w:line="259" w:lineRule="auto"/>
        <w:jc w:val="both"/>
        <w:rPr>
          <w:rFonts w:cs="Times New Roman"/>
          <w:noProof/>
          <w:spacing w:val="-6"/>
          <w:lang w:val="sk-SK"/>
        </w:rPr>
      </w:pPr>
      <w:r w:rsidRPr="00A26F8D">
        <w:rPr>
          <w:rFonts w:cs="Times New Roman"/>
          <w:noProof/>
          <w:spacing w:val="-6"/>
          <w:lang w:val="sk-SK"/>
        </w:rPr>
        <w:t>Intervencie zahŕňajú rehabilitáciu</w:t>
      </w:r>
      <w:r w:rsidR="00A75B3C" w:rsidRPr="00A26F8D">
        <w:rPr>
          <w:rFonts w:cs="Times New Roman"/>
          <w:noProof/>
          <w:spacing w:val="-6"/>
          <w:lang w:val="sk-SK"/>
        </w:rPr>
        <w:t xml:space="preserve"> a </w:t>
      </w:r>
      <w:r w:rsidRPr="00A26F8D">
        <w:rPr>
          <w:rFonts w:cs="Times New Roman"/>
          <w:noProof/>
          <w:spacing w:val="-6"/>
          <w:lang w:val="sk-SK"/>
        </w:rPr>
        <w:t>rozšírenie obytných</w:t>
      </w:r>
      <w:r w:rsidR="00A75B3C" w:rsidRPr="00A26F8D">
        <w:rPr>
          <w:rFonts w:cs="Times New Roman"/>
          <w:noProof/>
          <w:spacing w:val="-6"/>
          <w:lang w:val="sk-SK"/>
        </w:rPr>
        <w:t xml:space="preserve"> a </w:t>
      </w:r>
      <w:r w:rsidRPr="00A26F8D">
        <w:rPr>
          <w:rFonts w:cs="Times New Roman"/>
          <w:noProof/>
          <w:spacing w:val="-6"/>
          <w:lang w:val="sk-SK"/>
        </w:rPr>
        <w:t>nebytových štruktúr pre starších ľudí, ktoré sú určené pre osoby vo veku 65 rokov</w:t>
      </w:r>
      <w:r w:rsidR="00A75B3C" w:rsidRPr="00A26F8D">
        <w:rPr>
          <w:rFonts w:cs="Times New Roman"/>
          <w:noProof/>
          <w:spacing w:val="-6"/>
          <w:lang w:val="sk-SK"/>
        </w:rPr>
        <w:t xml:space="preserve"> a </w:t>
      </w:r>
      <w:r w:rsidRPr="00A26F8D">
        <w:rPr>
          <w:rFonts w:cs="Times New Roman"/>
          <w:noProof/>
          <w:spacing w:val="-6"/>
          <w:lang w:val="sk-SK"/>
        </w:rPr>
        <w:t>viac, ktoré nemôžu zostať vo svojom bydlisku.</w:t>
      </w:r>
      <w:r w:rsidR="00A75B3C" w:rsidRPr="00A26F8D">
        <w:rPr>
          <w:rFonts w:cs="Times New Roman"/>
          <w:noProof/>
          <w:spacing w:val="-6"/>
          <w:lang w:val="sk-SK"/>
        </w:rPr>
        <w:t xml:space="preserve"> V </w:t>
      </w:r>
      <w:r w:rsidRPr="00A26F8D">
        <w:rPr>
          <w:rFonts w:cs="Times New Roman"/>
          <w:noProof/>
          <w:spacing w:val="-6"/>
          <w:lang w:val="sk-SK"/>
        </w:rPr>
        <w:t>riadne odôvodnených výnimočných situáciách môžu byť ubytované aj dospelé osoby mladšie ako 65 rokov</w:t>
      </w:r>
      <w:r w:rsidR="00A75B3C" w:rsidRPr="00A26F8D">
        <w:rPr>
          <w:rFonts w:cs="Times New Roman"/>
          <w:noProof/>
          <w:spacing w:val="-6"/>
          <w:lang w:val="sk-SK"/>
        </w:rPr>
        <w:t>.</w:t>
      </w:r>
    </w:p>
    <w:p w14:paraId="51F4A6F3" w14:textId="711639A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Intervencie zamerané na bezdomovcov zahŕňajú vytvorenie nočnej recepcie na riešenie núdzových situácií</w:t>
      </w:r>
      <w:r w:rsidR="00A75B3C" w:rsidRPr="003F23AC">
        <w:rPr>
          <w:rFonts w:cs="Times New Roman"/>
          <w:noProof/>
          <w:lang w:val="sk-SK"/>
        </w:rPr>
        <w:t xml:space="preserve"> a </w:t>
      </w:r>
      <w:r w:rsidRPr="003F23AC">
        <w:rPr>
          <w:rFonts w:cs="Times New Roman"/>
          <w:noProof/>
          <w:lang w:val="sk-SK"/>
        </w:rPr>
        <w:t>poskytnutie ubytovania, vytvorenie kúpeľní</w:t>
      </w:r>
      <w:r w:rsidR="00A75B3C" w:rsidRPr="003F23AC">
        <w:rPr>
          <w:rFonts w:cs="Times New Roman"/>
          <w:noProof/>
          <w:lang w:val="sk-SK"/>
        </w:rPr>
        <w:t xml:space="preserve"> a </w:t>
      </w:r>
      <w:r w:rsidRPr="003F23AC">
        <w:rPr>
          <w:rFonts w:cs="Times New Roman"/>
          <w:noProof/>
          <w:lang w:val="sk-SK"/>
        </w:rPr>
        <w:t>práčovne na podporu osobnej hygieny, renováciu priestoru na poskytovanie stravy</w:t>
      </w:r>
      <w:r w:rsidR="00A75B3C" w:rsidRPr="003F23AC">
        <w:rPr>
          <w:rFonts w:cs="Times New Roman"/>
          <w:noProof/>
          <w:lang w:val="sk-SK"/>
        </w:rPr>
        <w:t xml:space="preserve"> a </w:t>
      </w:r>
      <w:r w:rsidRPr="003F23AC">
        <w:rPr>
          <w:rFonts w:cs="Times New Roman"/>
          <w:noProof/>
          <w:lang w:val="sk-SK"/>
        </w:rPr>
        <w:t>činnosti typu workshopov na rozvoj sociálnych zručností</w:t>
      </w:r>
      <w:r w:rsidR="00A75B3C" w:rsidRPr="003F23AC">
        <w:rPr>
          <w:rFonts w:cs="Times New Roman"/>
          <w:noProof/>
          <w:lang w:val="sk-SK"/>
        </w:rPr>
        <w:t xml:space="preserve"> a </w:t>
      </w:r>
      <w:r w:rsidRPr="003F23AC">
        <w:rPr>
          <w:rFonts w:cs="Times New Roman"/>
          <w:noProof/>
          <w:lang w:val="sk-SK"/>
        </w:rPr>
        <w:t>kompetencií medzi prijímateľmi</w:t>
      </w:r>
      <w:r w:rsidR="00A75B3C" w:rsidRPr="003F23AC">
        <w:rPr>
          <w:rFonts w:cs="Times New Roman"/>
          <w:noProof/>
          <w:lang w:val="sk-SK"/>
        </w:rPr>
        <w:t>.</w:t>
      </w:r>
    </w:p>
    <w:p w14:paraId="758AA752" w14:textId="4450D70A"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Realizácia investície sa dokončí do 30</w:t>
      </w:r>
      <w:r w:rsidR="00A75B3C" w:rsidRPr="003F23AC">
        <w:rPr>
          <w:rFonts w:cs="Times New Roman"/>
          <w:noProof/>
          <w:lang w:val="sk-SK"/>
        </w:rPr>
        <w:t>. decembra</w:t>
      </w:r>
      <w:r w:rsidRPr="003F23AC">
        <w:rPr>
          <w:rFonts w:cs="Times New Roman"/>
          <w:noProof/>
          <w:lang w:val="sk-SK"/>
        </w:rPr>
        <w:t xml:space="preserve"> 2025.</w:t>
      </w:r>
    </w:p>
    <w:p w14:paraId="6341FCC8" w14:textId="31901435"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RE-C03-i04-RAA: Vykonávanie regionálnej stratégie boja proti chudobe</w:t>
      </w:r>
      <w:r w:rsidR="00A75B3C" w:rsidRPr="003F23AC">
        <w:rPr>
          <w:rFonts w:cs="Times New Roman"/>
          <w:noProof/>
          <w:lang w:val="sk-SK"/>
        </w:rPr>
        <w:t xml:space="preserve"> a </w:t>
      </w:r>
      <w:r w:rsidRPr="003F23AC">
        <w:rPr>
          <w:rFonts w:cs="Times New Roman"/>
          <w:noProof/>
          <w:lang w:val="sk-SK"/>
        </w:rPr>
        <w:t>sociálnemu vylúčeniu – siete sociálnej podpory (ARA)</w:t>
      </w:r>
    </w:p>
    <w:p w14:paraId="168DB9C0" w14:textId="3B172F3D"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tohto opatrenia je realizovať priority regionálnej stratégie boja proti chudobe</w:t>
      </w:r>
      <w:r w:rsidR="00A75B3C" w:rsidRPr="003F23AC">
        <w:rPr>
          <w:rFonts w:cs="Times New Roman"/>
          <w:noProof/>
          <w:lang w:val="sk-SK"/>
        </w:rPr>
        <w:t xml:space="preserve"> a </w:t>
      </w:r>
      <w:r w:rsidRPr="003F23AC">
        <w:rPr>
          <w:rFonts w:cs="Times New Roman"/>
          <w:noProof/>
          <w:lang w:val="sk-SK"/>
        </w:rPr>
        <w:t>sociálnemu vylúčeniu na roky 2018 – 2028 (ERCPES) autonómneho regiónu Azory.</w:t>
      </w:r>
      <w:r w:rsidR="00A75B3C" w:rsidRPr="003F23AC">
        <w:rPr>
          <w:rFonts w:cs="Times New Roman"/>
          <w:noProof/>
          <w:lang w:val="sk-SK"/>
        </w:rPr>
        <w:t xml:space="preserve"> V </w:t>
      </w:r>
      <w:r w:rsidRPr="003F23AC">
        <w:rPr>
          <w:rFonts w:cs="Times New Roman"/>
          <w:noProof/>
          <w:lang w:val="sk-SK"/>
        </w:rPr>
        <w:t>stratégii boli vymedzené štyri strategické priority, ktoré sa navzájom dopĺňajú</w:t>
      </w:r>
      <w:r w:rsidR="00A75B3C" w:rsidRPr="003F23AC">
        <w:rPr>
          <w:rFonts w:cs="Times New Roman"/>
          <w:noProof/>
          <w:lang w:val="sk-SK"/>
        </w:rPr>
        <w:t>:</w:t>
      </w:r>
    </w:p>
    <w:p w14:paraId="4495AD50" w14:textId="77777777" w:rsidR="00A75B3C" w:rsidRPr="003F23AC" w:rsidRDefault="000F5AA4" w:rsidP="003F23AC">
      <w:pPr>
        <w:pStyle w:val="P68B1DB1-Normal4"/>
        <w:numPr>
          <w:ilvl w:val="0"/>
          <w:numId w:val="20"/>
        </w:numPr>
        <w:spacing w:before="40" w:after="160" w:line="259" w:lineRule="auto"/>
        <w:contextualSpacing/>
        <w:jc w:val="both"/>
        <w:rPr>
          <w:rFonts w:cs="Times New Roman"/>
          <w:noProof/>
          <w:lang w:val="sk-SK"/>
        </w:rPr>
      </w:pPr>
      <w:r w:rsidRPr="003F23AC">
        <w:rPr>
          <w:rFonts w:cs="Times New Roman"/>
          <w:noProof/>
          <w:lang w:val="sk-SK"/>
        </w:rPr>
        <w:t>P1 – Zabezpečenie úplného</w:t>
      </w:r>
      <w:r w:rsidR="00A75B3C" w:rsidRPr="003F23AC">
        <w:rPr>
          <w:rFonts w:cs="Times New Roman"/>
          <w:noProof/>
          <w:lang w:val="sk-SK"/>
        </w:rPr>
        <w:t xml:space="preserve"> a </w:t>
      </w:r>
      <w:r w:rsidRPr="003F23AC">
        <w:rPr>
          <w:rFonts w:cs="Times New Roman"/>
          <w:noProof/>
          <w:lang w:val="sk-SK"/>
        </w:rPr>
        <w:t>inkluzívneho procesu rozvoja pre všetky deti</w:t>
      </w:r>
      <w:r w:rsidR="00A75B3C" w:rsidRPr="003F23AC">
        <w:rPr>
          <w:rFonts w:cs="Times New Roman"/>
          <w:noProof/>
          <w:lang w:val="sk-SK"/>
        </w:rPr>
        <w:t xml:space="preserve"> a </w:t>
      </w:r>
      <w:r w:rsidRPr="003F23AC">
        <w:rPr>
          <w:rFonts w:cs="Times New Roman"/>
          <w:noProof/>
          <w:lang w:val="sk-SK"/>
        </w:rPr>
        <w:t>mladých ľudí od začiatku života,</w:t>
      </w:r>
    </w:p>
    <w:p w14:paraId="703C3B67" w14:textId="4F427BD6" w:rsidR="00A75B3C" w:rsidRPr="003F23AC" w:rsidRDefault="000F5AA4" w:rsidP="003F23AC">
      <w:pPr>
        <w:pStyle w:val="P68B1DB1-Normal4"/>
        <w:numPr>
          <w:ilvl w:val="0"/>
          <w:numId w:val="20"/>
        </w:numPr>
        <w:spacing w:before="40" w:after="160" w:line="259" w:lineRule="auto"/>
        <w:contextualSpacing/>
        <w:jc w:val="both"/>
        <w:rPr>
          <w:rFonts w:cs="Times New Roman"/>
          <w:noProof/>
          <w:lang w:val="sk-SK"/>
        </w:rPr>
      </w:pPr>
      <w:r w:rsidRPr="003F23AC">
        <w:rPr>
          <w:rFonts w:cs="Times New Roman"/>
          <w:noProof/>
          <w:lang w:val="sk-SK"/>
        </w:rPr>
        <w:t>P2 – Posilnenie sociálnej súdržnosti</w:t>
      </w:r>
      <w:r w:rsidR="00A75B3C" w:rsidRPr="003F23AC">
        <w:rPr>
          <w:rFonts w:cs="Times New Roman"/>
          <w:noProof/>
          <w:lang w:val="sk-SK"/>
        </w:rPr>
        <w:t xml:space="preserve"> v </w:t>
      </w:r>
      <w:r w:rsidRPr="003F23AC">
        <w:rPr>
          <w:rFonts w:cs="Times New Roman"/>
          <w:noProof/>
          <w:lang w:val="sk-SK"/>
        </w:rPr>
        <w:t>regióne</w:t>
      </w:r>
      <w:r w:rsidR="00A75B3C" w:rsidRPr="003F23AC">
        <w:rPr>
          <w:rFonts w:cs="Times New Roman"/>
          <w:noProof/>
          <w:lang w:val="sk-SK"/>
        </w:rPr>
        <w:t>;</w:t>
      </w:r>
    </w:p>
    <w:p w14:paraId="56291263" w14:textId="1B5A9AFD" w:rsidR="00387C70" w:rsidRPr="003F23AC" w:rsidRDefault="000F5AA4" w:rsidP="003F23AC">
      <w:pPr>
        <w:pStyle w:val="P68B1DB1-Normal4"/>
        <w:numPr>
          <w:ilvl w:val="0"/>
          <w:numId w:val="20"/>
        </w:numPr>
        <w:spacing w:before="40" w:after="160" w:line="259" w:lineRule="auto"/>
        <w:contextualSpacing/>
        <w:jc w:val="both"/>
        <w:rPr>
          <w:rFonts w:eastAsiaTheme="minorEastAsia" w:cs="Times New Roman"/>
          <w:noProof/>
          <w:lang w:val="sk-SK"/>
        </w:rPr>
      </w:pPr>
      <w:r w:rsidRPr="003F23AC">
        <w:rPr>
          <w:rFonts w:cs="Times New Roman"/>
          <w:noProof/>
          <w:lang w:val="sk-SK"/>
        </w:rPr>
        <w:t>P3 – Podpora teritorializovanej intervencie;</w:t>
      </w:r>
      <w:r w:rsidR="00A75B3C" w:rsidRPr="003F23AC">
        <w:rPr>
          <w:rFonts w:cs="Times New Roman"/>
          <w:noProof/>
          <w:lang w:val="sk-SK"/>
        </w:rPr>
        <w:t xml:space="preserve"> a </w:t>
      </w:r>
      <w:r w:rsidRPr="003F23AC">
        <w:rPr>
          <w:rFonts w:cs="Times New Roman"/>
          <w:noProof/>
          <w:lang w:val="sk-SK"/>
        </w:rPr>
        <w:t>zároveň</w:t>
      </w:r>
    </w:p>
    <w:p w14:paraId="00B33C95" w14:textId="47DAF07E" w:rsidR="00387C70" w:rsidRPr="003F23AC" w:rsidRDefault="000F5AA4" w:rsidP="003F23AC">
      <w:pPr>
        <w:pStyle w:val="P68B1DB1-Normal4"/>
        <w:numPr>
          <w:ilvl w:val="0"/>
          <w:numId w:val="20"/>
        </w:numPr>
        <w:spacing w:before="40" w:after="160" w:line="259" w:lineRule="auto"/>
        <w:contextualSpacing/>
        <w:jc w:val="both"/>
        <w:rPr>
          <w:rFonts w:eastAsiaTheme="minorEastAsia" w:cs="Times New Roman"/>
          <w:noProof/>
          <w:lang w:val="sk-SK"/>
        </w:rPr>
      </w:pPr>
      <w:r w:rsidRPr="003F23AC">
        <w:rPr>
          <w:rFonts w:cs="Times New Roman"/>
          <w:noProof/>
          <w:lang w:val="sk-SK"/>
        </w:rPr>
        <w:t>P4 – Zabezpečiť primerané znalosti</w:t>
      </w:r>
      <w:r w:rsidR="00A75B3C" w:rsidRPr="003F23AC">
        <w:rPr>
          <w:rFonts w:cs="Times New Roman"/>
          <w:noProof/>
          <w:lang w:val="sk-SK"/>
        </w:rPr>
        <w:t xml:space="preserve"> o </w:t>
      </w:r>
      <w:r w:rsidRPr="003F23AC">
        <w:rPr>
          <w:rFonts w:cs="Times New Roman"/>
          <w:noProof/>
          <w:lang w:val="sk-SK"/>
        </w:rPr>
        <w:t>fenoméne chudoby</w:t>
      </w:r>
      <w:r w:rsidR="00A75B3C" w:rsidRPr="003F23AC">
        <w:rPr>
          <w:rFonts w:cs="Times New Roman"/>
          <w:noProof/>
          <w:lang w:val="sk-SK"/>
        </w:rPr>
        <w:t xml:space="preserve"> v </w:t>
      </w:r>
      <w:r w:rsidRPr="003F23AC">
        <w:rPr>
          <w:rFonts w:cs="Times New Roman"/>
          <w:noProof/>
          <w:lang w:val="sk-SK"/>
        </w:rPr>
        <w:t>regióne.</w:t>
      </w:r>
    </w:p>
    <w:p w14:paraId="1C26AC6B" w14:textId="7351657F" w:rsidR="00A75B3C" w:rsidRPr="00A26F8D" w:rsidRDefault="000F5AA4" w:rsidP="003F23AC">
      <w:pPr>
        <w:pStyle w:val="P68B1DB1-Normal4"/>
        <w:spacing w:before="40" w:after="0" w:line="259" w:lineRule="auto"/>
        <w:jc w:val="both"/>
        <w:rPr>
          <w:rFonts w:cs="Times New Roman"/>
          <w:noProof/>
          <w:spacing w:val="-6"/>
          <w:lang w:val="sk-SK"/>
        </w:rPr>
      </w:pPr>
      <w:r w:rsidRPr="00A26F8D">
        <w:rPr>
          <w:rFonts w:cs="Times New Roman"/>
          <w:noProof/>
          <w:spacing w:val="-6"/>
          <w:lang w:val="sk-SK"/>
        </w:rPr>
        <w:t>Táto investícia pozostáva zo súboru intervencií, ktoré zlepšujú prístup detí</w:t>
      </w:r>
      <w:r w:rsidR="00A75B3C" w:rsidRPr="00A26F8D">
        <w:rPr>
          <w:rFonts w:cs="Times New Roman"/>
          <w:noProof/>
          <w:spacing w:val="-6"/>
          <w:lang w:val="sk-SK"/>
        </w:rPr>
        <w:t xml:space="preserve"> a </w:t>
      </w:r>
      <w:r w:rsidRPr="00A26F8D">
        <w:rPr>
          <w:rFonts w:cs="Times New Roman"/>
          <w:noProof/>
          <w:spacing w:val="-6"/>
          <w:lang w:val="sk-SK"/>
        </w:rPr>
        <w:t>mladých ľudí</w:t>
      </w:r>
      <w:r w:rsidR="00A75B3C" w:rsidRPr="00A26F8D">
        <w:rPr>
          <w:rFonts w:cs="Times New Roman"/>
          <w:noProof/>
          <w:spacing w:val="-6"/>
          <w:lang w:val="sk-SK"/>
        </w:rPr>
        <w:t xml:space="preserve"> k </w:t>
      </w:r>
      <w:r w:rsidRPr="00A26F8D">
        <w:rPr>
          <w:rFonts w:cs="Times New Roman"/>
          <w:noProof/>
          <w:spacing w:val="-6"/>
          <w:lang w:val="sk-SK"/>
        </w:rPr>
        <w:t>sociálnym</w:t>
      </w:r>
      <w:r w:rsidR="00A75B3C" w:rsidRPr="00A26F8D">
        <w:rPr>
          <w:rFonts w:cs="Times New Roman"/>
          <w:noProof/>
          <w:spacing w:val="-6"/>
          <w:lang w:val="sk-SK"/>
        </w:rPr>
        <w:t xml:space="preserve"> a </w:t>
      </w:r>
      <w:r w:rsidRPr="00A26F8D">
        <w:rPr>
          <w:rFonts w:cs="Times New Roman"/>
          <w:noProof/>
          <w:spacing w:val="-6"/>
          <w:lang w:val="sk-SK"/>
        </w:rPr>
        <w:t>vzdelávacím službám</w:t>
      </w:r>
      <w:r w:rsidR="00A75B3C" w:rsidRPr="00A26F8D">
        <w:rPr>
          <w:rFonts w:cs="Times New Roman"/>
          <w:noProof/>
          <w:spacing w:val="-6"/>
          <w:lang w:val="sk-SK"/>
        </w:rPr>
        <w:t xml:space="preserve"> a </w:t>
      </w:r>
      <w:r w:rsidRPr="00A26F8D">
        <w:rPr>
          <w:rFonts w:cs="Times New Roman"/>
          <w:noProof/>
          <w:spacing w:val="-6"/>
          <w:lang w:val="sk-SK"/>
        </w:rPr>
        <w:t>posilňujú sociálnu súdržnosť tým, že podporujú rodiny</w:t>
      </w:r>
      <w:r w:rsidR="00A75B3C" w:rsidRPr="00A26F8D">
        <w:rPr>
          <w:rFonts w:cs="Times New Roman"/>
          <w:noProof/>
          <w:spacing w:val="-6"/>
          <w:lang w:val="sk-SK"/>
        </w:rPr>
        <w:t xml:space="preserve"> v </w:t>
      </w:r>
      <w:r w:rsidRPr="00A26F8D">
        <w:rPr>
          <w:rFonts w:cs="Times New Roman"/>
          <w:noProof/>
          <w:spacing w:val="-6"/>
          <w:lang w:val="sk-SK"/>
        </w:rPr>
        <w:t>núdzi</w:t>
      </w:r>
      <w:r w:rsidR="00A75B3C" w:rsidRPr="00A26F8D">
        <w:rPr>
          <w:rFonts w:cs="Times New Roman"/>
          <w:noProof/>
          <w:spacing w:val="-6"/>
          <w:lang w:val="sk-SK"/>
        </w:rPr>
        <w:t xml:space="preserve"> a </w:t>
      </w:r>
      <w:r w:rsidRPr="00A26F8D">
        <w:rPr>
          <w:rFonts w:cs="Times New Roman"/>
          <w:noProof/>
          <w:spacing w:val="-6"/>
          <w:lang w:val="sk-SK"/>
        </w:rPr>
        <w:t>osoby so zdravotným postihnutím, aby sa začlenili do spoločnosti</w:t>
      </w:r>
      <w:r w:rsidR="00A75B3C" w:rsidRPr="00A26F8D">
        <w:rPr>
          <w:rFonts w:cs="Times New Roman"/>
          <w:noProof/>
          <w:spacing w:val="-6"/>
          <w:lang w:val="sk-SK"/>
        </w:rPr>
        <w:t xml:space="preserve"> a </w:t>
      </w:r>
      <w:r w:rsidRPr="00A26F8D">
        <w:rPr>
          <w:rFonts w:cs="Times New Roman"/>
          <w:noProof/>
          <w:spacing w:val="-6"/>
          <w:lang w:val="sk-SK"/>
        </w:rPr>
        <w:t>trhu práce. Patrí medzi ne aspoň vytvorenie miest na podporu štúdia na boj proti predčasnému ukončovaniu školskej dochádzky, dotácie pre domácnosti</w:t>
      </w:r>
      <w:r w:rsidR="00A75B3C" w:rsidRPr="00A26F8D">
        <w:rPr>
          <w:rFonts w:cs="Times New Roman"/>
          <w:noProof/>
          <w:spacing w:val="-6"/>
          <w:lang w:val="sk-SK"/>
        </w:rPr>
        <w:t xml:space="preserve"> s </w:t>
      </w:r>
      <w:r w:rsidRPr="00A26F8D">
        <w:rPr>
          <w:rFonts w:cs="Times New Roman"/>
          <w:noProof/>
          <w:spacing w:val="-6"/>
          <w:lang w:val="sk-SK"/>
        </w:rPr>
        <w:t>nízkymi príjmami ako stimul na podporu účasti</w:t>
      </w:r>
      <w:r w:rsidR="00A75B3C" w:rsidRPr="00A26F8D">
        <w:rPr>
          <w:rFonts w:cs="Times New Roman"/>
          <w:noProof/>
          <w:spacing w:val="-6"/>
          <w:lang w:val="sk-SK"/>
        </w:rPr>
        <w:t xml:space="preserve"> v </w:t>
      </w:r>
      <w:r w:rsidRPr="00A26F8D">
        <w:rPr>
          <w:rFonts w:cs="Times New Roman"/>
          <w:noProof/>
          <w:spacing w:val="-6"/>
          <w:lang w:val="sk-SK"/>
        </w:rPr>
        <w:t>jasliach, vytvorenie ďalších (fyzických) miest</w:t>
      </w:r>
      <w:r w:rsidR="00A75B3C" w:rsidRPr="00A26F8D">
        <w:rPr>
          <w:rFonts w:cs="Times New Roman"/>
          <w:noProof/>
          <w:spacing w:val="-6"/>
          <w:lang w:val="sk-SK"/>
        </w:rPr>
        <w:t xml:space="preserve"> v </w:t>
      </w:r>
      <w:r w:rsidRPr="00A26F8D">
        <w:rPr>
          <w:rFonts w:cs="Times New Roman"/>
          <w:noProof/>
          <w:spacing w:val="-6"/>
          <w:lang w:val="sk-SK"/>
        </w:rPr>
        <w:t>jasliach</w:t>
      </w:r>
      <w:r w:rsidR="00A75B3C" w:rsidRPr="00A26F8D">
        <w:rPr>
          <w:rFonts w:cs="Times New Roman"/>
          <w:noProof/>
          <w:spacing w:val="-6"/>
          <w:lang w:val="sk-SK"/>
        </w:rPr>
        <w:t xml:space="preserve"> a </w:t>
      </w:r>
      <w:r w:rsidRPr="00A26F8D">
        <w:rPr>
          <w:rFonts w:cs="Times New Roman"/>
          <w:noProof/>
          <w:spacing w:val="-6"/>
          <w:lang w:val="sk-SK"/>
        </w:rPr>
        <w:t>centrách dennej starostlivosti, vytvorenie nových miest pre osoby so zdravotným postihnutím</w:t>
      </w:r>
      <w:r w:rsidR="00A75B3C" w:rsidRPr="00A26F8D">
        <w:rPr>
          <w:rFonts w:cs="Times New Roman"/>
          <w:noProof/>
          <w:spacing w:val="-6"/>
          <w:lang w:val="sk-SK"/>
        </w:rPr>
        <w:t xml:space="preserve"> v </w:t>
      </w:r>
      <w:r w:rsidRPr="00A26F8D">
        <w:rPr>
          <w:rFonts w:cs="Times New Roman"/>
          <w:noProof/>
          <w:spacing w:val="-6"/>
          <w:lang w:val="sk-SK"/>
        </w:rPr>
        <w:t>strediskách podporujúcich osoby so zdravotným postihnutím, nákup áut na obnovu vozového parku sociálnych automobilov Instituições Particulares de Solidariedade</w:t>
      </w:r>
      <w:r w:rsidR="00A75B3C" w:rsidRPr="00A26F8D">
        <w:rPr>
          <w:rFonts w:cs="Times New Roman"/>
          <w:noProof/>
          <w:spacing w:val="-6"/>
          <w:lang w:val="sk-SK"/>
        </w:rPr>
        <w:t xml:space="preserve"> a </w:t>
      </w:r>
      <w:r w:rsidRPr="00A26F8D">
        <w:rPr>
          <w:rFonts w:cs="Times New Roman"/>
          <w:noProof/>
          <w:spacing w:val="-6"/>
          <w:lang w:val="sk-SK"/>
        </w:rPr>
        <w:t>odborná príprava pre jednotlivcov</w:t>
      </w:r>
      <w:r w:rsidR="00A75B3C" w:rsidRPr="00A26F8D">
        <w:rPr>
          <w:rFonts w:cs="Times New Roman"/>
          <w:noProof/>
          <w:spacing w:val="-6"/>
          <w:lang w:val="sk-SK"/>
        </w:rPr>
        <w:t xml:space="preserve"> z </w:t>
      </w:r>
      <w:r w:rsidRPr="00A26F8D">
        <w:rPr>
          <w:rFonts w:cs="Times New Roman"/>
          <w:noProof/>
          <w:spacing w:val="-6"/>
          <w:lang w:val="sk-SK"/>
        </w:rPr>
        <w:t>rodín, na ktoré sa vzťahuje príjem zo sociálneho začlenenia,</w:t>
      </w:r>
      <w:r w:rsidR="00A75B3C" w:rsidRPr="00A26F8D">
        <w:rPr>
          <w:rFonts w:cs="Times New Roman"/>
          <w:noProof/>
          <w:spacing w:val="-6"/>
          <w:lang w:val="sk-SK"/>
        </w:rPr>
        <w:t xml:space="preserve"> s </w:t>
      </w:r>
      <w:r w:rsidRPr="00A26F8D">
        <w:rPr>
          <w:rFonts w:cs="Times New Roman"/>
          <w:noProof/>
          <w:spacing w:val="-6"/>
          <w:lang w:val="sk-SK"/>
        </w:rPr>
        <w:t>cieľom poskytnúť im doplnkové základné zručnosti, ktoré im umožnia vstúpiť na trh práce</w:t>
      </w:r>
      <w:r w:rsidR="00A75B3C" w:rsidRPr="00A26F8D">
        <w:rPr>
          <w:rFonts w:cs="Times New Roman"/>
          <w:noProof/>
          <w:spacing w:val="-6"/>
          <w:lang w:val="sk-SK"/>
        </w:rPr>
        <w:t>.</w:t>
      </w:r>
    </w:p>
    <w:p w14:paraId="38774A35" w14:textId="54ABCB1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A napokon, táto investícia zahŕňa aj spustenie pilotného programu</w:t>
      </w:r>
      <w:r w:rsidR="00A75B3C" w:rsidRPr="003F23AC">
        <w:rPr>
          <w:rFonts w:cs="Times New Roman"/>
          <w:noProof/>
          <w:lang w:val="sk-SK"/>
        </w:rPr>
        <w:t xml:space="preserve"> s </w:t>
      </w:r>
      <w:r w:rsidRPr="003F23AC">
        <w:rPr>
          <w:rFonts w:cs="Times New Roman"/>
          <w:noProof/>
          <w:lang w:val="sk-SK"/>
        </w:rPr>
        <w:t>názvom „Zabezpečenie starnutia“, ktorého cieľom je podpora neinštitucionálnej starostlivosti</w:t>
      </w:r>
      <w:r w:rsidR="00A75B3C" w:rsidRPr="003F23AC">
        <w:rPr>
          <w:rFonts w:cs="Times New Roman"/>
          <w:noProof/>
          <w:lang w:val="sk-SK"/>
        </w:rPr>
        <w:t xml:space="preserve"> o </w:t>
      </w:r>
      <w:r w:rsidRPr="003F23AC">
        <w:rPr>
          <w:rFonts w:cs="Times New Roman"/>
          <w:noProof/>
          <w:lang w:val="sk-SK"/>
        </w:rPr>
        <w:t>staršie osoby a/alebo osoby so zdravotným postihnutím</w:t>
      </w:r>
      <w:r w:rsidR="00A75B3C" w:rsidRPr="003F23AC">
        <w:rPr>
          <w:rFonts w:cs="Times New Roman"/>
          <w:noProof/>
          <w:lang w:val="sk-SK"/>
        </w:rPr>
        <w:t>.</w:t>
      </w:r>
    </w:p>
    <w:p w14:paraId="25A7EFAB" w14:textId="34F963D5"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36A22E9D" w14:textId="7777777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RE-C03-i05: Platforma + prístup</w:t>
      </w:r>
    </w:p>
    <w:p w14:paraId="210631B1" w14:textId="365D55E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tohto opatrenia je podporiť začleňovanie osôb so zdravotným postihnutím poskytnutím súboru digitálnych informačných nástrojov</w:t>
      </w:r>
      <w:r w:rsidR="00A75B3C" w:rsidRPr="003F23AC">
        <w:rPr>
          <w:rFonts w:cs="Times New Roman"/>
          <w:noProof/>
          <w:lang w:val="sk-SK"/>
        </w:rPr>
        <w:t xml:space="preserve"> a </w:t>
      </w:r>
      <w:r w:rsidRPr="003F23AC">
        <w:rPr>
          <w:rFonts w:cs="Times New Roman"/>
          <w:noProof/>
          <w:lang w:val="sk-SK"/>
        </w:rPr>
        <w:t>služieb, ktoré uľahčia smerovanie</w:t>
      </w:r>
      <w:r w:rsidR="00A75B3C" w:rsidRPr="003F23AC">
        <w:rPr>
          <w:rFonts w:cs="Times New Roman"/>
          <w:noProof/>
          <w:lang w:val="sk-SK"/>
        </w:rPr>
        <w:t xml:space="preserve"> k </w:t>
      </w:r>
      <w:r w:rsidRPr="003F23AC">
        <w:rPr>
          <w:rFonts w:cs="Times New Roman"/>
          <w:noProof/>
          <w:lang w:val="sk-SK"/>
        </w:rPr>
        <w:t>ich potrebám</w:t>
      </w:r>
      <w:r w:rsidR="00A75B3C" w:rsidRPr="003F23AC">
        <w:rPr>
          <w:rFonts w:cs="Times New Roman"/>
          <w:noProof/>
          <w:lang w:val="sk-SK"/>
        </w:rPr>
        <w:t xml:space="preserve"> a </w:t>
      </w:r>
      <w:r w:rsidRPr="003F23AC">
        <w:rPr>
          <w:rFonts w:cs="Times New Roman"/>
          <w:noProof/>
          <w:lang w:val="sk-SK"/>
        </w:rPr>
        <w:t>uľahčia ich účasť na živote spoločnosti</w:t>
      </w:r>
      <w:r w:rsidR="00A75B3C" w:rsidRPr="003F23AC">
        <w:rPr>
          <w:rFonts w:cs="Times New Roman"/>
          <w:noProof/>
          <w:lang w:val="sk-SK"/>
        </w:rPr>
        <w:t>.</w:t>
      </w:r>
    </w:p>
    <w:p w14:paraId="5239124E" w14:textId="16CFBA68"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piatich programov:</w:t>
      </w:r>
    </w:p>
    <w:p w14:paraId="486D6FDA" w14:textId="6523DA61" w:rsidR="00A75B3C" w:rsidRPr="003F23AC" w:rsidRDefault="000F5AA4" w:rsidP="003F23AC">
      <w:pPr>
        <w:pStyle w:val="P68B1DB1-Normal4"/>
        <w:numPr>
          <w:ilvl w:val="0"/>
          <w:numId w:val="20"/>
        </w:numPr>
        <w:spacing w:before="40" w:after="160" w:line="259" w:lineRule="auto"/>
        <w:contextualSpacing/>
        <w:jc w:val="both"/>
        <w:rPr>
          <w:rFonts w:cs="Times New Roman"/>
          <w:noProof/>
          <w:lang w:val="sk-SK"/>
        </w:rPr>
      </w:pPr>
      <w:r w:rsidRPr="003F23AC">
        <w:rPr>
          <w:rFonts w:cs="Times New Roman"/>
          <w:noProof/>
          <w:lang w:val="sk-SK"/>
        </w:rPr>
        <w:t>Geografické odkazy na umiestnenie</w:t>
      </w:r>
      <w:r w:rsidR="00A75B3C" w:rsidRPr="003F23AC">
        <w:rPr>
          <w:rFonts w:cs="Times New Roman"/>
          <w:noProof/>
          <w:lang w:val="sk-SK"/>
        </w:rPr>
        <w:t xml:space="preserve"> a </w:t>
      </w:r>
      <w:r w:rsidRPr="003F23AC">
        <w:rPr>
          <w:rFonts w:cs="Times New Roman"/>
          <w:noProof/>
          <w:lang w:val="sk-SK"/>
        </w:rPr>
        <w:t>podmienky prístupnosti verejných budov</w:t>
      </w:r>
      <w:r w:rsidR="00A75B3C" w:rsidRPr="003F23AC">
        <w:rPr>
          <w:rFonts w:cs="Times New Roman"/>
          <w:noProof/>
          <w:lang w:val="sk-SK"/>
        </w:rPr>
        <w:t>;</w:t>
      </w:r>
    </w:p>
    <w:p w14:paraId="359C49CC" w14:textId="01D27B48" w:rsidR="00A75B3C" w:rsidRPr="003F23AC" w:rsidRDefault="000F5AA4" w:rsidP="003F23AC">
      <w:pPr>
        <w:pStyle w:val="P68B1DB1-Normal4"/>
        <w:numPr>
          <w:ilvl w:val="0"/>
          <w:numId w:val="20"/>
        </w:numPr>
        <w:spacing w:before="40" w:after="160" w:line="259" w:lineRule="auto"/>
        <w:contextualSpacing/>
        <w:jc w:val="both"/>
        <w:rPr>
          <w:rFonts w:cs="Times New Roman"/>
          <w:noProof/>
          <w:lang w:val="sk-SK"/>
        </w:rPr>
      </w:pPr>
      <w:r w:rsidRPr="003F23AC">
        <w:rPr>
          <w:rFonts w:cs="Times New Roman"/>
          <w:noProof/>
          <w:lang w:val="sk-SK"/>
        </w:rPr>
        <w:t>Globálne informačné</w:t>
      </w:r>
      <w:r w:rsidR="00A75B3C" w:rsidRPr="003F23AC">
        <w:rPr>
          <w:rFonts w:cs="Times New Roman"/>
          <w:noProof/>
          <w:lang w:val="sk-SK"/>
        </w:rPr>
        <w:t xml:space="preserve"> a </w:t>
      </w:r>
      <w:r w:rsidRPr="003F23AC">
        <w:rPr>
          <w:rFonts w:cs="Times New Roman"/>
          <w:noProof/>
          <w:lang w:val="sk-SK"/>
        </w:rPr>
        <w:t>polohovacie systémy (GPS) pre veľké verejné budovy</w:t>
      </w:r>
      <w:r w:rsidR="00A75B3C" w:rsidRPr="003F23AC">
        <w:rPr>
          <w:rFonts w:cs="Times New Roman"/>
          <w:noProof/>
          <w:lang w:val="sk-SK"/>
        </w:rPr>
        <w:t xml:space="preserve"> a </w:t>
      </w:r>
      <w:r w:rsidRPr="003F23AC">
        <w:rPr>
          <w:rFonts w:cs="Times New Roman"/>
          <w:noProof/>
          <w:lang w:val="sk-SK"/>
        </w:rPr>
        <w:t>umožňujúce začlenenie súkromných budov</w:t>
      </w:r>
      <w:r w:rsidR="00A75B3C" w:rsidRPr="003F23AC">
        <w:rPr>
          <w:rFonts w:cs="Times New Roman"/>
          <w:noProof/>
          <w:lang w:val="sk-SK"/>
        </w:rPr>
        <w:t>;</w:t>
      </w:r>
    </w:p>
    <w:p w14:paraId="5A9EE107" w14:textId="77777777" w:rsidR="00A75B3C" w:rsidRPr="003F23AC" w:rsidRDefault="000F5AA4" w:rsidP="003F23AC">
      <w:pPr>
        <w:pStyle w:val="P68B1DB1-Normal4"/>
        <w:numPr>
          <w:ilvl w:val="0"/>
          <w:numId w:val="20"/>
        </w:numPr>
        <w:spacing w:before="40" w:after="160" w:line="259" w:lineRule="auto"/>
        <w:contextualSpacing/>
        <w:jc w:val="both"/>
        <w:rPr>
          <w:rFonts w:cs="Times New Roman"/>
          <w:noProof/>
          <w:lang w:val="sk-SK"/>
        </w:rPr>
      </w:pPr>
      <w:r w:rsidRPr="003F23AC">
        <w:rPr>
          <w:rFonts w:cs="Times New Roman"/>
          <w:noProof/>
          <w:lang w:val="sk-SK"/>
        </w:rPr>
        <w:t>Geografické odkazy na parkovacie miesta pre osoby so zníženou pohyblivosťou</w:t>
      </w:r>
      <w:r w:rsidR="00A75B3C" w:rsidRPr="003F23AC">
        <w:rPr>
          <w:rFonts w:cs="Times New Roman"/>
          <w:noProof/>
          <w:lang w:val="sk-SK"/>
        </w:rPr>
        <w:t>;</w:t>
      </w:r>
    </w:p>
    <w:p w14:paraId="5404B74B" w14:textId="77777777" w:rsidR="00A75B3C" w:rsidRPr="003F23AC" w:rsidRDefault="000F5AA4" w:rsidP="003F23AC">
      <w:pPr>
        <w:pStyle w:val="P68B1DB1-Normal4"/>
        <w:numPr>
          <w:ilvl w:val="0"/>
          <w:numId w:val="20"/>
        </w:numPr>
        <w:spacing w:before="40" w:after="160" w:line="259" w:lineRule="auto"/>
        <w:contextualSpacing/>
        <w:jc w:val="both"/>
        <w:rPr>
          <w:rFonts w:cs="Times New Roman"/>
          <w:noProof/>
          <w:lang w:val="sk-SK"/>
        </w:rPr>
      </w:pPr>
      <w:r w:rsidRPr="003F23AC">
        <w:rPr>
          <w:rFonts w:cs="Times New Roman"/>
          <w:noProof/>
          <w:lang w:val="sk-SK"/>
        </w:rPr>
        <w:t>Digitálna informačná platforma</w:t>
      </w:r>
      <w:r w:rsidR="00A75B3C" w:rsidRPr="003F23AC">
        <w:rPr>
          <w:rFonts w:cs="Times New Roman"/>
          <w:noProof/>
          <w:lang w:val="sk-SK"/>
        </w:rPr>
        <w:t>;</w:t>
      </w:r>
    </w:p>
    <w:p w14:paraId="68C0A982" w14:textId="1C2BB67E" w:rsidR="00387C70" w:rsidRPr="003F23AC" w:rsidRDefault="000F5AA4" w:rsidP="003F23AC">
      <w:pPr>
        <w:pStyle w:val="P68B1DB1-Normal4"/>
        <w:numPr>
          <w:ilvl w:val="0"/>
          <w:numId w:val="20"/>
        </w:numPr>
        <w:spacing w:before="40" w:after="160" w:line="259" w:lineRule="auto"/>
        <w:contextualSpacing/>
        <w:jc w:val="both"/>
        <w:rPr>
          <w:rFonts w:eastAsiaTheme="minorEastAsia" w:cs="Times New Roman"/>
          <w:noProof/>
          <w:lang w:val="sk-SK"/>
        </w:rPr>
      </w:pPr>
      <w:r w:rsidRPr="003F23AC">
        <w:rPr>
          <w:rFonts w:cs="Times New Roman"/>
          <w:noProof/>
          <w:lang w:val="sk-SK"/>
        </w:rPr>
        <w:t>Vytvorenie telefonického centra na tlmočenie portugalského posunkového jazyka.</w:t>
      </w:r>
    </w:p>
    <w:p w14:paraId="5C79347A" w14:textId="5192E745"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týchto programov je poskytovať georeferenčné riešenia podmienok prístupnosti na verejných cestách, verejných</w:t>
      </w:r>
      <w:r w:rsidR="00A75B3C" w:rsidRPr="003F23AC">
        <w:rPr>
          <w:rFonts w:cs="Times New Roman"/>
          <w:noProof/>
          <w:lang w:val="sk-SK"/>
        </w:rPr>
        <w:t xml:space="preserve"> a </w:t>
      </w:r>
      <w:r w:rsidRPr="003F23AC">
        <w:rPr>
          <w:rFonts w:cs="Times New Roman"/>
          <w:noProof/>
          <w:lang w:val="sk-SK"/>
        </w:rPr>
        <w:t>súkromných budovách</w:t>
      </w:r>
      <w:r w:rsidR="00A75B3C" w:rsidRPr="003F23AC">
        <w:rPr>
          <w:rFonts w:cs="Times New Roman"/>
          <w:noProof/>
          <w:lang w:val="sk-SK"/>
        </w:rPr>
        <w:t xml:space="preserve"> a </w:t>
      </w:r>
      <w:r w:rsidRPr="003F23AC">
        <w:rPr>
          <w:rFonts w:cs="Times New Roman"/>
          <w:noProof/>
          <w:lang w:val="sk-SK"/>
        </w:rPr>
        <w:t>parkovacích miestach pre ľudí so zníženou pohyblivosťou, vytvoriť digitálnu informačnú platformu, ktorá zhromažďuje</w:t>
      </w:r>
      <w:r w:rsidR="00A75B3C" w:rsidRPr="003F23AC">
        <w:rPr>
          <w:rFonts w:cs="Times New Roman"/>
          <w:noProof/>
          <w:lang w:val="sk-SK"/>
        </w:rPr>
        <w:t xml:space="preserve"> a </w:t>
      </w:r>
      <w:r w:rsidRPr="003F23AC">
        <w:rPr>
          <w:rFonts w:cs="Times New Roman"/>
          <w:noProof/>
          <w:lang w:val="sk-SK"/>
        </w:rPr>
        <w:t>zjednodušuje informácie</w:t>
      </w:r>
      <w:r w:rsidR="00A75B3C" w:rsidRPr="003F23AC">
        <w:rPr>
          <w:rFonts w:cs="Times New Roman"/>
          <w:noProof/>
          <w:lang w:val="sk-SK"/>
        </w:rPr>
        <w:t xml:space="preserve"> o </w:t>
      </w:r>
      <w:r w:rsidRPr="003F23AC">
        <w:rPr>
          <w:rFonts w:cs="Times New Roman"/>
          <w:noProof/>
          <w:lang w:val="sk-SK"/>
        </w:rPr>
        <w:t>príslušných právnych predpisoch</w:t>
      </w:r>
      <w:r w:rsidR="00A75B3C" w:rsidRPr="003F23AC">
        <w:rPr>
          <w:rFonts w:cs="Times New Roman"/>
          <w:noProof/>
          <w:lang w:val="sk-SK"/>
        </w:rPr>
        <w:t xml:space="preserve"> a </w:t>
      </w:r>
      <w:r w:rsidRPr="003F23AC">
        <w:rPr>
          <w:rFonts w:cs="Times New Roman"/>
          <w:noProof/>
          <w:lang w:val="sk-SK"/>
        </w:rPr>
        <w:t>podporuje zdroje pre ľudí so zdravotným postihnutím,</w:t>
      </w:r>
      <w:r w:rsidR="00A75B3C" w:rsidRPr="003F23AC">
        <w:rPr>
          <w:rFonts w:cs="Times New Roman"/>
          <w:noProof/>
          <w:lang w:val="sk-SK"/>
        </w:rPr>
        <w:t xml:space="preserve"> a </w:t>
      </w:r>
      <w:r w:rsidRPr="003F23AC">
        <w:rPr>
          <w:rFonts w:cs="Times New Roman"/>
          <w:noProof/>
          <w:lang w:val="sk-SK"/>
        </w:rPr>
        <w:t>poskytnúť nepočujúcim občanom telefonické centrum, ktoré zaručí tlmočenie</w:t>
      </w:r>
      <w:r w:rsidR="00A75B3C" w:rsidRPr="003F23AC">
        <w:rPr>
          <w:rFonts w:cs="Times New Roman"/>
          <w:noProof/>
          <w:lang w:val="sk-SK"/>
        </w:rPr>
        <w:t xml:space="preserve"> v </w:t>
      </w:r>
      <w:r w:rsidRPr="003F23AC">
        <w:rPr>
          <w:rFonts w:cs="Times New Roman"/>
          <w:noProof/>
          <w:lang w:val="sk-SK"/>
        </w:rPr>
        <w:t>reálnom čase</w:t>
      </w:r>
      <w:r w:rsidR="00A75B3C" w:rsidRPr="003F23AC">
        <w:rPr>
          <w:rFonts w:cs="Times New Roman"/>
          <w:noProof/>
          <w:lang w:val="sk-SK"/>
        </w:rPr>
        <w:t xml:space="preserve"> v </w:t>
      </w:r>
      <w:r w:rsidRPr="003F23AC">
        <w:rPr>
          <w:rFonts w:cs="Times New Roman"/>
          <w:noProof/>
          <w:lang w:val="sk-SK"/>
        </w:rPr>
        <w:t>portugalskom posunkovom jazyku (LGP) dostupné pre celú verejnú správu</w:t>
      </w:r>
      <w:r w:rsidR="00A75B3C" w:rsidRPr="003F23AC">
        <w:rPr>
          <w:rFonts w:cs="Times New Roman"/>
          <w:noProof/>
          <w:lang w:val="sk-SK"/>
        </w:rPr>
        <w:t>.</w:t>
      </w:r>
    </w:p>
    <w:p w14:paraId="58A92AFD" w14:textId="4CFB496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6CE3140F" w14:textId="3FE5EAB3"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RE-C03-i06: Integrované operácie</w:t>
      </w:r>
      <w:r w:rsidR="00A75B3C" w:rsidRPr="003F23AC">
        <w:rPr>
          <w:rFonts w:cs="Times New Roman"/>
          <w:noProof/>
          <w:lang w:val="sk-SK"/>
        </w:rPr>
        <w:t xml:space="preserve"> v </w:t>
      </w:r>
      <w:r w:rsidRPr="003F23AC">
        <w:rPr>
          <w:rFonts w:cs="Times New Roman"/>
          <w:noProof/>
          <w:lang w:val="sk-SK"/>
        </w:rPr>
        <w:t>znevýhodnených komunitách</w:t>
      </w:r>
      <w:r w:rsidR="00A75B3C" w:rsidRPr="003F23AC">
        <w:rPr>
          <w:rFonts w:cs="Times New Roman"/>
          <w:noProof/>
          <w:lang w:val="sk-SK"/>
        </w:rPr>
        <w:t xml:space="preserve"> v </w:t>
      </w:r>
      <w:r w:rsidRPr="003F23AC">
        <w:rPr>
          <w:rFonts w:cs="Times New Roman"/>
          <w:noProof/>
          <w:lang w:val="sk-SK"/>
        </w:rPr>
        <w:t>metropolitných oblastiach Lisabon</w:t>
      </w:r>
      <w:r w:rsidR="00A75B3C" w:rsidRPr="003F23AC">
        <w:rPr>
          <w:rFonts w:cs="Times New Roman"/>
          <w:noProof/>
          <w:lang w:val="sk-SK"/>
        </w:rPr>
        <w:t xml:space="preserve"> a </w:t>
      </w:r>
      <w:r w:rsidRPr="003F23AC">
        <w:rPr>
          <w:rFonts w:cs="Times New Roman"/>
          <w:noProof/>
          <w:lang w:val="sk-SK"/>
        </w:rPr>
        <w:t>Porto</w:t>
      </w:r>
    </w:p>
    <w:p w14:paraId="5E856FB8" w14:textId="6EF47F0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tohto rozsiahleho</w:t>
      </w:r>
      <w:r w:rsidR="00A75B3C" w:rsidRPr="003F23AC">
        <w:rPr>
          <w:rFonts w:cs="Times New Roman"/>
          <w:noProof/>
          <w:lang w:val="sk-SK"/>
        </w:rPr>
        <w:t xml:space="preserve"> a </w:t>
      </w:r>
      <w:r w:rsidRPr="003F23AC">
        <w:rPr>
          <w:rFonts w:cs="Times New Roman"/>
          <w:noProof/>
          <w:lang w:val="sk-SK"/>
        </w:rPr>
        <w:t>inovatívneho pilotného opatrenia je bojovať proti chudobe</w:t>
      </w:r>
      <w:r w:rsidR="00A75B3C" w:rsidRPr="003F23AC">
        <w:rPr>
          <w:rFonts w:cs="Times New Roman"/>
          <w:noProof/>
          <w:lang w:val="sk-SK"/>
        </w:rPr>
        <w:t xml:space="preserve"> a </w:t>
      </w:r>
      <w:r w:rsidRPr="003F23AC">
        <w:rPr>
          <w:rFonts w:cs="Times New Roman"/>
          <w:noProof/>
          <w:lang w:val="sk-SK"/>
        </w:rPr>
        <w:t>sociálnemu vylúčeniu</w:t>
      </w:r>
      <w:r w:rsidR="00A75B3C" w:rsidRPr="003F23AC">
        <w:rPr>
          <w:rFonts w:cs="Times New Roman"/>
          <w:noProof/>
          <w:lang w:val="sk-SK"/>
        </w:rPr>
        <w:t xml:space="preserve"> v </w:t>
      </w:r>
      <w:r w:rsidRPr="003F23AC">
        <w:rPr>
          <w:rFonts w:cs="Times New Roman"/>
          <w:noProof/>
          <w:lang w:val="sk-SK"/>
        </w:rPr>
        <w:t>najviac znevýhodnených obciach metropolitných oblastí Lisabon</w:t>
      </w:r>
      <w:r w:rsidR="00A75B3C" w:rsidRPr="003F23AC">
        <w:rPr>
          <w:rFonts w:cs="Times New Roman"/>
          <w:noProof/>
          <w:lang w:val="sk-SK"/>
        </w:rPr>
        <w:t xml:space="preserve"> a </w:t>
      </w:r>
      <w:r w:rsidRPr="003F23AC">
        <w:rPr>
          <w:rFonts w:cs="Times New Roman"/>
          <w:noProof/>
          <w:lang w:val="sk-SK"/>
        </w:rPr>
        <w:t>Porto. Ak sú intervencie úspešné, môžu sa rozšíriť.</w:t>
      </w:r>
    </w:p>
    <w:p w14:paraId="02C90CC7" w14:textId="7406AB8D"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investícia pozostáva zo súboru opatrení súvisiacich</w:t>
      </w:r>
      <w:r w:rsidR="00A75B3C" w:rsidRPr="003F23AC">
        <w:rPr>
          <w:rFonts w:cs="Times New Roman"/>
          <w:noProof/>
          <w:lang w:val="sk-SK"/>
        </w:rPr>
        <w:t xml:space="preserve"> s </w:t>
      </w:r>
      <w:r w:rsidRPr="003F23AC">
        <w:rPr>
          <w:rFonts w:cs="Times New Roman"/>
          <w:noProof/>
          <w:lang w:val="sk-SK"/>
        </w:rPr>
        <w:t>osobitnými potrebami týchto obcí. Tieto akcie zahŕňajú posilnenie postavenia komunít, rozvoj nových</w:t>
      </w:r>
      <w:r w:rsidR="00A75B3C" w:rsidRPr="003F23AC">
        <w:rPr>
          <w:rFonts w:cs="Times New Roman"/>
          <w:noProof/>
          <w:lang w:val="sk-SK"/>
        </w:rPr>
        <w:t xml:space="preserve"> a </w:t>
      </w:r>
      <w:r w:rsidRPr="003F23AC">
        <w:rPr>
          <w:rFonts w:cs="Times New Roman"/>
          <w:noProof/>
          <w:lang w:val="sk-SK"/>
        </w:rPr>
        <w:t>inovačných prístupov</w:t>
      </w:r>
      <w:r w:rsidR="00A75B3C" w:rsidRPr="003F23AC">
        <w:rPr>
          <w:rFonts w:cs="Times New Roman"/>
          <w:noProof/>
          <w:lang w:val="sk-SK"/>
        </w:rPr>
        <w:t xml:space="preserve"> k </w:t>
      </w:r>
      <w:r w:rsidRPr="003F23AC">
        <w:rPr>
          <w:rFonts w:cs="Times New Roman"/>
          <w:noProof/>
          <w:lang w:val="sk-SK"/>
        </w:rPr>
        <w:t>sociálnej súdržnosti</w:t>
      </w:r>
      <w:r w:rsidR="00A75B3C" w:rsidRPr="003F23AC">
        <w:rPr>
          <w:rFonts w:cs="Times New Roman"/>
          <w:noProof/>
          <w:lang w:val="sk-SK"/>
        </w:rPr>
        <w:t xml:space="preserve"> a </w:t>
      </w:r>
      <w:r w:rsidRPr="003F23AC">
        <w:rPr>
          <w:rFonts w:cs="Times New Roman"/>
          <w:noProof/>
          <w:lang w:val="sk-SK"/>
        </w:rPr>
        <w:t>intervencie vo verejnom priestore, sociálnej</w:t>
      </w:r>
      <w:r w:rsidR="00A75B3C" w:rsidRPr="003F23AC">
        <w:rPr>
          <w:rFonts w:cs="Times New Roman"/>
          <w:noProof/>
          <w:lang w:val="sk-SK"/>
        </w:rPr>
        <w:t xml:space="preserve"> a </w:t>
      </w:r>
      <w:r w:rsidRPr="003F23AC">
        <w:rPr>
          <w:rFonts w:cs="Times New Roman"/>
          <w:noProof/>
          <w:lang w:val="sk-SK"/>
        </w:rPr>
        <w:t>športovej infraštruktúre</w:t>
      </w:r>
      <w:r w:rsidR="00A75B3C" w:rsidRPr="003F23AC">
        <w:rPr>
          <w:rFonts w:cs="Times New Roman"/>
          <w:noProof/>
          <w:lang w:val="sk-SK"/>
        </w:rPr>
        <w:t xml:space="preserve"> a </w:t>
      </w:r>
      <w:r w:rsidRPr="003F23AC">
        <w:rPr>
          <w:rFonts w:cs="Times New Roman"/>
          <w:noProof/>
          <w:lang w:val="sk-SK"/>
        </w:rPr>
        <w:t>obydliach. Hlavnými cieľmi týchto akcií sú</w:t>
      </w:r>
      <w:r w:rsidR="00A75B3C" w:rsidRPr="003F23AC">
        <w:rPr>
          <w:rFonts w:cs="Times New Roman"/>
          <w:noProof/>
          <w:lang w:val="sk-SK"/>
        </w:rPr>
        <w:t>:</w:t>
      </w:r>
    </w:p>
    <w:p w14:paraId="0575E039" w14:textId="79B9B01E" w:rsidR="00A75B3C" w:rsidRPr="003F23AC" w:rsidRDefault="000F5AA4" w:rsidP="003F23AC">
      <w:pPr>
        <w:pStyle w:val="P68B1DB1-Normal4"/>
        <w:numPr>
          <w:ilvl w:val="0"/>
          <w:numId w:val="21"/>
        </w:numPr>
        <w:spacing w:before="40" w:after="160" w:line="259" w:lineRule="auto"/>
        <w:contextualSpacing/>
        <w:jc w:val="both"/>
        <w:rPr>
          <w:rFonts w:cs="Times New Roman"/>
          <w:noProof/>
          <w:lang w:val="sk-SK"/>
        </w:rPr>
      </w:pPr>
      <w:r w:rsidRPr="003F23AC">
        <w:rPr>
          <w:rFonts w:cs="Times New Roman"/>
          <w:noProof/>
          <w:lang w:val="sk-SK"/>
        </w:rPr>
        <w:t>Podpora zdravia</w:t>
      </w:r>
      <w:r w:rsidR="00A75B3C" w:rsidRPr="003F23AC">
        <w:rPr>
          <w:rFonts w:cs="Times New Roman"/>
          <w:noProof/>
          <w:lang w:val="sk-SK"/>
        </w:rPr>
        <w:t xml:space="preserve"> a </w:t>
      </w:r>
      <w:r w:rsidRPr="003F23AC">
        <w:rPr>
          <w:rFonts w:cs="Times New Roman"/>
          <w:noProof/>
          <w:lang w:val="sk-SK"/>
        </w:rPr>
        <w:t>kvality života komunít prostredníctvom podpory projektov predložených združeniami miestnych orgánov, mimovládnymi organizáciami, občianskymi hnutiami</w:t>
      </w:r>
      <w:r w:rsidR="00A75B3C" w:rsidRPr="003F23AC">
        <w:rPr>
          <w:rFonts w:cs="Times New Roman"/>
          <w:noProof/>
          <w:lang w:val="sk-SK"/>
        </w:rPr>
        <w:t xml:space="preserve"> a </w:t>
      </w:r>
      <w:r w:rsidRPr="003F23AC">
        <w:rPr>
          <w:rFonts w:cs="Times New Roman"/>
          <w:noProof/>
          <w:lang w:val="sk-SK"/>
        </w:rPr>
        <w:t>organizáciami obyvateľov, zdravotníckymi orgánmi alebo inými verejnými orgánmi</w:t>
      </w:r>
      <w:r w:rsidR="00A75B3C" w:rsidRPr="003F23AC">
        <w:rPr>
          <w:rFonts w:cs="Times New Roman"/>
          <w:noProof/>
          <w:lang w:val="sk-SK"/>
        </w:rPr>
        <w:t>;</w:t>
      </w:r>
    </w:p>
    <w:p w14:paraId="0A36D3E1" w14:textId="01CA982A" w:rsidR="00A75B3C" w:rsidRPr="003F23AC" w:rsidRDefault="000F5AA4" w:rsidP="003F23AC">
      <w:pPr>
        <w:pStyle w:val="P68B1DB1-Normal4"/>
        <w:numPr>
          <w:ilvl w:val="0"/>
          <w:numId w:val="21"/>
        </w:numPr>
        <w:spacing w:before="40" w:after="160" w:line="259" w:lineRule="auto"/>
        <w:contextualSpacing/>
        <w:jc w:val="both"/>
        <w:rPr>
          <w:rFonts w:cs="Times New Roman"/>
          <w:noProof/>
          <w:lang w:val="sk-SK"/>
        </w:rPr>
      </w:pPr>
      <w:r w:rsidRPr="003F23AC">
        <w:rPr>
          <w:rFonts w:cs="Times New Roman"/>
          <w:noProof/>
          <w:lang w:val="sk-SK"/>
        </w:rPr>
        <w:t>Fyzická modernizácia verejného priestoru</w:t>
      </w:r>
      <w:r w:rsidR="00A75B3C" w:rsidRPr="003F23AC">
        <w:rPr>
          <w:rFonts w:cs="Times New Roman"/>
          <w:noProof/>
          <w:lang w:val="sk-SK"/>
        </w:rPr>
        <w:t xml:space="preserve"> a </w:t>
      </w:r>
      <w:r w:rsidRPr="003F23AC">
        <w:rPr>
          <w:rFonts w:cs="Times New Roman"/>
          <w:noProof/>
          <w:lang w:val="sk-SK"/>
        </w:rPr>
        <w:t>sociálnej, zdravotnej, bytovej alebo športovej infraštruktúry</w:t>
      </w:r>
      <w:r w:rsidR="00A75B3C" w:rsidRPr="003F23AC">
        <w:rPr>
          <w:rFonts w:cs="Times New Roman"/>
          <w:noProof/>
          <w:lang w:val="sk-SK"/>
        </w:rPr>
        <w:t>;</w:t>
      </w:r>
    </w:p>
    <w:p w14:paraId="488D11D6" w14:textId="25EAC0ED" w:rsidR="00A75B3C" w:rsidRPr="003F23AC" w:rsidRDefault="000F5AA4" w:rsidP="003F23AC">
      <w:pPr>
        <w:pStyle w:val="P68B1DB1-Normal4"/>
        <w:numPr>
          <w:ilvl w:val="0"/>
          <w:numId w:val="21"/>
        </w:numPr>
        <w:spacing w:before="40" w:after="160" w:line="259" w:lineRule="auto"/>
        <w:contextualSpacing/>
        <w:jc w:val="both"/>
        <w:rPr>
          <w:rFonts w:cs="Times New Roman"/>
          <w:noProof/>
          <w:lang w:val="sk-SK"/>
        </w:rPr>
      </w:pPr>
      <w:r w:rsidRPr="003F23AC">
        <w:rPr>
          <w:rFonts w:cs="Times New Roman"/>
          <w:noProof/>
          <w:lang w:val="sk-SK"/>
        </w:rPr>
        <w:t>Obnova sociálne znevýhodnených oblastí, podpora sociálnej súdržnosti</w:t>
      </w:r>
      <w:r w:rsidR="00A75B3C" w:rsidRPr="003F23AC">
        <w:rPr>
          <w:rFonts w:cs="Times New Roman"/>
          <w:noProof/>
          <w:lang w:val="sk-SK"/>
        </w:rPr>
        <w:t xml:space="preserve"> v </w:t>
      </w:r>
      <w:r w:rsidRPr="003F23AC">
        <w:rPr>
          <w:rFonts w:cs="Times New Roman"/>
          <w:noProof/>
          <w:lang w:val="sk-SK"/>
        </w:rPr>
        <w:t>metropolitných oblastiach</w:t>
      </w:r>
      <w:r w:rsidR="00A75B3C" w:rsidRPr="003F23AC">
        <w:rPr>
          <w:rFonts w:cs="Times New Roman"/>
          <w:noProof/>
          <w:lang w:val="sk-SK"/>
        </w:rPr>
        <w:t>;</w:t>
      </w:r>
    </w:p>
    <w:p w14:paraId="7118D8A0" w14:textId="23BC4B1B" w:rsidR="00A75B3C" w:rsidRPr="003F23AC" w:rsidRDefault="000F5AA4" w:rsidP="003F23AC">
      <w:pPr>
        <w:pStyle w:val="P68B1DB1-Normal4"/>
        <w:numPr>
          <w:ilvl w:val="0"/>
          <w:numId w:val="21"/>
        </w:numPr>
        <w:spacing w:before="40" w:after="160" w:line="259" w:lineRule="auto"/>
        <w:contextualSpacing/>
        <w:jc w:val="both"/>
        <w:rPr>
          <w:rFonts w:cs="Times New Roman"/>
          <w:noProof/>
          <w:lang w:val="sk-SK"/>
        </w:rPr>
      </w:pPr>
      <w:r w:rsidRPr="003F23AC">
        <w:rPr>
          <w:rFonts w:cs="Times New Roman"/>
          <w:noProof/>
          <w:lang w:val="sk-SK"/>
        </w:rPr>
        <w:t>Podpora podnikania malých</w:t>
      </w:r>
      <w:r w:rsidR="00A75B3C" w:rsidRPr="003F23AC">
        <w:rPr>
          <w:rFonts w:cs="Times New Roman"/>
          <w:noProof/>
          <w:lang w:val="sk-SK"/>
        </w:rPr>
        <w:t xml:space="preserve"> a </w:t>
      </w:r>
      <w:r w:rsidRPr="003F23AC">
        <w:rPr>
          <w:rFonts w:cs="Times New Roman"/>
          <w:noProof/>
          <w:lang w:val="sk-SK"/>
        </w:rPr>
        <w:t>miestnych podnikov</w:t>
      </w:r>
      <w:r w:rsidR="00A75B3C" w:rsidRPr="003F23AC">
        <w:rPr>
          <w:rFonts w:cs="Times New Roman"/>
          <w:noProof/>
          <w:lang w:val="sk-SK"/>
        </w:rPr>
        <w:t>;</w:t>
      </w:r>
    </w:p>
    <w:p w14:paraId="406E2D60" w14:textId="74A2FDD8" w:rsidR="00387C70" w:rsidRPr="003F23AC" w:rsidRDefault="000F5AA4" w:rsidP="003F23AC">
      <w:pPr>
        <w:pStyle w:val="P68B1DB1-Normal4"/>
        <w:numPr>
          <w:ilvl w:val="0"/>
          <w:numId w:val="21"/>
        </w:numPr>
        <w:spacing w:before="40" w:after="160" w:line="259" w:lineRule="auto"/>
        <w:contextualSpacing/>
        <w:jc w:val="both"/>
        <w:rPr>
          <w:rFonts w:eastAsiaTheme="minorEastAsia" w:cs="Times New Roman"/>
          <w:noProof/>
          <w:lang w:val="sk-SK"/>
        </w:rPr>
      </w:pPr>
      <w:r w:rsidRPr="003F23AC">
        <w:rPr>
          <w:rFonts w:cs="Times New Roman"/>
          <w:noProof/>
          <w:lang w:val="sk-SK"/>
        </w:rPr>
        <w:t>Zlepšenie prístupu</w:t>
      </w:r>
      <w:r w:rsidR="00A75B3C" w:rsidRPr="003F23AC">
        <w:rPr>
          <w:rFonts w:cs="Times New Roman"/>
          <w:noProof/>
          <w:lang w:val="sk-SK"/>
        </w:rPr>
        <w:t xml:space="preserve"> k </w:t>
      </w:r>
      <w:r w:rsidRPr="003F23AC">
        <w:rPr>
          <w:rFonts w:cs="Times New Roman"/>
          <w:noProof/>
          <w:lang w:val="sk-SK"/>
        </w:rPr>
        <w:t>zdravotnej starostlivosti</w:t>
      </w:r>
      <w:r w:rsidR="00A75B3C" w:rsidRPr="003F23AC">
        <w:rPr>
          <w:rFonts w:cs="Times New Roman"/>
          <w:noProof/>
          <w:lang w:val="sk-SK"/>
        </w:rPr>
        <w:t xml:space="preserve"> a </w:t>
      </w:r>
      <w:r w:rsidRPr="003F23AC">
        <w:rPr>
          <w:rFonts w:cs="Times New Roman"/>
          <w:noProof/>
          <w:lang w:val="sk-SK"/>
        </w:rPr>
        <w:t>boj proti závislostiam;</w:t>
      </w:r>
    </w:p>
    <w:p w14:paraId="3ED7A6B2" w14:textId="5EDC4B52" w:rsidR="00A75B3C" w:rsidRPr="003F23AC" w:rsidRDefault="000F5AA4" w:rsidP="003F23AC">
      <w:pPr>
        <w:pStyle w:val="P68B1DB1-Normal4"/>
        <w:numPr>
          <w:ilvl w:val="0"/>
          <w:numId w:val="21"/>
        </w:numPr>
        <w:spacing w:before="40" w:after="160" w:line="259" w:lineRule="auto"/>
        <w:contextualSpacing/>
        <w:jc w:val="both"/>
        <w:rPr>
          <w:rFonts w:cs="Times New Roman"/>
          <w:noProof/>
          <w:lang w:val="sk-SK"/>
        </w:rPr>
      </w:pPr>
      <w:r w:rsidRPr="003F23AC">
        <w:rPr>
          <w:rFonts w:cs="Times New Roman"/>
          <w:noProof/>
          <w:lang w:val="sk-SK"/>
        </w:rPr>
        <w:t>Rozvoj programov aktívneho</w:t>
      </w:r>
      <w:r w:rsidR="00A75B3C" w:rsidRPr="003F23AC">
        <w:rPr>
          <w:rFonts w:cs="Times New Roman"/>
          <w:noProof/>
          <w:lang w:val="sk-SK"/>
        </w:rPr>
        <w:t xml:space="preserve"> a </w:t>
      </w:r>
      <w:r w:rsidRPr="003F23AC">
        <w:rPr>
          <w:rFonts w:cs="Times New Roman"/>
          <w:noProof/>
          <w:lang w:val="sk-SK"/>
        </w:rPr>
        <w:t>zdravého starnutia</w:t>
      </w:r>
      <w:r w:rsidR="00A75B3C" w:rsidRPr="003F23AC">
        <w:rPr>
          <w:rFonts w:cs="Times New Roman"/>
          <w:noProof/>
          <w:lang w:val="sk-SK"/>
        </w:rPr>
        <w:t>;</w:t>
      </w:r>
    </w:p>
    <w:p w14:paraId="7FAF5F26" w14:textId="44834CFE" w:rsidR="00387C70" w:rsidRPr="003F23AC" w:rsidRDefault="000F5AA4" w:rsidP="003F23AC">
      <w:pPr>
        <w:pStyle w:val="P68B1DB1-Normal4"/>
        <w:numPr>
          <w:ilvl w:val="0"/>
          <w:numId w:val="21"/>
        </w:numPr>
        <w:spacing w:before="40" w:after="160" w:line="259" w:lineRule="auto"/>
        <w:contextualSpacing/>
        <w:jc w:val="both"/>
        <w:rPr>
          <w:rFonts w:eastAsiaTheme="minorEastAsia" w:cs="Times New Roman"/>
          <w:noProof/>
          <w:lang w:val="sk-SK"/>
        </w:rPr>
      </w:pPr>
      <w:r w:rsidRPr="003F23AC">
        <w:rPr>
          <w:rFonts w:cs="Times New Roman"/>
          <w:noProof/>
          <w:lang w:val="sk-SK"/>
        </w:rPr>
        <w:t>Návrh projektov na boj proti neúspechu</w:t>
      </w:r>
      <w:r w:rsidR="00A75B3C" w:rsidRPr="003F23AC">
        <w:rPr>
          <w:rFonts w:cs="Times New Roman"/>
          <w:noProof/>
          <w:lang w:val="sk-SK"/>
        </w:rPr>
        <w:t xml:space="preserve"> v </w:t>
      </w:r>
      <w:r w:rsidRPr="003F23AC">
        <w:rPr>
          <w:rFonts w:cs="Times New Roman"/>
          <w:noProof/>
          <w:lang w:val="sk-SK"/>
        </w:rPr>
        <w:t>škole</w:t>
      </w:r>
      <w:r w:rsidR="00A75B3C" w:rsidRPr="003F23AC">
        <w:rPr>
          <w:rFonts w:cs="Times New Roman"/>
          <w:noProof/>
          <w:lang w:val="sk-SK"/>
        </w:rPr>
        <w:t xml:space="preserve"> a </w:t>
      </w:r>
      <w:r w:rsidRPr="003F23AC">
        <w:rPr>
          <w:rFonts w:cs="Times New Roman"/>
          <w:noProof/>
          <w:lang w:val="sk-SK"/>
        </w:rPr>
        <w:t>predčasnému ukončeniu školskej dochádzky;</w:t>
      </w:r>
    </w:p>
    <w:p w14:paraId="3E110118" w14:textId="7A11719C" w:rsidR="00A75B3C" w:rsidRPr="003F23AC" w:rsidRDefault="000F5AA4" w:rsidP="003F23AC">
      <w:pPr>
        <w:pStyle w:val="P68B1DB1-Normal4"/>
        <w:numPr>
          <w:ilvl w:val="0"/>
          <w:numId w:val="21"/>
        </w:numPr>
        <w:spacing w:before="40" w:after="160" w:line="259" w:lineRule="auto"/>
        <w:contextualSpacing/>
        <w:jc w:val="both"/>
        <w:rPr>
          <w:rFonts w:cs="Times New Roman"/>
          <w:noProof/>
          <w:lang w:val="sk-SK"/>
        </w:rPr>
      </w:pPr>
      <w:r w:rsidRPr="003F23AC">
        <w:rPr>
          <w:rFonts w:cs="Times New Roman"/>
          <w:noProof/>
          <w:lang w:val="sk-SK"/>
        </w:rPr>
        <w:t>Zlepšenie kvalifikácie dospelých</w:t>
      </w:r>
      <w:r w:rsidR="00A75B3C" w:rsidRPr="003F23AC">
        <w:rPr>
          <w:rFonts w:cs="Times New Roman"/>
          <w:noProof/>
          <w:lang w:val="sk-SK"/>
        </w:rPr>
        <w:t xml:space="preserve"> a </w:t>
      </w:r>
      <w:r w:rsidRPr="003F23AC">
        <w:rPr>
          <w:rFonts w:cs="Times New Roman"/>
          <w:noProof/>
          <w:lang w:val="sk-SK"/>
        </w:rPr>
        <w:t>osvedčovanie ich zručností</w:t>
      </w:r>
      <w:r w:rsidR="00A75B3C" w:rsidRPr="003F23AC">
        <w:rPr>
          <w:rFonts w:cs="Times New Roman"/>
          <w:noProof/>
          <w:lang w:val="sk-SK"/>
        </w:rPr>
        <w:t>;</w:t>
      </w:r>
    </w:p>
    <w:p w14:paraId="69F8E8CA" w14:textId="24A6782D" w:rsidR="00A75B3C" w:rsidRPr="003F23AC" w:rsidRDefault="000F5AA4" w:rsidP="003F23AC">
      <w:pPr>
        <w:pStyle w:val="P68B1DB1-Normal4"/>
        <w:numPr>
          <w:ilvl w:val="0"/>
          <w:numId w:val="21"/>
        </w:numPr>
        <w:spacing w:before="40" w:after="160" w:line="259" w:lineRule="auto"/>
        <w:contextualSpacing/>
        <w:jc w:val="both"/>
        <w:rPr>
          <w:rFonts w:cs="Times New Roman"/>
          <w:noProof/>
          <w:lang w:val="sk-SK"/>
        </w:rPr>
      </w:pPr>
      <w:r w:rsidRPr="003F23AC">
        <w:rPr>
          <w:rFonts w:cs="Times New Roman"/>
          <w:noProof/>
          <w:lang w:val="sk-SK"/>
        </w:rPr>
        <w:t>Diagnostikovanie potrieb obyvateľstva</w:t>
      </w:r>
      <w:r w:rsidR="00A75B3C" w:rsidRPr="003F23AC">
        <w:rPr>
          <w:rFonts w:cs="Times New Roman"/>
          <w:noProof/>
          <w:lang w:val="sk-SK"/>
        </w:rPr>
        <w:t xml:space="preserve"> a </w:t>
      </w:r>
      <w:r w:rsidRPr="003F23AC">
        <w:rPr>
          <w:rFonts w:cs="Times New Roman"/>
          <w:noProof/>
          <w:lang w:val="sk-SK"/>
        </w:rPr>
        <w:t>rozvoj gramotnosti dospelých, vzdelávania portugalčiny</w:t>
      </w:r>
      <w:r w:rsidR="00A75B3C" w:rsidRPr="003F23AC">
        <w:rPr>
          <w:rFonts w:cs="Times New Roman"/>
          <w:noProof/>
          <w:lang w:val="sk-SK"/>
        </w:rPr>
        <w:t xml:space="preserve"> a </w:t>
      </w:r>
      <w:r w:rsidRPr="003F23AC">
        <w:rPr>
          <w:rFonts w:cs="Times New Roman"/>
          <w:noProof/>
          <w:lang w:val="sk-SK"/>
        </w:rPr>
        <w:t>programov digitálnej integrácie</w:t>
      </w:r>
      <w:r w:rsidR="00A75B3C" w:rsidRPr="003F23AC">
        <w:rPr>
          <w:rFonts w:cs="Times New Roman"/>
          <w:noProof/>
          <w:lang w:val="sk-SK"/>
        </w:rPr>
        <w:t>;</w:t>
      </w:r>
    </w:p>
    <w:p w14:paraId="74CCD0CD" w14:textId="10E7322A" w:rsidR="00A75B3C" w:rsidRPr="003F23AC" w:rsidRDefault="000F5AA4" w:rsidP="003F23AC">
      <w:pPr>
        <w:pStyle w:val="P68B1DB1-Normal4"/>
        <w:numPr>
          <w:ilvl w:val="0"/>
          <w:numId w:val="21"/>
        </w:numPr>
        <w:spacing w:before="40" w:after="160" w:line="259" w:lineRule="auto"/>
        <w:contextualSpacing/>
        <w:jc w:val="both"/>
        <w:rPr>
          <w:rFonts w:cs="Times New Roman"/>
          <w:noProof/>
          <w:lang w:val="sk-SK"/>
        </w:rPr>
      </w:pPr>
      <w:r w:rsidRPr="003F23AC">
        <w:rPr>
          <w:rFonts w:cs="Times New Roman"/>
          <w:noProof/>
          <w:lang w:val="sk-SK"/>
        </w:rPr>
        <w:t>Odborná príprava</w:t>
      </w:r>
      <w:r w:rsidR="00A75B3C" w:rsidRPr="003F23AC">
        <w:rPr>
          <w:rFonts w:cs="Times New Roman"/>
          <w:noProof/>
          <w:lang w:val="sk-SK"/>
        </w:rPr>
        <w:t xml:space="preserve"> a </w:t>
      </w:r>
      <w:r w:rsidRPr="003F23AC">
        <w:rPr>
          <w:rFonts w:cs="Times New Roman"/>
          <w:noProof/>
          <w:lang w:val="sk-SK"/>
        </w:rPr>
        <w:t>politiky na podporu zamestnateľnosti prispôsobené miestnej realite</w:t>
      </w:r>
      <w:r w:rsidR="00A75B3C" w:rsidRPr="003F23AC">
        <w:rPr>
          <w:rFonts w:cs="Times New Roman"/>
          <w:noProof/>
          <w:lang w:val="sk-SK"/>
        </w:rPr>
        <w:t xml:space="preserve"> a </w:t>
      </w:r>
      <w:r w:rsidRPr="003F23AC">
        <w:rPr>
          <w:rFonts w:cs="Times New Roman"/>
          <w:noProof/>
          <w:lang w:val="sk-SK"/>
        </w:rPr>
        <w:t>dynamike</w:t>
      </w:r>
      <w:r w:rsidR="00A75B3C" w:rsidRPr="003F23AC">
        <w:rPr>
          <w:rFonts w:cs="Times New Roman"/>
          <w:noProof/>
          <w:lang w:val="sk-SK"/>
        </w:rPr>
        <w:t>;</w:t>
      </w:r>
    </w:p>
    <w:p w14:paraId="0FBDFD5C" w14:textId="58A7C46A" w:rsidR="00A75B3C" w:rsidRPr="003F23AC" w:rsidRDefault="000F5AA4" w:rsidP="003F23AC">
      <w:pPr>
        <w:pStyle w:val="P68B1DB1-Normal4"/>
        <w:numPr>
          <w:ilvl w:val="0"/>
          <w:numId w:val="21"/>
        </w:numPr>
        <w:spacing w:before="40" w:after="160" w:line="259" w:lineRule="auto"/>
        <w:contextualSpacing/>
        <w:jc w:val="both"/>
        <w:rPr>
          <w:rFonts w:cs="Times New Roman"/>
          <w:noProof/>
          <w:lang w:val="sk-SK"/>
        </w:rPr>
      </w:pPr>
      <w:r w:rsidRPr="003F23AC">
        <w:rPr>
          <w:rFonts w:cs="Times New Roman"/>
          <w:noProof/>
          <w:lang w:val="sk-SK"/>
        </w:rPr>
        <w:t>Prístup ku kultúre</w:t>
      </w:r>
      <w:r w:rsidR="00A75B3C" w:rsidRPr="003F23AC">
        <w:rPr>
          <w:rFonts w:cs="Times New Roman"/>
          <w:noProof/>
          <w:lang w:val="sk-SK"/>
        </w:rPr>
        <w:t xml:space="preserve"> a </w:t>
      </w:r>
      <w:r w:rsidRPr="003F23AC">
        <w:rPr>
          <w:rFonts w:cs="Times New Roman"/>
          <w:noProof/>
          <w:lang w:val="sk-SK"/>
        </w:rPr>
        <w:t>tvorivosti</w:t>
      </w:r>
      <w:r w:rsidR="00A75B3C" w:rsidRPr="003F23AC">
        <w:rPr>
          <w:rFonts w:cs="Times New Roman"/>
          <w:noProof/>
          <w:lang w:val="sk-SK"/>
        </w:rPr>
        <w:t xml:space="preserve"> a </w:t>
      </w:r>
      <w:r w:rsidRPr="003F23AC">
        <w:rPr>
          <w:rFonts w:cs="Times New Roman"/>
          <w:noProof/>
          <w:lang w:val="sk-SK"/>
        </w:rPr>
        <w:t>zhodnocovanie medzikultúrnosti</w:t>
      </w:r>
      <w:r w:rsidR="00A75B3C" w:rsidRPr="003F23AC">
        <w:rPr>
          <w:rFonts w:cs="Times New Roman"/>
          <w:noProof/>
          <w:lang w:val="sk-SK"/>
        </w:rPr>
        <w:t>;</w:t>
      </w:r>
    </w:p>
    <w:p w14:paraId="459DF50E" w14:textId="77777777" w:rsidR="00A75B3C" w:rsidRPr="003F23AC" w:rsidRDefault="000F5AA4" w:rsidP="003F23AC">
      <w:pPr>
        <w:pStyle w:val="P68B1DB1-Normal4"/>
        <w:numPr>
          <w:ilvl w:val="0"/>
          <w:numId w:val="21"/>
        </w:numPr>
        <w:spacing w:before="40" w:after="160" w:line="259" w:lineRule="auto"/>
        <w:contextualSpacing/>
        <w:jc w:val="both"/>
        <w:rPr>
          <w:rFonts w:cs="Times New Roman"/>
          <w:noProof/>
          <w:lang w:val="sk-SK"/>
        </w:rPr>
      </w:pPr>
      <w:r w:rsidRPr="003F23AC">
        <w:rPr>
          <w:rFonts w:cs="Times New Roman"/>
          <w:noProof/>
          <w:lang w:val="sk-SK"/>
        </w:rPr>
        <w:t>Podpora účasti spoločenstva na riadení samotného programu</w:t>
      </w:r>
      <w:r w:rsidR="00A75B3C" w:rsidRPr="003F23AC">
        <w:rPr>
          <w:rFonts w:cs="Times New Roman"/>
          <w:noProof/>
          <w:lang w:val="sk-SK"/>
        </w:rPr>
        <w:t>;</w:t>
      </w:r>
    </w:p>
    <w:p w14:paraId="37AA7134" w14:textId="62E3154E" w:rsidR="00A75B3C" w:rsidRPr="003F23AC" w:rsidRDefault="000F5AA4" w:rsidP="003F23AC">
      <w:pPr>
        <w:pStyle w:val="P68B1DB1-Normal4"/>
        <w:numPr>
          <w:ilvl w:val="0"/>
          <w:numId w:val="21"/>
        </w:numPr>
        <w:spacing w:before="40" w:after="160" w:line="259" w:lineRule="auto"/>
        <w:contextualSpacing/>
        <w:jc w:val="both"/>
        <w:rPr>
          <w:rFonts w:cs="Times New Roman"/>
          <w:noProof/>
          <w:lang w:val="sk-SK"/>
        </w:rPr>
      </w:pPr>
      <w:r w:rsidRPr="003F23AC">
        <w:rPr>
          <w:rFonts w:cs="Times New Roman"/>
          <w:noProof/>
          <w:lang w:val="sk-SK"/>
        </w:rPr>
        <w:t>Posilnenie postavenia miestnych aktérov</w:t>
      </w:r>
      <w:r w:rsidR="00A75B3C" w:rsidRPr="003F23AC">
        <w:rPr>
          <w:rFonts w:cs="Times New Roman"/>
          <w:noProof/>
          <w:lang w:val="sk-SK"/>
        </w:rPr>
        <w:t xml:space="preserve"> v </w:t>
      </w:r>
      <w:r w:rsidRPr="003F23AC">
        <w:rPr>
          <w:rFonts w:cs="Times New Roman"/>
          <w:noProof/>
          <w:lang w:val="sk-SK"/>
        </w:rPr>
        <w:t>partnerských sieťach</w:t>
      </w:r>
      <w:r w:rsidR="00A75B3C" w:rsidRPr="003F23AC">
        <w:rPr>
          <w:rFonts w:cs="Times New Roman"/>
          <w:noProof/>
          <w:lang w:val="sk-SK"/>
        </w:rPr>
        <w:t>;</w:t>
      </w:r>
    </w:p>
    <w:p w14:paraId="5B06A731" w14:textId="6CDC4C9F" w:rsidR="00A75B3C" w:rsidRPr="003F23AC" w:rsidRDefault="000F5AA4" w:rsidP="003F23AC">
      <w:pPr>
        <w:pStyle w:val="P68B1DB1-Normal4"/>
        <w:numPr>
          <w:ilvl w:val="0"/>
          <w:numId w:val="21"/>
        </w:numPr>
        <w:spacing w:before="40" w:after="160" w:line="259" w:lineRule="auto"/>
        <w:contextualSpacing/>
        <w:jc w:val="both"/>
        <w:rPr>
          <w:rFonts w:cs="Times New Roman"/>
          <w:noProof/>
          <w:lang w:val="sk-SK"/>
        </w:rPr>
      </w:pPr>
      <w:r w:rsidRPr="003F23AC">
        <w:rPr>
          <w:rFonts w:cs="Times New Roman"/>
          <w:noProof/>
          <w:lang w:val="sk-SK"/>
        </w:rPr>
        <w:t>Riešenia na boj proti chudobe</w:t>
      </w:r>
      <w:r w:rsidR="00A75B3C" w:rsidRPr="003F23AC">
        <w:rPr>
          <w:rFonts w:cs="Times New Roman"/>
          <w:noProof/>
          <w:lang w:val="sk-SK"/>
        </w:rPr>
        <w:t xml:space="preserve"> a </w:t>
      </w:r>
      <w:r w:rsidRPr="003F23AC">
        <w:rPr>
          <w:rFonts w:cs="Times New Roman"/>
          <w:noProof/>
          <w:lang w:val="sk-SK"/>
        </w:rPr>
        <w:t>sociálnemu vylúčeniu</w:t>
      </w:r>
      <w:r w:rsidR="00A75B3C" w:rsidRPr="003F23AC">
        <w:rPr>
          <w:rFonts w:cs="Times New Roman"/>
          <w:noProof/>
          <w:lang w:val="sk-SK"/>
        </w:rPr>
        <w:t>;</w:t>
      </w:r>
    </w:p>
    <w:p w14:paraId="6C0E8832" w14:textId="3D4C0742" w:rsidR="00A75B3C" w:rsidRPr="003F23AC" w:rsidRDefault="000F5AA4" w:rsidP="003F23AC">
      <w:pPr>
        <w:pStyle w:val="P68B1DB1-Normal4"/>
        <w:numPr>
          <w:ilvl w:val="0"/>
          <w:numId w:val="21"/>
        </w:numPr>
        <w:spacing w:before="40" w:after="160" w:line="259" w:lineRule="auto"/>
        <w:contextualSpacing/>
        <w:jc w:val="both"/>
        <w:rPr>
          <w:rFonts w:cs="Times New Roman"/>
          <w:noProof/>
          <w:lang w:val="sk-SK"/>
        </w:rPr>
      </w:pPr>
      <w:r w:rsidRPr="003F23AC">
        <w:rPr>
          <w:rFonts w:cs="Times New Roman"/>
          <w:noProof/>
          <w:lang w:val="sk-SK"/>
        </w:rPr>
        <w:t>Podpora športu ako jedného zo sociálnych nástrojov, ktoré spájajú členov komunity, podporujú hodnoty</w:t>
      </w:r>
      <w:r w:rsidR="00A75B3C" w:rsidRPr="003F23AC">
        <w:rPr>
          <w:rFonts w:cs="Times New Roman"/>
          <w:noProof/>
          <w:lang w:val="sk-SK"/>
        </w:rPr>
        <w:t xml:space="preserve"> a </w:t>
      </w:r>
      <w:r w:rsidRPr="003F23AC">
        <w:rPr>
          <w:rFonts w:cs="Times New Roman"/>
          <w:noProof/>
          <w:lang w:val="sk-SK"/>
        </w:rPr>
        <w:t>bojujú proti sociálnym nerovnostiam</w:t>
      </w:r>
      <w:r w:rsidR="00A75B3C" w:rsidRPr="003F23AC">
        <w:rPr>
          <w:rFonts w:cs="Times New Roman"/>
          <w:noProof/>
          <w:lang w:val="sk-SK"/>
        </w:rPr>
        <w:t>;</w:t>
      </w:r>
    </w:p>
    <w:p w14:paraId="693CEC30" w14:textId="25D1A450" w:rsidR="00387C70" w:rsidRPr="003F23AC" w:rsidRDefault="000F5AA4" w:rsidP="003F23AC">
      <w:pPr>
        <w:pStyle w:val="P68B1DB1-Normal4"/>
        <w:numPr>
          <w:ilvl w:val="0"/>
          <w:numId w:val="21"/>
        </w:numPr>
        <w:spacing w:before="40" w:after="160" w:line="259" w:lineRule="auto"/>
        <w:contextualSpacing/>
        <w:jc w:val="both"/>
        <w:rPr>
          <w:rFonts w:eastAsiaTheme="minorEastAsia" w:cs="Times New Roman"/>
          <w:noProof/>
          <w:lang w:val="sk-SK"/>
        </w:rPr>
      </w:pPr>
      <w:r w:rsidRPr="003F23AC">
        <w:rPr>
          <w:rFonts w:cs="Times New Roman"/>
          <w:noProof/>
          <w:lang w:val="sk-SK"/>
        </w:rPr>
        <w:t>Občianstvo</w:t>
      </w:r>
      <w:r w:rsidR="00A75B3C" w:rsidRPr="003F23AC">
        <w:rPr>
          <w:rFonts w:cs="Times New Roman"/>
          <w:noProof/>
          <w:lang w:val="sk-SK"/>
        </w:rPr>
        <w:t xml:space="preserve"> a </w:t>
      </w:r>
      <w:r w:rsidRPr="003F23AC">
        <w:rPr>
          <w:rFonts w:cs="Times New Roman"/>
          <w:noProof/>
          <w:lang w:val="sk-SK"/>
        </w:rPr>
        <w:t>prístup</w:t>
      </w:r>
      <w:r w:rsidR="00A75B3C" w:rsidRPr="003F23AC">
        <w:rPr>
          <w:rFonts w:cs="Times New Roman"/>
          <w:noProof/>
          <w:lang w:val="sk-SK"/>
        </w:rPr>
        <w:t xml:space="preserve"> k </w:t>
      </w:r>
      <w:r w:rsidRPr="003F23AC">
        <w:rPr>
          <w:rFonts w:cs="Times New Roman"/>
          <w:noProof/>
          <w:lang w:val="sk-SK"/>
        </w:rPr>
        <w:t>právam</w:t>
      </w:r>
      <w:r w:rsidR="00A75B3C" w:rsidRPr="003F23AC">
        <w:rPr>
          <w:rFonts w:cs="Times New Roman"/>
          <w:noProof/>
          <w:lang w:val="sk-SK"/>
        </w:rPr>
        <w:t xml:space="preserve"> a </w:t>
      </w:r>
      <w:r w:rsidRPr="003F23AC">
        <w:rPr>
          <w:rFonts w:cs="Times New Roman"/>
          <w:noProof/>
          <w:lang w:val="sk-SK"/>
        </w:rPr>
        <w:t>občianska účasť.</w:t>
      </w:r>
    </w:p>
    <w:p w14:paraId="79D643B7" w14:textId="7625E0A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S cieľom zabezpečiť, aby bolo opatrenie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„nespôsobovať významnú škodu“ (2021/C58/01), kritériá oprávnenosti uvedené</w:t>
      </w:r>
      <w:r w:rsidR="00A75B3C" w:rsidRPr="003F23AC">
        <w:rPr>
          <w:rFonts w:cs="Times New Roman"/>
          <w:noProof/>
          <w:lang w:val="sk-SK"/>
        </w:rPr>
        <w:t xml:space="preserve"> v </w:t>
      </w:r>
      <w:r w:rsidRPr="003F23AC">
        <w:rPr>
          <w:rFonts w:cs="Times New Roman"/>
          <w:noProof/>
          <w:lang w:val="sk-SK"/>
        </w:rPr>
        <w:t>referenčnom rámci pre nadchádzajúce výzvy na predkladanie projektov nezahŕňajú tento zoznam činností: I) činnosti súvisiace</w:t>
      </w:r>
      <w:r w:rsidR="00A75B3C" w:rsidRPr="003F23AC">
        <w:rPr>
          <w:rFonts w:cs="Times New Roman"/>
          <w:noProof/>
          <w:lang w:val="sk-SK"/>
        </w:rPr>
        <w:t xml:space="preserve"> s </w:t>
      </w:r>
      <w:r w:rsidRPr="003F23AC">
        <w:rPr>
          <w:rFonts w:cs="Times New Roman"/>
          <w:noProof/>
          <w:lang w:val="sk-SK"/>
        </w:rPr>
        <w:t>fosílnymi palivami vrátane následného použitia</w:t>
      </w:r>
      <w:r w:rsidRPr="003F23AC">
        <w:rPr>
          <w:rFonts w:cs="Times New Roman"/>
          <w:noProof/>
          <w:lang w:val="sk-SK"/>
        </w:rPr>
        <w:footnoteReference w:id="7"/>
      </w:r>
      <w:r w:rsidRPr="003F23AC">
        <w:rPr>
          <w:rFonts w:cs="Times New Roman"/>
          <w:noProof/>
          <w:lang w:val="sk-SK"/>
        </w:rPr>
        <w:t>; II) činnosti</w:t>
      </w:r>
      <w:r w:rsidR="00A75B3C" w:rsidRPr="003F23AC">
        <w:rPr>
          <w:rFonts w:cs="Times New Roman"/>
          <w:noProof/>
          <w:lang w:val="sk-SK"/>
        </w:rPr>
        <w:t xml:space="preserve"> v </w:t>
      </w:r>
      <w:r w:rsidRPr="003F23AC">
        <w:rPr>
          <w:rFonts w:cs="Times New Roman"/>
          <w:noProof/>
          <w:lang w:val="sk-SK"/>
        </w:rPr>
        <w:t>rámci systému EÚ na obchodovanie</w:t>
      </w:r>
      <w:r w:rsidR="00A75B3C" w:rsidRPr="003F23AC">
        <w:rPr>
          <w:rFonts w:cs="Times New Roman"/>
          <w:noProof/>
          <w:lang w:val="sk-SK"/>
        </w:rPr>
        <w:t xml:space="preserve"> s </w:t>
      </w:r>
      <w:r w:rsidRPr="003F23AC">
        <w:rPr>
          <w:rFonts w:cs="Times New Roman"/>
          <w:noProof/>
          <w:lang w:val="sk-SK"/>
        </w:rPr>
        <w:t>emisiami (ETS), ktorými sa dosahujú predpokladané emisie skleníkových plynov, ktoré nie sú nižšie ako príslušné referenčné hodnoty</w:t>
      </w:r>
      <w:r w:rsidRPr="003F23AC">
        <w:rPr>
          <w:rFonts w:cs="Times New Roman"/>
          <w:noProof/>
          <w:lang w:val="sk-SK"/>
        </w:rPr>
        <w:footnoteReference w:id="8"/>
      </w:r>
      <w:r w:rsidRPr="003F23AC">
        <w:rPr>
          <w:rFonts w:cs="Times New Roman"/>
          <w:noProof/>
          <w:lang w:val="sk-SK"/>
        </w:rPr>
        <w:t>; III) činnosti týkajúce sa skládok odpadu, spaľovní</w:t>
      </w:r>
      <w:r w:rsidRPr="003F23AC">
        <w:rPr>
          <w:rFonts w:cs="Times New Roman"/>
          <w:noProof/>
          <w:lang w:val="sk-SK"/>
        </w:rPr>
        <w:footnoteReference w:id="9"/>
      </w:r>
      <w:r w:rsidR="00A75B3C" w:rsidRPr="003F23AC">
        <w:rPr>
          <w:rFonts w:cs="Times New Roman"/>
          <w:noProof/>
          <w:lang w:val="sk-SK"/>
        </w:rPr>
        <w:t xml:space="preserve"> a </w:t>
      </w:r>
      <w:r w:rsidRPr="003F23AC">
        <w:rPr>
          <w:rFonts w:cs="Times New Roman"/>
          <w:noProof/>
          <w:lang w:val="sk-SK"/>
        </w:rPr>
        <w:t>mechanických biologických čistiarní</w:t>
      </w:r>
      <w:r w:rsidRPr="003F23AC">
        <w:rPr>
          <w:rFonts w:cs="Times New Roman"/>
          <w:noProof/>
          <w:lang w:val="sk-SK"/>
        </w:rPr>
        <w:footnoteReference w:id="10"/>
      </w:r>
      <w:r w:rsidRPr="003F23AC">
        <w:rPr>
          <w:rFonts w:cs="Times New Roman"/>
          <w:noProof/>
          <w:lang w:val="sk-SK"/>
        </w:rPr>
        <w:t>;</w:t>
      </w:r>
      <w:r w:rsidR="00A75B3C" w:rsidRPr="003F23AC">
        <w:rPr>
          <w:rFonts w:cs="Times New Roman"/>
          <w:noProof/>
          <w:lang w:val="sk-SK"/>
        </w:rPr>
        <w:t xml:space="preserve"> a </w:t>
      </w:r>
      <w:r w:rsidRPr="003F23AC">
        <w:rPr>
          <w:rFonts w:cs="Times New Roman"/>
          <w:noProof/>
          <w:lang w:val="sk-SK"/>
        </w:rPr>
        <w:t>iv) činnosti, pri ktorých môže dlhodobé zneškodňovanie odpadu poškodiť životné prostredie.</w:t>
      </w:r>
      <w:r w:rsidR="00A75B3C" w:rsidRPr="003F23AC">
        <w:rPr>
          <w:rFonts w:cs="Times New Roman"/>
          <w:noProof/>
          <w:lang w:val="sk-SK"/>
        </w:rPr>
        <w:t xml:space="preserve"> V </w:t>
      </w:r>
      <w:r w:rsidRPr="003F23AC">
        <w:rPr>
          <w:rFonts w:cs="Times New Roman"/>
          <w:noProof/>
          <w:lang w:val="sk-SK"/>
        </w:rPr>
        <w:t>referenčnom rámci sa okrem toho vyžaduje, aby sa mohli vybrať len činnosti, ktoré sú</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príslušnými právnymi predpismi EÚ</w:t>
      </w:r>
      <w:r w:rsidR="00A75B3C" w:rsidRPr="003F23AC">
        <w:rPr>
          <w:rFonts w:cs="Times New Roman"/>
          <w:noProof/>
          <w:lang w:val="sk-SK"/>
        </w:rPr>
        <w:t xml:space="preserve"> a </w:t>
      </w:r>
      <w:r w:rsidRPr="003F23AC">
        <w:rPr>
          <w:rFonts w:cs="Times New Roman"/>
          <w:noProof/>
          <w:lang w:val="sk-SK"/>
        </w:rPr>
        <w:t>vnútroštátnymi právnymi predpismi</w:t>
      </w:r>
      <w:r w:rsidR="00A75B3C" w:rsidRPr="003F23AC">
        <w:rPr>
          <w:rFonts w:cs="Times New Roman"/>
          <w:noProof/>
          <w:lang w:val="sk-SK"/>
        </w:rPr>
        <w:t xml:space="preserve"> v </w:t>
      </w:r>
      <w:r w:rsidRPr="003F23AC">
        <w:rPr>
          <w:rFonts w:cs="Times New Roman"/>
          <w:noProof/>
          <w:lang w:val="sk-SK"/>
        </w:rPr>
        <w:t>oblasti životného prostredia</w:t>
      </w:r>
      <w:r w:rsidR="00A75B3C" w:rsidRPr="003F23AC">
        <w:rPr>
          <w:rFonts w:cs="Times New Roman"/>
          <w:noProof/>
          <w:lang w:val="sk-SK"/>
        </w:rPr>
        <w:t>.</w:t>
      </w:r>
    </w:p>
    <w:p w14:paraId="4CDAF5FA" w14:textId="15618045"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11595588" w14:textId="77777777" w:rsidR="00A75B3C" w:rsidRPr="003F23AC" w:rsidRDefault="000F5AA4" w:rsidP="003F23AC">
      <w:pPr>
        <w:pStyle w:val="P68B1DB1-Normal5"/>
        <w:spacing w:before="240" w:after="0" w:line="259" w:lineRule="auto"/>
        <w:ind w:left="851"/>
        <w:jc w:val="both"/>
        <w:outlineLvl w:val="3"/>
        <w:rPr>
          <w:rFonts w:cs="Times New Roman"/>
          <w:noProof/>
          <w:lang w:val="sk-SK"/>
        </w:rPr>
      </w:pPr>
      <w:bookmarkStart w:id="5" w:name="_Toc137472441"/>
      <w:r w:rsidRPr="003F23AC">
        <w:rPr>
          <w:rFonts w:cs="Times New Roman"/>
          <w:noProof/>
          <w:lang w:val="sk-SK"/>
        </w:rPr>
        <w:t>Investície RE-C03-i07-RAA: Modernizácia</w:t>
      </w:r>
      <w:r w:rsidR="00A75B3C" w:rsidRPr="003F23AC">
        <w:rPr>
          <w:rFonts w:cs="Times New Roman"/>
          <w:noProof/>
          <w:lang w:val="sk-SK"/>
        </w:rPr>
        <w:t xml:space="preserve"> a </w:t>
      </w:r>
      <w:r w:rsidRPr="003F23AC">
        <w:rPr>
          <w:rFonts w:cs="Times New Roman"/>
          <w:noProof/>
          <w:lang w:val="sk-SK"/>
        </w:rPr>
        <w:t>rozšírenie siete domovov rezidenčnej starostlivosti</w:t>
      </w:r>
      <w:r w:rsidR="00A75B3C" w:rsidRPr="003F23AC">
        <w:rPr>
          <w:rFonts w:cs="Times New Roman"/>
          <w:noProof/>
          <w:lang w:val="sk-SK"/>
        </w:rPr>
        <w:t xml:space="preserve"> o </w:t>
      </w:r>
      <w:r w:rsidRPr="003F23AC">
        <w:rPr>
          <w:rFonts w:cs="Times New Roman"/>
          <w:noProof/>
          <w:lang w:val="sk-SK"/>
        </w:rPr>
        <w:t>staršie osoby (ERPI)</w:t>
      </w:r>
      <w:bookmarkEnd w:id="5"/>
    </w:p>
    <w:p w14:paraId="595D35B1" w14:textId="3D26B778"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tohto opatrenia je poskytnúť podporu starším ľuďom</w:t>
      </w:r>
      <w:r w:rsidR="00A75B3C" w:rsidRPr="003F23AC">
        <w:rPr>
          <w:rFonts w:cs="Times New Roman"/>
          <w:noProof/>
          <w:lang w:val="sk-SK"/>
        </w:rPr>
        <w:t xml:space="preserve"> v </w:t>
      </w:r>
      <w:r w:rsidRPr="003F23AC">
        <w:rPr>
          <w:rFonts w:cs="Times New Roman"/>
          <w:noProof/>
          <w:lang w:val="sk-SK"/>
        </w:rPr>
        <w:t>autonómnej oblasti Azory</w:t>
      </w:r>
      <w:r w:rsidR="00A75B3C" w:rsidRPr="003F23AC">
        <w:rPr>
          <w:rFonts w:cs="Times New Roman"/>
          <w:noProof/>
          <w:lang w:val="sk-SK"/>
        </w:rPr>
        <w:t>.</w:t>
      </w:r>
    </w:p>
    <w:p w14:paraId="5679AD8B" w14:textId="37723D5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investícia pozostáva zo zásahov do domovov rezidenčnej starostlivosti pre starších ľudí (ERPI). Tieto zásahy zahŕňajú rozšírenie</w:t>
      </w:r>
      <w:r w:rsidR="00A75B3C" w:rsidRPr="003F23AC">
        <w:rPr>
          <w:rFonts w:cs="Times New Roman"/>
          <w:noProof/>
          <w:lang w:val="sk-SK"/>
        </w:rPr>
        <w:t xml:space="preserve"> a </w:t>
      </w:r>
      <w:r w:rsidRPr="003F23AC">
        <w:rPr>
          <w:rFonts w:cs="Times New Roman"/>
          <w:noProof/>
          <w:lang w:val="sk-SK"/>
        </w:rPr>
        <w:t>obnovu existujúcich zariadení, ktoré zahŕňajú 91 miest</w:t>
      </w:r>
      <w:r w:rsidR="00A75B3C" w:rsidRPr="003F23AC">
        <w:rPr>
          <w:rFonts w:cs="Times New Roman"/>
          <w:noProof/>
          <w:lang w:val="sk-SK"/>
        </w:rPr>
        <w:t xml:space="preserve"> v </w:t>
      </w:r>
      <w:r w:rsidRPr="003F23AC">
        <w:rPr>
          <w:rFonts w:cs="Times New Roman"/>
          <w:noProof/>
          <w:lang w:val="sk-SK"/>
        </w:rPr>
        <w:t>domovoch rezidenčnej starostlivosti</w:t>
      </w:r>
      <w:r w:rsidR="00A75B3C" w:rsidRPr="003F23AC">
        <w:rPr>
          <w:rFonts w:cs="Times New Roman"/>
          <w:noProof/>
          <w:lang w:val="sk-SK"/>
        </w:rPr>
        <w:t>.</w:t>
      </w:r>
    </w:p>
    <w:p w14:paraId="42748B09" w14:textId="22A31ABB" w:rsidR="00A75B3C" w:rsidRPr="00A26F8D" w:rsidRDefault="000F5AA4" w:rsidP="003F23AC">
      <w:pPr>
        <w:pStyle w:val="P68B1DB1-Normal4"/>
        <w:spacing w:before="40" w:after="0" w:line="259" w:lineRule="auto"/>
        <w:jc w:val="both"/>
        <w:rPr>
          <w:rFonts w:cs="Times New Roman"/>
          <w:noProof/>
          <w:spacing w:val="-6"/>
          <w:lang w:val="sk-SK"/>
        </w:rPr>
      </w:pPr>
      <w:r w:rsidRPr="00A26F8D">
        <w:rPr>
          <w:rFonts w:cs="Times New Roman"/>
          <w:noProof/>
          <w:spacing w:val="-6"/>
          <w:lang w:val="sk-SK"/>
        </w:rPr>
        <w:t>Investícia prispieva</w:t>
      </w:r>
      <w:r w:rsidR="00A75B3C" w:rsidRPr="00A26F8D">
        <w:rPr>
          <w:rFonts w:cs="Times New Roman"/>
          <w:noProof/>
          <w:spacing w:val="-6"/>
          <w:lang w:val="sk-SK"/>
        </w:rPr>
        <w:t xml:space="preserve"> k </w:t>
      </w:r>
      <w:r w:rsidRPr="00A26F8D">
        <w:rPr>
          <w:rFonts w:cs="Times New Roman"/>
          <w:noProof/>
          <w:spacing w:val="-6"/>
          <w:lang w:val="sk-SK"/>
        </w:rPr>
        <w:t>poskytovaniu špecializovanej</w:t>
      </w:r>
      <w:r w:rsidR="00A75B3C" w:rsidRPr="00A26F8D">
        <w:rPr>
          <w:rFonts w:cs="Times New Roman"/>
          <w:noProof/>
          <w:spacing w:val="-6"/>
          <w:lang w:val="sk-SK"/>
        </w:rPr>
        <w:t xml:space="preserve"> a </w:t>
      </w:r>
      <w:r w:rsidRPr="00A26F8D">
        <w:rPr>
          <w:rFonts w:cs="Times New Roman"/>
          <w:noProof/>
          <w:spacing w:val="-6"/>
          <w:lang w:val="sk-SK"/>
        </w:rPr>
        <w:t>nepretržitej starostlivosti tým, ktorí sú odkázaní alebo žijú</w:t>
      </w:r>
      <w:r w:rsidR="00A75B3C" w:rsidRPr="00A26F8D">
        <w:rPr>
          <w:rFonts w:cs="Times New Roman"/>
          <w:noProof/>
          <w:spacing w:val="-6"/>
          <w:lang w:val="sk-SK"/>
        </w:rPr>
        <w:t xml:space="preserve"> v </w:t>
      </w:r>
      <w:r w:rsidRPr="00A26F8D">
        <w:rPr>
          <w:rFonts w:cs="Times New Roman"/>
          <w:noProof/>
          <w:spacing w:val="-6"/>
          <w:lang w:val="sk-SK"/>
        </w:rPr>
        <w:t>neistých situáciách, ktoré im neumožňujú získať domáce podporné služby. Infraštruktúra sa vyhýba prekážkam</w:t>
      </w:r>
      <w:r w:rsidR="00A75B3C" w:rsidRPr="00A26F8D">
        <w:rPr>
          <w:rFonts w:cs="Times New Roman"/>
          <w:noProof/>
          <w:spacing w:val="-6"/>
          <w:lang w:val="sk-SK"/>
        </w:rPr>
        <w:t xml:space="preserve"> a </w:t>
      </w:r>
      <w:r w:rsidRPr="00A26F8D">
        <w:rPr>
          <w:rFonts w:cs="Times New Roman"/>
          <w:noProof/>
          <w:spacing w:val="-6"/>
          <w:lang w:val="sk-SK"/>
        </w:rPr>
        <w:t>prekážkam fyzickej prístupnosti</w:t>
      </w:r>
      <w:r w:rsidR="00A75B3C" w:rsidRPr="00A26F8D">
        <w:rPr>
          <w:rFonts w:cs="Times New Roman"/>
          <w:noProof/>
          <w:spacing w:val="-6"/>
          <w:lang w:val="sk-SK"/>
        </w:rPr>
        <w:t xml:space="preserve"> v </w:t>
      </w:r>
      <w:r w:rsidRPr="00A26F8D">
        <w:rPr>
          <w:rFonts w:cs="Times New Roman"/>
          <w:noProof/>
          <w:spacing w:val="-6"/>
          <w:lang w:val="sk-SK"/>
        </w:rPr>
        <w:t>súlade</w:t>
      </w:r>
      <w:r w:rsidR="00A75B3C" w:rsidRPr="00A26F8D">
        <w:rPr>
          <w:rFonts w:cs="Times New Roman"/>
          <w:noProof/>
          <w:spacing w:val="-6"/>
          <w:lang w:val="sk-SK"/>
        </w:rPr>
        <w:t xml:space="preserve"> s </w:t>
      </w:r>
      <w:r w:rsidRPr="00A26F8D">
        <w:rPr>
          <w:rFonts w:cs="Times New Roman"/>
          <w:noProof/>
          <w:spacing w:val="-6"/>
          <w:lang w:val="sk-SK"/>
        </w:rPr>
        <w:t>Dohovorom Organizácie Spojených národov</w:t>
      </w:r>
      <w:r w:rsidR="00A75B3C" w:rsidRPr="00A26F8D">
        <w:rPr>
          <w:rFonts w:cs="Times New Roman"/>
          <w:noProof/>
          <w:spacing w:val="-6"/>
          <w:lang w:val="sk-SK"/>
        </w:rPr>
        <w:t xml:space="preserve"> o </w:t>
      </w:r>
      <w:r w:rsidRPr="00A26F8D">
        <w:rPr>
          <w:rFonts w:cs="Times New Roman"/>
          <w:noProof/>
          <w:spacing w:val="-6"/>
          <w:lang w:val="sk-SK"/>
        </w:rPr>
        <w:t>právach osôb so zdravotným postihnutím</w:t>
      </w:r>
      <w:r w:rsidR="00A75B3C" w:rsidRPr="00A26F8D">
        <w:rPr>
          <w:rFonts w:cs="Times New Roman"/>
          <w:noProof/>
          <w:spacing w:val="-6"/>
          <w:lang w:val="sk-SK"/>
        </w:rPr>
        <w:t xml:space="preserve"> a </w:t>
      </w:r>
      <w:r w:rsidRPr="00A26F8D">
        <w:rPr>
          <w:rFonts w:cs="Times New Roman"/>
          <w:noProof/>
          <w:spacing w:val="-6"/>
          <w:lang w:val="sk-SK"/>
        </w:rPr>
        <w:t>vnútroštátnymi právnymi predpismi, konkrétne</w:t>
      </w:r>
      <w:r w:rsidR="00A75B3C" w:rsidRPr="00A26F8D">
        <w:rPr>
          <w:rFonts w:cs="Times New Roman"/>
          <w:noProof/>
          <w:spacing w:val="-6"/>
          <w:lang w:val="sk-SK"/>
        </w:rPr>
        <w:t xml:space="preserve"> s </w:t>
      </w:r>
      <w:r w:rsidRPr="00A26F8D">
        <w:rPr>
          <w:rFonts w:cs="Times New Roman"/>
          <w:noProof/>
          <w:spacing w:val="-6"/>
          <w:lang w:val="sk-SK"/>
        </w:rPr>
        <w:t>národnou stratégiou začleňovania osôb so zdravotným postihnutím</w:t>
      </w:r>
      <w:r w:rsidR="00A75B3C" w:rsidRPr="00A26F8D">
        <w:rPr>
          <w:rFonts w:cs="Times New Roman"/>
          <w:noProof/>
          <w:spacing w:val="-6"/>
          <w:lang w:val="sk-SK"/>
        </w:rPr>
        <w:t>.</w:t>
      </w:r>
    </w:p>
    <w:p w14:paraId="3654E59A" w14:textId="40E5B261"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marca</w:t>
      </w:r>
      <w:r w:rsidRPr="003F23AC">
        <w:rPr>
          <w:rFonts w:cs="Times New Roman"/>
          <w:noProof/>
          <w:lang w:val="sk-SK"/>
        </w:rPr>
        <w:t xml:space="preserve"> 2026.</w:t>
      </w:r>
    </w:p>
    <w:p w14:paraId="4C31BC3F"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65F48950" w14:textId="06B62BC9" w:rsidR="00387C70" w:rsidRPr="003F23AC" w:rsidRDefault="000F5AA4" w:rsidP="003F23AC">
      <w:pPr>
        <w:pStyle w:val="P68B1DB1-Heading214"/>
        <w:keepNext w:val="0"/>
        <w:rPr>
          <w:noProof/>
          <w:lang w:val="sk-SK"/>
        </w:rPr>
      </w:pPr>
      <w:bookmarkStart w:id="6" w:name="_Toc137472442"/>
      <w:r w:rsidRPr="003F23AC">
        <w:rPr>
          <w:noProof/>
          <w:lang w:val="sk-SK"/>
        </w:rPr>
        <w:t>Reforma RE-C03-r38: Zjednodušenie</w:t>
      </w:r>
      <w:r w:rsidR="00A75B3C" w:rsidRPr="003F23AC">
        <w:rPr>
          <w:noProof/>
          <w:lang w:val="sk-SK"/>
        </w:rPr>
        <w:t xml:space="preserve"> a </w:t>
      </w:r>
      <w:r w:rsidRPr="003F23AC">
        <w:rPr>
          <w:noProof/>
          <w:lang w:val="sk-SK"/>
        </w:rPr>
        <w:t>účinnosť systému sociálneho zabezpečenia</w:t>
      </w:r>
    </w:p>
    <w:p w14:paraId="7144A198" w14:textId="73FF8B6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tejto reformy je zjednodušiť portugalský systém sociálneho zabezpečenia („Sistema de Segurança Social“)</w:t>
      </w:r>
      <w:r w:rsidR="00A75B3C" w:rsidRPr="003F23AC">
        <w:rPr>
          <w:rFonts w:cs="Times New Roman"/>
          <w:noProof/>
          <w:lang w:val="sk-SK"/>
        </w:rPr>
        <w:t xml:space="preserve"> s </w:t>
      </w:r>
      <w:r w:rsidRPr="003F23AC">
        <w:rPr>
          <w:rFonts w:cs="Times New Roman"/>
          <w:noProof/>
          <w:lang w:val="sk-SK"/>
        </w:rPr>
        <w:t>cieľom zvýšiť jeho účinnosť</w:t>
      </w:r>
      <w:r w:rsidR="00A75B3C" w:rsidRPr="003F23AC">
        <w:rPr>
          <w:rFonts w:cs="Times New Roman"/>
          <w:noProof/>
          <w:lang w:val="sk-SK"/>
        </w:rPr>
        <w:t xml:space="preserve"> v </w:t>
      </w:r>
      <w:r w:rsidRPr="003F23AC">
        <w:rPr>
          <w:rFonts w:cs="Times New Roman"/>
          <w:noProof/>
          <w:lang w:val="sk-SK"/>
        </w:rPr>
        <w:t>boji proti chudobe</w:t>
      </w:r>
      <w:r w:rsidR="00A75B3C" w:rsidRPr="003F23AC">
        <w:rPr>
          <w:rFonts w:cs="Times New Roman"/>
          <w:noProof/>
          <w:lang w:val="sk-SK"/>
        </w:rPr>
        <w:t xml:space="preserve"> a </w:t>
      </w:r>
      <w:r w:rsidRPr="003F23AC">
        <w:rPr>
          <w:rFonts w:cs="Times New Roman"/>
          <w:noProof/>
          <w:lang w:val="sk-SK"/>
        </w:rPr>
        <w:t>sociálnemu vylúčeniu zlepšením primeranosti, pokrytia</w:t>
      </w:r>
      <w:r w:rsidR="00A75B3C" w:rsidRPr="003F23AC">
        <w:rPr>
          <w:rFonts w:cs="Times New Roman"/>
          <w:noProof/>
          <w:lang w:val="sk-SK"/>
        </w:rPr>
        <w:t xml:space="preserve"> a </w:t>
      </w:r>
      <w:r w:rsidRPr="003F23AC">
        <w:rPr>
          <w:rFonts w:cs="Times New Roman"/>
          <w:noProof/>
          <w:lang w:val="sk-SK"/>
        </w:rPr>
        <w:t>využívania sociálnych dávok. Cieľom reformy je prispieť</w:t>
      </w:r>
      <w:r w:rsidR="00A75B3C" w:rsidRPr="003F23AC">
        <w:rPr>
          <w:rFonts w:cs="Times New Roman"/>
          <w:noProof/>
          <w:lang w:val="sk-SK"/>
        </w:rPr>
        <w:t xml:space="preserve"> k </w:t>
      </w:r>
      <w:r w:rsidRPr="003F23AC">
        <w:rPr>
          <w:rFonts w:cs="Times New Roman"/>
          <w:noProof/>
          <w:lang w:val="sk-SK"/>
        </w:rPr>
        <w:t>národným cieľom akčného plánu na realizáciu Európskeho piliera sociálnych práv, konkrétne</w:t>
      </w:r>
      <w:r w:rsidR="00A75B3C" w:rsidRPr="003F23AC">
        <w:rPr>
          <w:rFonts w:cs="Times New Roman"/>
          <w:noProof/>
          <w:lang w:val="sk-SK"/>
        </w:rPr>
        <w:t xml:space="preserve"> k </w:t>
      </w:r>
      <w:r w:rsidRPr="003F23AC">
        <w:rPr>
          <w:rFonts w:cs="Times New Roman"/>
          <w:noProof/>
          <w:lang w:val="sk-SK"/>
        </w:rPr>
        <w:t>cieľu znížiť chudobu</w:t>
      </w:r>
      <w:r w:rsidR="00A75B3C" w:rsidRPr="003F23AC">
        <w:rPr>
          <w:rFonts w:cs="Times New Roman"/>
          <w:noProof/>
          <w:lang w:val="sk-SK"/>
        </w:rPr>
        <w:t xml:space="preserve"> o </w:t>
      </w:r>
      <w:r w:rsidRPr="003F23AC">
        <w:rPr>
          <w:rFonts w:cs="Times New Roman"/>
          <w:noProof/>
          <w:lang w:val="sk-SK"/>
        </w:rPr>
        <w:t>765000 ľudí do roku 2030,</w:t>
      </w:r>
      <w:r w:rsidR="00A75B3C" w:rsidRPr="003F23AC">
        <w:rPr>
          <w:rFonts w:cs="Times New Roman"/>
          <w:noProof/>
          <w:lang w:val="sk-SK"/>
        </w:rPr>
        <w:t xml:space="preserve"> a k </w:t>
      </w:r>
      <w:r w:rsidRPr="003F23AC">
        <w:rPr>
          <w:rFonts w:cs="Times New Roman"/>
          <w:noProof/>
          <w:lang w:val="sk-SK"/>
        </w:rPr>
        <w:t>vykonávaniu zásad odporúčania Rady (MIR)</w:t>
      </w:r>
      <w:r w:rsidR="00A75B3C" w:rsidRPr="003F23AC">
        <w:rPr>
          <w:rFonts w:cs="Times New Roman"/>
          <w:noProof/>
          <w:lang w:val="sk-SK"/>
        </w:rPr>
        <w:t xml:space="preserve"> o </w:t>
      </w:r>
      <w:r w:rsidRPr="003F23AC">
        <w:rPr>
          <w:rFonts w:cs="Times New Roman"/>
          <w:noProof/>
          <w:lang w:val="sk-SK"/>
        </w:rPr>
        <w:t>primeranom minimálnom príjme zabezpečujúcom aktívne začlenenie.</w:t>
      </w:r>
    </w:p>
    <w:p w14:paraId="70F834C2" w14:textId="5CAD38FA"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Portugalský systém sociálneho zabezpečenia zahŕňa tri podsystémy: I) občiansky systém sociálnej ochrany („Proteção Social de Cidadania“) alebo nepríspevkový režim; II) systém poistenia založený na príspevkoch zamestnancov</w:t>
      </w:r>
      <w:r w:rsidR="00A75B3C" w:rsidRPr="003F23AC">
        <w:rPr>
          <w:rFonts w:cs="Times New Roman"/>
          <w:noProof/>
          <w:lang w:val="sk-SK"/>
        </w:rPr>
        <w:t xml:space="preserve"> a </w:t>
      </w:r>
      <w:r w:rsidRPr="003F23AC">
        <w:rPr>
          <w:rFonts w:cs="Times New Roman"/>
          <w:noProof/>
          <w:lang w:val="sk-SK"/>
        </w:rPr>
        <w:t>zamestnávateľov („Sistema Previdencial“) alebo príspevkový režim;</w:t>
      </w:r>
      <w:r w:rsidR="00A75B3C" w:rsidRPr="003F23AC">
        <w:rPr>
          <w:rFonts w:cs="Times New Roman"/>
          <w:noProof/>
          <w:lang w:val="sk-SK"/>
        </w:rPr>
        <w:t xml:space="preserve"> a </w:t>
      </w:r>
      <w:r w:rsidRPr="003F23AC">
        <w:rPr>
          <w:rFonts w:cs="Times New Roman"/>
          <w:noProof/>
          <w:lang w:val="sk-SK"/>
        </w:rPr>
        <w:t>iii) doplnkový systém („Sistema Complementar“), ktorý je dobrovoľný</w:t>
      </w:r>
      <w:r w:rsidR="00A75B3C" w:rsidRPr="003F23AC">
        <w:rPr>
          <w:rFonts w:cs="Times New Roman"/>
          <w:noProof/>
          <w:lang w:val="sk-SK"/>
        </w:rPr>
        <w:t xml:space="preserve"> a </w:t>
      </w:r>
      <w:r w:rsidRPr="003F23AC">
        <w:rPr>
          <w:rFonts w:cs="Times New Roman"/>
          <w:noProof/>
          <w:lang w:val="sk-SK"/>
        </w:rPr>
        <w:t>zahŕňa verejné</w:t>
      </w:r>
      <w:r w:rsidR="00A75B3C" w:rsidRPr="003F23AC">
        <w:rPr>
          <w:rFonts w:cs="Times New Roman"/>
          <w:noProof/>
          <w:lang w:val="sk-SK"/>
        </w:rPr>
        <w:t xml:space="preserve"> a </w:t>
      </w:r>
      <w:r w:rsidRPr="003F23AC">
        <w:rPr>
          <w:rFonts w:cs="Times New Roman"/>
          <w:noProof/>
          <w:lang w:val="sk-SK"/>
        </w:rPr>
        <w:t>súkromné doplnkové systémy.</w:t>
      </w:r>
    </w:p>
    <w:p w14:paraId="7D0CF015" w14:textId="764FD5C1"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V reforme sa zohľadní správa, ktorú vypracuje pracovná skupina expertov,</w:t>
      </w:r>
      <w:r w:rsidR="00A75B3C" w:rsidRPr="003F23AC">
        <w:rPr>
          <w:rFonts w:cs="Times New Roman"/>
          <w:noProof/>
          <w:lang w:val="sk-SK"/>
        </w:rPr>
        <w:t xml:space="preserve"> a </w:t>
      </w:r>
      <w:r w:rsidRPr="003F23AC">
        <w:rPr>
          <w:rFonts w:cs="Times New Roman"/>
          <w:noProof/>
          <w:lang w:val="sk-SK"/>
        </w:rPr>
        <w:t>príslušné konzultácie so zainteresovanými stranami,</w:t>
      </w:r>
      <w:r w:rsidR="00A75B3C" w:rsidRPr="003F23AC">
        <w:rPr>
          <w:rFonts w:cs="Times New Roman"/>
          <w:noProof/>
          <w:lang w:val="sk-SK"/>
        </w:rPr>
        <w:t xml:space="preserve"> a </w:t>
      </w:r>
      <w:r w:rsidRPr="003F23AC">
        <w:rPr>
          <w:rFonts w:cs="Times New Roman"/>
          <w:noProof/>
          <w:lang w:val="sk-SK"/>
        </w:rPr>
        <w:t>stanovia sa</w:t>
      </w:r>
      <w:r w:rsidR="00A75B3C" w:rsidRPr="003F23AC">
        <w:rPr>
          <w:rFonts w:cs="Times New Roman"/>
          <w:noProof/>
          <w:lang w:val="sk-SK"/>
        </w:rPr>
        <w:t xml:space="preserve"> v </w:t>
      </w:r>
      <w:r w:rsidRPr="003F23AC">
        <w:rPr>
          <w:rFonts w:cs="Times New Roman"/>
          <w:noProof/>
          <w:lang w:val="sk-SK"/>
        </w:rPr>
        <w:t>nej tieto prvky:</w:t>
      </w:r>
    </w:p>
    <w:p w14:paraId="74634E56" w14:textId="21A94F03" w:rsidR="00387C70" w:rsidRPr="003F23AC" w:rsidRDefault="000F5AA4" w:rsidP="003F23AC">
      <w:pPr>
        <w:pStyle w:val="ListParagraph"/>
        <w:keepNext w:val="0"/>
        <w:numPr>
          <w:ilvl w:val="0"/>
          <w:numId w:val="73"/>
        </w:numPr>
        <w:spacing w:before="120" w:after="120" w:line="240" w:lineRule="auto"/>
        <w:rPr>
          <w:noProof/>
          <w:lang w:val="sk-SK"/>
        </w:rPr>
      </w:pPr>
      <w:r w:rsidRPr="003F23AC">
        <w:rPr>
          <w:noProof/>
          <w:lang w:val="sk-SK"/>
        </w:rPr>
        <w:t>Jednotná sociálna dávka. Tým sa konsoliduje minimálne osem nepríspevkových sociálnych dávok</w:t>
      </w:r>
      <w:r w:rsidR="00A75B3C" w:rsidRPr="003F23AC">
        <w:rPr>
          <w:noProof/>
          <w:lang w:val="sk-SK"/>
        </w:rPr>
        <w:t xml:space="preserve"> v </w:t>
      </w:r>
      <w:r w:rsidRPr="003F23AC">
        <w:rPr>
          <w:noProof/>
          <w:lang w:val="sk-SK"/>
        </w:rPr>
        <w:t>rámci občianskeho systému sociálnej ochrany vrátane systému minimálneho príjmu („</w:t>
      </w:r>
      <w:r w:rsidRPr="003F23AC">
        <w:rPr>
          <w:i/>
          <w:noProof/>
          <w:lang w:val="sk-SK"/>
        </w:rPr>
        <w:t>Rendimento Social de Inserção“</w:t>
      </w:r>
      <w:r w:rsidRPr="003F23AC">
        <w:rPr>
          <w:noProof/>
          <w:lang w:val="sk-SK"/>
        </w:rPr>
        <w:t>).</w:t>
      </w:r>
      <w:r w:rsidR="00A75B3C" w:rsidRPr="003F23AC">
        <w:rPr>
          <w:noProof/>
          <w:lang w:val="sk-SK"/>
        </w:rPr>
        <w:t xml:space="preserve"> V </w:t>
      </w:r>
      <w:r w:rsidRPr="003F23AC">
        <w:rPr>
          <w:noProof/>
          <w:lang w:val="sk-SK"/>
        </w:rPr>
        <w:t>porovnaní so sociálnymi dávkami, ktoré sa majú konsolidovať, jednotná sociálna dávka zabezpečuje aspoň rovnaké krytie ako osoby, ktoré sú</w:t>
      </w:r>
      <w:r w:rsidR="00A75B3C" w:rsidRPr="003F23AC">
        <w:rPr>
          <w:noProof/>
          <w:lang w:val="sk-SK"/>
        </w:rPr>
        <w:t xml:space="preserve"> v </w:t>
      </w:r>
      <w:r w:rsidRPr="003F23AC">
        <w:rPr>
          <w:noProof/>
          <w:lang w:val="sk-SK"/>
        </w:rPr>
        <w:t>situácii vysokej ekonomickej</w:t>
      </w:r>
      <w:r w:rsidR="00A75B3C" w:rsidRPr="003F23AC">
        <w:rPr>
          <w:noProof/>
          <w:lang w:val="sk-SK"/>
        </w:rPr>
        <w:t xml:space="preserve"> a </w:t>
      </w:r>
      <w:r w:rsidRPr="003F23AC">
        <w:rPr>
          <w:noProof/>
          <w:lang w:val="sk-SK"/>
        </w:rPr>
        <w:t>sociálnej zraniteľnosti. Jednotná sociálna dávka prispieva</w:t>
      </w:r>
      <w:r w:rsidR="00A75B3C" w:rsidRPr="003F23AC">
        <w:rPr>
          <w:noProof/>
          <w:lang w:val="sk-SK"/>
        </w:rPr>
        <w:t xml:space="preserve"> k </w:t>
      </w:r>
      <w:r w:rsidRPr="003F23AC">
        <w:rPr>
          <w:noProof/>
          <w:lang w:val="sk-SK"/>
        </w:rPr>
        <w:t>odstráneniu prekrývania medzi existujúcimi systémami</w:t>
      </w:r>
      <w:r w:rsidR="00A75B3C" w:rsidRPr="003F23AC">
        <w:rPr>
          <w:noProof/>
          <w:lang w:val="sk-SK"/>
        </w:rPr>
        <w:t xml:space="preserve"> a </w:t>
      </w:r>
      <w:r w:rsidRPr="003F23AC">
        <w:rPr>
          <w:noProof/>
          <w:lang w:val="sk-SK"/>
        </w:rPr>
        <w:t>jej koncepcia podporuje jednoduchší</w:t>
      </w:r>
      <w:r w:rsidR="00A75B3C" w:rsidRPr="003F23AC">
        <w:rPr>
          <w:noProof/>
          <w:lang w:val="sk-SK"/>
        </w:rPr>
        <w:t xml:space="preserve"> a </w:t>
      </w:r>
      <w:r w:rsidRPr="003F23AC">
        <w:rPr>
          <w:noProof/>
          <w:lang w:val="sk-SK"/>
        </w:rPr>
        <w:t>priamejší prístup</w:t>
      </w:r>
      <w:r w:rsidR="00A75B3C" w:rsidRPr="003F23AC">
        <w:rPr>
          <w:noProof/>
          <w:lang w:val="sk-SK"/>
        </w:rPr>
        <w:t xml:space="preserve"> k </w:t>
      </w:r>
      <w:r w:rsidRPr="003F23AC">
        <w:rPr>
          <w:noProof/>
          <w:lang w:val="sk-SK"/>
        </w:rPr>
        <w:t>sociálnym dávkam. Počas procesu navrhovania</w:t>
      </w:r>
      <w:r w:rsidR="00A75B3C" w:rsidRPr="003F23AC">
        <w:rPr>
          <w:noProof/>
          <w:lang w:val="sk-SK"/>
        </w:rPr>
        <w:t xml:space="preserve"> a </w:t>
      </w:r>
      <w:r w:rsidRPr="003F23AC">
        <w:rPr>
          <w:noProof/>
          <w:lang w:val="sk-SK"/>
        </w:rPr>
        <w:t>vykonávania sa zabezpečí zapojenie príslušných sociálnych partnerov</w:t>
      </w:r>
      <w:r w:rsidR="00A75B3C" w:rsidRPr="003F23AC">
        <w:rPr>
          <w:noProof/>
          <w:lang w:val="sk-SK"/>
        </w:rPr>
        <w:t xml:space="preserve"> a </w:t>
      </w:r>
      <w:r w:rsidRPr="003F23AC">
        <w:rPr>
          <w:noProof/>
          <w:lang w:val="sk-SK"/>
        </w:rPr>
        <w:t>konzultácie</w:t>
      </w:r>
      <w:r w:rsidR="00A75B3C" w:rsidRPr="003F23AC">
        <w:rPr>
          <w:noProof/>
          <w:lang w:val="sk-SK"/>
        </w:rPr>
        <w:t xml:space="preserve"> s </w:t>
      </w:r>
      <w:r w:rsidRPr="003F23AC">
        <w:rPr>
          <w:noProof/>
          <w:lang w:val="sk-SK"/>
        </w:rPr>
        <w:t>nimi.</w:t>
      </w:r>
    </w:p>
    <w:bookmarkEnd w:id="6"/>
    <w:p w14:paraId="2D9DB4FE" w14:textId="1801555E" w:rsidR="00387C70" w:rsidRPr="003F23AC" w:rsidRDefault="000F5AA4" w:rsidP="003F23AC">
      <w:pPr>
        <w:pStyle w:val="ListParagraph"/>
        <w:keepNext w:val="0"/>
        <w:numPr>
          <w:ilvl w:val="0"/>
          <w:numId w:val="73"/>
        </w:numPr>
        <w:spacing w:before="120" w:after="120" w:line="240" w:lineRule="auto"/>
        <w:rPr>
          <w:noProof/>
          <w:lang w:val="sk-SK"/>
        </w:rPr>
      </w:pPr>
      <w:r w:rsidRPr="003F23AC">
        <w:rPr>
          <w:noProof/>
          <w:lang w:val="sk-SK"/>
        </w:rPr>
        <w:t>Zákonník sociálnych dávok. Tým sa zjednodušia, harmonizujú</w:t>
      </w:r>
      <w:r w:rsidR="00A75B3C" w:rsidRPr="003F23AC">
        <w:rPr>
          <w:noProof/>
          <w:lang w:val="sk-SK"/>
        </w:rPr>
        <w:t xml:space="preserve"> a </w:t>
      </w:r>
      <w:r w:rsidRPr="003F23AC">
        <w:rPr>
          <w:noProof/>
          <w:lang w:val="sk-SK"/>
        </w:rPr>
        <w:t>konsolidujú právne predpisy upravujúce sociálne dávky, aby sa zabezpečila väčšia transparentnosť</w:t>
      </w:r>
      <w:r w:rsidR="00A75B3C" w:rsidRPr="003F23AC">
        <w:rPr>
          <w:noProof/>
          <w:lang w:val="sk-SK"/>
        </w:rPr>
        <w:t xml:space="preserve"> a </w:t>
      </w:r>
      <w:r w:rsidRPr="003F23AC">
        <w:rPr>
          <w:noProof/>
          <w:lang w:val="sk-SK"/>
        </w:rPr>
        <w:t>lepšie pochopenie dostupných sociálnych dávok. Zákonník sociálnych dávok sa riadi vzorom Zákonníka príspevkových systémov („</w:t>
      </w:r>
      <w:r w:rsidRPr="003F23AC">
        <w:rPr>
          <w:i/>
          <w:noProof/>
          <w:lang w:val="sk-SK"/>
        </w:rPr>
        <w:t>Código dos Regimes Contributivos do Sistema Previdencial de Segurança Social“</w:t>
      </w:r>
      <w:r w:rsidRPr="003F23AC">
        <w:rPr>
          <w:noProof/>
          <w:lang w:val="sk-SK"/>
        </w:rPr>
        <w:t>), ktorý</w:t>
      </w:r>
      <w:r w:rsidR="00A75B3C" w:rsidRPr="003F23AC">
        <w:rPr>
          <w:noProof/>
          <w:lang w:val="sk-SK"/>
        </w:rPr>
        <w:t xml:space="preserve"> v </w:t>
      </w:r>
      <w:r w:rsidRPr="003F23AC">
        <w:rPr>
          <w:noProof/>
          <w:lang w:val="sk-SK"/>
        </w:rPr>
        <w:t>súčasnosti pokrýva len jeden</w:t>
      </w:r>
      <w:r w:rsidR="00A75B3C" w:rsidRPr="003F23AC">
        <w:rPr>
          <w:noProof/>
          <w:lang w:val="sk-SK"/>
        </w:rPr>
        <w:t xml:space="preserve"> z </w:t>
      </w:r>
      <w:r w:rsidRPr="003F23AC">
        <w:rPr>
          <w:noProof/>
          <w:lang w:val="sk-SK"/>
        </w:rPr>
        <w:t>troch uvedených podsystémov sociálneho zabezpečenia.</w:t>
      </w:r>
    </w:p>
    <w:p w14:paraId="65BAB00F" w14:textId="2F7744CE"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reformy sa dokončí do 30</w:t>
      </w:r>
      <w:r w:rsidR="00A75B3C" w:rsidRPr="003F23AC">
        <w:rPr>
          <w:rFonts w:cs="Times New Roman"/>
          <w:noProof/>
          <w:lang w:val="sk-SK"/>
        </w:rPr>
        <w:t>. júna</w:t>
      </w:r>
      <w:r w:rsidRPr="003F23AC">
        <w:rPr>
          <w:rFonts w:cs="Times New Roman"/>
          <w:noProof/>
          <w:lang w:val="sk-SK"/>
        </w:rPr>
        <w:t xml:space="preserve"> 2026.</w:t>
      </w:r>
    </w:p>
    <w:p w14:paraId="1686E08F"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33E4D1C0" w14:textId="77777777" w:rsidR="00387C70" w:rsidRPr="003F23AC" w:rsidRDefault="00387C70" w:rsidP="003F23AC">
      <w:pPr>
        <w:spacing w:before="40" w:after="0" w:line="259" w:lineRule="auto"/>
        <w:jc w:val="both"/>
        <w:rPr>
          <w:rFonts w:ascii="Times New Roman" w:hAnsi="Times New Roman" w:cs="Times New Roman"/>
          <w:noProof/>
          <w:sz w:val="24"/>
          <w:lang w:val="sk-SK"/>
        </w:rPr>
        <w:sectPr w:rsidR="00387C70" w:rsidRPr="003F23AC" w:rsidSect="00E00EDD">
          <w:headerReference w:type="even" r:id="rId72"/>
          <w:headerReference w:type="default" r:id="rId73"/>
          <w:footerReference w:type="even" r:id="rId74"/>
          <w:footerReference w:type="default" r:id="rId75"/>
          <w:headerReference w:type="first" r:id="rId76"/>
          <w:footerReference w:type="first" r:id="rId77"/>
          <w:pgSz w:w="11907" w:h="16839"/>
          <w:pgMar w:top="1134" w:right="1134" w:bottom="1134" w:left="1134" w:header="567" w:footer="567" w:gutter="0"/>
          <w:cols w:space="720"/>
          <w:docGrid w:linePitch="360"/>
        </w:sectPr>
      </w:pPr>
    </w:p>
    <w:p w14:paraId="6C4F7390" w14:textId="7097EB3E"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C.2.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p w14:paraId="3F759351" w14:textId="07276F59"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151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1143"/>
        <w:gridCol w:w="982"/>
        <w:gridCol w:w="1740"/>
        <w:gridCol w:w="1486"/>
        <w:gridCol w:w="840"/>
        <w:gridCol w:w="1188"/>
        <w:gridCol w:w="773"/>
        <w:gridCol w:w="789"/>
        <w:gridCol w:w="845"/>
        <w:gridCol w:w="4277"/>
      </w:tblGrid>
      <w:tr w:rsidR="00387C70" w:rsidRPr="003F23AC" w14:paraId="14AD79ED" w14:textId="77777777" w:rsidTr="00A26F8D">
        <w:trPr>
          <w:trHeight w:val="910"/>
          <w:tblHeader/>
        </w:trPr>
        <w:tc>
          <w:tcPr>
            <w:tcW w:w="1124" w:type="dxa"/>
            <w:vMerge w:val="restart"/>
            <w:shd w:val="clear" w:color="auto" w:fill="BDD6EE"/>
            <w:tcMar>
              <w:left w:w="28" w:type="dxa"/>
              <w:right w:w="28" w:type="dxa"/>
            </w:tcMar>
            <w:vAlign w:val="center"/>
            <w:hideMark/>
          </w:tcPr>
          <w:p w14:paraId="12E042F4"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143" w:type="dxa"/>
            <w:vMerge w:val="restart"/>
            <w:shd w:val="clear" w:color="auto" w:fill="BDD6EE"/>
            <w:tcMar>
              <w:left w:w="28" w:type="dxa"/>
              <w:right w:w="28" w:type="dxa"/>
            </w:tcMar>
            <w:vAlign w:val="center"/>
            <w:hideMark/>
          </w:tcPr>
          <w:p w14:paraId="40754ED3"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982" w:type="dxa"/>
            <w:vMerge w:val="restart"/>
            <w:shd w:val="clear" w:color="auto" w:fill="BDD6EE"/>
            <w:tcMar>
              <w:left w:w="28" w:type="dxa"/>
              <w:right w:w="28" w:type="dxa"/>
            </w:tcMar>
            <w:vAlign w:val="center"/>
            <w:hideMark/>
          </w:tcPr>
          <w:p w14:paraId="6F5DD9BA" w14:textId="0EE9A1D3"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1740" w:type="dxa"/>
            <w:vMerge w:val="restart"/>
            <w:shd w:val="clear" w:color="auto" w:fill="BDD6EE"/>
            <w:tcMar>
              <w:left w:w="28" w:type="dxa"/>
              <w:right w:w="28" w:type="dxa"/>
            </w:tcMar>
            <w:vAlign w:val="center"/>
            <w:hideMark/>
          </w:tcPr>
          <w:p w14:paraId="7E76B60B"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486" w:type="dxa"/>
            <w:vMerge w:val="restart"/>
            <w:shd w:val="clear" w:color="auto" w:fill="BDD6EE"/>
            <w:tcMar>
              <w:left w:w="28" w:type="dxa"/>
              <w:right w:w="28" w:type="dxa"/>
            </w:tcMar>
            <w:vAlign w:val="center"/>
            <w:hideMark/>
          </w:tcPr>
          <w:p w14:paraId="2B32BF68"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801" w:type="dxa"/>
            <w:gridSpan w:val="3"/>
            <w:shd w:val="clear" w:color="auto" w:fill="BDD6EE"/>
            <w:tcMar>
              <w:left w:w="28" w:type="dxa"/>
              <w:right w:w="28" w:type="dxa"/>
            </w:tcMar>
            <w:vAlign w:val="center"/>
            <w:hideMark/>
          </w:tcPr>
          <w:p w14:paraId="54E5B28D"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634" w:type="dxa"/>
            <w:gridSpan w:val="2"/>
            <w:shd w:val="clear" w:color="auto" w:fill="BDD6EE"/>
            <w:tcMar>
              <w:left w:w="28" w:type="dxa"/>
              <w:right w:w="28" w:type="dxa"/>
            </w:tcMar>
            <w:vAlign w:val="center"/>
            <w:hideMark/>
          </w:tcPr>
          <w:p w14:paraId="0AFFA6CA"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4277" w:type="dxa"/>
            <w:vMerge w:val="restart"/>
            <w:shd w:val="clear" w:color="auto" w:fill="BDD6EE"/>
            <w:tcMar>
              <w:left w:w="28" w:type="dxa"/>
              <w:right w:w="28" w:type="dxa"/>
            </w:tcMar>
            <w:vAlign w:val="center"/>
            <w:hideMark/>
          </w:tcPr>
          <w:p w14:paraId="0CAE4583" w14:textId="2C83E9C6"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3DC9B5E4" w14:textId="77777777" w:rsidTr="00A26F8D">
        <w:trPr>
          <w:trHeight w:val="470"/>
          <w:tblHeader/>
        </w:trPr>
        <w:tc>
          <w:tcPr>
            <w:tcW w:w="1124" w:type="dxa"/>
            <w:vMerge/>
            <w:tcMar>
              <w:left w:w="28" w:type="dxa"/>
              <w:right w:w="28" w:type="dxa"/>
            </w:tcMar>
            <w:vAlign w:val="center"/>
            <w:hideMark/>
          </w:tcPr>
          <w:p w14:paraId="5E2B2993"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43" w:type="dxa"/>
            <w:vMerge/>
            <w:tcMar>
              <w:left w:w="28" w:type="dxa"/>
              <w:right w:w="28" w:type="dxa"/>
            </w:tcMar>
            <w:vAlign w:val="center"/>
            <w:hideMark/>
          </w:tcPr>
          <w:p w14:paraId="38E6DA3F"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982" w:type="dxa"/>
            <w:vMerge/>
            <w:shd w:val="clear" w:color="auto" w:fill="BDD6EE"/>
            <w:tcMar>
              <w:left w:w="28" w:type="dxa"/>
              <w:right w:w="28" w:type="dxa"/>
            </w:tcMar>
            <w:vAlign w:val="center"/>
            <w:hideMark/>
          </w:tcPr>
          <w:p w14:paraId="0B4F87AB" w14:textId="41568FFB"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740" w:type="dxa"/>
            <w:vMerge/>
            <w:tcMar>
              <w:left w:w="28" w:type="dxa"/>
              <w:right w:w="28" w:type="dxa"/>
            </w:tcMar>
            <w:vAlign w:val="center"/>
            <w:hideMark/>
          </w:tcPr>
          <w:p w14:paraId="05146A5D"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486" w:type="dxa"/>
            <w:vMerge/>
            <w:tcMar>
              <w:left w:w="28" w:type="dxa"/>
              <w:right w:w="28" w:type="dxa"/>
            </w:tcMar>
            <w:vAlign w:val="center"/>
            <w:hideMark/>
          </w:tcPr>
          <w:p w14:paraId="7B4130F2"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840" w:type="dxa"/>
            <w:shd w:val="clear" w:color="auto" w:fill="BDD6EE"/>
            <w:tcMar>
              <w:left w:w="28" w:type="dxa"/>
              <w:right w:w="28" w:type="dxa"/>
            </w:tcMar>
            <w:vAlign w:val="center"/>
            <w:hideMark/>
          </w:tcPr>
          <w:p w14:paraId="0EFFB8D7"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1188" w:type="dxa"/>
            <w:shd w:val="clear" w:color="auto" w:fill="BDD6EE"/>
            <w:tcMar>
              <w:left w:w="28" w:type="dxa"/>
              <w:right w:w="28" w:type="dxa"/>
            </w:tcMar>
            <w:vAlign w:val="center"/>
            <w:hideMark/>
          </w:tcPr>
          <w:p w14:paraId="0362CC94" w14:textId="149B6C56" w:rsidR="00387C70" w:rsidRPr="00A26F8D" w:rsidRDefault="00680FF6" w:rsidP="003F23AC">
            <w:pPr>
              <w:pStyle w:val="P68B1DB1-Normal6"/>
              <w:spacing w:after="0" w:line="240" w:lineRule="auto"/>
              <w:jc w:val="center"/>
              <w:rPr>
                <w:rFonts w:eastAsia="Times New Roman" w:cs="Times New Roman"/>
                <w:noProof/>
                <w:spacing w:val="-8"/>
                <w:lang w:val="sk-SK"/>
              </w:rPr>
            </w:pPr>
            <w:r w:rsidRPr="00A26F8D">
              <w:rPr>
                <w:rFonts w:cs="Times New Roman"/>
                <w:noProof/>
                <w:spacing w:val="-8"/>
                <w:lang w:val="sk-SK"/>
              </w:rPr>
              <w:t>Východisková hodnota</w:t>
            </w:r>
          </w:p>
        </w:tc>
        <w:tc>
          <w:tcPr>
            <w:tcW w:w="773" w:type="dxa"/>
            <w:shd w:val="clear" w:color="auto" w:fill="BDD6EE"/>
            <w:tcMar>
              <w:left w:w="28" w:type="dxa"/>
              <w:right w:w="28" w:type="dxa"/>
            </w:tcMar>
            <w:vAlign w:val="center"/>
            <w:hideMark/>
          </w:tcPr>
          <w:p w14:paraId="004EED49" w14:textId="0E94002B" w:rsidR="00387C70" w:rsidRPr="00A26F8D" w:rsidRDefault="00680FF6" w:rsidP="003F23AC">
            <w:pPr>
              <w:pStyle w:val="P68B1DB1-Normal6"/>
              <w:spacing w:after="0" w:line="240" w:lineRule="auto"/>
              <w:jc w:val="center"/>
              <w:rPr>
                <w:rFonts w:eastAsia="Times New Roman" w:cs="Times New Roman"/>
                <w:noProof/>
                <w:spacing w:val="-8"/>
                <w:lang w:val="sk-SK"/>
              </w:rPr>
            </w:pPr>
            <w:r w:rsidRPr="00A26F8D">
              <w:rPr>
                <w:rFonts w:cs="Times New Roman"/>
                <w:noProof/>
                <w:spacing w:val="-8"/>
                <w:lang w:val="sk-SK"/>
              </w:rPr>
              <w:t>Cieľová hodnota</w:t>
            </w:r>
          </w:p>
        </w:tc>
        <w:tc>
          <w:tcPr>
            <w:tcW w:w="789" w:type="dxa"/>
            <w:shd w:val="clear" w:color="auto" w:fill="BDD6EE"/>
            <w:tcMar>
              <w:left w:w="28" w:type="dxa"/>
              <w:right w:w="28" w:type="dxa"/>
            </w:tcMar>
            <w:vAlign w:val="center"/>
            <w:hideMark/>
          </w:tcPr>
          <w:p w14:paraId="6EF1C0BD" w14:textId="39E323C4" w:rsidR="00387C70" w:rsidRPr="00A26F8D" w:rsidRDefault="00680FF6" w:rsidP="003F23AC">
            <w:pPr>
              <w:pStyle w:val="P68B1DB1-Normal6"/>
              <w:spacing w:after="0" w:line="240" w:lineRule="auto"/>
              <w:jc w:val="center"/>
              <w:rPr>
                <w:rFonts w:eastAsia="Times New Roman" w:cs="Times New Roman"/>
                <w:noProof/>
                <w:spacing w:val="-8"/>
                <w:lang w:val="sk-SK"/>
              </w:rPr>
            </w:pPr>
            <w:r w:rsidRPr="00A26F8D">
              <w:rPr>
                <w:rFonts w:cs="Times New Roman"/>
                <w:noProof/>
                <w:spacing w:val="-8"/>
                <w:lang w:val="sk-SK"/>
              </w:rPr>
              <w:t>Štvrťrok</w:t>
            </w:r>
          </w:p>
        </w:tc>
        <w:tc>
          <w:tcPr>
            <w:tcW w:w="845" w:type="dxa"/>
            <w:shd w:val="clear" w:color="auto" w:fill="BDD6EE"/>
            <w:tcMar>
              <w:left w:w="28" w:type="dxa"/>
              <w:right w:w="28" w:type="dxa"/>
            </w:tcMar>
            <w:vAlign w:val="center"/>
            <w:hideMark/>
          </w:tcPr>
          <w:p w14:paraId="4B7C0DD8"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4277" w:type="dxa"/>
            <w:vMerge/>
            <w:tcMar>
              <w:left w:w="28" w:type="dxa"/>
              <w:right w:w="28" w:type="dxa"/>
            </w:tcMar>
            <w:vAlign w:val="center"/>
            <w:hideMark/>
          </w:tcPr>
          <w:p w14:paraId="712BF101"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4FB1DEE7" w14:textId="77777777" w:rsidTr="00A26F8D">
        <w:trPr>
          <w:trHeight w:val="640"/>
        </w:trPr>
        <w:tc>
          <w:tcPr>
            <w:tcW w:w="1124" w:type="dxa"/>
            <w:shd w:val="clear" w:color="auto" w:fill="C5EFCE"/>
            <w:tcMar>
              <w:left w:w="28" w:type="dxa"/>
              <w:right w:w="28" w:type="dxa"/>
            </w:tcMar>
            <w:vAlign w:val="center"/>
            <w:hideMark/>
          </w:tcPr>
          <w:p w14:paraId="7E53AF7C"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w:t>
            </w:r>
          </w:p>
        </w:tc>
        <w:tc>
          <w:tcPr>
            <w:tcW w:w="1143" w:type="dxa"/>
            <w:shd w:val="clear" w:color="auto" w:fill="C4EFCE"/>
            <w:tcMar>
              <w:left w:w="28" w:type="dxa"/>
              <w:right w:w="28" w:type="dxa"/>
            </w:tcMar>
            <w:vAlign w:val="center"/>
            <w:hideMark/>
          </w:tcPr>
          <w:p w14:paraId="6B802912" w14:textId="411FD632"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C03-i01</w:t>
            </w:r>
          </w:p>
        </w:tc>
        <w:tc>
          <w:tcPr>
            <w:tcW w:w="982" w:type="dxa"/>
            <w:shd w:val="clear" w:color="auto" w:fill="C4EFCE"/>
            <w:tcMar>
              <w:left w:w="28" w:type="dxa"/>
              <w:right w:w="28" w:type="dxa"/>
            </w:tcMar>
            <w:vAlign w:val="center"/>
            <w:hideMark/>
          </w:tcPr>
          <w:p w14:paraId="2EB48FA7" w14:textId="4EDA69A7"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hideMark/>
          </w:tcPr>
          <w:p w14:paraId="5FF7B3B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Dodávka elektrických vozidiel</w:t>
            </w:r>
          </w:p>
        </w:tc>
        <w:tc>
          <w:tcPr>
            <w:tcW w:w="1486" w:type="dxa"/>
            <w:shd w:val="clear" w:color="auto" w:fill="C4EFCE"/>
            <w:tcMar>
              <w:left w:w="28" w:type="dxa"/>
              <w:right w:w="28" w:type="dxa"/>
            </w:tcMar>
            <w:vAlign w:val="center"/>
            <w:hideMark/>
          </w:tcPr>
          <w:p w14:paraId="3CB72AB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59EF364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hideMark/>
          </w:tcPr>
          <w:p w14:paraId="4903172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73" w:type="dxa"/>
            <w:shd w:val="clear" w:color="auto" w:fill="C4EFCE"/>
            <w:tcMar>
              <w:left w:w="28" w:type="dxa"/>
              <w:right w:w="28" w:type="dxa"/>
            </w:tcMar>
            <w:vAlign w:val="center"/>
            <w:hideMark/>
          </w:tcPr>
          <w:p w14:paraId="169C956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2 500</w:t>
            </w:r>
          </w:p>
        </w:tc>
        <w:tc>
          <w:tcPr>
            <w:tcW w:w="789" w:type="dxa"/>
            <w:shd w:val="clear" w:color="auto" w:fill="C4EFCE"/>
            <w:tcMar>
              <w:left w:w="28" w:type="dxa"/>
              <w:right w:w="28" w:type="dxa"/>
            </w:tcMar>
            <w:vAlign w:val="center"/>
            <w:hideMark/>
          </w:tcPr>
          <w:p w14:paraId="101B6C07" w14:textId="000975F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845" w:type="dxa"/>
            <w:shd w:val="clear" w:color="auto" w:fill="C4EFCE"/>
            <w:tcMar>
              <w:left w:w="28" w:type="dxa"/>
              <w:right w:w="28" w:type="dxa"/>
            </w:tcMar>
            <w:vAlign w:val="center"/>
            <w:hideMark/>
          </w:tcPr>
          <w:p w14:paraId="070C0E7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277" w:type="dxa"/>
            <w:shd w:val="clear" w:color="auto" w:fill="C4EFCE"/>
            <w:tcMar>
              <w:left w:w="28" w:type="dxa"/>
              <w:right w:w="28" w:type="dxa"/>
            </w:tcMar>
            <w:vAlign w:val="center"/>
            <w:hideMark/>
          </w:tcPr>
          <w:p w14:paraId="74933DAC" w14:textId="76E339E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Poskytovanie nových elektrických vozidiel prispôsobených na pomoc</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domácnosti a/alebo na prepravu osôb so zníženou pohyblivosťou poskytovateľom sociálnej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domácej podpory Instituições Particulares de Solidariedade Social (IPSS) alebo podobných oprávnených subjektov sociálnych služieb.</w:t>
            </w:r>
          </w:p>
        </w:tc>
      </w:tr>
      <w:tr w:rsidR="00387C70" w:rsidRPr="003F23AC" w14:paraId="695A83D6" w14:textId="77777777" w:rsidTr="00A26F8D">
        <w:trPr>
          <w:trHeight w:val="797"/>
        </w:trPr>
        <w:tc>
          <w:tcPr>
            <w:tcW w:w="1124" w:type="dxa"/>
            <w:shd w:val="clear" w:color="auto" w:fill="C5EFCE"/>
            <w:tcMar>
              <w:left w:w="28" w:type="dxa"/>
              <w:right w:w="28" w:type="dxa"/>
            </w:tcMar>
            <w:vAlign w:val="center"/>
            <w:hideMark/>
          </w:tcPr>
          <w:p w14:paraId="75C121A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3.2</w:t>
            </w:r>
          </w:p>
        </w:tc>
        <w:tc>
          <w:tcPr>
            <w:tcW w:w="1143" w:type="dxa"/>
            <w:shd w:val="clear" w:color="auto" w:fill="C4EFCE"/>
            <w:tcMar>
              <w:left w:w="28" w:type="dxa"/>
              <w:right w:w="28" w:type="dxa"/>
            </w:tcMar>
            <w:vAlign w:val="center"/>
            <w:hideMark/>
          </w:tcPr>
          <w:p w14:paraId="0D34E66D" w14:textId="439D949D"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C03-i01</w:t>
            </w:r>
          </w:p>
        </w:tc>
        <w:tc>
          <w:tcPr>
            <w:tcW w:w="982" w:type="dxa"/>
            <w:shd w:val="clear" w:color="auto" w:fill="C4EFCE"/>
            <w:tcMar>
              <w:left w:w="28" w:type="dxa"/>
              <w:right w:w="28" w:type="dxa"/>
            </w:tcMar>
            <w:vAlign w:val="center"/>
            <w:hideMark/>
          </w:tcPr>
          <w:p w14:paraId="4178A6A9" w14:textId="179FB857"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hideMark/>
          </w:tcPr>
          <w:p w14:paraId="4C9E6AA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Vytvorenie sociálnych zásahových tímov (Radar Social)</w:t>
            </w:r>
          </w:p>
        </w:tc>
        <w:tc>
          <w:tcPr>
            <w:tcW w:w="1486" w:type="dxa"/>
            <w:shd w:val="clear" w:color="auto" w:fill="C4EFCE"/>
            <w:tcMar>
              <w:left w:w="28" w:type="dxa"/>
              <w:right w:w="28" w:type="dxa"/>
            </w:tcMar>
            <w:vAlign w:val="center"/>
            <w:hideMark/>
          </w:tcPr>
          <w:p w14:paraId="746F3B0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6A39312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hideMark/>
          </w:tcPr>
          <w:p w14:paraId="2F1F46F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73" w:type="dxa"/>
            <w:shd w:val="clear" w:color="auto" w:fill="C4EFCE"/>
            <w:tcMar>
              <w:left w:w="28" w:type="dxa"/>
              <w:right w:w="28" w:type="dxa"/>
            </w:tcMar>
            <w:vAlign w:val="center"/>
            <w:hideMark/>
          </w:tcPr>
          <w:p w14:paraId="5DF2222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278</w:t>
            </w:r>
          </w:p>
        </w:tc>
        <w:tc>
          <w:tcPr>
            <w:tcW w:w="789" w:type="dxa"/>
            <w:shd w:val="clear" w:color="auto" w:fill="C4EFCE"/>
            <w:tcMar>
              <w:left w:w="28" w:type="dxa"/>
              <w:right w:w="28" w:type="dxa"/>
            </w:tcMar>
            <w:vAlign w:val="center"/>
            <w:hideMark/>
          </w:tcPr>
          <w:p w14:paraId="2D14593B" w14:textId="4B4E2BE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hideMark/>
          </w:tcPr>
          <w:p w14:paraId="00AFEEF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277" w:type="dxa"/>
            <w:shd w:val="clear" w:color="auto" w:fill="C4EFCE"/>
            <w:tcMar>
              <w:left w:w="28" w:type="dxa"/>
              <w:right w:w="28" w:type="dxa"/>
            </w:tcMar>
            <w:vAlign w:val="center"/>
            <w:hideMark/>
          </w:tcPr>
          <w:p w14:paraId="786F8552" w14:textId="0324842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Vytvorenie 278 sociálnych zásahových tímov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obciach kontinentálneho Portugalska.</w:t>
            </w:r>
          </w:p>
        </w:tc>
      </w:tr>
      <w:tr w:rsidR="00387C70" w:rsidRPr="003F23AC" w14:paraId="6CA14E84" w14:textId="77777777" w:rsidTr="00A26F8D">
        <w:trPr>
          <w:trHeight w:val="290"/>
        </w:trPr>
        <w:tc>
          <w:tcPr>
            <w:tcW w:w="1124" w:type="dxa"/>
            <w:shd w:val="clear" w:color="auto" w:fill="C5EFCE"/>
            <w:tcMar>
              <w:left w:w="28" w:type="dxa"/>
              <w:right w:w="28" w:type="dxa"/>
            </w:tcMar>
            <w:vAlign w:val="center"/>
            <w:hideMark/>
          </w:tcPr>
          <w:p w14:paraId="5080A772"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3.3</w:t>
            </w:r>
          </w:p>
        </w:tc>
        <w:tc>
          <w:tcPr>
            <w:tcW w:w="1143" w:type="dxa"/>
            <w:shd w:val="clear" w:color="auto" w:fill="C4EFCE"/>
            <w:tcMar>
              <w:left w:w="28" w:type="dxa"/>
              <w:right w:w="28" w:type="dxa"/>
            </w:tcMar>
            <w:vAlign w:val="center"/>
            <w:hideMark/>
          </w:tcPr>
          <w:p w14:paraId="72A4A02B" w14:textId="3588C3B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C03-i01</w:t>
            </w:r>
          </w:p>
        </w:tc>
        <w:tc>
          <w:tcPr>
            <w:tcW w:w="982" w:type="dxa"/>
            <w:shd w:val="clear" w:color="auto" w:fill="C4EFCE"/>
            <w:tcMar>
              <w:left w:w="28" w:type="dxa"/>
              <w:right w:w="28" w:type="dxa"/>
            </w:tcMar>
            <w:vAlign w:val="center"/>
            <w:hideMark/>
          </w:tcPr>
          <w:p w14:paraId="30A1971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40" w:type="dxa"/>
            <w:shd w:val="clear" w:color="auto" w:fill="C4EFCE"/>
            <w:tcMar>
              <w:left w:w="28" w:type="dxa"/>
              <w:right w:w="28" w:type="dxa"/>
            </w:tcMar>
            <w:vAlign w:val="center"/>
            <w:hideMark/>
          </w:tcPr>
          <w:p w14:paraId="422D5459" w14:textId="0DD5687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Zadávanie zákaziek na podporu organizácií podporujúcich vytváranie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rozširovanie siete sociálnych zariadení/sociálnych reakcií.</w:t>
            </w:r>
          </w:p>
        </w:tc>
        <w:tc>
          <w:tcPr>
            <w:tcW w:w="1486" w:type="dxa"/>
            <w:shd w:val="clear" w:color="auto" w:fill="C4EFCE"/>
            <w:tcMar>
              <w:left w:w="28" w:type="dxa"/>
              <w:right w:w="28" w:type="dxa"/>
            </w:tcMar>
            <w:vAlign w:val="center"/>
            <w:hideMark/>
          </w:tcPr>
          <w:p w14:paraId="6009A6C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Zadávanie zákaziek na podporu organizácií propagujúcich sieť sociálnych zariadení/odpovedí</w:t>
            </w:r>
          </w:p>
        </w:tc>
        <w:tc>
          <w:tcPr>
            <w:tcW w:w="840" w:type="dxa"/>
            <w:shd w:val="clear" w:color="auto" w:fill="C4EFCE"/>
            <w:tcMar>
              <w:left w:w="28" w:type="dxa"/>
              <w:right w:w="28" w:type="dxa"/>
            </w:tcMar>
            <w:vAlign w:val="center"/>
            <w:hideMark/>
          </w:tcPr>
          <w:p w14:paraId="6D4F44C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88" w:type="dxa"/>
            <w:shd w:val="clear" w:color="auto" w:fill="C4EFCE"/>
            <w:tcMar>
              <w:left w:w="28" w:type="dxa"/>
              <w:right w:w="28" w:type="dxa"/>
            </w:tcMar>
            <w:vAlign w:val="center"/>
            <w:hideMark/>
          </w:tcPr>
          <w:p w14:paraId="150F74F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tcMar>
              <w:left w:w="28" w:type="dxa"/>
              <w:right w:w="28" w:type="dxa"/>
            </w:tcMar>
            <w:vAlign w:val="center"/>
            <w:hideMark/>
          </w:tcPr>
          <w:p w14:paraId="0D080C5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tcMar>
              <w:left w:w="28" w:type="dxa"/>
              <w:right w:w="28" w:type="dxa"/>
            </w:tcMar>
            <w:vAlign w:val="center"/>
            <w:hideMark/>
          </w:tcPr>
          <w:p w14:paraId="08CD4351" w14:textId="63AC5E2C"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845" w:type="dxa"/>
            <w:shd w:val="clear" w:color="auto" w:fill="C4EFCE"/>
            <w:tcMar>
              <w:left w:w="28" w:type="dxa"/>
              <w:right w:w="28" w:type="dxa"/>
            </w:tcMar>
            <w:vAlign w:val="center"/>
            <w:hideMark/>
          </w:tcPr>
          <w:p w14:paraId="459C1D4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277" w:type="dxa"/>
            <w:shd w:val="clear" w:color="auto" w:fill="C4EFCE"/>
            <w:tcMar>
              <w:left w:w="28" w:type="dxa"/>
              <w:right w:w="28" w:type="dxa"/>
            </w:tcMar>
            <w:vAlign w:val="center"/>
            <w:hideMark/>
          </w:tcPr>
          <w:p w14:paraId="111BA54E" w14:textId="2EBCF14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Zadanie zákazky na podporu organizácií, ktoré sa prihlásili do súťaže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vytvorenie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rozšírenie siete sociálnych zariadení/sociálnych reakcií (zahŕňajúcich deti, staršie osoby, osoby so zdravotným postihnutím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iné osoby)</w:t>
            </w:r>
            <w:r w:rsidR="00A75B3C" w:rsidRPr="003F23AC">
              <w:rPr>
                <w:rFonts w:ascii="Times New Roman" w:hAnsi="Times New Roman" w:cs="Times New Roman"/>
                <w:noProof/>
                <w:lang w:val="sk-SK"/>
              </w:rPr>
              <w:t xml:space="preserve"> a o </w:t>
            </w:r>
            <w:r w:rsidRPr="003F23AC">
              <w:rPr>
                <w:rFonts w:ascii="Times New Roman" w:hAnsi="Times New Roman" w:cs="Times New Roman"/>
                <w:noProof/>
                <w:lang w:val="sk-SK"/>
              </w:rPr>
              <w:t>ktorých sa zistilo, že sú</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vymedzeným nariadením,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dostupného finančného krytia.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novej výstavby budov sa vo výberovom konaní zabezpečí, aby nové budovy mali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sú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87C70" w:rsidRPr="003F23AC" w14:paraId="4DD2693C" w14:textId="77777777" w:rsidTr="00A26F8D">
        <w:trPr>
          <w:trHeight w:val="1690"/>
        </w:trPr>
        <w:tc>
          <w:tcPr>
            <w:tcW w:w="1124" w:type="dxa"/>
            <w:shd w:val="clear" w:color="auto" w:fill="C5EFCE"/>
            <w:tcMar>
              <w:left w:w="28" w:type="dxa"/>
              <w:right w:w="28" w:type="dxa"/>
            </w:tcMar>
            <w:vAlign w:val="center"/>
            <w:hideMark/>
          </w:tcPr>
          <w:p w14:paraId="1A616AE0" w14:textId="0FB7E1D9"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3.4</w:t>
            </w:r>
          </w:p>
        </w:tc>
        <w:tc>
          <w:tcPr>
            <w:tcW w:w="1143" w:type="dxa"/>
            <w:shd w:val="clear" w:color="auto" w:fill="C4EFCE"/>
            <w:tcMar>
              <w:left w:w="28" w:type="dxa"/>
              <w:right w:w="28" w:type="dxa"/>
            </w:tcMar>
            <w:vAlign w:val="center"/>
            <w:hideMark/>
          </w:tcPr>
          <w:p w14:paraId="264DD2D7" w14:textId="792D401A"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C03-i01</w:t>
            </w:r>
          </w:p>
        </w:tc>
        <w:tc>
          <w:tcPr>
            <w:tcW w:w="982" w:type="dxa"/>
            <w:shd w:val="clear" w:color="auto" w:fill="C4EFCE"/>
            <w:tcMar>
              <w:left w:w="28" w:type="dxa"/>
              <w:right w:w="28" w:type="dxa"/>
            </w:tcMar>
            <w:vAlign w:val="center"/>
            <w:hideMark/>
          </w:tcPr>
          <w:p w14:paraId="129E562E" w14:textId="06D65FDD"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hideMark/>
          </w:tcPr>
          <w:p w14:paraId="5F5CCE8B" w14:textId="0B104E0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Vytváranie nových miest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obnova existujúcich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sociálnych zariadeniach</w:t>
            </w:r>
          </w:p>
        </w:tc>
        <w:tc>
          <w:tcPr>
            <w:tcW w:w="1486" w:type="dxa"/>
            <w:shd w:val="clear" w:color="auto" w:fill="C4EFCE"/>
            <w:tcMar>
              <w:left w:w="28" w:type="dxa"/>
              <w:right w:w="28" w:type="dxa"/>
            </w:tcMar>
            <w:vAlign w:val="center"/>
            <w:hideMark/>
          </w:tcPr>
          <w:p w14:paraId="066C8E4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0D9BF7B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hideMark/>
          </w:tcPr>
          <w:p w14:paraId="337AF5D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73" w:type="dxa"/>
            <w:shd w:val="clear" w:color="auto" w:fill="C4EFCE"/>
            <w:tcMar>
              <w:left w:w="28" w:type="dxa"/>
              <w:right w:w="28" w:type="dxa"/>
            </w:tcMar>
            <w:vAlign w:val="center"/>
            <w:hideMark/>
          </w:tcPr>
          <w:p w14:paraId="0F36AC40" w14:textId="12FABD5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39 405</w:t>
            </w:r>
          </w:p>
        </w:tc>
        <w:tc>
          <w:tcPr>
            <w:tcW w:w="789" w:type="dxa"/>
            <w:shd w:val="clear" w:color="auto" w:fill="C4EFCE"/>
            <w:tcMar>
              <w:left w:w="28" w:type="dxa"/>
              <w:right w:w="28" w:type="dxa"/>
            </w:tcMar>
            <w:vAlign w:val="center"/>
            <w:hideMark/>
          </w:tcPr>
          <w:p w14:paraId="3F7AD6FC" w14:textId="4C97D94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845" w:type="dxa"/>
            <w:shd w:val="clear" w:color="auto" w:fill="C4EFCE"/>
            <w:tcMar>
              <w:left w:w="28" w:type="dxa"/>
              <w:right w:w="28" w:type="dxa"/>
            </w:tcMar>
            <w:vAlign w:val="center"/>
            <w:hideMark/>
          </w:tcPr>
          <w:p w14:paraId="6696632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277" w:type="dxa"/>
            <w:shd w:val="clear" w:color="auto" w:fill="C4EFCE"/>
            <w:tcMar>
              <w:left w:w="28" w:type="dxa"/>
              <w:right w:w="28" w:type="dxa"/>
            </w:tcMar>
            <w:vAlign w:val="center"/>
            <w:hideMark/>
          </w:tcPr>
          <w:p w14:paraId="691CEDBE" w14:textId="456C1A1E"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Vytvorenie najmenej 15000 nových miest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renovácia zostávajúcich miest pre deti, starších ľudí, osoby so zdravotným postihnutím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iné zraniteľné osoby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jasliach, domovoch rezidenčnej starostlivosti pre starších ľudí (ERPI), centrá dennej starostlivosti, služby na podporu divočiny (DAS), strediská pre činnosti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posilnenie postavenia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záujme začlenenia (CACI), pobyty pre autonómiu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začlenenie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inovačné typológie</w:t>
            </w:r>
            <w:r w:rsidR="00A75B3C" w:rsidRPr="003F23AC">
              <w:rPr>
                <w:rFonts w:ascii="Times New Roman" w:hAnsi="Times New Roman" w:cs="Times New Roman"/>
                <w:noProof/>
                <w:lang w:val="sk-SK"/>
              </w:rPr>
              <w:t>.</w:t>
            </w:r>
          </w:p>
          <w:p w14:paraId="3267A930" w14:textId="52BD1A5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 prípade výstavby nových budov musia mať nové budovy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sú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87C70" w:rsidRPr="003F23AC" w14:paraId="276146CB" w14:textId="77777777" w:rsidTr="00A26F8D">
        <w:trPr>
          <w:trHeight w:val="1278"/>
        </w:trPr>
        <w:tc>
          <w:tcPr>
            <w:tcW w:w="1124" w:type="dxa"/>
            <w:shd w:val="clear" w:color="auto" w:fill="C5EFCE"/>
            <w:tcMar>
              <w:left w:w="28" w:type="dxa"/>
              <w:right w:w="28" w:type="dxa"/>
            </w:tcMar>
            <w:vAlign w:val="center"/>
            <w:hideMark/>
          </w:tcPr>
          <w:p w14:paraId="1C1BF1A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3.5</w:t>
            </w:r>
          </w:p>
        </w:tc>
        <w:tc>
          <w:tcPr>
            <w:tcW w:w="1143" w:type="dxa"/>
            <w:shd w:val="clear" w:color="auto" w:fill="C4EFCE"/>
            <w:tcMar>
              <w:left w:w="28" w:type="dxa"/>
              <w:right w:w="28" w:type="dxa"/>
            </w:tcMar>
            <w:vAlign w:val="center"/>
            <w:hideMark/>
          </w:tcPr>
          <w:p w14:paraId="77113DE5" w14:textId="3CEBFBA0"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C03-i01</w:t>
            </w:r>
          </w:p>
        </w:tc>
        <w:tc>
          <w:tcPr>
            <w:tcW w:w="982" w:type="dxa"/>
            <w:shd w:val="clear" w:color="auto" w:fill="C4EFCE"/>
            <w:tcMar>
              <w:left w:w="28" w:type="dxa"/>
              <w:right w:w="28" w:type="dxa"/>
            </w:tcMar>
            <w:vAlign w:val="center"/>
            <w:hideMark/>
          </w:tcPr>
          <w:p w14:paraId="6B8071ED" w14:textId="4979C355"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hideMark/>
          </w:tcPr>
          <w:p w14:paraId="399F7521" w14:textId="60F4DAD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Používatelia podporných služieb pre domácnosť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zamestnanci, ktorí majú 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tabletom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inému IT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komunikačnému vybaveniu, vybaveniu technickej pomoci alebo odbornej príprave.</w:t>
            </w:r>
          </w:p>
        </w:tc>
        <w:tc>
          <w:tcPr>
            <w:tcW w:w="1486" w:type="dxa"/>
            <w:shd w:val="clear" w:color="auto" w:fill="C4EFCE"/>
            <w:tcMar>
              <w:left w:w="28" w:type="dxa"/>
              <w:right w:w="28" w:type="dxa"/>
            </w:tcMar>
            <w:vAlign w:val="center"/>
            <w:hideMark/>
          </w:tcPr>
          <w:p w14:paraId="355D395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546DD45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hideMark/>
          </w:tcPr>
          <w:p w14:paraId="1476D7C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73" w:type="dxa"/>
            <w:shd w:val="clear" w:color="auto" w:fill="C4EFCE"/>
            <w:tcMar>
              <w:left w:w="28" w:type="dxa"/>
              <w:right w:w="28" w:type="dxa"/>
            </w:tcMar>
            <w:vAlign w:val="center"/>
            <w:hideMark/>
          </w:tcPr>
          <w:p w14:paraId="2E3FE706" w14:textId="7F5C460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63 825</w:t>
            </w:r>
          </w:p>
        </w:tc>
        <w:tc>
          <w:tcPr>
            <w:tcW w:w="789" w:type="dxa"/>
            <w:shd w:val="clear" w:color="auto" w:fill="C4EFCE"/>
            <w:tcMar>
              <w:left w:w="28" w:type="dxa"/>
              <w:right w:w="28" w:type="dxa"/>
            </w:tcMar>
            <w:vAlign w:val="center"/>
            <w:hideMark/>
          </w:tcPr>
          <w:p w14:paraId="648E97D6" w14:textId="14BBD9B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845" w:type="dxa"/>
            <w:shd w:val="clear" w:color="auto" w:fill="C4EFCE"/>
            <w:tcMar>
              <w:left w:w="28" w:type="dxa"/>
              <w:right w:w="28" w:type="dxa"/>
            </w:tcMar>
            <w:vAlign w:val="center"/>
            <w:hideMark/>
          </w:tcPr>
          <w:p w14:paraId="4D63D19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277" w:type="dxa"/>
            <w:shd w:val="clear" w:color="auto" w:fill="C4EFCE"/>
            <w:tcMar>
              <w:left w:w="28" w:type="dxa"/>
              <w:right w:w="28" w:type="dxa"/>
            </w:tcMar>
            <w:vAlign w:val="center"/>
            <w:hideMark/>
          </w:tcPr>
          <w:p w14:paraId="096CA0CB" w14:textId="6285023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používateľov alebo zamestnancov podporných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domácnosti, ktorí majú prístup aspoň</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tabletu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inému IT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komunikačnému vybaveniu alebo</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vybaveniu technickej pomoci alebo odbornej príprave.</w:t>
            </w:r>
          </w:p>
        </w:tc>
      </w:tr>
      <w:tr w:rsidR="00387C70" w:rsidRPr="003F23AC" w14:paraId="40CC812A" w14:textId="77777777" w:rsidTr="00A26F8D">
        <w:trPr>
          <w:trHeight w:val="509"/>
        </w:trPr>
        <w:tc>
          <w:tcPr>
            <w:tcW w:w="1124" w:type="dxa"/>
            <w:shd w:val="clear" w:color="auto" w:fill="C5EFCE"/>
            <w:tcMar>
              <w:left w:w="28" w:type="dxa"/>
              <w:right w:w="28" w:type="dxa"/>
            </w:tcMar>
            <w:vAlign w:val="center"/>
            <w:hideMark/>
          </w:tcPr>
          <w:p w14:paraId="59E59251" w14:textId="6D4000F0"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3.6</w:t>
            </w:r>
          </w:p>
        </w:tc>
        <w:tc>
          <w:tcPr>
            <w:tcW w:w="1143" w:type="dxa"/>
            <w:shd w:val="clear" w:color="auto" w:fill="C4EFCE"/>
            <w:tcMar>
              <w:left w:w="28" w:type="dxa"/>
              <w:right w:w="28" w:type="dxa"/>
            </w:tcMar>
            <w:vAlign w:val="center"/>
            <w:hideMark/>
          </w:tcPr>
          <w:p w14:paraId="572B0C95" w14:textId="3F118B3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C03-i02</w:t>
            </w:r>
          </w:p>
        </w:tc>
        <w:tc>
          <w:tcPr>
            <w:tcW w:w="982" w:type="dxa"/>
            <w:shd w:val="clear" w:color="auto" w:fill="C4EFCE"/>
            <w:tcMar>
              <w:left w:w="28" w:type="dxa"/>
              <w:right w:w="28" w:type="dxa"/>
            </w:tcMar>
            <w:vAlign w:val="center"/>
            <w:hideMark/>
          </w:tcPr>
          <w:p w14:paraId="298EA432" w14:textId="53E9CAC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r w:rsidR="00C32C63"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hideMark/>
          </w:tcPr>
          <w:p w14:paraId="603DD38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Obytné jednotky so zlepšenou prístupnosťou pre osoby so zníženou pohyblivosťou</w:t>
            </w:r>
          </w:p>
        </w:tc>
        <w:tc>
          <w:tcPr>
            <w:tcW w:w="1486" w:type="dxa"/>
            <w:shd w:val="clear" w:color="auto" w:fill="C4EFCE"/>
            <w:tcMar>
              <w:left w:w="28" w:type="dxa"/>
              <w:right w:w="28" w:type="dxa"/>
            </w:tcMar>
            <w:vAlign w:val="center"/>
            <w:hideMark/>
          </w:tcPr>
          <w:p w14:paraId="3EE7BE5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5B7D546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hideMark/>
          </w:tcPr>
          <w:p w14:paraId="721C2D5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73" w:type="dxa"/>
            <w:shd w:val="clear" w:color="auto" w:fill="C4EFCE"/>
            <w:tcMar>
              <w:left w:w="28" w:type="dxa"/>
              <w:right w:w="28" w:type="dxa"/>
            </w:tcMar>
            <w:vAlign w:val="center"/>
            <w:hideMark/>
          </w:tcPr>
          <w:p w14:paraId="3E0348D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190</w:t>
            </w:r>
          </w:p>
        </w:tc>
        <w:tc>
          <w:tcPr>
            <w:tcW w:w="789" w:type="dxa"/>
            <w:shd w:val="clear" w:color="auto" w:fill="C4EFCE"/>
            <w:tcMar>
              <w:left w:w="28" w:type="dxa"/>
              <w:right w:w="28" w:type="dxa"/>
            </w:tcMar>
            <w:vAlign w:val="center"/>
            <w:hideMark/>
          </w:tcPr>
          <w:p w14:paraId="1F0EB787" w14:textId="7ABE1FD0"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845" w:type="dxa"/>
            <w:shd w:val="clear" w:color="auto" w:fill="C4EFCE"/>
            <w:tcMar>
              <w:left w:w="28" w:type="dxa"/>
              <w:right w:w="28" w:type="dxa"/>
            </w:tcMar>
            <w:vAlign w:val="center"/>
            <w:hideMark/>
          </w:tcPr>
          <w:p w14:paraId="12A371D7" w14:textId="11F671C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277" w:type="dxa"/>
            <w:shd w:val="clear" w:color="auto" w:fill="C4EFCE"/>
            <w:tcMar>
              <w:left w:w="28" w:type="dxa"/>
              <w:right w:w="28" w:type="dxa"/>
            </w:tcMar>
            <w:vAlign w:val="center"/>
            <w:hideMark/>
          </w:tcPr>
          <w:p w14:paraId="2352F6A3"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obydlí (s priemernou plochou 40 m²), ktoré využívajú opatrenia na zlepšenie podmienok prístupnosti pre osoby so zníženou pohyblivosťou.</w:t>
            </w:r>
          </w:p>
        </w:tc>
      </w:tr>
      <w:tr w:rsidR="00387C70" w:rsidRPr="003F23AC" w14:paraId="105F1008" w14:textId="77777777" w:rsidTr="00A26F8D">
        <w:trPr>
          <w:trHeight w:val="969"/>
        </w:trPr>
        <w:tc>
          <w:tcPr>
            <w:tcW w:w="1124" w:type="dxa"/>
            <w:shd w:val="clear" w:color="auto" w:fill="C5EFCE"/>
            <w:tcMar>
              <w:left w:w="28" w:type="dxa"/>
              <w:right w:w="28" w:type="dxa"/>
            </w:tcMar>
            <w:vAlign w:val="center"/>
            <w:hideMark/>
          </w:tcPr>
          <w:p w14:paraId="28A1215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3.7</w:t>
            </w:r>
          </w:p>
        </w:tc>
        <w:tc>
          <w:tcPr>
            <w:tcW w:w="1143" w:type="dxa"/>
            <w:shd w:val="clear" w:color="auto" w:fill="C4EFCE"/>
            <w:tcMar>
              <w:left w:w="28" w:type="dxa"/>
              <w:right w:w="28" w:type="dxa"/>
            </w:tcMar>
            <w:vAlign w:val="center"/>
            <w:hideMark/>
          </w:tcPr>
          <w:p w14:paraId="4887AF7C" w14:textId="35A0E6D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C03-i02</w:t>
            </w:r>
          </w:p>
        </w:tc>
        <w:tc>
          <w:tcPr>
            <w:tcW w:w="982" w:type="dxa"/>
            <w:shd w:val="clear" w:color="auto" w:fill="C4EFCE"/>
            <w:tcMar>
              <w:left w:w="28" w:type="dxa"/>
              <w:right w:w="28" w:type="dxa"/>
            </w:tcMar>
            <w:vAlign w:val="center"/>
            <w:hideMark/>
          </w:tcPr>
          <w:p w14:paraId="18641572" w14:textId="6D2B8D98"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hideMark/>
          </w:tcPr>
          <w:p w14:paraId="5297716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Obytné jednotky so zlepšenou prístupnosťou pre osoby so zníženou pohyblivosťou</w:t>
            </w:r>
          </w:p>
        </w:tc>
        <w:tc>
          <w:tcPr>
            <w:tcW w:w="1486" w:type="dxa"/>
            <w:shd w:val="clear" w:color="auto" w:fill="C4EFCE"/>
            <w:tcMar>
              <w:left w:w="28" w:type="dxa"/>
              <w:right w:w="28" w:type="dxa"/>
            </w:tcMar>
            <w:vAlign w:val="center"/>
            <w:hideMark/>
          </w:tcPr>
          <w:p w14:paraId="16E5949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008161F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hideMark/>
          </w:tcPr>
          <w:p w14:paraId="7E97C15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190</w:t>
            </w:r>
          </w:p>
        </w:tc>
        <w:tc>
          <w:tcPr>
            <w:tcW w:w="773" w:type="dxa"/>
            <w:shd w:val="clear" w:color="auto" w:fill="C4EFCE"/>
            <w:tcMar>
              <w:left w:w="28" w:type="dxa"/>
              <w:right w:w="28" w:type="dxa"/>
            </w:tcMar>
            <w:vAlign w:val="center"/>
            <w:hideMark/>
          </w:tcPr>
          <w:p w14:paraId="1EE09EB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1 000</w:t>
            </w:r>
          </w:p>
        </w:tc>
        <w:tc>
          <w:tcPr>
            <w:tcW w:w="789" w:type="dxa"/>
            <w:shd w:val="clear" w:color="auto" w:fill="C4EFCE"/>
            <w:tcMar>
              <w:left w:w="28" w:type="dxa"/>
              <w:right w:w="28" w:type="dxa"/>
            </w:tcMar>
            <w:vAlign w:val="center"/>
            <w:hideMark/>
          </w:tcPr>
          <w:p w14:paraId="2A369B58" w14:textId="12900D4E"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hideMark/>
          </w:tcPr>
          <w:p w14:paraId="0BF23AE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77" w:type="dxa"/>
            <w:shd w:val="clear" w:color="auto" w:fill="C4EFCE"/>
            <w:tcMar>
              <w:left w:w="28" w:type="dxa"/>
              <w:right w:w="28" w:type="dxa"/>
            </w:tcMar>
            <w:vAlign w:val="center"/>
            <w:hideMark/>
          </w:tcPr>
          <w:p w14:paraId="66CAE278" w14:textId="36788C6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obydlí (s priemernou plochou 40 m²), ktoré využívajú opatrenia na zlepšenie podmienok prístupnosti pre osoby so zníženou pohyblivosťou. </w:t>
            </w:r>
          </w:p>
        </w:tc>
      </w:tr>
      <w:tr w:rsidR="00387C70" w:rsidRPr="003F23AC" w14:paraId="0E79D576" w14:textId="77777777" w:rsidTr="00A26F8D">
        <w:trPr>
          <w:trHeight w:val="509"/>
        </w:trPr>
        <w:tc>
          <w:tcPr>
            <w:tcW w:w="1124" w:type="dxa"/>
            <w:shd w:val="clear" w:color="auto" w:fill="C5EFCE"/>
            <w:tcMar>
              <w:left w:w="28" w:type="dxa"/>
              <w:right w:w="28" w:type="dxa"/>
            </w:tcMar>
            <w:vAlign w:val="center"/>
            <w:hideMark/>
          </w:tcPr>
          <w:p w14:paraId="29F6AEB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3.8</w:t>
            </w:r>
          </w:p>
        </w:tc>
        <w:tc>
          <w:tcPr>
            <w:tcW w:w="1143" w:type="dxa"/>
            <w:shd w:val="clear" w:color="auto" w:fill="C4EFCE"/>
            <w:tcMar>
              <w:left w:w="28" w:type="dxa"/>
              <w:right w:w="28" w:type="dxa"/>
            </w:tcMar>
            <w:vAlign w:val="center"/>
            <w:hideMark/>
          </w:tcPr>
          <w:p w14:paraId="779A6C76" w14:textId="1B18E6CA"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C03-i02</w:t>
            </w:r>
          </w:p>
        </w:tc>
        <w:tc>
          <w:tcPr>
            <w:tcW w:w="982" w:type="dxa"/>
            <w:shd w:val="clear" w:color="auto" w:fill="C4EFCE"/>
            <w:tcMar>
              <w:left w:w="28" w:type="dxa"/>
              <w:right w:w="28" w:type="dxa"/>
            </w:tcMar>
            <w:vAlign w:val="center"/>
            <w:hideMark/>
          </w:tcPr>
          <w:p w14:paraId="7A3FE8F8" w14:textId="540B8DC8"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hideMark/>
          </w:tcPr>
          <w:p w14:paraId="00D966E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Verejný priestor so zlepšenou prístupnosťou pre osoby so zníženou pohyblivosťou </w:t>
            </w:r>
          </w:p>
        </w:tc>
        <w:tc>
          <w:tcPr>
            <w:tcW w:w="1486" w:type="dxa"/>
            <w:shd w:val="clear" w:color="auto" w:fill="C4EFCE"/>
            <w:tcMar>
              <w:left w:w="28" w:type="dxa"/>
              <w:right w:w="28" w:type="dxa"/>
            </w:tcMar>
            <w:vAlign w:val="center"/>
            <w:hideMark/>
          </w:tcPr>
          <w:p w14:paraId="2F4DB30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52D9670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hideMark/>
          </w:tcPr>
          <w:p w14:paraId="7952ADA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73" w:type="dxa"/>
            <w:shd w:val="clear" w:color="auto" w:fill="C4EFCE"/>
            <w:tcMar>
              <w:left w:w="28" w:type="dxa"/>
              <w:right w:w="28" w:type="dxa"/>
            </w:tcMar>
            <w:vAlign w:val="center"/>
            <w:hideMark/>
          </w:tcPr>
          <w:p w14:paraId="73DCDF0B" w14:textId="3EC07D0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200 000</w:t>
            </w:r>
          </w:p>
        </w:tc>
        <w:tc>
          <w:tcPr>
            <w:tcW w:w="789" w:type="dxa"/>
            <w:shd w:val="clear" w:color="auto" w:fill="C4EFCE"/>
            <w:tcMar>
              <w:left w:w="28" w:type="dxa"/>
              <w:right w:w="28" w:type="dxa"/>
            </w:tcMar>
            <w:vAlign w:val="center"/>
            <w:hideMark/>
          </w:tcPr>
          <w:p w14:paraId="7B65A11A" w14:textId="331975F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hideMark/>
          </w:tcPr>
          <w:p w14:paraId="04E2693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77" w:type="dxa"/>
            <w:shd w:val="clear" w:color="auto" w:fill="C4EFCE"/>
            <w:tcMar>
              <w:left w:w="28" w:type="dxa"/>
              <w:right w:w="28" w:type="dxa"/>
            </w:tcMar>
            <w:vAlign w:val="center"/>
            <w:hideMark/>
          </w:tcPr>
          <w:p w14:paraId="7CEC40AB" w14:textId="429AD32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Oblasť verejného priestoru (štvorce, bočnice atď.)</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metroch štvorcových, na ktorú sa vzťahujú zásahy (najmä vyrovnávanie chodníkov, prechod cez trate, regulácia premávky, zmena umiestnenia infraštruktúry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mestského mobiliára, zlepšenie prístupu do budov)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zlepšiť podmienky prístupnosti pre osoby so zníženou pohyblivosťou.</w:t>
            </w:r>
          </w:p>
        </w:tc>
      </w:tr>
      <w:tr w:rsidR="00387C70" w:rsidRPr="003F23AC" w14:paraId="5F588498" w14:textId="77777777" w:rsidTr="00A26F8D">
        <w:trPr>
          <w:trHeight w:val="1120"/>
        </w:trPr>
        <w:tc>
          <w:tcPr>
            <w:tcW w:w="1124" w:type="dxa"/>
            <w:shd w:val="clear" w:color="auto" w:fill="C5EFCE"/>
            <w:tcMar>
              <w:left w:w="28" w:type="dxa"/>
              <w:right w:w="28" w:type="dxa"/>
            </w:tcMar>
            <w:vAlign w:val="center"/>
            <w:hideMark/>
          </w:tcPr>
          <w:p w14:paraId="36901FF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3.9</w:t>
            </w:r>
          </w:p>
        </w:tc>
        <w:tc>
          <w:tcPr>
            <w:tcW w:w="1143" w:type="dxa"/>
            <w:shd w:val="clear" w:color="auto" w:fill="C4EFCE"/>
            <w:tcMar>
              <w:left w:w="28" w:type="dxa"/>
              <w:right w:w="28" w:type="dxa"/>
            </w:tcMar>
            <w:vAlign w:val="center"/>
            <w:hideMark/>
          </w:tcPr>
          <w:p w14:paraId="52268B9C" w14:textId="20E84A13"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C03-i02</w:t>
            </w:r>
          </w:p>
        </w:tc>
        <w:tc>
          <w:tcPr>
            <w:tcW w:w="982" w:type="dxa"/>
            <w:shd w:val="clear" w:color="auto" w:fill="C4EFCE"/>
            <w:tcMar>
              <w:left w:w="28" w:type="dxa"/>
              <w:right w:w="28" w:type="dxa"/>
            </w:tcMar>
            <w:vAlign w:val="center"/>
            <w:hideMark/>
          </w:tcPr>
          <w:p w14:paraId="2BC6D3D0" w14:textId="0D88E75A"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hideMark/>
          </w:tcPr>
          <w:p w14:paraId="05B89ADF" w14:textId="2A4F12A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Verejné služby so zlepšenou dostupnosťou pre ľudí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obmedzenou mobilitou </w:t>
            </w:r>
          </w:p>
        </w:tc>
        <w:tc>
          <w:tcPr>
            <w:tcW w:w="1486" w:type="dxa"/>
            <w:shd w:val="clear" w:color="auto" w:fill="C4EFCE"/>
            <w:tcMar>
              <w:left w:w="28" w:type="dxa"/>
              <w:right w:w="28" w:type="dxa"/>
            </w:tcMar>
            <w:vAlign w:val="center"/>
            <w:hideMark/>
          </w:tcPr>
          <w:p w14:paraId="161A1B5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02982A5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hideMark/>
          </w:tcPr>
          <w:p w14:paraId="229CC22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73" w:type="dxa"/>
            <w:shd w:val="clear" w:color="auto" w:fill="C4EFCE"/>
            <w:tcMar>
              <w:left w:w="28" w:type="dxa"/>
              <w:right w:w="28" w:type="dxa"/>
            </w:tcMar>
            <w:vAlign w:val="center"/>
            <w:hideMark/>
          </w:tcPr>
          <w:p w14:paraId="72D1A37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1 500</w:t>
            </w:r>
          </w:p>
        </w:tc>
        <w:tc>
          <w:tcPr>
            <w:tcW w:w="789" w:type="dxa"/>
            <w:shd w:val="clear" w:color="auto" w:fill="C4EFCE"/>
            <w:tcMar>
              <w:left w:w="28" w:type="dxa"/>
              <w:right w:w="28" w:type="dxa"/>
            </w:tcMar>
            <w:vAlign w:val="center"/>
            <w:hideMark/>
          </w:tcPr>
          <w:p w14:paraId="6F782341" w14:textId="1851F9E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hideMark/>
          </w:tcPr>
          <w:p w14:paraId="6EED628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77" w:type="dxa"/>
            <w:shd w:val="clear" w:color="auto" w:fill="C4EFCE"/>
            <w:tcMar>
              <w:left w:w="28" w:type="dxa"/>
              <w:right w:w="28" w:type="dxa"/>
            </w:tcMar>
            <w:vAlign w:val="center"/>
            <w:hideMark/>
          </w:tcPr>
          <w:p w14:paraId="23E9E73B" w14:textId="2B5EC6B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zariadení verejných služieb využívajúcich intervencie (najmä rampy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prístupové dvere do budov, pulty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sanitárne zariadenia prijaté pre osoby so zdravotným postihnutím)</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cieľom zlepšiť podmienky prístupnosti pre osoby so zníženou pohyblivosťou. </w:t>
            </w:r>
          </w:p>
        </w:tc>
      </w:tr>
      <w:tr w:rsidR="00387C70" w:rsidRPr="003F23AC" w14:paraId="69D82E93" w14:textId="77777777" w:rsidTr="00A26F8D">
        <w:trPr>
          <w:trHeight w:val="1395"/>
        </w:trPr>
        <w:tc>
          <w:tcPr>
            <w:tcW w:w="1124" w:type="dxa"/>
            <w:shd w:val="clear" w:color="auto" w:fill="C5EFCE"/>
            <w:tcMar>
              <w:left w:w="28" w:type="dxa"/>
              <w:right w:w="28" w:type="dxa"/>
            </w:tcMar>
            <w:vAlign w:val="center"/>
            <w:hideMark/>
          </w:tcPr>
          <w:p w14:paraId="61E3A3F7"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3.10</w:t>
            </w:r>
          </w:p>
        </w:tc>
        <w:tc>
          <w:tcPr>
            <w:tcW w:w="1143" w:type="dxa"/>
            <w:shd w:val="clear" w:color="auto" w:fill="C4EFCE"/>
            <w:tcMar>
              <w:left w:w="28" w:type="dxa"/>
              <w:right w:w="28" w:type="dxa"/>
            </w:tcMar>
            <w:vAlign w:val="center"/>
            <w:hideMark/>
          </w:tcPr>
          <w:p w14:paraId="75163862" w14:textId="4A90054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C03-i03-RAM</w:t>
            </w:r>
          </w:p>
        </w:tc>
        <w:tc>
          <w:tcPr>
            <w:tcW w:w="982" w:type="dxa"/>
            <w:shd w:val="clear" w:color="auto" w:fill="C4EFCE"/>
            <w:tcMar>
              <w:left w:w="28" w:type="dxa"/>
              <w:right w:w="28" w:type="dxa"/>
            </w:tcMar>
            <w:vAlign w:val="center"/>
            <w:hideMark/>
          </w:tcPr>
          <w:p w14:paraId="707DF8E4" w14:textId="658AF874"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hideMark/>
          </w:tcPr>
          <w:p w14:paraId="2BC2353F" w14:textId="1989E72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Nové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rehabilitované miesta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domovoch rezidenčnej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nebytovej starostlivosti </w:t>
            </w:r>
          </w:p>
        </w:tc>
        <w:tc>
          <w:tcPr>
            <w:tcW w:w="1486" w:type="dxa"/>
            <w:shd w:val="clear" w:color="auto" w:fill="C4EFCE"/>
            <w:tcMar>
              <w:left w:w="28" w:type="dxa"/>
              <w:right w:w="28" w:type="dxa"/>
            </w:tcMar>
            <w:vAlign w:val="center"/>
            <w:hideMark/>
          </w:tcPr>
          <w:p w14:paraId="5481737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0536DA2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hideMark/>
          </w:tcPr>
          <w:p w14:paraId="245B8F5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73" w:type="dxa"/>
            <w:shd w:val="clear" w:color="auto" w:fill="C4EFCE"/>
            <w:tcMar>
              <w:left w:w="28" w:type="dxa"/>
              <w:right w:w="28" w:type="dxa"/>
            </w:tcMar>
            <w:vAlign w:val="center"/>
            <w:hideMark/>
          </w:tcPr>
          <w:p w14:paraId="6796C48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910</w:t>
            </w:r>
          </w:p>
        </w:tc>
        <w:tc>
          <w:tcPr>
            <w:tcW w:w="789" w:type="dxa"/>
            <w:shd w:val="clear" w:color="auto" w:fill="C4EFCE"/>
            <w:tcMar>
              <w:left w:w="28" w:type="dxa"/>
              <w:right w:w="28" w:type="dxa"/>
            </w:tcMar>
            <w:vAlign w:val="center"/>
            <w:hideMark/>
          </w:tcPr>
          <w:p w14:paraId="1DFEA3FF" w14:textId="0816D7B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845" w:type="dxa"/>
            <w:shd w:val="clear" w:color="auto" w:fill="C4EFCE"/>
            <w:tcMar>
              <w:left w:w="28" w:type="dxa"/>
              <w:right w:w="28" w:type="dxa"/>
            </w:tcMar>
            <w:vAlign w:val="center"/>
            <w:hideMark/>
          </w:tcPr>
          <w:p w14:paraId="4CE63A83" w14:textId="65E00CC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77" w:type="dxa"/>
            <w:shd w:val="clear" w:color="auto" w:fill="C4EFCE"/>
            <w:tcMar>
              <w:left w:w="28" w:type="dxa"/>
              <w:right w:w="28" w:type="dxa"/>
            </w:tcMar>
            <w:vAlign w:val="center"/>
            <w:hideMark/>
          </w:tcPr>
          <w:p w14:paraId="375F9B5E" w14:textId="4D543B5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nových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rehabilitovaných miest, ktoré sú</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dispozícii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domovoch rezidenčnej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nebytovej starostlivosti (vrátane denných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nočných centier)</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autonómnej oblasti Madeira.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obnovili budovy zlepšenú energetickú hospodárnosť.</w:t>
            </w:r>
          </w:p>
        </w:tc>
      </w:tr>
      <w:tr w:rsidR="00387C70" w:rsidRPr="003F23AC" w14:paraId="707B112D" w14:textId="77777777" w:rsidTr="00A26F8D">
        <w:trPr>
          <w:trHeight w:val="821"/>
        </w:trPr>
        <w:tc>
          <w:tcPr>
            <w:tcW w:w="1124" w:type="dxa"/>
            <w:shd w:val="clear" w:color="auto" w:fill="C5EFCE"/>
            <w:tcMar>
              <w:left w:w="28" w:type="dxa"/>
              <w:right w:w="28" w:type="dxa"/>
            </w:tcMar>
            <w:vAlign w:val="center"/>
            <w:hideMark/>
          </w:tcPr>
          <w:p w14:paraId="257FBDE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3.11</w:t>
            </w:r>
          </w:p>
        </w:tc>
        <w:tc>
          <w:tcPr>
            <w:tcW w:w="1143" w:type="dxa"/>
            <w:shd w:val="clear" w:color="auto" w:fill="C4EFCE"/>
            <w:tcMar>
              <w:left w:w="28" w:type="dxa"/>
              <w:right w:w="28" w:type="dxa"/>
            </w:tcMar>
            <w:vAlign w:val="center"/>
            <w:hideMark/>
          </w:tcPr>
          <w:p w14:paraId="30A53477" w14:textId="7F585DBD"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C03-i03-RAM</w:t>
            </w:r>
          </w:p>
        </w:tc>
        <w:tc>
          <w:tcPr>
            <w:tcW w:w="982" w:type="dxa"/>
            <w:shd w:val="clear" w:color="auto" w:fill="C4EFCE"/>
            <w:tcMar>
              <w:left w:w="28" w:type="dxa"/>
              <w:right w:w="28" w:type="dxa"/>
            </w:tcMar>
            <w:vAlign w:val="center"/>
            <w:hideMark/>
          </w:tcPr>
          <w:p w14:paraId="4CDA8223" w14:textId="4E8625F3"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hideMark/>
          </w:tcPr>
          <w:p w14:paraId="75BF4870" w14:textId="0787763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Plány života na integráciu bezdomovcov.</w:t>
            </w:r>
          </w:p>
        </w:tc>
        <w:tc>
          <w:tcPr>
            <w:tcW w:w="1486" w:type="dxa"/>
            <w:shd w:val="clear" w:color="auto" w:fill="C4EFCE"/>
            <w:tcMar>
              <w:left w:w="28" w:type="dxa"/>
              <w:right w:w="28" w:type="dxa"/>
            </w:tcMar>
            <w:vAlign w:val="center"/>
            <w:hideMark/>
          </w:tcPr>
          <w:p w14:paraId="464AD4B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3FCF5D3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hideMark/>
          </w:tcPr>
          <w:p w14:paraId="11375CE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0</w:t>
            </w:r>
          </w:p>
        </w:tc>
        <w:tc>
          <w:tcPr>
            <w:tcW w:w="773" w:type="dxa"/>
            <w:shd w:val="clear" w:color="auto" w:fill="C4EFCE"/>
            <w:tcMar>
              <w:left w:w="28" w:type="dxa"/>
              <w:right w:w="28" w:type="dxa"/>
            </w:tcMar>
            <w:vAlign w:val="center"/>
            <w:hideMark/>
          </w:tcPr>
          <w:p w14:paraId="13F2ADB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w:t>
            </w:r>
          </w:p>
        </w:tc>
        <w:tc>
          <w:tcPr>
            <w:tcW w:w="789" w:type="dxa"/>
            <w:shd w:val="clear" w:color="auto" w:fill="C4EFCE"/>
            <w:tcMar>
              <w:left w:w="28" w:type="dxa"/>
              <w:right w:w="28" w:type="dxa"/>
            </w:tcMar>
            <w:vAlign w:val="center"/>
            <w:hideMark/>
          </w:tcPr>
          <w:p w14:paraId="5FFEB24C" w14:textId="42C6327F"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hideMark/>
          </w:tcPr>
          <w:p w14:paraId="490AFAA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277" w:type="dxa"/>
            <w:shd w:val="clear" w:color="auto" w:fill="C4EFCE"/>
            <w:tcMar>
              <w:left w:w="28" w:type="dxa"/>
              <w:right w:w="28" w:type="dxa"/>
            </w:tcMar>
            <w:vAlign w:val="center"/>
            <w:hideMark/>
          </w:tcPr>
          <w:p w14:paraId="453DD757" w14:textId="33BC55B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podpísaných životných plánov na integráciu bezdomovcov. </w:t>
            </w:r>
          </w:p>
        </w:tc>
      </w:tr>
      <w:tr w:rsidR="00387C70" w:rsidRPr="003F23AC" w14:paraId="5D7D39EC" w14:textId="77777777" w:rsidTr="00A26F8D">
        <w:trPr>
          <w:trHeight w:val="1105"/>
        </w:trPr>
        <w:tc>
          <w:tcPr>
            <w:tcW w:w="1124" w:type="dxa"/>
            <w:shd w:val="clear" w:color="auto" w:fill="C5EFCE"/>
            <w:tcMar>
              <w:left w:w="28" w:type="dxa"/>
              <w:right w:w="28" w:type="dxa"/>
            </w:tcMar>
            <w:vAlign w:val="center"/>
          </w:tcPr>
          <w:p w14:paraId="0F0EA38A" w14:textId="312A548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3.27</w:t>
            </w:r>
          </w:p>
        </w:tc>
        <w:tc>
          <w:tcPr>
            <w:tcW w:w="1143" w:type="dxa"/>
            <w:shd w:val="clear" w:color="auto" w:fill="C4EFCE"/>
            <w:tcMar>
              <w:left w:w="28" w:type="dxa"/>
              <w:right w:w="28" w:type="dxa"/>
            </w:tcMar>
            <w:vAlign w:val="center"/>
          </w:tcPr>
          <w:p w14:paraId="3FA49D08" w14:textId="3988E676"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C03-i03-RAM</w:t>
            </w:r>
          </w:p>
        </w:tc>
        <w:tc>
          <w:tcPr>
            <w:tcW w:w="982" w:type="dxa"/>
            <w:shd w:val="clear" w:color="auto" w:fill="C4EFCE"/>
            <w:tcMar>
              <w:left w:w="28" w:type="dxa"/>
              <w:right w:w="28" w:type="dxa"/>
            </w:tcMar>
            <w:vAlign w:val="center"/>
          </w:tcPr>
          <w:p w14:paraId="292902B7" w14:textId="16688072"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tcPr>
          <w:p w14:paraId="2559F2E9" w14:textId="5DE48C5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opatrovateľských zariadeniach na podporu bezdomovcov</w:t>
            </w:r>
          </w:p>
        </w:tc>
        <w:tc>
          <w:tcPr>
            <w:tcW w:w="1486" w:type="dxa"/>
            <w:shd w:val="clear" w:color="auto" w:fill="C4EFCE"/>
            <w:tcMar>
              <w:left w:w="28" w:type="dxa"/>
              <w:right w:w="28" w:type="dxa"/>
            </w:tcMar>
            <w:vAlign w:val="center"/>
          </w:tcPr>
          <w:p w14:paraId="06C8929D"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40" w:type="dxa"/>
            <w:shd w:val="clear" w:color="auto" w:fill="C4EFCE"/>
            <w:tcMar>
              <w:left w:w="28" w:type="dxa"/>
              <w:right w:w="28" w:type="dxa"/>
            </w:tcMar>
            <w:vAlign w:val="center"/>
          </w:tcPr>
          <w:p w14:paraId="57AD4CD4" w14:textId="1F41F95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tcPr>
          <w:p w14:paraId="2E6938E8" w14:textId="74AF9E4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73" w:type="dxa"/>
            <w:shd w:val="clear" w:color="auto" w:fill="C4EFCE"/>
            <w:tcMar>
              <w:left w:w="28" w:type="dxa"/>
              <w:right w:w="28" w:type="dxa"/>
            </w:tcMar>
            <w:vAlign w:val="center"/>
          </w:tcPr>
          <w:p w14:paraId="15B8F899" w14:textId="776DB2B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90</w:t>
            </w:r>
          </w:p>
        </w:tc>
        <w:tc>
          <w:tcPr>
            <w:tcW w:w="789" w:type="dxa"/>
            <w:shd w:val="clear" w:color="auto" w:fill="C4EFCE"/>
            <w:tcMar>
              <w:left w:w="28" w:type="dxa"/>
              <w:right w:w="28" w:type="dxa"/>
            </w:tcMar>
            <w:vAlign w:val="center"/>
          </w:tcPr>
          <w:p w14:paraId="7425B0AA" w14:textId="41B9B03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tcPr>
          <w:p w14:paraId="64F7549B" w14:textId="0738F9E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77" w:type="dxa"/>
            <w:shd w:val="clear" w:color="auto" w:fill="C4EFCE"/>
            <w:tcMar>
              <w:left w:w="28" w:type="dxa"/>
              <w:right w:w="28" w:type="dxa"/>
            </w:tcMar>
            <w:vAlign w:val="center"/>
          </w:tcPr>
          <w:p w14:paraId="56B65A2B" w14:textId="60BB5B9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miest vytvorených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opatrovateľských zariadeniach na podporu bezdomovcov.</w:t>
            </w:r>
          </w:p>
          <w:p w14:paraId="7F75990B" w14:textId="1DE1715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 prípade nových stavieb musia mať nové budovy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sú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87C70" w:rsidRPr="003F23AC" w14:paraId="03AF048D" w14:textId="77777777" w:rsidTr="00A26F8D">
        <w:trPr>
          <w:trHeight w:val="1142"/>
        </w:trPr>
        <w:tc>
          <w:tcPr>
            <w:tcW w:w="1124" w:type="dxa"/>
            <w:shd w:val="clear" w:color="auto" w:fill="C5EFCE"/>
            <w:tcMar>
              <w:left w:w="28" w:type="dxa"/>
              <w:right w:w="28" w:type="dxa"/>
            </w:tcMar>
            <w:vAlign w:val="center"/>
            <w:hideMark/>
          </w:tcPr>
          <w:p w14:paraId="3C4ECCC1"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3.12</w:t>
            </w:r>
          </w:p>
        </w:tc>
        <w:tc>
          <w:tcPr>
            <w:tcW w:w="1143" w:type="dxa"/>
            <w:shd w:val="clear" w:color="auto" w:fill="C4EFCE"/>
            <w:tcMar>
              <w:left w:w="28" w:type="dxa"/>
              <w:right w:w="28" w:type="dxa"/>
            </w:tcMar>
            <w:vAlign w:val="center"/>
            <w:hideMark/>
          </w:tcPr>
          <w:p w14:paraId="3611E70C" w14:textId="545B3F34"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C03-i04-RAA</w:t>
            </w:r>
          </w:p>
        </w:tc>
        <w:tc>
          <w:tcPr>
            <w:tcW w:w="982" w:type="dxa"/>
            <w:shd w:val="clear" w:color="auto" w:fill="C4EFCE"/>
            <w:tcMar>
              <w:left w:w="28" w:type="dxa"/>
              <w:right w:w="28" w:type="dxa"/>
            </w:tcMar>
            <w:vAlign w:val="center"/>
            <w:hideMark/>
          </w:tcPr>
          <w:p w14:paraId="67D99684" w14:textId="21342DDF"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hideMark/>
          </w:tcPr>
          <w:p w14:paraId="21703A05" w14:textId="20069F7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Odborná príprava jednotlivcov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rodín, na ktoré sa vzťahuje príjem zo sociálneho začlenenia</w:t>
            </w:r>
          </w:p>
        </w:tc>
        <w:tc>
          <w:tcPr>
            <w:tcW w:w="1486" w:type="dxa"/>
            <w:shd w:val="clear" w:color="auto" w:fill="C4EFCE"/>
            <w:tcMar>
              <w:left w:w="28" w:type="dxa"/>
              <w:right w:w="28" w:type="dxa"/>
            </w:tcMar>
            <w:vAlign w:val="center"/>
            <w:hideMark/>
          </w:tcPr>
          <w:p w14:paraId="696E932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521027F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hideMark/>
          </w:tcPr>
          <w:p w14:paraId="50DB198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73" w:type="dxa"/>
            <w:shd w:val="clear" w:color="auto" w:fill="C4EFCE"/>
            <w:tcMar>
              <w:left w:w="28" w:type="dxa"/>
              <w:right w:w="28" w:type="dxa"/>
            </w:tcMar>
            <w:vAlign w:val="center"/>
            <w:hideMark/>
          </w:tcPr>
          <w:p w14:paraId="006F6395" w14:textId="5B31500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4 000</w:t>
            </w:r>
          </w:p>
        </w:tc>
        <w:tc>
          <w:tcPr>
            <w:tcW w:w="789" w:type="dxa"/>
            <w:shd w:val="clear" w:color="auto" w:fill="C4EFCE"/>
            <w:tcMar>
              <w:left w:w="28" w:type="dxa"/>
              <w:right w:w="28" w:type="dxa"/>
            </w:tcMar>
            <w:vAlign w:val="center"/>
            <w:hideMark/>
          </w:tcPr>
          <w:p w14:paraId="4C4BF131" w14:textId="12FB2BFC"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hideMark/>
          </w:tcPr>
          <w:p w14:paraId="1870C92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77" w:type="dxa"/>
            <w:shd w:val="clear" w:color="auto" w:fill="C4EFCE"/>
            <w:tcMar>
              <w:left w:w="28" w:type="dxa"/>
              <w:right w:w="28" w:type="dxa"/>
            </w:tcMar>
            <w:vAlign w:val="center"/>
            <w:hideMark/>
          </w:tcPr>
          <w:p w14:paraId="39E0E49C" w14:textId="27D19BC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osôb</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rodín, na ktorých sa vzťahuje príjem zo sociálneho začlenenia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ktorí absolvovali 650 školení, aby mohli vstúpiť na trh práce.</w:t>
            </w:r>
          </w:p>
        </w:tc>
      </w:tr>
      <w:tr w:rsidR="00387C70" w:rsidRPr="003F23AC" w14:paraId="7EC1340A" w14:textId="77777777" w:rsidTr="00A26F8D">
        <w:trPr>
          <w:trHeight w:val="509"/>
        </w:trPr>
        <w:tc>
          <w:tcPr>
            <w:tcW w:w="1124" w:type="dxa"/>
            <w:shd w:val="clear" w:color="auto" w:fill="C5EFCE"/>
            <w:tcMar>
              <w:left w:w="28" w:type="dxa"/>
              <w:right w:w="28" w:type="dxa"/>
            </w:tcMar>
            <w:vAlign w:val="center"/>
            <w:hideMark/>
          </w:tcPr>
          <w:p w14:paraId="6C4E3A7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3.13</w:t>
            </w:r>
          </w:p>
        </w:tc>
        <w:tc>
          <w:tcPr>
            <w:tcW w:w="1143" w:type="dxa"/>
            <w:shd w:val="clear" w:color="auto" w:fill="C4EFCE"/>
            <w:tcMar>
              <w:left w:w="28" w:type="dxa"/>
              <w:right w:w="28" w:type="dxa"/>
            </w:tcMar>
            <w:vAlign w:val="center"/>
            <w:hideMark/>
          </w:tcPr>
          <w:p w14:paraId="1025A546" w14:textId="1CB1DC66"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C03-i04-RAA</w:t>
            </w:r>
          </w:p>
        </w:tc>
        <w:tc>
          <w:tcPr>
            <w:tcW w:w="982" w:type="dxa"/>
            <w:shd w:val="clear" w:color="auto" w:fill="C4EFCE"/>
            <w:tcMar>
              <w:left w:w="28" w:type="dxa"/>
              <w:right w:w="28" w:type="dxa"/>
            </w:tcMar>
            <w:vAlign w:val="center"/>
            <w:hideMark/>
          </w:tcPr>
          <w:p w14:paraId="0F423132" w14:textId="7E9B9B89"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hideMark/>
          </w:tcPr>
          <w:p w14:paraId="7965F891" w14:textId="74CF724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Nové miesta pre osoby so zdravotným postihnutím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opatrovateľských centrách podporujúcich osoby so zdravotným postihnutím</w:t>
            </w:r>
          </w:p>
        </w:tc>
        <w:tc>
          <w:tcPr>
            <w:tcW w:w="1486" w:type="dxa"/>
            <w:shd w:val="clear" w:color="auto" w:fill="C4EFCE"/>
            <w:tcMar>
              <w:left w:w="28" w:type="dxa"/>
              <w:right w:w="28" w:type="dxa"/>
            </w:tcMar>
            <w:vAlign w:val="center"/>
            <w:hideMark/>
          </w:tcPr>
          <w:p w14:paraId="57FDD5B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3FFD0E9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hideMark/>
          </w:tcPr>
          <w:p w14:paraId="6A24D43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73" w:type="dxa"/>
            <w:shd w:val="clear" w:color="auto" w:fill="C4EFCE"/>
            <w:tcMar>
              <w:left w:w="28" w:type="dxa"/>
              <w:right w:w="28" w:type="dxa"/>
            </w:tcMar>
            <w:vAlign w:val="center"/>
            <w:hideMark/>
          </w:tcPr>
          <w:p w14:paraId="21EF7398" w14:textId="7D22463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207</w:t>
            </w:r>
          </w:p>
        </w:tc>
        <w:tc>
          <w:tcPr>
            <w:tcW w:w="789" w:type="dxa"/>
            <w:shd w:val="clear" w:color="auto" w:fill="C4EFCE"/>
            <w:tcMar>
              <w:left w:w="28" w:type="dxa"/>
              <w:right w:w="28" w:type="dxa"/>
            </w:tcMar>
            <w:vAlign w:val="center"/>
            <w:hideMark/>
          </w:tcPr>
          <w:p w14:paraId="7A32479C" w14:textId="6276ECE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845" w:type="dxa"/>
            <w:shd w:val="clear" w:color="auto" w:fill="C4EFCE"/>
            <w:tcMar>
              <w:left w:w="28" w:type="dxa"/>
              <w:right w:w="28" w:type="dxa"/>
            </w:tcMar>
            <w:vAlign w:val="center"/>
            <w:hideMark/>
          </w:tcPr>
          <w:p w14:paraId="75F2311E" w14:textId="444F2E4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277" w:type="dxa"/>
            <w:shd w:val="clear" w:color="auto" w:fill="C4EFCE"/>
            <w:tcMar>
              <w:left w:w="28" w:type="dxa"/>
              <w:right w:w="28" w:type="dxa"/>
            </w:tcMar>
            <w:vAlign w:val="center"/>
            <w:hideMark/>
          </w:tcPr>
          <w:p w14:paraId="67533911" w14:textId="146093D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nových miest pre osoby so zdravotným postihnutím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opatrovateľských centrách podporujúcich osoby so zdravotným postihnutím. To zahŕňa výstavbu štyroch budov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prispôsobenie ďalších dvoch budov.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nových stavieb musia mať nové budovy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sú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87C70" w:rsidRPr="003F23AC" w14:paraId="049083E8" w14:textId="77777777" w:rsidTr="00A26F8D">
        <w:trPr>
          <w:trHeight w:val="1030"/>
        </w:trPr>
        <w:tc>
          <w:tcPr>
            <w:tcW w:w="1124" w:type="dxa"/>
            <w:shd w:val="clear" w:color="auto" w:fill="C5EFCE"/>
            <w:tcMar>
              <w:left w:w="28" w:type="dxa"/>
              <w:right w:w="28" w:type="dxa"/>
            </w:tcMar>
            <w:vAlign w:val="center"/>
            <w:hideMark/>
          </w:tcPr>
          <w:p w14:paraId="4D80D6EA"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3.14</w:t>
            </w:r>
          </w:p>
        </w:tc>
        <w:tc>
          <w:tcPr>
            <w:tcW w:w="1143" w:type="dxa"/>
            <w:shd w:val="clear" w:color="auto" w:fill="C4EFCE"/>
            <w:tcMar>
              <w:left w:w="28" w:type="dxa"/>
              <w:right w:w="28" w:type="dxa"/>
            </w:tcMar>
            <w:vAlign w:val="center"/>
            <w:hideMark/>
          </w:tcPr>
          <w:p w14:paraId="62C1B356" w14:textId="1B8E03FD"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C03-i04-RAA</w:t>
            </w:r>
          </w:p>
        </w:tc>
        <w:tc>
          <w:tcPr>
            <w:tcW w:w="982" w:type="dxa"/>
            <w:shd w:val="clear" w:color="auto" w:fill="C4EFCE"/>
            <w:tcMar>
              <w:left w:w="28" w:type="dxa"/>
              <w:right w:w="28" w:type="dxa"/>
            </w:tcMar>
            <w:vAlign w:val="center"/>
            <w:hideMark/>
          </w:tcPr>
          <w:p w14:paraId="3C09CC66" w14:textId="5C8A9CDC"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hideMark/>
          </w:tcPr>
          <w:p w14:paraId="5EF33CF2" w14:textId="06A38392" w:rsidR="00387C70" w:rsidRPr="003F23AC" w:rsidRDefault="000F5AA4" w:rsidP="003F23AC">
            <w:pPr>
              <w:pStyle w:val="P68B1DB1-Normal9"/>
              <w:spacing w:after="0" w:line="240" w:lineRule="auto"/>
              <w:jc w:val="center"/>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Vozidlá kúpené pre</w:t>
            </w:r>
            <w:r w:rsidRPr="003F23AC">
              <w:rPr>
                <w:rFonts w:ascii="Times New Roman" w:hAnsi="Times New Roman" w:cs="Times New Roman"/>
                <w:noProof/>
                <w:lang w:val="sk-SK"/>
              </w:rPr>
              <w:t xml:space="preserve"> </w:t>
            </w:r>
            <w:r w:rsidRPr="003F23AC">
              <w:rPr>
                <w:rFonts w:ascii="Times New Roman" w:hAnsi="Times New Roman" w:cs="Times New Roman"/>
                <w:noProof/>
                <w:sz w:val="16"/>
                <w:lang w:val="sk-SK"/>
              </w:rPr>
              <w:t xml:space="preserve">Instituições Particulares de Solidariedade Social </w:t>
            </w:r>
          </w:p>
        </w:tc>
        <w:tc>
          <w:tcPr>
            <w:tcW w:w="1486" w:type="dxa"/>
            <w:shd w:val="clear" w:color="auto" w:fill="C4EFCE"/>
            <w:tcMar>
              <w:left w:w="28" w:type="dxa"/>
              <w:right w:w="28" w:type="dxa"/>
            </w:tcMar>
            <w:vAlign w:val="center"/>
            <w:hideMark/>
          </w:tcPr>
          <w:p w14:paraId="3475EC3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2AF43E8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hideMark/>
          </w:tcPr>
          <w:p w14:paraId="770F38C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73" w:type="dxa"/>
            <w:shd w:val="clear" w:color="auto" w:fill="C4EFCE"/>
            <w:tcMar>
              <w:left w:w="28" w:type="dxa"/>
              <w:right w:w="28" w:type="dxa"/>
            </w:tcMar>
            <w:vAlign w:val="center"/>
            <w:hideMark/>
          </w:tcPr>
          <w:p w14:paraId="1E02EB1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100</w:t>
            </w:r>
          </w:p>
        </w:tc>
        <w:tc>
          <w:tcPr>
            <w:tcW w:w="789" w:type="dxa"/>
            <w:shd w:val="clear" w:color="auto" w:fill="C4EFCE"/>
            <w:tcMar>
              <w:left w:w="28" w:type="dxa"/>
              <w:right w:w="28" w:type="dxa"/>
            </w:tcMar>
            <w:vAlign w:val="center"/>
            <w:hideMark/>
          </w:tcPr>
          <w:p w14:paraId="71008F83" w14:textId="65A1AE9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hideMark/>
          </w:tcPr>
          <w:p w14:paraId="3D8E987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77" w:type="dxa"/>
            <w:shd w:val="clear" w:color="auto" w:fill="C4EFCE"/>
            <w:tcMar>
              <w:left w:w="28" w:type="dxa"/>
              <w:right w:w="28" w:type="dxa"/>
            </w:tcMar>
            <w:vAlign w:val="center"/>
            <w:hideMark/>
          </w:tcPr>
          <w:p w14:paraId="227BDB15" w14:textId="146CF533" w:rsidR="00387C70" w:rsidRPr="003F23AC" w:rsidRDefault="000F5AA4" w:rsidP="003F23AC">
            <w:pPr>
              <w:pStyle w:val="P68B1DB1-Normal9"/>
              <w:spacing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Počet nových elektrických vozidiel dodaných do</w:t>
            </w:r>
            <w:r w:rsidRPr="003F23AC">
              <w:rPr>
                <w:rFonts w:ascii="Times New Roman" w:hAnsi="Times New Roman" w:cs="Times New Roman"/>
                <w:noProof/>
                <w:lang w:val="sk-SK"/>
              </w:rPr>
              <w:t xml:space="preserve"> </w:t>
            </w:r>
            <w:r w:rsidRPr="003F23AC">
              <w:rPr>
                <w:rFonts w:ascii="Times New Roman" w:hAnsi="Times New Roman" w:cs="Times New Roman"/>
                <w:noProof/>
                <w:sz w:val="16"/>
                <w:lang w:val="sk-SK"/>
              </w:rPr>
              <w:t>vozového parku Instituições Particulares de Solidariedade Social (IPSS).</w:t>
            </w:r>
          </w:p>
        </w:tc>
      </w:tr>
      <w:tr w:rsidR="00387C70" w:rsidRPr="003F23AC" w14:paraId="19247985" w14:textId="77777777" w:rsidTr="00A26F8D">
        <w:trPr>
          <w:trHeight w:val="430"/>
        </w:trPr>
        <w:tc>
          <w:tcPr>
            <w:tcW w:w="1124" w:type="dxa"/>
            <w:shd w:val="clear" w:color="auto" w:fill="C5EFCE"/>
            <w:tcMar>
              <w:left w:w="28" w:type="dxa"/>
              <w:right w:w="28" w:type="dxa"/>
            </w:tcMar>
            <w:vAlign w:val="center"/>
            <w:hideMark/>
          </w:tcPr>
          <w:p w14:paraId="3721158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3.15</w:t>
            </w:r>
          </w:p>
        </w:tc>
        <w:tc>
          <w:tcPr>
            <w:tcW w:w="1143" w:type="dxa"/>
            <w:shd w:val="clear" w:color="auto" w:fill="C4EFCE"/>
            <w:tcMar>
              <w:left w:w="28" w:type="dxa"/>
              <w:right w:w="28" w:type="dxa"/>
            </w:tcMar>
            <w:vAlign w:val="center"/>
            <w:hideMark/>
          </w:tcPr>
          <w:p w14:paraId="0B42AE83" w14:textId="38D17CA3"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C03-i04-RAA</w:t>
            </w:r>
          </w:p>
        </w:tc>
        <w:tc>
          <w:tcPr>
            <w:tcW w:w="982" w:type="dxa"/>
            <w:shd w:val="clear" w:color="auto" w:fill="C4EFCE"/>
            <w:tcMar>
              <w:left w:w="28" w:type="dxa"/>
              <w:right w:w="28" w:type="dxa"/>
            </w:tcMar>
            <w:vAlign w:val="center"/>
            <w:hideMark/>
          </w:tcPr>
          <w:p w14:paraId="182D975B" w14:textId="2A5C8D6F"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hideMark/>
          </w:tcPr>
          <w:p w14:paraId="281447A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Projekt starnutia na mieste</w:t>
            </w:r>
          </w:p>
        </w:tc>
        <w:tc>
          <w:tcPr>
            <w:tcW w:w="1486" w:type="dxa"/>
            <w:shd w:val="clear" w:color="auto" w:fill="C4EFCE"/>
            <w:tcMar>
              <w:left w:w="28" w:type="dxa"/>
              <w:right w:w="28" w:type="dxa"/>
            </w:tcMar>
            <w:vAlign w:val="center"/>
            <w:hideMark/>
          </w:tcPr>
          <w:p w14:paraId="2D0D204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6B9C9C2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hideMark/>
          </w:tcPr>
          <w:p w14:paraId="7220A71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73" w:type="dxa"/>
            <w:shd w:val="clear" w:color="auto" w:fill="C4EFCE"/>
            <w:tcMar>
              <w:left w:w="28" w:type="dxa"/>
              <w:right w:w="28" w:type="dxa"/>
            </w:tcMar>
            <w:vAlign w:val="center"/>
            <w:hideMark/>
          </w:tcPr>
          <w:p w14:paraId="69B70C79" w14:textId="5A30131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425</w:t>
            </w:r>
          </w:p>
        </w:tc>
        <w:tc>
          <w:tcPr>
            <w:tcW w:w="789" w:type="dxa"/>
            <w:shd w:val="clear" w:color="auto" w:fill="C4EFCE"/>
            <w:tcMar>
              <w:left w:w="28" w:type="dxa"/>
              <w:right w:w="28" w:type="dxa"/>
            </w:tcMar>
            <w:vAlign w:val="center"/>
            <w:hideMark/>
          </w:tcPr>
          <w:p w14:paraId="2E66662F" w14:textId="5324E51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hideMark/>
          </w:tcPr>
          <w:p w14:paraId="296AE5F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77" w:type="dxa"/>
            <w:shd w:val="clear" w:color="auto" w:fill="C4EFCE"/>
            <w:tcMar>
              <w:left w:w="28" w:type="dxa"/>
              <w:right w:w="28" w:type="dxa"/>
            </w:tcMar>
            <w:vAlign w:val="center"/>
            <w:hideMark/>
          </w:tcPr>
          <w:p w14:paraId="0504830F" w14:textId="1CEFC5A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starších ľudí alebo osôb so zdravotným postihnutím, na ktorých sa vzťahuje projekt Aging</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autonómnej oblasti Azory.</w:t>
            </w:r>
          </w:p>
        </w:tc>
      </w:tr>
      <w:tr w:rsidR="00387C70" w:rsidRPr="003F23AC" w14:paraId="722BCAC5" w14:textId="77777777" w:rsidTr="00A26F8D">
        <w:trPr>
          <w:trHeight w:val="420"/>
        </w:trPr>
        <w:tc>
          <w:tcPr>
            <w:tcW w:w="1124" w:type="dxa"/>
            <w:shd w:val="clear" w:color="auto" w:fill="C5EFCE"/>
            <w:tcMar>
              <w:left w:w="28" w:type="dxa"/>
              <w:right w:w="28" w:type="dxa"/>
            </w:tcMar>
            <w:vAlign w:val="center"/>
            <w:hideMark/>
          </w:tcPr>
          <w:p w14:paraId="2756971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3.16</w:t>
            </w:r>
          </w:p>
        </w:tc>
        <w:tc>
          <w:tcPr>
            <w:tcW w:w="1143" w:type="dxa"/>
            <w:shd w:val="clear" w:color="auto" w:fill="C4EFCE"/>
            <w:tcMar>
              <w:left w:w="28" w:type="dxa"/>
              <w:right w:w="28" w:type="dxa"/>
            </w:tcMar>
            <w:vAlign w:val="center"/>
            <w:hideMark/>
          </w:tcPr>
          <w:p w14:paraId="3FEF3AE7" w14:textId="4672710E"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C03-i04-RAA</w:t>
            </w:r>
          </w:p>
        </w:tc>
        <w:tc>
          <w:tcPr>
            <w:tcW w:w="982" w:type="dxa"/>
            <w:shd w:val="clear" w:color="auto" w:fill="C4EFCE"/>
            <w:tcMar>
              <w:left w:w="28" w:type="dxa"/>
              <w:right w:w="28" w:type="dxa"/>
            </w:tcMar>
            <w:vAlign w:val="center"/>
            <w:hideMark/>
          </w:tcPr>
          <w:p w14:paraId="57B378D2" w14:textId="1E9BC1F1"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hideMark/>
          </w:tcPr>
          <w:p w14:paraId="1B2F0661" w14:textId="6378D0D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Opatrenia na boj proti predčasnému ukončeniu školskej dochádzky detí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mladých ľudí.</w:t>
            </w:r>
          </w:p>
        </w:tc>
        <w:tc>
          <w:tcPr>
            <w:tcW w:w="1486" w:type="dxa"/>
            <w:shd w:val="clear" w:color="auto" w:fill="C4EFCE"/>
            <w:tcMar>
              <w:left w:w="28" w:type="dxa"/>
              <w:right w:w="28" w:type="dxa"/>
            </w:tcMar>
            <w:vAlign w:val="center"/>
            <w:hideMark/>
          </w:tcPr>
          <w:p w14:paraId="761474E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09D5AE9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hideMark/>
          </w:tcPr>
          <w:p w14:paraId="6596B2D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73" w:type="dxa"/>
            <w:shd w:val="clear" w:color="auto" w:fill="C4EFCE"/>
            <w:tcMar>
              <w:left w:w="28" w:type="dxa"/>
              <w:right w:w="28" w:type="dxa"/>
            </w:tcMar>
            <w:vAlign w:val="center"/>
            <w:hideMark/>
          </w:tcPr>
          <w:p w14:paraId="6157A47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11 561</w:t>
            </w:r>
          </w:p>
        </w:tc>
        <w:tc>
          <w:tcPr>
            <w:tcW w:w="789" w:type="dxa"/>
            <w:shd w:val="clear" w:color="auto" w:fill="C4EFCE"/>
            <w:tcMar>
              <w:left w:w="28" w:type="dxa"/>
              <w:right w:w="28" w:type="dxa"/>
            </w:tcMar>
            <w:vAlign w:val="center"/>
            <w:hideMark/>
          </w:tcPr>
          <w:p w14:paraId="7A4E4D10" w14:textId="2166635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hideMark/>
          </w:tcPr>
          <w:p w14:paraId="28EF501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77" w:type="dxa"/>
            <w:shd w:val="clear" w:color="auto" w:fill="C4EFCE"/>
            <w:tcMar>
              <w:left w:w="28" w:type="dxa"/>
              <w:right w:w="28" w:type="dxa"/>
            </w:tcMar>
            <w:vAlign w:val="center"/>
            <w:hideMark/>
          </w:tcPr>
          <w:p w14:paraId="39A10D0F" w14:textId="2DF6E489"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Deti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mladí ľudia, na ktorých sa vzťahujú opatrenia na boj proti predčasnému ukončeniu školskej dochádzky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podporu účasti na vysokoškolskom vzdelávaní prostredníctvom</w:t>
            </w:r>
            <w:r w:rsidR="00A75B3C" w:rsidRPr="003F23AC">
              <w:rPr>
                <w:rFonts w:ascii="Times New Roman" w:hAnsi="Times New Roman" w:cs="Times New Roman"/>
                <w:noProof/>
                <w:lang w:val="sk-SK"/>
              </w:rPr>
              <w:t>:</w:t>
            </w:r>
          </w:p>
          <w:p w14:paraId="7FE0E7DB" w14:textId="643C0ED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I) dotácie pre domácnosti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nízkymi príjmami ako stimul na podporu účasti škôlok; II) zriadenie miest na podporu štúdií; III) platenie poplatkov za vysokoškolské vzdelávanie študentom pre rodiny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nízkymi príjmami; IV) vytvorenie nových miest pre deti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jasliach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centrách dennej starostlivosti.</w:t>
            </w:r>
          </w:p>
        </w:tc>
      </w:tr>
      <w:tr w:rsidR="00387C70" w:rsidRPr="003F23AC" w14:paraId="3E0BC186" w14:textId="77777777" w:rsidTr="00A26F8D">
        <w:trPr>
          <w:trHeight w:val="1581"/>
        </w:trPr>
        <w:tc>
          <w:tcPr>
            <w:tcW w:w="1124" w:type="dxa"/>
            <w:shd w:val="clear" w:color="auto" w:fill="C5EFCE"/>
            <w:tcMar>
              <w:left w:w="28" w:type="dxa"/>
              <w:right w:w="28" w:type="dxa"/>
            </w:tcMar>
            <w:vAlign w:val="center"/>
            <w:hideMark/>
          </w:tcPr>
          <w:p w14:paraId="4AD1D11D"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3.17</w:t>
            </w:r>
          </w:p>
        </w:tc>
        <w:tc>
          <w:tcPr>
            <w:tcW w:w="1143" w:type="dxa"/>
            <w:shd w:val="clear" w:color="auto" w:fill="C4EFCE"/>
            <w:tcMar>
              <w:left w:w="28" w:type="dxa"/>
              <w:right w:w="28" w:type="dxa"/>
            </w:tcMar>
            <w:vAlign w:val="center"/>
            <w:hideMark/>
          </w:tcPr>
          <w:p w14:paraId="6E502AC3" w14:textId="43BAF9CE"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C03-i05</w:t>
            </w:r>
          </w:p>
        </w:tc>
        <w:tc>
          <w:tcPr>
            <w:tcW w:w="982" w:type="dxa"/>
            <w:shd w:val="clear" w:color="auto" w:fill="C4EFCE"/>
            <w:tcMar>
              <w:left w:w="28" w:type="dxa"/>
              <w:right w:w="28" w:type="dxa"/>
            </w:tcMar>
            <w:vAlign w:val="center"/>
            <w:hideMark/>
          </w:tcPr>
          <w:p w14:paraId="148563E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40" w:type="dxa"/>
            <w:shd w:val="clear" w:color="auto" w:fill="C4EFCE"/>
            <w:tcMar>
              <w:left w:w="28" w:type="dxa"/>
              <w:right w:w="28" w:type="dxa"/>
            </w:tcMar>
            <w:vAlign w:val="center"/>
            <w:hideMark/>
          </w:tcPr>
          <w:p w14:paraId="5C55EEC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Uverejnenie ponuky na „Budovanie digitálnej infraštruktúry pre prístupnosť 360°“ </w:t>
            </w:r>
          </w:p>
        </w:tc>
        <w:tc>
          <w:tcPr>
            <w:tcW w:w="1486" w:type="dxa"/>
            <w:shd w:val="clear" w:color="auto" w:fill="C4EFCE"/>
            <w:tcMar>
              <w:left w:w="28" w:type="dxa"/>
              <w:right w:w="28" w:type="dxa"/>
            </w:tcMar>
            <w:vAlign w:val="center"/>
            <w:hideMark/>
          </w:tcPr>
          <w:p w14:paraId="67B63709" w14:textId="3E7DE67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Uverejnenie oznámenia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vyhlásení verejného obstarávania na nadobudnutie digitálnej infraštruktúry pre prístupnosť 360°</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úradnom vestníku – Diario da Republica</w:t>
            </w:r>
          </w:p>
        </w:tc>
        <w:tc>
          <w:tcPr>
            <w:tcW w:w="840" w:type="dxa"/>
            <w:shd w:val="clear" w:color="auto" w:fill="C4EFCE"/>
            <w:tcMar>
              <w:left w:w="28" w:type="dxa"/>
              <w:right w:w="28" w:type="dxa"/>
            </w:tcMar>
            <w:vAlign w:val="center"/>
            <w:hideMark/>
          </w:tcPr>
          <w:p w14:paraId="546A3FF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88" w:type="dxa"/>
            <w:shd w:val="clear" w:color="auto" w:fill="C4EFCE"/>
            <w:tcMar>
              <w:left w:w="28" w:type="dxa"/>
              <w:right w:w="28" w:type="dxa"/>
            </w:tcMar>
            <w:vAlign w:val="center"/>
            <w:hideMark/>
          </w:tcPr>
          <w:p w14:paraId="0B23DB1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tcMar>
              <w:left w:w="28" w:type="dxa"/>
              <w:right w:w="28" w:type="dxa"/>
            </w:tcMar>
            <w:vAlign w:val="center"/>
            <w:hideMark/>
          </w:tcPr>
          <w:p w14:paraId="7997DED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tcMar>
              <w:left w:w="28" w:type="dxa"/>
              <w:right w:w="28" w:type="dxa"/>
            </w:tcMar>
            <w:vAlign w:val="center"/>
            <w:hideMark/>
          </w:tcPr>
          <w:p w14:paraId="524C9268" w14:textId="5B7AA99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hideMark/>
          </w:tcPr>
          <w:p w14:paraId="5E99718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4277" w:type="dxa"/>
            <w:shd w:val="clear" w:color="auto" w:fill="C4EFCE"/>
            <w:tcMar>
              <w:left w:w="28" w:type="dxa"/>
              <w:right w:w="28" w:type="dxa"/>
            </w:tcMar>
            <w:vAlign w:val="center"/>
            <w:hideMark/>
          </w:tcPr>
          <w:p w14:paraId="3FA52867" w14:textId="669D9C5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Uverejnenie výzvy na predkladanie ponúk na výstavbu digitálnej infraštruktúry, ktorá zahŕňa i) georeferenčné informácie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verejných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súkromných budovách, ii) globálne informačné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polohové systémy (GPS); iii) georeferenčné odkazy na parkovacie miesta.</w:t>
            </w:r>
          </w:p>
        </w:tc>
      </w:tr>
      <w:tr w:rsidR="00387C70" w:rsidRPr="003F23AC" w14:paraId="37722B84" w14:textId="77777777" w:rsidTr="00A26F8D">
        <w:trPr>
          <w:trHeight w:val="838"/>
        </w:trPr>
        <w:tc>
          <w:tcPr>
            <w:tcW w:w="1124" w:type="dxa"/>
            <w:shd w:val="clear" w:color="auto" w:fill="C5EFCE"/>
            <w:tcMar>
              <w:left w:w="28" w:type="dxa"/>
              <w:right w:w="28" w:type="dxa"/>
            </w:tcMar>
            <w:vAlign w:val="center"/>
            <w:hideMark/>
          </w:tcPr>
          <w:p w14:paraId="640BFDC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3.18</w:t>
            </w:r>
          </w:p>
        </w:tc>
        <w:tc>
          <w:tcPr>
            <w:tcW w:w="1143" w:type="dxa"/>
            <w:shd w:val="clear" w:color="auto" w:fill="C4EFCE"/>
            <w:tcMar>
              <w:left w:w="28" w:type="dxa"/>
              <w:right w:w="28" w:type="dxa"/>
            </w:tcMar>
            <w:vAlign w:val="center"/>
            <w:hideMark/>
          </w:tcPr>
          <w:p w14:paraId="3B14B6A8" w14:textId="751AE19B"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C03-i05</w:t>
            </w:r>
          </w:p>
        </w:tc>
        <w:tc>
          <w:tcPr>
            <w:tcW w:w="982" w:type="dxa"/>
            <w:shd w:val="clear" w:color="auto" w:fill="C4EFCE"/>
            <w:tcMar>
              <w:left w:w="28" w:type="dxa"/>
              <w:right w:w="28" w:type="dxa"/>
            </w:tcMar>
            <w:vAlign w:val="center"/>
            <w:hideMark/>
          </w:tcPr>
          <w:p w14:paraId="24B0174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40" w:type="dxa"/>
            <w:shd w:val="clear" w:color="auto" w:fill="C4EFCE"/>
            <w:tcMar>
              <w:left w:w="28" w:type="dxa"/>
              <w:right w:w="28" w:type="dxa"/>
            </w:tcMar>
            <w:vAlign w:val="center"/>
            <w:hideMark/>
          </w:tcPr>
          <w:p w14:paraId="127B081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Digitálna informačná platforma pre osoby so zdravotným postihnutím</w:t>
            </w:r>
          </w:p>
        </w:tc>
        <w:tc>
          <w:tcPr>
            <w:tcW w:w="1486" w:type="dxa"/>
            <w:shd w:val="clear" w:color="auto" w:fill="C4EFCE"/>
            <w:tcMar>
              <w:left w:w="28" w:type="dxa"/>
              <w:right w:w="28" w:type="dxa"/>
            </w:tcMar>
            <w:vAlign w:val="center"/>
            <w:hideMark/>
          </w:tcPr>
          <w:p w14:paraId="14F244C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Uvedenie platformy do prevádzky</w:t>
            </w:r>
          </w:p>
        </w:tc>
        <w:tc>
          <w:tcPr>
            <w:tcW w:w="840" w:type="dxa"/>
            <w:shd w:val="clear" w:color="auto" w:fill="C4EFCE"/>
            <w:tcMar>
              <w:left w:w="28" w:type="dxa"/>
              <w:right w:w="28" w:type="dxa"/>
            </w:tcMar>
            <w:vAlign w:val="center"/>
            <w:hideMark/>
          </w:tcPr>
          <w:p w14:paraId="2D44774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88" w:type="dxa"/>
            <w:shd w:val="clear" w:color="auto" w:fill="C4EFCE"/>
            <w:tcMar>
              <w:left w:w="28" w:type="dxa"/>
              <w:right w:w="28" w:type="dxa"/>
            </w:tcMar>
            <w:vAlign w:val="center"/>
            <w:hideMark/>
          </w:tcPr>
          <w:p w14:paraId="369FDBF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tcMar>
              <w:left w:w="28" w:type="dxa"/>
              <w:right w:w="28" w:type="dxa"/>
            </w:tcMar>
            <w:vAlign w:val="center"/>
            <w:hideMark/>
          </w:tcPr>
          <w:p w14:paraId="2DC68D6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tcMar>
              <w:left w:w="28" w:type="dxa"/>
              <w:right w:w="28" w:type="dxa"/>
            </w:tcMar>
            <w:vAlign w:val="center"/>
            <w:hideMark/>
          </w:tcPr>
          <w:p w14:paraId="352AF611" w14:textId="371A603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hideMark/>
          </w:tcPr>
          <w:p w14:paraId="4C2EC19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277" w:type="dxa"/>
            <w:shd w:val="clear" w:color="auto" w:fill="C4EFCE"/>
            <w:tcMar>
              <w:left w:w="28" w:type="dxa"/>
              <w:right w:w="28" w:type="dxa"/>
            </w:tcMar>
            <w:vAlign w:val="center"/>
            <w:hideMark/>
          </w:tcPr>
          <w:p w14:paraId="38C6A344" w14:textId="10F50CA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Sprevádzkovanie digitálnej informačnej platformy, ktorá zlučuje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zjednodušuje informácie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príslušných právnych predpisoch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podporuje zdroje pre osoby so zdravotným postihnutím.</w:t>
            </w:r>
          </w:p>
        </w:tc>
      </w:tr>
      <w:tr w:rsidR="00387C70" w:rsidRPr="003F23AC" w14:paraId="29DF1015" w14:textId="77777777" w:rsidTr="00A26F8D">
        <w:trPr>
          <w:trHeight w:val="928"/>
        </w:trPr>
        <w:tc>
          <w:tcPr>
            <w:tcW w:w="1124" w:type="dxa"/>
            <w:shd w:val="clear" w:color="auto" w:fill="C5EFCE"/>
            <w:tcMar>
              <w:left w:w="28" w:type="dxa"/>
              <w:right w:w="28" w:type="dxa"/>
            </w:tcMar>
            <w:vAlign w:val="center"/>
            <w:hideMark/>
          </w:tcPr>
          <w:p w14:paraId="31FC2931"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3.19</w:t>
            </w:r>
          </w:p>
        </w:tc>
        <w:tc>
          <w:tcPr>
            <w:tcW w:w="1143" w:type="dxa"/>
            <w:shd w:val="clear" w:color="auto" w:fill="C4EFCE"/>
            <w:tcMar>
              <w:left w:w="28" w:type="dxa"/>
              <w:right w:w="28" w:type="dxa"/>
            </w:tcMar>
            <w:vAlign w:val="center"/>
            <w:hideMark/>
          </w:tcPr>
          <w:p w14:paraId="31C50628" w14:textId="7D79D83C"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C03-i05</w:t>
            </w:r>
          </w:p>
        </w:tc>
        <w:tc>
          <w:tcPr>
            <w:tcW w:w="982" w:type="dxa"/>
            <w:shd w:val="clear" w:color="auto" w:fill="C4EFCE"/>
            <w:tcMar>
              <w:left w:w="28" w:type="dxa"/>
              <w:right w:w="28" w:type="dxa"/>
            </w:tcMar>
            <w:vAlign w:val="center"/>
            <w:hideMark/>
          </w:tcPr>
          <w:p w14:paraId="6E89FFB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40" w:type="dxa"/>
            <w:shd w:val="clear" w:color="auto" w:fill="C4EFCE"/>
            <w:tcMar>
              <w:left w:w="28" w:type="dxa"/>
              <w:right w:w="28" w:type="dxa"/>
            </w:tcMar>
            <w:vAlign w:val="center"/>
            <w:hideMark/>
          </w:tcPr>
          <w:p w14:paraId="3F2367B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Telefonické centrum pre portugalský posunkový jazyk</w:t>
            </w:r>
          </w:p>
        </w:tc>
        <w:tc>
          <w:tcPr>
            <w:tcW w:w="1486" w:type="dxa"/>
            <w:shd w:val="clear" w:color="auto" w:fill="C4EFCE"/>
            <w:tcMar>
              <w:left w:w="28" w:type="dxa"/>
              <w:right w:w="28" w:type="dxa"/>
            </w:tcMar>
            <w:vAlign w:val="center"/>
            <w:hideMark/>
          </w:tcPr>
          <w:p w14:paraId="4C4DE04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Sprevádzkovanie služby volacieho centra pre portugalský posunkový jazyk</w:t>
            </w:r>
          </w:p>
        </w:tc>
        <w:tc>
          <w:tcPr>
            <w:tcW w:w="840" w:type="dxa"/>
            <w:shd w:val="clear" w:color="auto" w:fill="C4EFCE"/>
            <w:tcMar>
              <w:left w:w="28" w:type="dxa"/>
              <w:right w:w="28" w:type="dxa"/>
            </w:tcMar>
            <w:vAlign w:val="center"/>
            <w:hideMark/>
          </w:tcPr>
          <w:p w14:paraId="62A1914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88" w:type="dxa"/>
            <w:shd w:val="clear" w:color="auto" w:fill="C4EFCE"/>
            <w:tcMar>
              <w:left w:w="28" w:type="dxa"/>
              <w:right w:w="28" w:type="dxa"/>
            </w:tcMar>
            <w:vAlign w:val="center"/>
            <w:hideMark/>
          </w:tcPr>
          <w:p w14:paraId="6B4F454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tcMar>
              <w:left w:w="28" w:type="dxa"/>
              <w:right w:w="28" w:type="dxa"/>
            </w:tcMar>
            <w:vAlign w:val="center"/>
            <w:hideMark/>
          </w:tcPr>
          <w:p w14:paraId="5B22AC7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tcMar>
              <w:left w:w="28" w:type="dxa"/>
              <w:right w:w="28" w:type="dxa"/>
            </w:tcMar>
            <w:vAlign w:val="center"/>
            <w:hideMark/>
          </w:tcPr>
          <w:p w14:paraId="5C3FE14B" w14:textId="03E2DDF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hideMark/>
          </w:tcPr>
          <w:p w14:paraId="19B2E8B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77" w:type="dxa"/>
            <w:shd w:val="clear" w:color="auto" w:fill="C4EFCE"/>
            <w:tcMar>
              <w:left w:w="28" w:type="dxa"/>
              <w:right w:w="28" w:type="dxa"/>
            </w:tcMar>
            <w:vAlign w:val="center"/>
            <w:hideMark/>
          </w:tcPr>
          <w:p w14:paraId="7F959E19" w14:textId="2DDA375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Uvedenie do prevádzky telefonického centra, ktoré poskytne nepočujúcim občanom zabezpečené tlmočenie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reálnom čase do portugalskej posunkovej reči (LGP), ktoré je</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dispozícii pre celú verejnú správu.</w:t>
            </w:r>
          </w:p>
        </w:tc>
      </w:tr>
      <w:tr w:rsidR="00387C70" w:rsidRPr="003F23AC" w14:paraId="0BDE969A" w14:textId="77777777" w:rsidTr="00A26F8D">
        <w:trPr>
          <w:trHeight w:val="1690"/>
        </w:trPr>
        <w:tc>
          <w:tcPr>
            <w:tcW w:w="1124" w:type="dxa"/>
            <w:shd w:val="clear" w:color="auto" w:fill="C5EFCE"/>
            <w:tcMar>
              <w:left w:w="28" w:type="dxa"/>
              <w:right w:w="28" w:type="dxa"/>
            </w:tcMar>
            <w:vAlign w:val="center"/>
          </w:tcPr>
          <w:p w14:paraId="6D78B7CA"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3.20</w:t>
            </w:r>
          </w:p>
        </w:tc>
        <w:tc>
          <w:tcPr>
            <w:tcW w:w="1143" w:type="dxa"/>
            <w:shd w:val="clear" w:color="auto" w:fill="C4EFCE"/>
            <w:tcMar>
              <w:left w:w="28" w:type="dxa"/>
              <w:right w:w="28" w:type="dxa"/>
            </w:tcMar>
            <w:vAlign w:val="center"/>
          </w:tcPr>
          <w:p w14:paraId="4B2FA922" w14:textId="56BB5180"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C03-r08</w:t>
            </w:r>
          </w:p>
        </w:tc>
        <w:tc>
          <w:tcPr>
            <w:tcW w:w="982" w:type="dxa"/>
            <w:shd w:val="clear" w:color="auto" w:fill="C4EFCE"/>
            <w:tcMar>
              <w:left w:w="28" w:type="dxa"/>
              <w:right w:w="28" w:type="dxa"/>
            </w:tcMar>
            <w:vAlign w:val="center"/>
          </w:tcPr>
          <w:p w14:paraId="7E7854C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40" w:type="dxa"/>
            <w:shd w:val="clear" w:color="auto" w:fill="C4EFCE"/>
            <w:tcMar>
              <w:left w:w="28" w:type="dxa"/>
              <w:right w:w="28" w:type="dxa"/>
            </w:tcMar>
            <w:vAlign w:val="center"/>
          </w:tcPr>
          <w:p w14:paraId="6959C89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národnej stratégie boja proti chudobe</w:t>
            </w:r>
          </w:p>
        </w:tc>
        <w:tc>
          <w:tcPr>
            <w:tcW w:w="1486" w:type="dxa"/>
            <w:shd w:val="clear" w:color="auto" w:fill="C4EFCE"/>
            <w:tcMar>
              <w:left w:w="28" w:type="dxa"/>
              <w:right w:w="28" w:type="dxa"/>
            </w:tcMar>
            <w:vAlign w:val="center"/>
          </w:tcPr>
          <w:p w14:paraId="3471F2F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národnej stratégie boja proti chudobe</w:t>
            </w:r>
          </w:p>
        </w:tc>
        <w:tc>
          <w:tcPr>
            <w:tcW w:w="840" w:type="dxa"/>
            <w:shd w:val="clear" w:color="auto" w:fill="C4EFCE"/>
            <w:tcMar>
              <w:left w:w="28" w:type="dxa"/>
              <w:right w:w="28" w:type="dxa"/>
            </w:tcMar>
            <w:vAlign w:val="center"/>
          </w:tcPr>
          <w:p w14:paraId="1283F0D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88" w:type="dxa"/>
            <w:shd w:val="clear" w:color="auto" w:fill="C4EFCE"/>
            <w:tcMar>
              <w:left w:w="28" w:type="dxa"/>
              <w:right w:w="28" w:type="dxa"/>
            </w:tcMar>
            <w:vAlign w:val="center"/>
          </w:tcPr>
          <w:p w14:paraId="6ABA1CA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tcMar>
              <w:left w:w="28" w:type="dxa"/>
              <w:right w:w="28" w:type="dxa"/>
            </w:tcMar>
            <w:vAlign w:val="center"/>
          </w:tcPr>
          <w:p w14:paraId="00EAECC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tcMar>
              <w:left w:w="28" w:type="dxa"/>
              <w:right w:w="28" w:type="dxa"/>
            </w:tcMar>
            <w:vAlign w:val="center"/>
          </w:tcPr>
          <w:p w14:paraId="4F8A05D3" w14:textId="7F6CB76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845" w:type="dxa"/>
            <w:shd w:val="clear" w:color="auto" w:fill="C4EFCE"/>
            <w:tcMar>
              <w:left w:w="28" w:type="dxa"/>
              <w:right w:w="28" w:type="dxa"/>
            </w:tcMar>
            <w:vAlign w:val="center"/>
          </w:tcPr>
          <w:p w14:paraId="7D0E5BB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4277" w:type="dxa"/>
            <w:shd w:val="clear" w:color="auto" w:fill="C4EFCE"/>
            <w:tcMar>
              <w:left w:w="28" w:type="dxa"/>
              <w:right w:w="28" w:type="dxa"/>
            </w:tcMar>
            <w:vAlign w:val="center"/>
          </w:tcPr>
          <w:p w14:paraId="2AE0C47C" w14:textId="708E73B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Národná stratégia boja proti chudobe (ENCP) poskytuje rámec pre tematické intervencie pre osobitné skupiny od detstva po starobu vrátane najzraniteľnejších skupín. Stanovujú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ňom podmienky rozvoja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vykonávania integrovaných politík zameraných na špecifiká sociálneho vylúčenia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chudoby na miestnej úrovni. Okrem toho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ňom nariaďuje aj vytvorenie jednotného rámca na monitorovanie ukazovateľov súvisiacich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chudobou.</w:t>
            </w:r>
          </w:p>
        </w:tc>
      </w:tr>
      <w:tr w:rsidR="00387C70" w:rsidRPr="003F23AC" w14:paraId="533F5B1E" w14:textId="77777777" w:rsidTr="00A26F8D">
        <w:trPr>
          <w:trHeight w:val="290"/>
        </w:trPr>
        <w:tc>
          <w:tcPr>
            <w:tcW w:w="1124" w:type="dxa"/>
            <w:shd w:val="clear" w:color="auto" w:fill="C5EFCE"/>
            <w:tcMar>
              <w:left w:w="28" w:type="dxa"/>
              <w:right w:w="28" w:type="dxa"/>
            </w:tcMar>
            <w:vAlign w:val="center"/>
            <w:hideMark/>
          </w:tcPr>
          <w:p w14:paraId="7544455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3.21</w:t>
            </w:r>
          </w:p>
        </w:tc>
        <w:tc>
          <w:tcPr>
            <w:tcW w:w="1143" w:type="dxa"/>
            <w:shd w:val="clear" w:color="auto" w:fill="C4EFCE"/>
            <w:tcMar>
              <w:left w:w="28" w:type="dxa"/>
              <w:right w:w="28" w:type="dxa"/>
            </w:tcMar>
            <w:vAlign w:val="center"/>
            <w:hideMark/>
          </w:tcPr>
          <w:p w14:paraId="57253209" w14:textId="0E194AC0"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C03-r06</w:t>
            </w:r>
          </w:p>
        </w:tc>
        <w:tc>
          <w:tcPr>
            <w:tcW w:w="982" w:type="dxa"/>
            <w:shd w:val="clear" w:color="auto" w:fill="C4EFCE"/>
            <w:tcMar>
              <w:left w:w="28" w:type="dxa"/>
              <w:right w:w="28" w:type="dxa"/>
            </w:tcMar>
            <w:vAlign w:val="center"/>
            <w:hideMark/>
          </w:tcPr>
          <w:p w14:paraId="48FD60D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40" w:type="dxa"/>
            <w:shd w:val="clear" w:color="auto" w:fill="C4EFCE"/>
            <w:tcMar>
              <w:left w:w="28" w:type="dxa"/>
              <w:right w:w="28" w:type="dxa"/>
            </w:tcMar>
            <w:vAlign w:val="center"/>
            <w:hideMark/>
          </w:tcPr>
          <w:p w14:paraId="3B79866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národnej stratégie začleňovania osôb so zdravotným postihnutím na roky 2021 – 2025</w:t>
            </w:r>
          </w:p>
        </w:tc>
        <w:tc>
          <w:tcPr>
            <w:tcW w:w="1486" w:type="dxa"/>
            <w:shd w:val="clear" w:color="auto" w:fill="C4EFCE"/>
            <w:tcMar>
              <w:left w:w="28" w:type="dxa"/>
              <w:right w:w="28" w:type="dxa"/>
            </w:tcMar>
            <w:vAlign w:val="center"/>
            <w:hideMark/>
          </w:tcPr>
          <w:p w14:paraId="4025026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národnej stratégie začleňovania osôb so zdravotným postihnutím na roky 2021 – 2025</w:t>
            </w:r>
          </w:p>
        </w:tc>
        <w:tc>
          <w:tcPr>
            <w:tcW w:w="840" w:type="dxa"/>
            <w:shd w:val="clear" w:color="auto" w:fill="C4EFCE"/>
            <w:tcMar>
              <w:left w:w="28" w:type="dxa"/>
              <w:right w:w="28" w:type="dxa"/>
            </w:tcMar>
            <w:vAlign w:val="center"/>
            <w:hideMark/>
          </w:tcPr>
          <w:p w14:paraId="66D9974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88" w:type="dxa"/>
            <w:shd w:val="clear" w:color="auto" w:fill="C4EFCE"/>
            <w:tcMar>
              <w:left w:w="28" w:type="dxa"/>
              <w:right w:w="28" w:type="dxa"/>
            </w:tcMar>
            <w:vAlign w:val="center"/>
            <w:hideMark/>
          </w:tcPr>
          <w:p w14:paraId="448DA70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tcMar>
              <w:left w:w="28" w:type="dxa"/>
              <w:right w:w="28" w:type="dxa"/>
            </w:tcMar>
            <w:vAlign w:val="center"/>
            <w:hideMark/>
          </w:tcPr>
          <w:p w14:paraId="094CC94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tcMar>
              <w:left w:w="28" w:type="dxa"/>
              <w:right w:w="28" w:type="dxa"/>
            </w:tcMar>
            <w:vAlign w:val="center"/>
            <w:hideMark/>
          </w:tcPr>
          <w:p w14:paraId="61D167B3" w14:textId="6DD8ACD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hideMark/>
          </w:tcPr>
          <w:p w14:paraId="39843AD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4277" w:type="dxa"/>
            <w:shd w:val="clear" w:color="auto" w:fill="C4EFCE"/>
            <w:tcMar>
              <w:left w:w="28" w:type="dxa"/>
              <w:right w:w="28" w:type="dxa"/>
            </w:tcMar>
            <w:vAlign w:val="center"/>
            <w:hideMark/>
          </w:tcPr>
          <w:p w14:paraId="049B867A"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Národná stratégia začleňovania osôb so zdravotným postihnutím vytvorí podmienky pre</w:t>
            </w:r>
            <w:r w:rsidR="00A75B3C" w:rsidRPr="003F23AC">
              <w:rPr>
                <w:rFonts w:ascii="Times New Roman" w:hAnsi="Times New Roman" w:cs="Times New Roman"/>
                <w:noProof/>
                <w:lang w:val="sk-SK"/>
              </w:rPr>
              <w:t>:</w:t>
            </w:r>
          </w:p>
          <w:p w14:paraId="6D8D5E2D" w14:textId="7C42BBB4" w:rsidR="00A75B3C" w:rsidRPr="003F23AC" w:rsidRDefault="000F5AA4" w:rsidP="003F23AC">
            <w:pPr>
              <w:spacing w:after="0" w:line="240" w:lineRule="auto"/>
              <w:jc w:val="both"/>
              <w:rPr>
                <w:rFonts w:ascii="Times New Roman" w:hAnsi="Times New Roman" w:cs="Times New Roman"/>
                <w:noProof/>
                <w:sz w:val="16"/>
                <w:lang w:val="sk-SK"/>
              </w:rPr>
            </w:pPr>
            <w:r w:rsidRPr="003F23AC">
              <w:rPr>
                <w:rFonts w:ascii="Times New Roman" w:hAnsi="Times New Roman" w:cs="Times New Roman"/>
                <w:noProof/>
                <w:sz w:val="16"/>
                <w:lang w:val="sk-SK"/>
              </w:rPr>
              <w:t>•</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nový systém posudzovania zdravotného postihnutia</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certifikácie</w:t>
            </w:r>
            <w:r w:rsidR="00A75B3C" w:rsidRPr="003F23AC">
              <w:rPr>
                <w:rFonts w:ascii="Times New Roman" w:hAnsi="Times New Roman" w:cs="Times New Roman"/>
                <w:noProof/>
                <w:sz w:val="16"/>
                <w:lang w:val="sk-SK"/>
              </w:rPr>
              <w:t>;</w:t>
            </w:r>
          </w:p>
          <w:p w14:paraId="5F5D7B37" w14:textId="2C64B5DF" w:rsidR="00A75B3C" w:rsidRPr="003F23AC" w:rsidRDefault="000F5AA4" w:rsidP="003F23AC">
            <w:pPr>
              <w:spacing w:after="0" w:line="240" w:lineRule="auto"/>
              <w:jc w:val="both"/>
              <w:rPr>
                <w:rFonts w:ascii="Times New Roman" w:hAnsi="Times New Roman" w:cs="Times New Roman"/>
                <w:noProof/>
                <w:sz w:val="16"/>
                <w:lang w:val="sk-SK"/>
              </w:rPr>
            </w:pPr>
            <w:r w:rsidRPr="003F23AC">
              <w:rPr>
                <w:rFonts w:ascii="Times New Roman" w:hAnsi="Times New Roman" w:cs="Times New Roman"/>
                <w:noProof/>
                <w:sz w:val="16"/>
                <w:lang w:val="sk-SK"/>
              </w:rPr>
              <w:t>•</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nový systém zberu</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spracovania údajov</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organizácie informácií týkajúcich sa zdravotného postihnutia na podporu rozhodovania</w:t>
            </w:r>
            <w:r w:rsidR="00A75B3C" w:rsidRPr="003F23AC">
              <w:rPr>
                <w:rFonts w:ascii="Times New Roman" w:hAnsi="Times New Roman" w:cs="Times New Roman"/>
                <w:noProof/>
                <w:sz w:val="16"/>
                <w:lang w:val="sk-SK"/>
              </w:rPr>
              <w:t>;</w:t>
            </w:r>
          </w:p>
          <w:p w14:paraId="6C12A290" w14:textId="6362C647" w:rsidR="00387C70" w:rsidRPr="003F23AC" w:rsidRDefault="000F5AA4" w:rsidP="003F23AC">
            <w:pPr>
              <w:spacing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kvalifikácie zásahov na verejných priestranstvách;</w:t>
            </w:r>
          </w:p>
          <w:p w14:paraId="090CA10D" w14:textId="185732EA" w:rsidR="00387C70" w:rsidRPr="003F23AC" w:rsidRDefault="000F5AA4" w:rsidP="003F23AC">
            <w:pPr>
              <w:spacing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začlenenie osôb so zdravotným postihnutím do rozhodnutí, opatrení, programov</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projektov;</w:t>
            </w:r>
          </w:p>
          <w:p w14:paraId="47358F4D" w14:textId="77777777" w:rsidR="00387C70" w:rsidRPr="003F23AC" w:rsidRDefault="000F5AA4" w:rsidP="003F23AC">
            <w:pPr>
              <w:spacing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rozšírenie modelu podpory nezávislého života, ktorý poskytuje osobnú asistenciu osobám so zdravotným postihnutím;</w:t>
            </w:r>
          </w:p>
          <w:p w14:paraId="20D2D4ED" w14:textId="5DF770F3" w:rsidR="00387C70" w:rsidRPr="003F23AC" w:rsidRDefault="000F5AA4" w:rsidP="003F23AC">
            <w:pPr>
              <w:spacing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úprava systému odbornej prípravy, zamestnania</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kvalifikácie osôb so zdravotným postihnutím.</w:t>
            </w:r>
          </w:p>
        </w:tc>
      </w:tr>
      <w:tr w:rsidR="00387C70" w:rsidRPr="003F23AC" w14:paraId="259EB076" w14:textId="77777777" w:rsidTr="00A26F8D">
        <w:trPr>
          <w:trHeight w:val="1060"/>
        </w:trPr>
        <w:tc>
          <w:tcPr>
            <w:tcW w:w="1124" w:type="dxa"/>
            <w:shd w:val="clear" w:color="auto" w:fill="C5EFCE"/>
            <w:tcMar>
              <w:left w:w="28" w:type="dxa"/>
              <w:right w:w="28" w:type="dxa"/>
            </w:tcMar>
            <w:vAlign w:val="center"/>
            <w:hideMark/>
          </w:tcPr>
          <w:p w14:paraId="26DEA24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3.22</w:t>
            </w:r>
          </w:p>
        </w:tc>
        <w:tc>
          <w:tcPr>
            <w:tcW w:w="1143" w:type="dxa"/>
            <w:shd w:val="clear" w:color="auto" w:fill="C4EFCE"/>
            <w:tcMar>
              <w:left w:w="28" w:type="dxa"/>
              <w:right w:w="28" w:type="dxa"/>
            </w:tcMar>
            <w:vAlign w:val="center"/>
            <w:hideMark/>
          </w:tcPr>
          <w:p w14:paraId="46042C8C" w14:textId="13B95BD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C03-r05</w:t>
            </w:r>
          </w:p>
        </w:tc>
        <w:tc>
          <w:tcPr>
            <w:tcW w:w="982" w:type="dxa"/>
            <w:shd w:val="clear" w:color="auto" w:fill="C4EFCE"/>
            <w:tcMar>
              <w:left w:w="28" w:type="dxa"/>
              <w:right w:w="28" w:type="dxa"/>
            </w:tcMar>
            <w:vAlign w:val="center"/>
            <w:hideMark/>
          </w:tcPr>
          <w:p w14:paraId="292DDDE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40" w:type="dxa"/>
            <w:shd w:val="clear" w:color="auto" w:fill="C4EFCE"/>
            <w:tcMar>
              <w:left w:w="28" w:type="dxa"/>
              <w:right w:w="28" w:type="dxa"/>
            </w:tcMar>
            <w:vAlign w:val="center"/>
            <w:hideMark/>
          </w:tcPr>
          <w:p w14:paraId="5FA61DF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zjednodušeného režimu inštalácií sociálneho vybavenia</w:t>
            </w:r>
          </w:p>
        </w:tc>
        <w:tc>
          <w:tcPr>
            <w:tcW w:w="1486" w:type="dxa"/>
            <w:shd w:val="clear" w:color="auto" w:fill="C4EFCE"/>
            <w:tcMar>
              <w:left w:w="28" w:type="dxa"/>
              <w:right w:w="28" w:type="dxa"/>
            </w:tcMar>
            <w:vAlign w:val="center"/>
            <w:hideMark/>
          </w:tcPr>
          <w:p w14:paraId="02D75D2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zjednodušeného režimu inštalácií sociálneho vybavenia</w:t>
            </w:r>
          </w:p>
        </w:tc>
        <w:tc>
          <w:tcPr>
            <w:tcW w:w="840" w:type="dxa"/>
            <w:shd w:val="clear" w:color="auto" w:fill="C4EFCE"/>
            <w:tcMar>
              <w:left w:w="28" w:type="dxa"/>
              <w:right w:w="28" w:type="dxa"/>
            </w:tcMar>
            <w:vAlign w:val="center"/>
            <w:hideMark/>
          </w:tcPr>
          <w:p w14:paraId="1B1E4AC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88" w:type="dxa"/>
            <w:shd w:val="clear" w:color="auto" w:fill="C4EFCE"/>
            <w:tcMar>
              <w:left w:w="28" w:type="dxa"/>
              <w:right w:w="28" w:type="dxa"/>
            </w:tcMar>
            <w:vAlign w:val="center"/>
            <w:hideMark/>
          </w:tcPr>
          <w:p w14:paraId="7427C6C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tcMar>
              <w:left w:w="28" w:type="dxa"/>
              <w:right w:w="28" w:type="dxa"/>
            </w:tcMar>
            <w:vAlign w:val="center"/>
            <w:hideMark/>
          </w:tcPr>
          <w:p w14:paraId="3501B54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tcMar>
              <w:left w:w="28" w:type="dxa"/>
              <w:right w:w="28" w:type="dxa"/>
            </w:tcMar>
            <w:vAlign w:val="center"/>
            <w:hideMark/>
          </w:tcPr>
          <w:p w14:paraId="1D936D49" w14:textId="391F6166"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hideMark/>
          </w:tcPr>
          <w:p w14:paraId="3BD447D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4277" w:type="dxa"/>
            <w:shd w:val="clear" w:color="auto" w:fill="C4EFCE"/>
            <w:tcMar>
              <w:left w:w="28" w:type="dxa"/>
              <w:right w:w="28" w:type="dxa"/>
            </w:tcMar>
            <w:vAlign w:val="center"/>
            <w:hideMark/>
          </w:tcPr>
          <w:p w14:paraId="59D5A18E" w14:textId="14A87629" w:rsidR="00387C70" w:rsidRPr="003F23AC" w:rsidRDefault="000F5AA4" w:rsidP="003F23AC">
            <w:pPr>
              <w:spacing w:before="40"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Nadobudnutie účinnosti zjednodušeného režimu inštalácií sociálneho vybavenia</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týmito charakteristikami</w:t>
            </w:r>
            <w:r w:rsidRPr="003F23AC">
              <w:rPr>
                <w:rFonts w:ascii="Times New Roman" w:hAnsi="Times New Roman" w:cs="Times New Roman"/>
                <w:noProof/>
                <w:lang w:val="sk-SK"/>
              </w:rPr>
              <w:br/>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Stanovenie licenčných</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legalizačných požiadaviek týkajúcich sa bytovej štruktúry pre staršie osoby, ktoré pôsobia nezákonne;</w:t>
            </w:r>
            <w:r w:rsidRPr="003F23AC">
              <w:rPr>
                <w:rFonts w:ascii="Times New Roman" w:hAnsi="Times New Roman" w:cs="Times New Roman"/>
                <w:noProof/>
                <w:lang w:val="sk-SK"/>
              </w:rPr>
              <w:br/>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Zavedenie kvalitatívnych kritérií</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službách</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sociálnych zariadeniach poskytujúcich starostlivosť;</w:t>
            </w:r>
          </w:p>
          <w:p w14:paraId="73A3AE3B" w14:textId="6162C9C8" w:rsidR="00387C70" w:rsidRPr="003F23AC" w:rsidRDefault="000F5AA4" w:rsidP="003F23AC">
            <w:pPr>
              <w:spacing w:before="40"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Vytvorenie rámca na zavedenie nových druhov sociálnych reakcií, ako je kolaboratívne bývanie</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nové modely domácej podpory</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cieľom uspokojiť rôzne potreby starších ľudí.</w:t>
            </w:r>
          </w:p>
          <w:p w14:paraId="696011FB" w14:textId="77777777" w:rsidR="00387C70" w:rsidRPr="003F23AC" w:rsidRDefault="00387C70" w:rsidP="003F23AC">
            <w:pPr>
              <w:spacing w:after="0" w:line="240" w:lineRule="auto"/>
              <w:jc w:val="both"/>
              <w:rPr>
                <w:rFonts w:ascii="Times New Roman" w:eastAsia="Times New Roman" w:hAnsi="Times New Roman" w:cs="Times New Roman"/>
                <w:noProof/>
                <w:sz w:val="16"/>
                <w:lang w:val="sk-SK"/>
              </w:rPr>
            </w:pPr>
          </w:p>
        </w:tc>
      </w:tr>
      <w:tr w:rsidR="00387C70" w:rsidRPr="003F23AC" w14:paraId="4AAC7737" w14:textId="77777777" w:rsidTr="00A26F8D">
        <w:trPr>
          <w:trHeight w:val="1470"/>
        </w:trPr>
        <w:tc>
          <w:tcPr>
            <w:tcW w:w="1124" w:type="dxa"/>
            <w:shd w:val="clear" w:color="auto" w:fill="C5EFCE"/>
            <w:tcMar>
              <w:left w:w="28" w:type="dxa"/>
              <w:right w:w="28" w:type="dxa"/>
            </w:tcMar>
            <w:vAlign w:val="center"/>
            <w:hideMark/>
          </w:tcPr>
          <w:p w14:paraId="53E47662"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3.23</w:t>
            </w:r>
          </w:p>
        </w:tc>
        <w:tc>
          <w:tcPr>
            <w:tcW w:w="1143" w:type="dxa"/>
            <w:shd w:val="clear" w:color="auto" w:fill="C4EFCE"/>
            <w:tcMar>
              <w:left w:w="28" w:type="dxa"/>
              <w:right w:w="28" w:type="dxa"/>
            </w:tcMar>
            <w:vAlign w:val="center"/>
            <w:hideMark/>
          </w:tcPr>
          <w:p w14:paraId="7E9E6D6E" w14:textId="55AAE3EB"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C03-r07</w:t>
            </w:r>
          </w:p>
        </w:tc>
        <w:tc>
          <w:tcPr>
            <w:tcW w:w="982" w:type="dxa"/>
            <w:shd w:val="clear" w:color="auto" w:fill="C4EFCE"/>
            <w:tcMar>
              <w:left w:w="28" w:type="dxa"/>
              <w:right w:w="28" w:type="dxa"/>
            </w:tcMar>
            <w:vAlign w:val="center"/>
            <w:hideMark/>
          </w:tcPr>
          <w:p w14:paraId="1ED9216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40" w:type="dxa"/>
            <w:shd w:val="clear" w:color="auto" w:fill="C4EFCE"/>
            <w:tcMar>
              <w:left w:w="28" w:type="dxa"/>
              <w:right w:w="28" w:type="dxa"/>
            </w:tcMar>
            <w:vAlign w:val="center"/>
            <w:hideMark/>
          </w:tcPr>
          <w:p w14:paraId="0AE24901" w14:textId="3330596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Schválenie akčných plánov pre znevýhodnené komunity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metropolitných oblastiach Lisabon</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Porto</w:t>
            </w:r>
          </w:p>
        </w:tc>
        <w:tc>
          <w:tcPr>
            <w:tcW w:w="1486" w:type="dxa"/>
            <w:shd w:val="clear" w:color="auto" w:fill="C4EFCE"/>
            <w:tcMar>
              <w:left w:w="28" w:type="dxa"/>
              <w:right w:w="28" w:type="dxa"/>
            </w:tcMar>
            <w:vAlign w:val="center"/>
            <w:hideMark/>
          </w:tcPr>
          <w:p w14:paraId="261758C6" w14:textId="60DB141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Schválenie akčných plánov pre znevýhodnené komunity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metropolitných oblastiach Lisabon</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Porto pre dotknuté územia.</w:t>
            </w:r>
          </w:p>
        </w:tc>
        <w:tc>
          <w:tcPr>
            <w:tcW w:w="840" w:type="dxa"/>
            <w:shd w:val="clear" w:color="auto" w:fill="C4EFCE"/>
            <w:tcMar>
              <w:left w:w="28" w:type="dxa"/>
              <w:right w:w="28" w:type="dxa"/>
            </w:tcMar>
            <w:vAlign w:val="center"/>
            <w:hideMark/>
          </w:tcPr>
          <w:p w14:paraId="68B55A4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88" w:type="dxa"/>
            <w:shd w:val="clear" w:color="auto" w:fill="C4EFCE"/>
            <w:tcMar>
              <w:left w:w="28" w:type="dxa"/>
              <w:right w:w="28" w:type="dxa"/>
            </w:tcMar>
            <w:vAlign w:val="center"/>
            <w:hideMark/>
          </w:tcPr>
          <w:p w14:paraId="10543D8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tcMar>
              <w:left w:w="28" w:type="dxa"/>
              <w:right w:w="28" w:type="dxa"/>
            </w:tcMar>
            <w:vAlign w:val="center"/>
            <w:hideMark/>
          </w:tcPr>
          <w:p w14:paraId="0AC9AD6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tcMar>
              <w:left w:w="28" w:type="dxa"/>
              <w:right w:w="28" w:type="dxa"/>
            </w:tcMar>
            <w:vAlign w:val="center"/>
            <w:hideMark/>
          </w:tcPr>
          <w:p w14:paraId="760D1855" w14:textId="023E223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hideMark/>
          </w:tcPr>
          <w:p w14:paraId="6F6B7AA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4277" w:type="dxa"/>
            <w:shd w:val="clear" w:color="auto" w:fill="C4EFCE"/>
            <w:tcMar>
              <w:left w:w="28" w:type="dxa"/>
              <w:right w:w="28" w:type="dxa"/>
            </w:tcMar>
            <w:vAlign w:val="center"/>
            <w:hideMark/>
          </w:tcPr>
          <w:p w14:paraId="094C2ECF" w14:textId="0BCD3E2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Schválenie akčných plánov pre znevýhodnené komunity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metropolitných oblastiach Lisabon</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Porto. Akčné plány sa zameriavajú na dve hlavné oblasti: I) intervencie vo verejnom priestore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sociálnych infraštruktúrach, ako sú jasle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základné školy, zdravotnícke zariadenia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zariadenia pre kultúrne podujatia, workshopy a/alebo kurzy odbornej prípravy; II) intervencie nehmotného charakteru na podporu sociálnej súdržnosti, ako je aktívne zapojenie komunít do ich navrhovania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vykonávania, podpora podnikania malých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miestnych podnikov, navrhovanie projektov na boj proti neúspechu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škole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predčasnému ukončovaniu školskej dochádzky, ponuka odbornej prípravy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podpora športu. Zavedie sa model riadenia založený na zásadách viacúrovňového riadenia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zahŕňajúci rôznych aktérov od ústrednej štátnej správy až po miestne oblasti/susedstvá. Zároveň musia existovať miestne technické jednotky, ktoré sú prevádzkovým lídrom tohto modelu, aby sa podporila zodpovednosť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blízkosť pri riadení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plnení zmlúv.</w:t>
            </w:r>
          </w:p>
        </w:tc>
      </w:tr>
      <w:tr w:rsidR="00387C70" w:rsidRPr="003F23AC" w14:paraId="6A8DEB67" w14:textId="77777777" w:rsidTr="00A26F8D">
        <w:trPr>
          <w:trHeight w:val="54"/>
        </w:trPr>
        <w:tc>
          <w:tcPr>
            <w:tcW w:w="1124" w:type="dxa"/>
            <w:shd w:val="clear" w:color="auto" w:fill="C5EFCE"/>
            <w:tcMar>
              <w:left w:w="28" w:type="dxa"/>
              <w:right w:w="28" w:type="dxa"/>
            </w:tcMar>
            <w:vAlign w:val="center"/>
            <w:hideMark/>
          </w:tcPr>
          <w:p w14:paraId="2E2BCCE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3.24</w:t>
            </w:r>
          </w:p>
        </w:tc>
        <w:tc>
          <w:tcPr>
            <w:tcW w:w="1143" w:type="dxa"/>
            <w:shd w:val="clear" w:color="auto" w:fill="C4EFCE"/>
            <w:tcMar>
              <w:left w:w="28" w:type="dxa"/>
              <w:right w:w="28" w:type="dxa"/>
            </w:tcMar>
            <w:vAlign w:val="center"/>
            <w:hideMark/>
          </w:tcPr>
          <w:p w14:paraId="615FFB2A" w14:textId="66A39EFF" w:rsidR="00387C70" w:rsidRPr="003F23AC" w:rsidRDefault="00F218FC" w:rsidP="003F23AC">
            <w:pPr>
              <w:pStyle w:val="P68B1DB1-Normal9"/>
              <w:spacing w:after="0" w:line="240" w:lineRule="auto"/>
              <w:jc w:val="center"/>
              <w:rPr>
                <w:rFonts w:ascii="Times New Roman" w:eastAsia="Times New Roman" w:hAnsi="Times New Roman" w:cs="Times New Roman"/>
                <w:noProof/>
                <w:sz w:val="2"/>
                <w:lang w:val="sk-SK"/>
              </w:rPr>
            </w:pPr>
            <w:r w:rsidRPr="003F23AC">
              <w:rPr>
                <w:rFonts w:ascii="Times New Roman" w:hAnsi="Times New Roman" w:cs="Times New Roman"/>
                <w:noProof/>
                <w:sz w:val="16"/>
                <w:lang w:val="sk-SK"/>
              </w:rPr>
              <w:t>RE-</w:t>
            </w:r>
            <w:r w:rsidR="000F5AA4" w:rsidRPr="003F23AC">
              <w:rPr>
                <w:rFonts w:ascii="Times New Roman" w:hAnsi="Times New Roman" w:cs="Times New Roman"/>
                <w:noProof/>
                <w:sz w:val="16"/>
                <w:lang w:val="sk-SK"/>
              </w:rPr>
              <w:t>C03-i06</w:t>
            </w:r>
            <w:r w:rsidR="000F5AA4" w:rsidRPr="003F23AC">
              <w:rPr>
                <w:rFonts w:ascii="Times New Roman" w:hAnsi="Times New Roman" w:cs="Times New Roman"/>
                <w:noProof/>
                <w:sz w:val="2"/>
                <w:lang w:val="sk-SK"/>
              </w:rPr>
              <w:t xml:space="preserve"> </w:t>
            </w:r>
          </w:p>
        </w:tc>
        <w:tc>
          <w:tcPr>
            <w:tcW w:w="982" w:type="dxa"/>
            <w:shd w:val="clear" w:color="auto" w:fill="C4EFCE"/>
            <w:tcMar>
              <w:left w:w="28" w:type="dxa"/>
              <w:right w:w="28" w:type="dxa"/>
            </w:tcMar>
            <w:vAlign w:val="center"/>
            <w:hideMark/>
          </w:tcPr>
          <w:p w14:paraId="3A336285" w14:textId="340ADB5F" w:rsidR="00387C70" w:rsidRPr="003F23AC" w:rsidRDefault="000F5AA4" w:rsidP="003F23AC">
            <w:pPr>
              <w:pStyle w:val="P68B1DB1-Normal9"/>
              <w:spacing w:after="0" w:line="240" w:lineRule="auto"/>
              <w:jc w:val="center"/>
              <w:rPr>
                <w:rFonts w:ascii="Times New Roman" w:eastAsia="Times New Roman" w:hAnsi="Times New Roman" w:cs="Times New Roman"/>
                <w:noProof/>
                <w:sz w:val="2"/>
                <w:lang w:val="sk-SK"/>
              </w:rPr>
            </w:pPr>
            <w:r w:rsidRPr="003F23AC">
              <w:rPr>
                <w:rFonts w:ascii="Times New Roman" w:hAnsi="Times New Roman" w:cs="Times New Roman"/>
                <w:noProof/>
                <w:sz w:val="16"/>
                <w:lang w:val="sk-SK"/>
              </w:rPr>
              <w:t>M</w:t>
            </w:r>
            <w:r w:rsidRPr="003F23AC">
              <w:rPr>
                <w:rFonts w:ascii="Times New Roman" w:hAnsi="Times New Roman" w:cs="Times New Roman"/>
                <w:noProof/>
                <w:sz w:val="2"/>
                <w:lang w:val="sk-SK"/>
              </w:rPr>
              <w:t xml:space="preserve"> </w:t>
            </w:r>
          </w:p>
        </w:tc>
        <w:tc>
          <w:tcPr>
            <w:tcW w:w="1740" w:type="dxa"/>
            <w:shd w:val="clear" w:color="auto" w:fill="C4EFCE"/>
            <w:tcMar>
              <w:left w:w="28" w:type="dxa"/>
              <w:right w:w="28" w:type="dxa"/>
            </w:tcMar>
            <w:vAlign w:val="center"/>
            <w:hideMark/>
          </w:tcPr>
          <w:p w14:paraId="60576BD2" w14:textId="302A3CFD" w:rsidR="00387C70" w:rsidRPr="003F23AC" w:rsidRDefault="000F5AA4" w:rsidP="003F23AC">
            <w:pPr>
              <w:pStyle w:val="P68B1DB1-Normal9"/>
              <w:spacing w:after="0" w:line="240" w:lineRule="auto"/>
              <w:jc w:val="center"/>
              <w:rPr>
                <w:rFonts w:ascii="Times New Roman" w:eastAsia="Times New Roman" w:hAnsi="Times New Roman" w:cs="Times New Roman"/>
                <w:noProof/>
                <w:sz w:val="2"/>
                <w:lang w:val="sk-SK"/>
              </w:rPr>
            </w:pPr>
            <w:r w:rsidRPr="003F23AC">
              <w:rPr>
                <w:rFonts w:ascii="Times New Roman" w:hAnsi="Times New Roman" w:cs="Times New Roman"/>
                <w:noProof/>
                <w:sz w:val="16"/>
                <w:lang w:val="sk-SK"/>
              </w:rPr>
              <w:t>Podpísanie dohôd medzi mestami Lisabon/Porto</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miestnymi technickými jednotkami,</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ktorých sa vymedzuje rozsah opatrení, ktoré sa majú podporiť.</w:t>
            </w:r>
            <w:r w:rsidRPr="003F23AC">
              <w:rPr>
                <w:rFonts w:ascii="Times New Roman" w:hAnsi="Times New Roman" w:cs="Times New Roman"/>
                <w:noProof/>
                <w:sz w:val="2"/>
                <w:lang w:val="sk-SK"/>
              </w:rPr>
              <w:t xml:space="preserve"> </w:t>
            </w:r>
          </w:p>
        </w:tc>
        <w:tc>
          <w:tcPr>
            <w:tcW w:w="1486" w:type="dxa"/>
            <w:shd w:val="clear" w:color="auto" w:fill="C4EFCE"/>
            <w:tcMar>
              <w:left w:w="28" w:type="dxa"/>
              <w:right w:w="28" w:type="dxa"/>
            </w:tcMar>
            <w:vAlign w:val="center"/>
            <w:hideMark/>
          </w:tcPr>
          <w:p w14:paraId="14D03986" w14:textId="322D31D4" w:rsidR="00387C70" w:rsidRPr="003F23AC" w:rsidRDefault="000F5AA4" w:rsidP="003F23AC">
            <w:pPr>
              <w:pStyle w:val="P68B1DB1-Normal9"/>
              <w:spacing w:after="0" w:line="240" w:lineRule="auto"/>
              <w:jc w:val="center"/>
              <w:rPr>
                <w:rFonts w:ascii="Times New Roman" w:eastAsia="Times New Roman" w:hAnsi="Times New Roman" w:cs="Times New Roman"/>
                <w:noProof/>
                <w:sz w:val="2"/>
                <w:lang w:val="sk-SK"/>
              </w:rPr>
            </w:pPr>
            <w:r w:rsidRPr="003F23AC">
              <w:rPr>
                <w:rFonts w:ascii="Times New Roman" w:hAnsi="Times New Roman" w:cs="Times New Roman"/>
                <w:noProof/>
                <w:sz w:val="16"/>
                <w:lang w:val="sk-SK"/>
              </w:rPr>
              <w:t>Podpísanie dohôd</w:t>
            </w:r>
            <w:r w:rsidR="00A75B3C" w:rsidRPr="003F23AC">
              <w:rPr>
                <w:rFonts w:ascii="Times New Roman" w:hAnsi="Times New Roman" w:cs="Times New Roman"/>
                <w:noProof/>
                <w:sz w:val="16"/>
                <w:lang w:val="sk-SK"/>
              </w:rPr>
              <w:t xml:space="preserve"> o </w:t>
            </w:r>
            <w:r w:rsidRPr="003F23AC">
              <w:rPr>
                <w:rFonts w:ascii="Times New Roman" w:hAnsi="Times New Roman" w:cs="Times New Roman"/>
                <w:noProof/>
                <w:sz w:val="16"/>
                <w:lang w:val="sk-SK"/>
              </w:rPr>
              <w:t>plánoch týkajúcich sa 12 oblastí intervencie</w:t>
            </w:r>
            <w:r w:rsidRPr="003F23AC">
              <w:rPr>
                <w:rFonts w:ascii="Times New Roman" w:hAnsi="Times New Roman" w:cs="Times New Roman"/>
                <w:noProof/>
                <w:sz w:val="2"/>
                <w:lang w:val="sk-SK"/>
              </w:rPr>
              <w:t xml:space="preserve"> </w:t>
            </w:r>
          </w:p>
        </w:tc>
        <w:tc>
          <w:tcPr>
            <w:tcW w:w="840" w:type="dxa"/>
            <w:shd w:val="clear" w:color="auto" w:fill="C4EFCE"/>
            <w:tcMar>
              <w:left w:w="28" w:type="dxa"/>
              <w:right w:w="28" w:type="dxa"/>
            </w:tcMar>
            <w:vAlign w:val="center"/>
            <w:hideMark/>
          </w:tcPr>
          <w:p w14:paraId="133B822E" w14:textId="77777777" w:rsidR="00387C70" w:rsidRPr="003F23AC" w:rsidRDefault="000F5AA4" w:rsidP="003F23AC">
            <w:pPr>
              <w:pStyle w:val="P68B1DB1-Normal15"/>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88" w:type="dxa"/>
            <w:shd w:val="clear" w:color="auto" w:fill="C4EFCE"/>
            <w:tcMar>
              <w:left w:w="28" w:type="dxa"/>
              <w:right w:w="28" w:type="dxa"/>
            </w:tcMar>
            <w:vAlign w:val="center"/>
            <w:hideMark/>
          </w:tcPr>
          <w:p w14:paraId="6CFDD089" w14:textId="77777777" w:rsidR="00387C70" w:rsidRPr="003F23AC" w:rsidRDefault="000F5AA4" w:rsidP="003F23AC">
            <w:pPr>
              <w:pStyle w:val="P68B1DB1-Normal15"/>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tcMar>
              <w:left w:w="28" w:type="dxa"/>
              <w:right w:w="28" w:type="dxa"/>
            </w:tcMar>
            <w:vAlign w:val="center"/>
            <w:hideMark/>
          </w:tcPr>
          <w:p w14:paraId="60360FF4" w14:textId="77777777" w:rsidR="00387C70" w:rsidRPr="003F23AC" w:rsidRDefault="000F5AA4" w:rsidP="003F23AC">
            <w:pPr>
              <w:pStyle w:val="P68B1DB1-Normal15"/>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tcMar>
              <w:left w:w="28" w:type="dxa"/>
              <w:right w:w="28" w:type="dxa"/>
            </w:tcMar>
            <w:vAlign w:val="center"/>
            <w:hideMark/>
          </w:tcPr>
          <w:p w14:paraId="150EEAF8" w14:textId="35A4A36E" w:rsidR="00387C70" w:rsidRPr="003F23AC" w:rsidRDefault="00FF0A91" w:rsidP="003F23AC">
            <w:pPr>
              <w:pStyle w:val="P68B1DB1-Normal9"/>
              <w:spacing w:after="0" w:line="240" w:lineRule="auto"/>
              <w:jc w:val="center"/>
              <w:rPr>
                <w:rFonts w:ascii="Times New Roman" w:eastAsia="Times New Roman" w:hAnsi="Times New Roman" w:cs="Times New Roman"/>
                <w:noProof/>
                <w:sz w:val="2"/>
                <w:lang w:val="sk-SK"/>
              </w:rPr>
            </w:pPr>
            <w:r w:rsidRPr="003F23AC">
              <w:rPr>
                <w:rFonts w:ascii="Times New Roman" w:hAnsi="Times New Roman" w:cs="Times New Roman"/>
                <w:noProof/>
                <w:sz w:val="16"/>
                <w:lang w:val="sk-SK"/>
              </w:rPr>
              <w:t>1. štvrťrok</w:t>
            </w:r>
            <w:r w:rsidR="000F5AA4" w:rsidRPr="003F23AC">
              <w:rPr>
                <w:rFonts w:ascii="Times New Roman" w:hAnsi="Times New Roman" w:cs="Times New Roman"/>
                <w:noProof/>
                <w:sz w:val="2"/>
                <w:lang w:val="sk-SK"/>
              </w:rPr>
              <w:t xml:space="preserve"> </w:t>
            </w:r>
          </w:p>
        </w:tc>
        <w:tc>
          <w:tcPr>
            <w:tcW w:w="845" w:type="dxa"/>
            <w:shd w:val="clear" w:color="auto" w:fill="C4EFCE"/>
            <w:tcMar>
              <w:left w:w="28" w:type="dxa"/>
              <w:right w:w="28" w:type="dxa"/>
            </w:tcMar>
            <w:vAlign w:val="center"/>
            <w:hideMark/>
          </w:tcPr>
          <w:p w14:paraId="7858F213" w14:textId="0BA23128" w:rsidR="00387C70" w:rsidRPr="003F23AC" w:rsidRDefault="000F5AA4" w:rsidP="003F23AC">
            <w:pPr>
              <w:pStyle w:val="P68B1DB1-Normal9"/>
              <w:spacing w:after="0" w:line="240" w:lineRule="auto"/>
              <w:jc w:val="center"/>
              <w:rPr>
                <w:rFonts w:ascii="Times New Roman" w:eastAsia="Times New Roman" w:hAnsi="Times New Roman" w:cs="Times New Roman"/>
                <w:noProof/>
                <w:sz w:val="2"/>
                <w:lang w:val="sk-SK"/>
              </w:rPr>
            </w:pPr>
            <w:r w:rsidRPr="003F23AC">
              <w:rPr>
                <w:rFonts w:ascii="Times New Roman" w:hAnsi="Times New Roman" w:cs="Times New Roman"/>
                <w:noProof/>
                <w:sz w:val="16"/>
                <w:lang w:val="sk-SK"/>
              </w:rPr>
              <w:t>2022</w:t>
            </w:r>
            <w:r w:rsidRPr="003F23AC">
              <w:rPr>
                <w:rFonts w:ascii="Times New Roman" w:hAnsi="Times New Roman" w:cs="Times New Roman"/>
                <w:noProof/>
                <w:sz w:val="2"/>
                <w:lang w:val="sk-SK"/>
              </w:rPr>
              <w:t xml:space="preserve"> </w:t>
            </w:r>
          </w:p>
        </w:tc>
        <w:tc>
          <w:tcPr>
            <w:tcW w:w="4277" w:type="dxa"/>
            <w:shd w:val="clear" w:color="auto" w:fill="C4EFCE"/>
            <w:tcMar>
              <w:left w:w="28" w:type="dxa"/>
              <w:right w:w="28" w:type="dxa"/>
            </w:tcMar>
            <w:vAlign w:val="center"/>
            <w:hideMark/>
          </w:tcPr>
          <w:p w14:paraId="074BB5C5" w14:textId="77777777" w:rsidR="00387C70" w:rsidRPr="003F23AC" w:rsidRDefault="00387C70" w:rsidP="003F23AC">
            <w:pPr>
              <w:spacing w:after="0" w:line="240" w:lineRule="auto"/>
              <w:jc w:val="both"/>
              <w:rPr>
                <w:rFonts w:ascii="Times New Roman" w:eastAsia="Times New Roman" w:hAnsi="Times New Roman" w:cs="Times New Roman"/>
                <w:noProof/>
                <w:sz w:val="2"/>
                <w:lang w:val="sk-SK"/>
              </w:rPr>
            </w:pPr>
          </w:p>
          <w:p w14:paraId="7606E7D1" w14:textId="069E01AE"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Podpísanie dohôd medzi metropolitnými oblasťami Porto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Lisabon</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miestnymi technickými jednotkami zodpovednými za každú</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12 oblastí intervencie (t. j. štvrte),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ktorých sa vymedzuje rozsah opatrení, ktoré sa majú podporiť, harmonogram ich vykonávania, pridelená rozpočtová podpora 225 miliónov EUR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vybrané ukazovatele výkonnosti. Podporované opatrenia patria do týchto kategórií</w:t>
            </w:r>
            <w:r w:rsidR="00A75B3C" w:rsidRPr="003F23AC">
              <w:rPr>
                <w:rFonts w:ascii="Times New Roman" w:hAnsi="Times New Roman" w:cs="Times New Roman"/>
                <w:noProof/>
                <w:lang w:val="sk-SK"/>
              </w:rPr>
              <w:t>:</w:t>
            </w:r>
          </w:p>
          <w:p w14:paraId="17B62751" w14:textId="52B1B9F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Podpora zdravia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kvality života komunít</w:t>
            </w:r>
          </w:p>
          <w:p w14:paraId="54898F6F" w14:textId="01E4CBF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Fyzická modernizácia verejného priestoru alebo posilnenie sociálnej, zdravotnej, bytovej alebo športovej infraštruktúry</w:t>
            </w:r>
          </w:p>
          <w:p w14:paraId="624EBE3B" w14:textId="4572A9E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Hospodárska obnova sociálne znevýhodnených oblastí</w:t>
            </w:r>
          </w:p>
          <w:p w14:paraId="5AEDB899" w14:textId="3A50B4D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Podnikanie malých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miestnych podnikov</w:t>
            </w:r>
          </w:p>
          <w:p w14:paraId="2618AB0D" w14:textId="3979179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zdravotnej starostlivosti, rozvoj zdravia komunít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boj proti závislostiam</w:t>
            </w:r>
          </w:p>
          <w:p w14:paraId="59E0A48F" w14:textId="50F7020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Programy aktívneho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zdravého starnutia</w:t>
            </w:r>
          </w:p>
          <w:p w14:paraId="464EC0E8" w14:textId="1C71F00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Projekty na boj proti neúspechu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škole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predčasnému ukončeniu školskej dochádzky</w:t>
            </w:r>
          </w:p>
          <w:p w14:paraId="5F6D5B68" w14:textId="596B9D8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Kvalifikácia dospelých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certifikácia zručností</w:t>
            </w:r>
          </w:p>
          <w:p w14:paraId="23C5A42E" w14:textId="4BF429B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Diagnostika potrieb obyvateľstva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rozvoj gramotnosti dospelých, vzdelávania portugalčiny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programov digitálnej integrácie</w:t>
            </w:r>
          </w:p>
          <w:p w14:paraId="29B4D76A"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 Odborné vzdelávanie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politiky</w:t>
            </w:r>
          </w:p>
          <w:p w14:paraId="5E141D96"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 Prístup ku kultúre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tvorivosti</w:t>
            </w:r>
          </w:p>
          <w:p w14:paraId="445DE787" w14:textId="19B8B56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Účasť Spoločenstva na riadení programu</w:t>
            </w:r>
          </w:p>
          <w:p w14:paraId="1541178C" w14:textId="3836898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Posilnenie postavenia miestnych aktérov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partnerských sieťach</w:t>
            </w:r>
          </w:p>
          <w:p w14:paraId="20F7BB6E" w14:textId="52C118B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Riešenia na boj proti chudobe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sociálnemu vylúčeniu</w:t>
            </w:r>
          </w:p>
          <w:p w14:paraId="41B06FE0" w14:textId="626AE11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Podpora športu</w:t>
            </w:r>
          </w:p>
          <w:p w14:paraId="652D8882" w14:textId="4BCC674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Občianstvo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právam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občianska účasť</w:t>
            </w:r>
          </w:p>
          <w:p w14:paraId="394A6176" w14:textId="316BED13" w:rsidR="00387C70" w:rsidRPr="003F23AC" w:rsidRDefault="00387C70" w:rsidP="003F23AC">
            <w:pPr>
              <w:spacing w:after="0" w:line="240" w:lineRule="auto"/>
              <w:jc w:val="both"/>
              <w:rPr>
                <w:rFonts w:ascii="Times New Roman" w:eastAsia="Times New Roman" w:hAnsi="Times New Roman" w:cs="Times New Roman"/>
                <w:noProof/>
                <w:sz w:val="16"/>
                <w:lang w:val="sk-SK"/>
              </w:rPr>
            </w:pPr>
          </w:p>
          <w:p w14:paraId="1472C29A" w14:textId="216774E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Referenčný rámec pre nadchádzajúce výzvy na predkladanie projektov zahŕňa kritériá oprávnenosti, ktorými sa zabezpečí, aby vybrané projekty boli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„výrazne nenarušiť“ (2021/C58/01)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p w14:paraId="7E890B92" w14:textId="3B827B04" w:rsidR="00387C70" w:rsidRPr="003F23AC" w:rsidRDefault="00387C70" w:rsidP="003F23AC">
            <w:pPr>
              <w:spacing w:after="0" w:line="240" w:lineRule="auto"/>
              <w:jc w:val="both"/>
              <w:rPr>
                <w:rFonts w:ascii="Times New Roman" w:eastAsia="Times New Roman" w:hAnsi="Times New Roman" w:cs="Times New Roman"/>
                <w:noProof/>
                <w:sz w:val="2"/>
                <w:lang w:val="sk-SK"/>
              </w:rPr>
            </w:pPr>
          </w:p>
        </w:tc>
      </w:tr>
      <w:tr w:rsidR="00387C70" w:rsidRPr="003F23AC" w14:paraId="4A758E18" w14:textId="77777777" w:rsidTr="00A26F8D">
        <w:trPr>
          <w:trHeight w:val="1610"/>
        </w:trPr>
        <w:tc>
          <w:tcPr>
            <w:tcW w:w="1124" w:type="dxa"/>
            <w:shd w:val="clear" w:color="auto" w:fill="C5EFCE"/>
            <w:tcMar>
              <w:left w:w="28" w:type="dxa"/>
              <w:right w:w="28" w:type="dxa"/>
            </w:tcMar>
            <w:vAlign w:val="center"/>
            <w:hideMark/>
          </w:tcPr>
          <w:p w14:paraId="497D636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3.25</w:t>
            </w:r>
          </w:p>
        </w:tc>
        <w:tc>
          <w:tcPr>
            <w:tcW w:w="1143" w:type="dxa"/>
            <w:shd w:val="clear" w:color="auto" w:fill="C4EFCE"/>
            <w:tcMar>
              <w:left w:w="28" w:type="dxa"/>
              <w:right w:w="28" w:type="dxa"/>
            </w:tcMar>
            <w:vAlign w:val="center"/>
            <w:hideMark/>
          </w:tcPr>
          <w:p w14:paraId="6A5AD6FB" w14:textId="5750DF2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C03-i06</w:t>
            </w:r>
          </w:p>
        </w:tc>
        <w:tc>
          <w:tcPr>
            <w:tcW w:w="982" w:type="dxa"/>
            <w:shd w:val="clear" w:color="auto" w:fill="C4EFCE"/>
            <w:tcMar>
              <w:left w:w="28" w:type="dxa"/>
              <w:right w:w="28" w:type="dxa"/>
            </w:tcMar>
            <w:vAlign w:val="center"/>
            <w:hideMark/>
          </w:tcPr>
          <w:p w14:paraId="39F64B5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40" w:type="dxa"/>
            <w:shd w:val="clear" w:color="auto" w:fill="C4EFCE"/>
            <w:tcMar>
              <w:left w:w="28" w:type="dxa"/>
              <w:right w:w="28" w:type="dxa"/>
            </w:tcMar>
            <w:vAlign w:val="center"/>
            <w:hideMark/>
          </w:tcPr>
          <w:p w14:paraId="38B59250" w14:textId="1153FCA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Uverejnenie monitorovacej správy metropolitných oblastí Porto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Lisabon</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opatreniach prijatých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každej</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12 oblastí intervencie.</w:t>
            </w:r>
          </w:p>
        </w:tc>
        <w:tc>
          <w:tcPr>
            <w:tcW w:w="1486" w:type="dxa"/>
            <w:shd w:val="clear" w:color="auto" w:fill="C4EFCE"/>
            <w:tcMar>
              <w:left w:w="28" w:type="dxa"/>
              <w:right w:w="28" w:type="dxa"/>
            </w:tcMar>
            <w:vAlign w:val="center"/>
            <w:hideMark/>
          </w:tcPr>
          <w:p w14:paraId="28BAE001" w14:textId="522391B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Uverejnenie monitorovacej správy metropolitných oblastí Porto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Lisabon</w:t>
            </w:r>
          </w:p>
        </w:tc>
        <w:tc>
          <w:tcPr>
            <w:tcW w:w="840" w:type="dxa"/>
            <w:shd w:val="clear" w:color="auto" w:fill="C4EFCE"/>
            <w:tcMar>
              <w:left w:w="28" w:type="dxa"/>
              <w:right w:w="28" w:type="dxa"/>
            </w:tcMar>
            <w:vAlign w:val="center"/>
            <w:hideMark/>
          </w:tcPr>
          <w:p w14:paraId="2430512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88" w:type="dxa"/>
            <w:shd w:val="clear" w:color="auto" w:fill="C4EFCE"/>
            <w:tcMar>
              <w:left w:w="28" w:type="dxa"/>
              <w:right w:w="28" w:type="dxa"/>
            </w:tcMar>
            <w:vAlign w:val="center"/>
            <w:hideMark/>
          </w:tcPr>
          <w:p w14:paraId="6CA5B68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tcMar>
              <w:left w:w="28" w:type="dxa"/>
              <w:right w:w="28" w:type="dxa"/>
            </w:tcMar>
            <w:vAlign w:val="center"/>
            <w:hideMark/>
          </w:tcPr>
          <w:p w14:paraId="2C5955A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tcMar>
              <w:left w:w="28" w:type="dxa"/>
              <w:right w:w="28" w:type="dxa"/>
            </w:tcMar>
            <w:vAlign w:val="center"/>
            <w:hideMark/>
          </w:tcPr>
          <w:p w14:paraId="7A38C3DB" w14:textId="4CAF6DA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845" w:type="dxa"/>
            <w:shd w:val="clear" w:color="auto" w:fill="C4EFCE"/>
            <w:tcMar>
              <w:left w:w="28" w:type="dxa"/>
              <w:right w:w="28" w:type="dxa"/>
            </w:tcMar>
            <w:vAlign w:val="center"/>
            <w:hideMark/>
          </w:tcPr>
          <w:p w14:paraId="6EBEABF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277" w:type="dxa"/>
            <w:shd w:val="clear" w:color="auto" w:fill="C4EFCE"/>
            <w:tcMar>
              <w:left w:w="28" w:type="dxa"/>
              <w:right w:w="28" w:type="dxa"/>
            </w:tcMar>
            <w:vAlign w:val="center"/>
            <w:hideMark/>
          </w:tcPr>
          <w:p w14:paraId="23D8AD1A" w14:textId="35B4B24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Uverejnenie monitorovacej správy metropolitných oblastí Porto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Lisabon,</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ktorej sa opisuje pokrok dosiahnutý pri vykonávaní opatrení financovaných programom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každej oblasti intervencie vrátane plnenia rozpočtu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výkonnosti na základe ukazovateľov zvolených pre každé opatrenie.</w:t>
            </w:r>
          </w:p>
        </w:tc>
      </w:tr>
      <w:tr w:rsidR="00387C70" w:rsidRPr="003F23AC" w14:paraId="729825A9" w14:textId="77777777" w:rsidTr="00A26F8D">
        <w:trPr>
          <w:trHeight w:val="1060"/>
        </w:trPr>
        <w:tc>
          <w:tcPr>
            <w:tcW w:w="1124" w:type="dxa"/>
            <w:shd w:val="clear" w:color="auto" w:fill="C4EFCE"/>
            <w:tcMar>
              <w:left w:w="28" w:type="dxa"/>
              <w:right w:w="28" w:type="dxa"/>
            </w:tcMar>
            <w:vAlign w:val="center"/>
            <w:hideMark/>
          </w:tcPr>
          <w:p w14:paraId="1AD90BC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3.26</w:t>
            </w:r>
          </w:p>
        </w:tc>
        <w:tc>
          <w:tcPr>
            <w:tcW w:w="1143" w:type="dxa"/>
            <w:shd w:val="clear" w:color="auto" w:fill="C4EFCE"/>
            <w:tcMar>
              <w:left w:w="28" w:type="dxa"/>
              <w:right w:w="28" w:type="dxa"/>
            </w:tcMar>
            <w:vAlign w:val="center"/>
            <w:hideMark/>
          </w:tcPr>
          <w:p w14:paraId="13A5C210" w14:textId="68FC02E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C03-i06</w:t>
            </w:r>
          </w:p>
        </w:tc>
        <w:tc>
          <w:tcPr>
            <w:tcW w:w="982" w:type="dxa"/>
            <w:shd w:val="clear" w:color="auto" w:fill="C4EFCE"/>
            <w:tcMar>
              <w:left w:w="28" w:type="dxa"/>
              <w:right w:w="28" w:type="dxa"/>
            </w:tcMar>
            <w:vAlign w:val="center"/>
            <w:hideMark/>
          </w:tcPr>
          <w:p w14:paraId="5912A173" w14:textId="416BDF23"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hideMark/>
          </w:tcPr>
          <w:p w14:paraId="3AC8971D" w14:textId="429F51F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Úplné vykonávanie aspoň 90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opatrení</w:t>
            </w:r>
          </w:p>
        </w:tc>
        <w:tc>
          <w:tcPr>
            <w:tcW w:w="1486" w:type="dxa"/>
            <w:shd w:val="clear" w:color="auto" w:fill="C4EFCE"/>
            <w:tcMar>
              <w:left w:w="28" w:type="dxa"/>
              <w:right w:w="28" w:type="dxa"/>
            </w:tcMar>
            <w:vAlign w:val="center"/>
            <w:hideMark/>
          </w:tcPr>
          <w:p w14:paraId="3C5A015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63F1225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w:t>
            </w:r>
          </w:p>
        </w:tc>
        <w:tc>
          <w:tcPr>
            <w:tcW w:w="1188" w:type="dxa"/>
            <w:shd w:val="clear" w:color="auto" w:fill="C4EFCE"/>
            <w:tcMar>
              <w:left w:w="28" w:type="dxa"/>
              <w:right w:w="28" w:type="dxa"/>
            </w:tcMar>
            <w:vAlign w:val="center"/>
            <w:hideMark/>
          </w:tcPr>
          <w:p w14:paraId="34C054D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73" w:type="dxa"/>
            <w:shd w:val="clear" w:color="auto" w:fill="C4EFCE"/>
            <w:tcMar>
              <w:left w:w="28" w:type="dxa"/>
              <w:right w:w="28" w:type="dxa"/>
            </w:tcMar>
            <w:vAlign w:val="center"/>
            <w:hideMark/>
          </w:tcPr>
          <w:p w14:paraId="51840DD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90</w:t>
            </w:r>
          </w:p>
        </w:tc>
        <w:tc>
          <w:tcPr>
            <w:tcW w:w="789" w:type="dxa"/>
            <w:shd w:val="clear" w:color="auto" w:fill="C4EFCE"/>
            <w:tcMar>
              <w:left w:w="28" w:type="dxa"/>
              <w:right w:w="28" w:type="dxa"/>
            </w:tcMar>
            <w:vAlign w:val="center"/>
            <w:hideMark/>
          </w:tcPr>
          <w:p w14:paraId="521367AA" w14:textId="681866A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845" w:type="dxa"/>
            <w:shd w:val="clear" w:color="auto" w:fill="C4EFCE"/>
            <w:tcMar>
              <w:left w:w="28" w:type="dxa"/>
              <w:right w:w="28" w:type="dxa"/>
            </w:tcMar>
            <w:vAlign w:val="center"/>
            <w:hideMark/>
          </w:tcPr>
          <w:p w14:paraId="4D7CC2F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77" w:type="dxa"/>
            <w:shd w:val="clear" w:color="auto" w:fill="C4EFCE"/>
            <w:tcMar>
              <w:left w:w="28" w:type="dxa"/>
              <w:right w:w="28" w:type="dxa"/>
            </w:tcMar>
            <w:vAlign w:val="center"/>
            <w:hideMark/>
          </w:tcPr>
          <w:p w14:paraId="464F7DC1" w14:textId="35D0C95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Úplné vykonanie aspoň 90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opatrení dohodnutých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dohodách podpísaných pre 12 oblastí intervencie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plnenia rozpočtu vo výške najmenej 225 000 000 EUR.</w:t>
            </w:r>
          </w:p>
        </w:tc>
      </w:tr>
      <w:tr w:rsidR="00387C70" w:rsidRPr="003F23AC" w14:paraId="4DC276BA" w14:textId="77777777" w:rsidTr="00A26F8D">
        <w:trPr>
          <w:trHeight w:val="1060"/>
        </w:trPr>
        <w:tc>
          <w:tcPr>
            <w:tcW w:w="1124" w:type="dxa"/>
            <w:shd w:val="clear" w:color="auto" w:fill="C4EFCE"/>
            <w:tcMar>
              <w:left w:w="28" w:type="dxa"/>
              <w:right w:w="28" w:type="dxa"/>
            </w:tcMar>
            <w:vAlign w:val="center"/>
          </w:tcPr>
          <w:p w14:paraId="4507E8E2" w14:textId="4B98B2CA"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3.28</w:t>
            </w:r>
          </w:p>
        </w:tc>
        <w:tc>
          <w:tcPr>
            <w:tcW w:w="1143" w:type="dxa"/>
            <w:shd w:val="clear" w:color="auto" w:fill="C4EFCE"/>
            <w:tcMar>
              <w:left w:w="28" w:type="dxa"/>
              <w:right w:w="28" w:type="dxa"/>
            </w:tcMar>
            <w:vAlign w:val="center"/>
          </w:tcPr>
          <w:p w14:paraId="5B7E0077" w14:textId="11B469FD" w:rsidR="00387C70" w:rsidRPr="003F23AC" w:rsidRDefault="00F218FC"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03-i07-RAA</w:t>
            </w:r>
          </w:p>
        </w:tc>
        <w:tc>
          <w:tcPr>
            <w:tcW w:w="982" w:type="dxa"/>
            <w:shd w:val="clear" w:color="auto" w:fill="C4EFCE"/>
            <w:tcMar>
              <w:left w:w="28" w:type="dxa"/>
              <w:right w:w="28" w:type="dxa"/>
            </w:tcMar>
            <w:vAlign w:val="center"/>
          </w:tcPr>
          <w:p w14:paraId="0BE4B152" w14:textId="7F9A6AC9"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40" w:type="dxa"/>
            <w:shd w:val="clear" w:color="auto" w:fill="C4EFCE"/>
            <w:tcMar>
              <w:left w:w="28" w:type="dxa"/>
              <w:right w:w="28" w:type="dxa"/>
            </w:tcMar>
            <w:vAlign w:val="center"/>
          </w:tcPr>
          <w:p w14:paraId="5F735354" w14:textId="3BF4DDC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Rozšírené alebo renovované miesta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domovoch rezidenčnej starostlivosti</w:t>
            </w:r>
          </w:p>
        </w:tc>
        <w:tc>
          <w:tcPr>
            <w:tcW w:w="1486" w:type="dxa"/>
            <w:shd w:val="clear" w:color="auto" w:fill="C4EFCE"/>
            <w:tcMar>
              <w:left w:w="28" w:type="dxa"/>
              <w:right w:w="28" w:type="dxa"/>
            </w:tcMar>
            <w:vAlign w:val="center"/>
          </w:tcPr>
          <w:p w14:paraId="6650B4B9"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40" w:type="dxa"/>
            <w:shd w:val="clear" w:color="auto" w:fill="C4EFCE"/>
            <w:tcMar>
              <w:left w:w="28" w:type="dxa"/>
              <w:right w:w="28" w:type="dxa"/>
            </w:tcMar>
            <w:vAlign w:val="center"/>
          </w:tcPr>
          <w:p w14:paraId="41321D09" w14:textId="260F65A8"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88" w:type="dxa"/>
            <w:shd w:val="clear" w:color="auto" w:fill="C4EFCE"/>
            <w:tcMar>
              <w:left w:w="28" w:type="dxa"/>
              <w:right w:w="28" w:type="dxa"/>
            </w:tcMar>
            <w:vAlign w:val="center"/>
          </w:tcPr>
          <w:p w14:paraId="3A90B777" w14:textId="37BB98B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73" w:type="dxa"/>
            <w:shd w:val="clear" w:color="auto" w:fill="C4EFCE"/>
            <w:tcMar>
              <w:left w:w="28" w:type="dxa"/>
              <w:right w:w="28" w:type="dxa"/>
            </w:tcMar>
            <w:vAlign w:val="center"/>
          </w:tcPr>
          <w:p w14:paraId="5CDB17DC" w14:textId="772002B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91</w:t>
            </w:r>
          </w:p>
        </w:tc>
        <w:tc>
          <w:tcPr>
            <w:tcW w:w="789" w:type="dxa"/>
            <w:shd w:val="clear" w:color="auto" w:fill="C4EFCE"/>
            <w:tcMar>
              <w:left w:w="28" w:type="dxa"/>
              <w:right w:w="28" w:type="dxa"/>
            </w:tcMar>
            <w:vAlign w:val="center"/>
          </w:tcPr>
          <w:p w14:paraId="5C2F45A3" w14:textId="16C1A983"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845" w:type="dxa"/>
            <w:shd w:val="clear" w:color="auto" w:fill="C4EFCE"/>
            <w:tcMar>
              <w:left w:w="28" w:type="dxa"/>
              <w:right w:w="28" w:type="dxa"/>
            </w:tcMar>
            <w:vAlign w:val="center"/>
          </w:tcPr>
          <w:p w14:paraId="1C8F5B94" w14:textId="3948B69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277" w:type="dxa"/>
            <w:shd w:val="clear" w:color="auto" w:fill="C4EFCE"/>
            <w:tcMar>
              <w:left w:w="28" w:type="dxa"/>
              <w:right w:w="28" w:type="dxa"/>
            </w:tcMar>
          </w:tcPr>
          <w:p w14:paraId="42B8FCAE" w14:textId="495C298E"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domovoch rezidenčnej starostlivosti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starších ľudí (ERPI) sa rozšíril alebo zrekonštruoval</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autonómnej oblasti Azory. </w:t>
            </w:r>
            <w:r w:rsidRPr="003F23AC">
              <w:rPr>
                <w:rFonts w:ascii="Times New Roman" w:hAnsi="Times New Roman" w:cs="Times New Roman"/>
                <w:noProof/>
                <w:lang w:val="sk-SK"/>
              </w:rPr>
              <w:br/>
              <w:t>V prípade výstavby nových budov musia mať nové budovy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sú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87C70" w:rsidRPr="003F23AC" w14:paraId="51E16407" w14:textId="77777777" w:rsidTr="00A26F8D">
        <w:trPr>
          <w:trHeight w:val="1060"/>
        </w:trPr>
        <w:tc>
          <w:tcPr>
            <w:tcW w:w="1124" w:type="dxa"/>
            <w:shd w:val="clear" w:color="auto" w:fill="C4EFCE"/>
            <w:tcMar>
              <w:left w:w="28" w:type="dxa"/>
              <w:right w:w="28" w:type="dxa"/>
            </w:tcMar>
            <w:vAlign w:val="center"/>
          </w:tcPr>
          <w:p w14:paraId="31ECAE86" w14:textId="3C0FD4B9"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3.29</w:t>
            </w:r>
          </w:p>
        </w:tc>
        <w:tc>
          <w:tcPr>
            <w:tcW w:w="1143" w:type="dxa"/>
            <w:shd w:val="clear" w:color="auto" w:fill="C4EFCE"/>
            <w:tcMar>
              <w:left w:w="28" w:type="dxa"/>
              <w:right w:w="28" w:type="dxa"/>
            </w:tcMar>
            <w:vAlign w:val="center"/>
          </w:tcPr>
          <w:p w14:paraId="5FF028A3" w14:textId="722E3CA6"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C03-r38</w:t>
            </w:r>
          </w:p>
        </w:tc>
        <w:tc>
          <w:tcPr>
            <w:tcW w:w="982" w:type="dxa"/>
            <w:shd w:val="clear" w:color="auto" w:fill="C4EFCE"/>
            <w:tcMar>
              <w:left w:w="28" w:type="dxa"/>
              <w:right w:w="28" w:type="dxa"/>
            </w:tcMar>
            <w:vAlign w:val="center"/>
          </w:tcPr>
          <w:p w14:paraId="1B53ECE1" w14:textId="6640AC21"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1740" w:type="dxa"/>
            <w:shd w:val="clear" w:color="auto" w:fill="C4EFCE"/>
            <w:tcMar>
              <w:left w:w="28" w:type="dxa"/>
              <w:right w:w="28" w:type="dxa"/>
            </w:tcMar>
            <w:vAlign w:val="center"/>
          </w:tcPr>
          <w:p w14:paraId="7DB32A48" w14:textId="5A1867D2"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Správa pracovnej skupiny pre jednotné sociálne dávky</w:t>
            </w:r>
          </w:p>
        </w:tc>
        <w:tc>
          <w:tcPr>
            <w:tcW w:w="1486" w:type="dxa"/>
            <w:shd w:val="clear" w:color="auto" w:fill="C4EFCE"/>
            <w:tcMar>
              <w:left w:w="28" w:type="dxa"/>
              <w:right w:w="28" w:type="dxa"/>
            </w:tcMar>
            <w:vAlign w:val="center"/>
          </w:tcPr>
          <w:p w14:paraId="5D6A1559" w14:textId="7553CA7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Uverejnenie správy pracovnej skupiny pre jednotné sociálne dávky </w:t>
            </w:r>
          </w:p>
        </w:tc>
        <w:tc>
          <w:tcPr>
            <w:tcW w:w="840" w:type="dxa"/>
            <w:shd w:val="clear" w:color="auto" w:fill="C4EFCE"/>
            <w:tcMar>
              <w:left w:w="28" w:type="dxa"/>
              <w:right w:w="28" w:type="dxa"/>
            </w:tcMar>
            <w:vAlign w:val="center"/>
          </w:tcPr>
          <w:p w14:paraId="49C1E7A6"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1188" w:type="dxa"/>
            <w:shd w:val="clear" w:color="auto" w:fill="C4EFCE"/>
            <w:tcMar>
              <w:left w:w="28" w:type="dxa"/>
              <w:right w:w="28" w:type="dxa"/>
            </w:tcMar>
            <w:vAlign w:val="center"/>
          </w:tcPr>
          <w:p w14:paraId="2EE0AFDC"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773" w:type="dxa"/>
            <w:shd w:val="clear" w:color="auto" w:fill="C4EFCE"/>
            <w:tcMar>
              <w:left w:w="28" w:type="dxa"/>
              <w:right w:w="28" w:type="dxa"/>
            </w:tcMar>
            <w:vAlign w:val="center"/>
          </w:tcPr>
          <w:p w14:paraId="7CC75B9E"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789" w:type="dxa"/>
            <w:shd w:val="clear" w:color="auto" w:fill="C4EFCE"/>
            <w:tcMar>
              <w:left w:w="28" w:type="dxa"/>
              <w:right w:w="28" w:type="dxa"/>
            </w:tcMar>
            <w:vAlign w:val="center"/>
          </w:tcPr>
          <w:p w14:paraId="0712AE4B" w14:textId="2FFCFE55"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 štvrťrok</w:t>
            </w:r>
          </w:p>
        </w:tc>
        <w:tc>
          <w:tcPr>
            <w:tcW w:w="845" w:type="dxa"/>
            <w:shd w:val="clear" w:color="auto" w:fill="C4EFCE"/>
            <w:tcMar>
              <w:left w:w="28" w:type="dxa"/>
              <w:right w:w="28" w:type="dxa"/>
            </w:tcMar>
            <w:vAlign w:val="center"/>
          </w:tcPr>
          <w:p w14:paraId="72B52A51" w14:textId="34CA0953"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2025</w:t>
            </w:r>
          </w:p>
        </w:tc>
        <w:tc>
          <w:tcPr>
            <w:tcW w:w="4277" w:type="dxa"/>
            <w:shd w:val="clear" w:color="auto" w:fill="C4EFCE"/>
            <w:tcMar>
              <w:left w:w="28" w:type="dxa"/>
              <w:right w:w="28" w:type="dxa"/>
            </w:tcMar>
          </w:tcPr>
          <w:p w14:paraId="2B2552AC" w14:textId="588069E4" w:rsidR="00387C70"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Uverejnenie správy pracovnej skupiny pre jednotné sociálne dávky, ktorá obsahuje hlavné prvky jej návrhu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formálneho vykonávania. Správa obsahuje posúdenie jej vplyvu na pokrytie, úroveň primeranosti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účinnosti vrátane aspektov, ako je predchádzanie prekrývaniu, odstránenie medzier</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sociálnej ochrane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zlepšenie úrovní využívania.</w:t>
            </w:r>
          </w:p>
        </w:tc>
      </w:tr>
      <w:tr w:rsidR="00387C70" w:rsidRPr="003F23AC" w14:paraId="320C179B" w14:textId="77777777" w:rsidTr="00A26F8D">
        <w:trPr>
          <w:trHeight w:val="1060"/>
        </w:trPr>
        <w:tc>
          <w:tcPr>
            <w:tcW w:w="1124" w:type="dxa"/>
            <w:shd w:val="clear" w:color="auto" w:fill="C4EFCE"/>
            <w:tcMar>
              <w:left w:w="28" w:type="dxa"/>
              <w:right w:w="28" w:type="dxa"/>
            </w:tcMar>
            <w:vAlign w:val="center"/>
          </w:tcPr>
          <w:p w14:paraId="6DED1EC3" w14:textId="46609D91"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3.30</w:t>
            </w:r>
          </w:p>
        </w:tc>
        <w:tc>
          <w:tcPr>
            <w:tcW w:w="1143" w:type="dxa"/>
            <w:shd w:val="clear" w:color="auto" w:fill="C4EFCE"/>
            <w:tcMar>
              <w:left w:w="28" w:type="dxa"/>
              <w:right w:w="28" w:type="dxa"/>
            </w:tcMar>
            <w:vAlign w:val="center"/>
          </w:tcPr>
          <w:p w14:paraId="3CC2208B" w14:textId="1F82F99A"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C03-r38</w:t>
            </w:r>
          </w:p>
        </w:tc>
        <w:tc>
          <w:tcPr>
            <w:tcW w:w="982" w:type="dxa"/>
            <w:shd w:val="clear" w:color="auto" w:fill="C4EFCE"/>
            <w:tcMar>
              <w:left w:w="28" w:type="dxa"/>
              <w:right w:w="28" w:type="dxa"/>
            </w:tcMar>
            <w:vAlign w:val="center"/>
          </w:tcPr>
          <w:p w14:paraId="7E673827" w14:textId="115241B8"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1740" w:type="dxa"/>
            <w:shd w:val="clear" w:color="auto" w:fill="C4EFCE"/>
            <w:tcMar>
              <w:left w:w="28" w:type="dxa"/>
              <w:right w:w="28" w:type="dxa"/>
            </w:tcMar>
            <w:vAlign w:val="center"/>
          </w:tcPr>
          <w:p w14:paraId="58E23131" w14:textId="1A9FAEF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Nadobudnutie účinnosti jednotnej sociálnej dávky (v rámci systému občianskej sociálnej ochrany)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kódexu sociálnych dávok </w:t>
            </w:r>
          </w:p>
        </w:tc>
        <w:tc>
          <w:tcPr>
            <w:tcW w:w="1486" w:type="dxa"/>
            <w:shd w:val="clear" w:color="auto" w:fill="C4EFCE"/>
            <w:tcMar>
              <w:left w:w="28" w:type="dxa"/>
              <w:right w:w="28" w:type="dxa"/>
            </w:tcMar>
            <w:vAlign w:val="center"/>
          </w:tcPr>
          <w:p w14:paraId="78861CE8" w14:textId="5F134DA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Ustanovenie právnych predpisov</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nadobudnutí účinnosti právnych predpisov </w:t>
            </w:r>
          </w:p>
        </w:tc>
        <w:tc>
          <w:tcPr>
            <w:tcW w:w="840" w:type="dxa"/>
            <w:shd w:val="clear" w:color="auto" w:fill="C4EFCE"/>
            <w:tcMar>
              <w:left w:w="28" w:type="dxa"/>
              <w:right w:w="28" w:type="dxa"/>
            </w:tcMar>
            <w:vAlign w:val="center"/>
          </w:tcPr>
          <w:p w14:paraId="4C0FF700"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1188" w:type="dxa"/>
            <w:shd w:val="clear" w:color="auto" w:fill="C4EFCE"/>
            <w:tcMar>
              <w:left w:w="28" w:type="dxa"/>
              <w:right w:w="28" w:type="dxa"/>
            </w:tcMar>
            <w:vAlign w:val="center"/>
          </w:tcPr>
          <w:p w14:paraId="1B83AB9F"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773" w:type="dxa"/>
            <w:shd w:val="clear" w:color="auto" w:fill="C4EFCE"/>
            <w:tcMar>
              <w:left w:w="28" w:type="dxa"/>
              <w:right w:w="28" w:type="dxa"/>
            </w:tcMar>
            <w:vAlign w:val="center"/>
          </w:tcPr>
          <w:p w14:paraId="255BA677"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789" w:type="dxa"/>
            <w:shd w:val="clear" w:color="auto" w:fill="C4EFCE"/>
            <w:tcMar>
              <w:left w:w="28" w:type="dxa"/>
              <w:right w:w="28" w:type="dxa"/>
            </w:tcMar>
            <w:vAlign w:val="center"/>
          </w:tcPr>
          <w:p w14:paraId="480DE372" w14:textId="3CE0DBD0"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 štvrťrok</w:t>
            </w:r>
          </w:p>
        </w:tc>
        <w:tc>
          <w:tcPr>
            <w:tcW w:w="845" w:type="dxa"/>
            <w:shd w:val="clear" w:color="auto" w:fill="C4EFCE"/>
            <w:tcMar>
              <w:left w:w="28" w:type="dxa"/>
              <w:right w:w="28" w:type="dxa"/>
            </w:tcMar>
            <w:vAlign w:val="center"/>
          </w:tcPr>
          <w:p w14:paraId="57DB5970" w14:textId="6327CAC3"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2026</w:t>
            </w:r>
          </w:p>
        </w:tc>
        <w:tc>
          <w:tcPr>
            <w:tcW w:w="4277" w:type="dxa"/>
            <w:shd w:val="clear" w:color="auto" w:fill="C4EFCE"/>
            <w:tcMar>
              <w:left w:w="28" w:type="dxa"/>
              <w:right w:w="28" w:type="dxa"/>
            </w:tcMar>
            <w:vAlign w:val="center"/>
          </w:tcPr>
          <w:p w14:paraId="520023F7" w14:textId="79942264" w:rsidR="00A75B3C"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Nadobudnutie účinnosti právnych predpisov, ktorými sa zriaďuje jednotná sociálna dávka (v rámci systému občianskej sociálnej ochrany)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nadväznosti na uverejnenie správy pracovnej skupiny pre jednotné sociálne dávky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konzultácie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zainteresovanými stranami</w:t>
            </w:r>
            <w:r w:rsidR="00A75B3C" w:rsidRPr="003F23AC">
              <w:rPr>
                <w:rFonts w:ascii="Times New Roman" w:hAnsi="Times New Roman" w:cs="Times New Roman"/>
                <w:noProof/>
                <w:lang w:val="sk-SK"/>
              </w:rPr>
              <w:t>.</w:t>
            </w:r>
          </w:p>
          <w:p w14:paraId="32A056B9" w14:textId="15D9723C" w:rsidR="00387C70" w:rsidRPr="003F23AC" w:rsidRDefault="00387C70" w:rsidP="003F23AC">
            <w:pPr>
              <w:spacing w:after="0" w:line="240" w:lineRule="auto"/>
              <w:jc w:val="both"/>
              <w:rPr>
                <w:rFonts w:ascii="Times New Roman" w:hAnsi="Times New Roman" w:cs="Times New Roman"/>
                <w:noProof/>
                <w:sz w:val="16"/>
                <w:lang w:val="sk-SK"/>
              </w:rPr>
            </w:pPr>
          </w:p>
          <w:p w14:paraId="15031367" w14:textId="486D9B92" w:rsidR="00387C70"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Nadobudnutie účinnosti právnych predpisov ustanovujúcich zákonník sociálnych dávok, ktorými sa zjednodušia, harmonizujú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konsolidujú právne predpisy upravujúce sociálne dávky.</w:t>
            </w:r>
          </w:p>
        </w:tc>
      </w:tr>
    </w:tbl>
    <w:p w14:paraId="01FFACF8"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08BEF5A8"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E00EDD">
          <w:headerReference w:type="even" r:id="rId78"/>
          <w:headerReference w:type="default" r:id="rId79"/>
          <w:footerReference w:type="even" r:id="rId80"/>
          <w:footerReference w:type="default" r:id="rId81"/>
          <w:headerReference w:type="first" r:id="rId82"/>
          <w:footerReference w:type="first" r:id="rId83"/>
          <w:pgSz w:w="16839" w:h="11907" w:orient="landscape"/>
          <w:pgMar w:top="1134" w:right="1134" w:bottom="1134" w:left="1134" w:header="567" w:footer="567" w:gutter="0"/>
          <w:cols w:space="720"/>
          <w:docGrid w:linePitch="360"/>
        </w:sectPr>
      </w:pPr>
    </w:p>
    <w:p w14:paraId="20E2D1A0" w14:textId="0F592185"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D</w:t>
      </w:r>
      <w:r w:rsidR="00C32C63" w:rsidRPr="003F23AC">
        <w:rPr>
          <w:rFonts w:cs="Times New Roman"/>
          <w:noProof/>
          <w:lang w:val="sk-SK"/>
        </w:rPr>
        <w:t>. KOMPONENT</w:t>
      </w:r>
      <w:r w:rsidRPr="003F23AC">
        <w:rPr>
          <w:rFonts w:cs="Times New Roman"/>
          <w:noProof/>
          <w:lang w:val="sk-SK"/>
        </w:rPr>
        <w:t xml:space="preserve"> 4: Kultúra</w:t>
      </w:r>
    </w:p>
    <w:p w14:paraId="3890A551" w14:textId="56026FF0"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zložka rieši výzvy súvisiace</w:t>
      </w:r>
      <w:r w:rsidR="00A75B3C" w:rsidRPr="003F23AC">
        <w:rPr>
          <w:rFonts w:cs="Times New Roman"/>
          <w:noProof/>
          <w:lang w:val="sk-SK"/>
        </w:rPr>
        <w:t xml:space="preserve"> s </w:t>
      </w:r>
      <w:r w:rsidRPr="003F23AC">
        <w:rPr>
          <w:rFonts w:cs="Times New Roman"/>
          <w:noProof/>
          <w:lang w:val="sk-SK"/>
        </w:rPr>
        <w:t>účinkami pandémie COVID-19, ako aj problémy</w:t>
      </w:r>
      <w:r w:rsidR="00A75B3C" w:rsidRPr="003F23AC">
        <w:rPr>
          <w:rFonts w:cs="Times New Roman"/>
          <w:noProof/>
          <w:lang w:val="sk-SK"/>
        </w:rPr>
        <w:t xml:space="preserve"> z </w:t>
      </w:r>
      <w:r w:rsidRPr="003F23AC">
        <w:rPr>
          <w:rFonts w:cs="Times New Roman"/>
          <w:noProof/>
          <w:lang w:val="sk-SK"/>
        </w:rPr>
        <w:t>minulosti vyplývajúce zo situácie chronického nedostatku zdrojov na údržbu, obnovu</w:t>
      </w:r>
      <w:r w:rsidR="00A75B3C" w:rsidRPr="003F23AC">
        <w:rPr>
          <w:rFonts w:cs="Times New Roman"/>
          <w:noProof/>
          <w:lang w:val="sk-SK"/>
        </w:rPr>
        <w:t xml:space="preserve"> a </w:t>
      </w:r>
      <w:r w:rsidRPr="003F23AC">
        <w:rPr>
          <w:rFonts w:cs="Times New Roman"/>
          <w:noProof/>
          <w:lang w:val="sk-SK"/>
        </w:rPr>
        <w:t>modernizáciu kultúrnych zariadení</w:t>
      </w:r>
      <w:r w:rsidR="00A75B3C" w:rsidRPr="003F23AC">
        <w:rPr>
          <w:rFonts w:cs="Times New Roman"/>
          <w:noProof/>
          <w:lang w:val="sk-SK"/>
        </w:rPr>
        <w:t xml:space="preserve"> a </w:t>
      </w:r>
      <w:r w:rsidRPr="003F23AC">
        <w:rPr>
          <w:rFonts w:cs="Times New Roman"/>
          <w:noProof/>
          <w:lang w:val="sk-SK"/>
        </w:rPr>
        <w:t>vybavenia.</w:t>
      </w:r>
    </w:p>
    <w:p w14:paraId="2022E520" w14:textId="24ABF25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Hlavnými cieľmi zložky Kultúra je obnova budov</w:t>
      </w:r>
      <w:r w:rsidR="00A75B3C" w:rsidRPr="003F23AC">
        <w:rPr>
          <w:rFonts w:cs="Times New Roman"/>
          <w:noProof/>
          <w:lang w:val="sk-SK"/>
        </w:rPr>
        <w:t xml:space="preserve"> a </w:t>
      </w:r>
      <w:r w:rsidRPr="003F23AC">
        <w:rPr>
          <w:rFonts w:cs="Times New Roman"/>
          <w:noProof/>
          <w:lang w:val="sk-SK"/>
        </w:rPr>
        <w:t>národných pamiatok; ochrana remeselných techník</w:t>
      </w:r>
      <w:r w:rsidR="00A75B3C" w:rsidRPr="003F23AC">
        <w:rPr>
          <w:rFonts w:cs="Times New Roman"/>
          <w:noProof/>
          <w:lang w:val="sk-SK"/>
        </w:rPr>
        <w:t xml:space="preserve"> a </w:t>
      </w:r>
      <w:r w:rsidRPr="003F23AC">
        <w:rPr>
          <w:rFonts w:cs="Times New Roman"/>
          <w:noProof/>
          <w:lang w:val="sk-SK"/>
        </w:rPr>
        <w:t>profesií; modernizáciu technologickej infraštruktúry</w:t>
      </w:r>
      <w:r w:rsidR="00A75B3C" w:rsidRPr="003F23AC">
        <w:rPr>
          <w:rFonts w:cs="Times New Roman"/>
          <w:noProof/>
          <w:lang w:val="sk-SK"/>
        </w:rPr>
        <w:t xml:space="preserve"> a </w:t>
      </w:r>
      <w:r w:rsidRPr="003F23AC">
        <w:rPr>
          <w:rFonts w:cs="Times New Roman"/>
          <w:noProof/>
          <w:lang w:val="sk-SK"/>
        </w:rPr>
        <w:t>kultúrnych zariadení; digitalizácia umeleckých diel</w:t>
      </w:r>
      <w:r w:rsidR="00A75B3C" w:rsidRPr="003F23AC">
        <w:rPr>
          <w:rFonts w:cs="Times New Roman"/>
          <w:noProof/>
          <w:lang w:val="sk-SK"/>
        </w:rPr>
        <w:t xml:space="preserve"> a </w:t>
      </w:r>
      <w:r w:rsidRPr="003F23AC">
        <w:rPr>
          <w:rFonts w:cs="Times New Roman"/>
          <w:noProof/>
          <w:lang w:val="sk-SK"/>
        </w:rPr>
        <w:t>kultúrneho dedičstva;</w:t>
      </w:r>
      <w:r w:rsidR="00A75B3C" w:rsidRPr="003F23AC">
        <w:rPr>
          <w:rFonts w:cs="Times New Roman"/>
          <w:noProof/>
          <w:lang w:val="sk-SK"/>
        </w:rPr>
        <w:t xml:space="preserve"> a </w:t>
      </w:r>
      <w:r w:rsidRPr="003F23AC">
        <w:rPr>
          <w:rFonts w:cs="Times New Roman"/>
          <w:noProof/>
          <w:lang w:val="sk-SK"/>
        </w:rPr>
        <w:t>internacionalizácia, modernizácia</w:t>
      </w:r>
      <w:r w:rsidR="00A75B3C" w:rsidRPr="003F23AC">
        <w:rPr>
          <w:rFonts w:cs="Times New Roman"/>
          <w:noProof/>
          <w:lang w:val="sk-SK"/>
        </w:rPr>
        <w:t xml:space="preserve"> a </w:t>
      </w:r>
      <w:r w:rsidRPr="003F23AC">
        <w:rPr>
          <w:rFonts w:cs="Times New Roman"/>
          <w:noProof/>
          <w:lang w:val="sk-SK"/>
        </w:rPr>
        <w:t>digitálna transformácia kníhkupectiev</w:t>
      </w:r>
      <w:r w:rsidR="00A75B3C" w:rsidRPr="003F23AC">
        <w:rPr>
          <w:rFonts w:cs="Times New Roman"/>
          <w:noProof/>
          <w:lang w:val="sk-SK"/>
        </w:rPr>
        <w:t xml:space="preserve"> a </w:t>
      </w:r>
      <w:r w:rsidRPr="003F23AC">
        <w:rPr>
          <w:rFonts w:cs="Times New Roman"/>
          <w:noProof/>
          <w:lang w:val="sk-SK"/>
        </w:rPr>
        <w:t>vydavateľstva kníh.</w:t>
      </w:r>
    </w:p>
    <w:p w14:paraId="3A0553A7" w14:textId="3421BE92"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zložka prispieva</w:t>
      </w:r>
      <w:r w:rsidR="00A75B3C" w:rsidRPr="003F23AC">
        <w:rPr>
          <w:rFonts w:cs="Times New Roman"/>
          <w:noProof/>
          <w:lang w:val="sk-SK"/>
        </w:rPr>
        <w:t xml:space="preserve"> k </w:t>
      </w:r>
      <w:r w:rsidRPr="003F23AC">
        <w:rPr>
          <w:rFonts w:cs="Times New Roman"/>
          <w:noProof/>
          <w:lang w:val="sk-SK"/>
        </w:rPr>
        <w:t>plneniu odporúčaní pre jednotlivé krajiny</w:t>
      </w:r>
      <w:r w:rsidR="00A75B3C" w:rsidRPr="003F23AC">
        <w:rPr>
          <w:rFonts w:cs="Times New Roman"/>
          <w:noProof/>
          <w:lang w:val="sk-SK"/>
        </w:rPr>
        <w:t xml:space="preserve"> s </w:t>
      </w:r>
      <w:r w:rsidRPr="003F23AC">
        <w:rPr>
          <w:rFonts w:cs="Times New Roman"/>
          <w:noProof/>
          <w:lang w:val="sk-SK"/>
        </w:rPr>
        <w:t>cieľom prijať všetky potrebné opatrenia na účinné riešenie pandémie, posilnenie hospodárstva</w:t>
      </w:r>
      <w:r w:rsidR="00A75B3C" w:rsidRPr="003F23AC">
        <w:rPr>
          <w:rFonts w:cs="Times New Roman"/>
          <w:noProof/>
          <w:lang w:val="sk-SK"/>
        </w:rPr>
        <w:t xml:space="preserve"> a </w:t>
      </w:r>
      <w:r w:rsidRPr="003F23AC">
        <w:rPr>
          <w:rFonts w:cs="Times New Roman"/>
          <w:noProof/>
          <w:lang w:val="sk-SK"/>
        </w:rPr>
        <w:t>podporu jeho obnovy (odporúčanie pre jednotlivé krajiny 1 2020);</w:t>
      </w:r>
      <w:r w:rsidR="00A75B3C" w:rsidRPr="003F23AC">
        <w:rPr>
          <w:rFonts w:cs="Times New Roman"/>
          <w:noProof/>
          <w:lang w:val="sk-SK"/>
        </w:rPr>
        <w:t xml:space="preserve"> a </w:t>
      </w:r>
      <w:r w:rsidRPr="003F23AC">
        <w:rPr>
          <w:rFonts w:cs="Times New Roman"/>
          <w:noProof/>
          <w:lang w:val="sk-SK"/>
        </w:rPr>
        <w:t>podporovať využívanie digitálnych technológií na zvýšenie konkurencieschopnosti podnikov (odporúčanie pre jednotlivé krajiny 2 2020)</w:t>
      </w:r>
      <w:r w:rsidR="00A75B3C" w:rsidRPr="003F23AC">
        <w:rPr>
          <w:rFonts w:cs="Times New Roman"/>
          <w:noProof/>
          <w:lang w:val="sk-SK"/>
        </w:rPr>
        <w:t>.</w:t>
      </w:r>
    </w:p>
    <w:p w14:paraId="66575D9A" w14:textId="352FABD0"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p>
    <w:p w14:paraId="40AECA44" w14:textId="09007210"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D.1.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0C926D12" w14:textId="211847B2"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RE-C04-i01: Kultúrne siete</w:t>
      </w:r>
      <w:r w:rsidR="00A75B3C" w:rsidRPr="003F23AC">
        <w:rPr>
          <w:rFonts w:cs="Times New Roman"/>
          <w:noProof/>
          <w:lang w:val="sk-SK"/>
        </w:rPr>
        <w:t xml:space="preserve"> a </w:t>
      </w:r>
      <w:r w:rsidRPr="003F23AC">
        <w:rPr>
          <w:rFonts w:cs="Times New Roman"/>
          <w:noProof/>
          <w:lang w:val="sk-SK"/>
        </w:rPr>
        <w:t>digitálna transformácia</w:t>
      </w:r>
    </w:p>
    <w:p w14:paraId="686F0143" w14:textId="5628846A" w:rsidR="00387C70" w:rsidRPr="003F23AC" w:rsidRDefault="000F5AA4" w:rsidP="003F23AC">
      <w:pPr>
        <w:pStyle w:val="P68B1DB1-Normal4"/>
        <w:widowControl w:val="0"/>
        <w:spacing w:before="120" w:after="140" w:line="257" w:lineRule="auto"/>
        <w:jc w:val="both"/>
        <w:rPr>
          <w:rFonts w:eastAsiaTheme="minorEastAsia" w:cs="Times New Roman"/>
          <w:noProof/>
          <w:lang w:val="sk-SK"/>
        </w:rPr>
      </w:pPr>
      <w:r w:rsidRPr="003F23AC">
        <w:rPr>
          <w:rFonts w:cs="Times New Roman"/>
          <w:noProof/>
          <w:lang w:val="sk-SK"/>
        </w:rPr>
        <w:t>Cieľom opatrenia je modernizácia technologickej infraštruktúry verejných kultúrnych zariadení podporujúcich ich digitálnu transformáciu. Konkrétnejšie ide</w:t>
      </w:r>
      <w:r w:rsidR="00A75B3C" w:rsidRPr="003F23AC">
        <w:rPr>
          <w:rFonts w:cs="Times New Roman"/>
          <w:noProof/>
          <w:lang w:val="sk-SK"/>
        </w:rPr>
        <w:t xml:space="preserve"> o </w:t>
      </w:r>
      <w:r w:rsidRPr="003F23AC">
        <w:rPr>
          <w:rFonts w:cs="Times New Roman"/>
          <w:noProof/>
          <w:lang w:val="sk-SK"/>
        </w:rPr>
        <w:t>zachovanie umeleckých diel</w:t>
      </w:r>
      <w:r w:rsidR="00A75B3C" w:rsidRPr="003F23AC">
        <w:rPr>
          <w:rFonts w:cs="Times New Roman"/>
          <w:noProof/>
          <w:lang w:val="sk-SK"/>
        </w:rPr>
        <w:t xml:space="preserve"> a </w:t>
      </w:r>
      <w:r w:rsidRPr="003F23AC">
        <w:rPr>
          <w:rFonts w:cs="Times New Roman"/>
          <w:noProof/>
          <w:lang w:val="sk-SK"/>
        </w:rPr>
        <w:t>kultúrneho dedičstva</w:t>
      </w:r>
      <w:r w:rsidR="00A75B3C" w:rsidRPr="003F23AC">
        <w:rPr>
          <w:rFonts w:cs="Times New Roman"/>
          <w:noProof/>
          <w:lang w:val="sk-SK"/>
        </w:rPr>
        <w:t xml:space="preserve"> v </w:t>
      </w:r>
      <w:r w:rsidRPr="003F23AC">
        <w:rPr>
          <w:rFonts w:cs="Times New Roman"/>
          <w:noProof/>
          <w:lang w:val="sk-SK"/>
        </w:rPr>
        <w:t>budúcnosti; zlepšenie kultúrnych skúseností; zvyšovanie dopytu po kultúrnych aktivitách</w:t>
      </w:r>
      <w:r w:rsidR="00A75B3C" w:rsidRPr="003F23AC">
        <w:rPr>
          <w:rFonts w:cs="Times New Roman"/>
          <w:noProof/>
          <w:lang w:val="sk-SK"/>
        </w:rPr>
        <w:t xml:space="preserve"> a </w:t>
      </w:r>
      <w:r w:rsidRPr="003F23AC">
        <w:rPr>
          <w:rFonts w:cs="Times New Roman"/>
          <w:noProof/>
          <w:lang w:val="sk-SK"/>
        </w:rPr>
        <w:t>oslovenie nového publika, najmä nových generácií. Očakáva sa, že odolnosť odvetvia sa zvýši podporou nových obchodných modelov, ako je predplatné</w:t>
      </w:r>
      <w:r w:rsidR="00A75B3C" w:rsidRPr="003F23AC">
        <w:rPr>
          <w:rFonts w:cs="Times New Roman"/>
          <w:noProof/>
          <w:lang w:val="sk-SK"/>
        </w:rPr>
        <w:t xml:space="preserve"> a </w:t>
      </w:r>
      <w:r w:rsidRPr="003F23AC">
        <w:rPr>
          <w:rFonts w:cs="Times New Roman"/>
          <w:noProof/>
          <w:lang w:val="sk-SK"/>
        </w:rPr>
        <w:t>streaming;</w:t>
      </w:r>
      <w:r w:rsidR="00A75B3C" w:rsidRPr="003F23AC">
        <w:rPr>
          <w:rFonts w:cs="Times New Roman"/>
          <w:noProof/>
          <w:lang w:val="sk-SK"/>
        </w:rPr>
        <w:t xml:space="preserve"> a </w:t>
      </w:r>
      <w:r w:rsidRPr="003F23AC">
        <w:rPr>
          <w:rFonts w:cs="Times New Roman"/>
          <w:noProof/>
          <w:lang w:val="sk-SK"/>
        </w:rPr>
        <w:t>podpora kultúrnych oblastí so silnou technologickou zložkou, ako je výroba 3D filmov.</w:t>
      </w:r>
    </w:p>
    <w:p w14:paraId="2714BE37" w14:textId="66642985"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investícia pozostáva</w:t>
      </w:r>
      <w:r w:rsidR="00A75B3C" w:rsidRPr="003F23AC">
        <w:rPr>
          <w:rFonts w:cs="Times New Roman"/>
          <w:noProof/>
          <w:lang w:val="sk-SK"/>
        </w:rPr>
        <w:t xml:space="preserve"> z </w:t>
      </w:r>
      <w:r w:rsidRPr="003F23AC">
        <w:rPr>
          <w:rFonts w:cs="Times New Roman"/>
          <w:noProof/>
          <w:lang w:val="sk-SK"/>
        </w:rPr>
        <w:t>týchto intervencií</w:t>
      </w:r>
      <w:r w:rsidR="00A75B3C" w:rsidRPr="003F23AC">
        <w:rPr>
          <w:rFonts w:cs="Times New Roman"/>
          <w:noProof/>
          <w:lang w:val="sk-SK"/>
        </w:rPr>
        <w:t>:</w:t>
      </w:r>
    </w:p>
    <w:p w14:paraId="0B7D23BD" w14:textId="130AF990" w:rsidR="00387C70" w:rsidRPr="003F23AC" w:rsidRDefault="000F5AA4" w:rsidP="003F23AC">
      <w:pPr>
        <w:pStyle w:val="P68B1DB1-Normal4"/>
        <w:numPr>
          <w:ilvl w:val="0"/>
          <w:numId w:val="56"/>
        </w:numPr>
        <w:spacing w:before="40" w:after="160" w:line="259" w:lineRule="auto"/>
        <w:ind w:hanging="357"/>
        <w:contextualSpacing/>
        <w:jc w:val="both"/>
        <w:rPr>
          <w:rFonts w:eastAsiaTheme="minorEastAsia" w:cs="Times New Roman"/>
          <w:noProof/>
          <w:lang w:val="sk-SK"/>
        </w:rPr>
      </w:pPr>
      <w:r w:rsidRPr="003F23AC">
        <w:rPr>
          <w:rFonts w:cs="Times New Roman"/>
          <w:noProof/>
          <w:lang w:val="sk-SK"/>
        </w:rPr>
        <w:t>modernizácia technologickej infraštruktúry kultúrnych zariadení</w:t>
      </w:r>
    </w:p>
    <w:p w14:paraId="5AD0BCC3" w14:textId="435A1C24" w:rsidR="00387C70" w:rsidRPr="003F23AC" w:rsidRDefault="000F5AA4" w:rsidP="003F23AC">
      <w:pPr>
        <w:pStyle w:val="P68B1DB1-Normal4"/>
        <w:numPr>
          <w:ilvl w:val="1"/>
          <w:numId w:val="70"/>
        </w:numPr>
        <w:spacing w:before="40" w:after="160" w:line="259" w:lineRule="auto"/>
        <w:ind w:hanging="357"/>
        <w:contextualSpacing/>
        <w:jc w:val="both"/>
        <w:rPr>
          <w:rFonts w:eastAsiaTheme="minorEastAsia" w:cs="Times New Roman"/>
          <w:noProof/>
          <w:lang w:val="sk-SK"/>
        </w:rPr>
      </w:pPr>
      <w:r w:rsidRPr="003F23AC">
        <w:rPr>
          <w:rFonts w:cs="Times New Roman"/>
          <w:noProof/>
          <w:lang w:val="sk-SK"/>
        </w:rPr>
        <w:t>nákup IT vybavenia, vytvorenie online mobilných knižníc, informačných systémov</w:t>
      </w:r>
      <w:r w:rsidR="00A75B3C" w:rsidRPr="003F23AC">
        <w:rPr>
          <w:rFonts w:cs="Times New Roman"/>
          <w:noProof/>
          <w:lang w:val="sk-SK"/>
        </w:rPr>
        <w:t xml:space="preserve"> a </w:t>
      </w:r>
      <w:r w:rsidRPr="003F23AC">
        <w:rPr>
          <w:rFonts w:cs="Times New Roman"/>
          <w:noProof/>
          <w:lang w:val="sk-SK"/>
        </w:rPr>
        <w:t>integrovaných katalógov pre 239 verejných knižníc;</w:t>
      </w:r>
    </w:p>
    <w:p w14:paraId="14E65A09" w14:textId="74E8EE97" w:rsidR="00387C70" w:rsidRPr="003F23AC" w:rsidRDefault="000F5AA4" w:rsidP="003F23AC">
      <w:pPr>
        <w:pStyle w:val="P68B1DB1-Normal4"/>
        <w:numPr>
          <w:ilvl w:val="1"/>
          <w:numId w:val="70"/>
        </w:numPr>
        <w:spacing w:before="40" w:after="160" w:line="259" w:lineRule="auto"/>
        <w:ind w:hanging="357"/>
        <w:contextualSpacing/>
        <w:jc w:val="both"/>
        <w:rPr>
          <w:rFonts w:eastAsiaTheme="minorEastAsia" w:cs="Times New Roman"/>
          <w:noProof/>
          <w:lang w:val="sk-SK"/>
        </w:rPr>
      </w:pPr>
      <w:r w:rsidRPr="003F23AC">
        <w:rPr>
          <w:rFonts w:cs="Times New Roman"/>
          <w:noProof/>
          <w:lang w:val="sk-SK"/>
        </w:rPr>
        <w:t xml:space="preserve">inštalácia pokrytia </w:t>
      </w:r>
      <w:r w:rsidRPr="003F23AC">
        <w:rPr>
          <w:rFonts w:cs="Times New Roman"/>
          <w:i/>
          <w:noProof/>
          <w:lang w:val="sk-SK"/>
        </w:rPr>
        <w:t>wifi</w:t>
      </w:r>
      <w:r w:rsidR="00A75B3C" w:rsidRPr="003F23AC">
        <w:rPr>
          <w:rFonts w:cs="Times New Roman"/>
          <w:noProof/>
          <w:lang w:val="sk-SK"/>
        </w:rPr>
        <w:t xml:space="preserve"> v </w:t>
      </w:r>
      <w:r w:rsidRPr="003F23AC">
        <w:rPr>
          <w:rFonts w:cs="Times New Roman"/>
          <w:noProof/>
          <w:lang w:val="sk-SK"/>
        </w:rPr>
        <w:t xml:space="preserve">50 múzeách, </w:t>
      </w:r>
      <w:r w:rsidR="00FF0A91" w:rsidRPr="003F23AC">
        <w:rPr>
          <w:rFonts w:cs="Times New Roman"/>
          <w:noProof/>
          <w:lang w:val="sk-SK"/>
        </w:rPr>
        <w:t>palácoch</w:t>
      </w:r>
      <w:r w:rsidR="00A75B3C" w:rsidRPr="003F23AC">
        <w:rPr>
          <w:rFonts w:cs="Times New Roman"/>
          <w:noProof/>
          <w:lang w:val="sk-SK"/>
        </w:rPr>
        <w:t xml:space="preserve"> a </w:t>
      </w:r>
      <w:r w:rsidRPr="003F23AC">
        <w:rPr>
          <w:rFonts w:cs="Times New Roman"/>
          <w:noProof/>
          <w:lang w:val="sk-SK"/>
        </w:rPr>
        <w:t>pamiatkach;</w:t>
      </w:r>
    </w:p>
    <w:p w14:paraId="6418D2E6" w14:textId="457C0E47" w:rsidR="00387C70" w:rsidRPr="003F23AC" w:rsidRDefault="000F5AA4" w:rsidP="003F23AC">
      <w:pPr>
        <w:pStyle w:val="P68B1DB1-Normal4"/>
        <w:numPr>
          <w:ilvl w:val="1"/>
          <w:numId w:val="70"/>
        </w:numPr>
        <w:spacing w:before="40" w:after="160" w:line="259" w:lineRule="auto"/>
        <w:ind w:hanging="357"/>
        <w:contextualSpacing/>
        <w:jc w:val="both"/>
        <w:rPr>
          <w:rFonts w:eastAsiaTheme="minorEastAsia" w:cs="Times New Roman"/>
          <w:noProof/>
          <w:lang w:val="sk-SK"/>
        </w:rPr>
      </w:pPr>
      <w:r w:rsidRPr="003F23AC">
        <w:rPr>
          <w:rFonts w:cs="Times New Roman"/>
          <w:noProof/>
          <w:lang w:val="sk-SK"/>
        </w:rPr>
        <w:t>nákup digitálneho</w:t>
      </w:r>
      <w:r w:rsidR="00A75B3C" w:rsidRPr="003F23AC">
        <w:rPr>
          <w:rFonts w:cs="Times New Roman"/>
          <w:noProof/>
          <w:lang w:val="sk-SK"/>
        </w:rPr>
        <w:t xml:space="preserve"> a </w:t>
      </w:r>
      <w:r w:rsidRPr="003F23AC">
        <w:rPr>
          <w:rFonts w:cs="Times New Roman"/>
          <w:noProof/>
          <w:lang w:val="sk-SK"/>
        </w:rPr>
        <w:t>videoprojekčného vybavenia pre 155 kínových telies</w:t>
      </w:r>
      <w:r w:rsidR="00A75B3C" w:rsidRPr="003F23AC">
        <w:rPr>
          <w:rFonts w:cs="Times New Roman"/>
          <w:noProof/>
          <w:lang w:val="sk-SK"/>
        </w:rPr>
        <w:t xml:space="preserve"> a </w:t>
      </w:r>
      <w:r w:rsidRPr="003F23AC">
        <w:rPr>
          <w:rFonts w:cs="Times New Roman"/>
          <w:noProof/>
          <w:lang w:val="sk-SK"/>
        </w:rPr>
        <w:t>verejné centrá súčasného umenia;</w:t>
      </w:r>
    </w:p>
    <w:p w14:paraId="60152140" w14:textId="048B6FF4" w:rsidR="00387C70" w:rsidRPr="003F23AC" w:rsidRDefault="000F5AA4" w:rsidP="003F23AC">
      <w:pPr>
        <w:pStyle w:val="P68B1DB1-Normal4"/>
        <w:numPr>
          <w:ilvl w:val="1"/>
          <w:numId w:val="70"/>
        </w:numPr>
        <w:spacing w:before="40" w:after="160" w:line="259" w:lineRule="auto"/>
        <w:ind w:hanging="357"/>
        <w:contextualSpacing/>
        <w:jc w:val="both"/>
        <w:rPr>
          <w:rFonts w:eastAsiaTheme="minorEastAsia" w:cs="Times New Roman"/>
          <w:noProof/>
          <w:lang w:val="sk-SK"/>
        </w:rPr>
      </w:pPr>
      <w:r w:rsidRPr="003F23AC">
        <w:rPr>
          <w:rFonts w:cs="Times New Roman"/>
          <w:noProof/>
          <w:lang w:val="sk-SK"/>
        </w:rPr>
        <w:t>technologická modernizácia</w:t>
      </w:r>
      <w:r w:rsidR="00A75B3C" w:rsidRPr="003F23AC">
        <w:rPr>
          <w:rFonts w:cs="Times New Roman"/>
          <w:noProof/>
          <w:lang w:val="sk-SK"/>
        </w:rPr>
        <w:t xml:space="preserve"> a </w:t>
      </w:r>
      <w:r w:rsidRPr="003F23AC">
        <w:rPr>
          <w:rFonts w:cs="Times New Roman"/>
          <w:noProof/>
          <w:lang w:val="sk-SK"/>
        </w:rPr>
        <w:t>udržiavanie verejných laboratórií;</w:t>
      </w:r>
    </w:p>
    <w:p w14:paraId="1D93986E" w14:textId="596F8A12" w:rsidR="00387C70" w:rsidRPr="003F23AC" w:rsidRDefault="000F5AA4" w:rsidP="003F23AC">
      <w:pPr>
        <w:pStyle w:val="ListParagraph"/>
        <w:keepNext w:val="0"/>
        <w:numPr>
          <w:ilvl w:val="1"/>
          <w:numId w:val="70"/>
        </w:numPr>
        <w:spacing w:before="40"/>
        <w:rPr>
          <w:noProof/>
          <w:lang w:val="sk-SK"/>
        </w:rPr>
      </w:pPr>
      <w:r w:rsidRPr="003F23AC">
        <w:rPr>
          <w:noProof/>
          <w:lang w:val="sk-SK"/>
        </w:rPr>
        <w:t>technologická modernizácia národného archívu pohyblivých obrazov (ANIM);</w:t>
      </w:r>
    </w:p>
    <w:p w14:paraId="129B1E79" w14:textId="4144A407" w:rsidR="00387C70" w:rsidRPr="003F23AC" w:rsidRDefault="000F5AA4" w:rsidP="003F23AC">
      <w:pPr>
        <w:pStyle w:val="P68B1DB1-Normal4"/>
        <w:numPr>
          <w:ilvl w:val="1"/>
          <w:numId w:val="70"/>
        </w:numPr>
        <w:spacing w:before="40" w:after="160" w:line="259" w:lineRule="auto"/>
        <w:ind w:hanging="357"/>
        <w:contextualSpacing/>
        <w:jc w:val="both"/>
        <w:rPr>
          <w:rFonts w:eastAsia="Times New Roman" w:cs="Times New Roman"/>
          <w:noProof/>
          <w:lang w:val="sk-SK"/>
        </w:rPr>
      </w:pPr>
      <w:r w:rsidRPr="003F23AC">
        <w:rPr>
          <w:rFonts w:cs="Times New Roman"/>
          <w:noProof/>
          <w:lang w:val="sk-SK"/>
        </w:rPr>
        <w:t>inštalácia národného archívu zvuku.</w:t>
      </w:r>
    </w:p>
    <w:p w14:paraId="63A92FE4" w14:textId="1C2C6D4F" w:rsidR="00387C70" w:rsidRPr="003F23AC" w:rsidRDefault="000F5AA4" w:rsidP="003F23AC">
      <w:pPr>
        <w:pStyle w:val="P68B1DB1-Normal4"/>
        <w:numPr>
          <w:ilvl w:val="0"/>
          <w:numId w:val="56"/>
        </w:numPr>
        <w:spacing w:before="40" w:after="160" w:line="259" w:lineRule="auto"/>
        <w:ind w:hanging="357"/>
        <w:contextualSpacing/>
        <w:jc w:val="both"/>
        <w:rPr>
          <w:rFonts w:eastAsiaTheme="minorEastAsia" w:cs="Times New Roman"/>
          <w:noProof/>
          <w:lang w:val="sk-SK"/>
        </w:rPr>
      </w:pPr>
      <w:r w:rsidRPr="003F23AC">
        <w:rPr>
          <w:rFonts w:cs="Times New Roman"/>
          <w:noProof/>
          <w:lang w:val="sk-SK"/>
        </w:rPr>
        <w:t>digitalizácia</w:t>
      </w:r>
      <w:r w:rsidR="00A75B3C" w:rsidRPr="003F23AC">
        <w:rPr>
          <w:rFonts w:cs="Times New Roman"/>
          <w:noProof/>
          <w:lang w:val="sk-SK"/>
        </w:rPr>
        <w:t xml:space="preserve"> a </w:t>
      </w:r>
      <w:r w:rsidRPr="003F23AC">
        <w:rPr>
          <w:rFonts w:cs="Times New Roman"/>
          <w:noProof/>
          <w:lang w:val="sk-SK"/>
        </w:rPr>
        <w:t>virtualizácia zbierok Generálneho riaditeľstva kníh, archívov</w:t>
      </w:r>
      <w:r w:rsidR="00A75B3C" w:rsidRPr="003F23AC">
        <w:rPr>
          <w:rFonts w:cs="Times New Roman"/>
          <w:noProof/>
          <w:lang w:val="sk-SK"/>
        </w:rPr>
        <w:t xml:space="preserve"> a </w:t>
      </w:r>
      <w:r w:rsidRPr="003F23AC">
        <w:rPr>
          <w:rFonts w:cs="Times New Roman"/>
          <w:noProof/>
          <w:lang w:val="sk-SK"/>
        </w:rPr>
        <w:t>knižníc (DGLAB), portugalskej národnej knižnice, verejnej knižnice Évora, Cinematheque, zbierok pod správou Generálneho riaditeľstva pre kultúrne dedičstvo (DGPC)</w:t>
      </w:r>
      <w:r w:rsidR="00A75B3C" w:rsidRPr="003F23AC">
        <w:rPr>
          <w:rFonts w:cs="Times New Roman"/>
          <w:noProof/>
          <w:lang w:val="sk-SK"/>
        </w:rPr>
        <w:t xml:space="preserve"> a </w:t>
      </w:r>
      <w:r w:rsidRPr="003F23AC">
        <w:rPr>
          <w:rFonts w:cs="Times New Roman"/>
          <w:noProof/>
          <w:lang w:val="sk-SK"/>
        </w:rPr>
        <w:t>regionálnych riaditeľstiev pre kultúru</w:t>
      </w:r>
      <w:r w:rsidR="00A75B3C" w:rsidRPr="003F23AC">
        <w:rPr>
          <w:rFonts w:cs="Times New Roman"/>
          <w:noProof/>
          <w:lang w:val="sk-SK"/>
        </w:rPr>
        <w:t xml:space="preserve"> a </w:t>
      </w:r>
      <w:r w:rsidRPr="003F23AC">
        <w:rPr>
          <w:rFonts w:cs="Times New Roman"/>
          <w:noProof/>
          <w:lang w:val="sk-SK"/>
        </w:rPr>
        <w:t>digitalizáciu audiovizuálneho materiálu</w:t>
      </w:r>
      <w:r w:rsidR="00A75B3C" w:rsidRPr="003F23AC">
        <w:rPr>
          <w:rFonts w:cs="Times New Roman"/>
          <w:noProof/>
          <w:lang w:val="sk-SK"/>
        </w:rPr>
        <w:t xml:space="preserve"> z </w:t>
      </w:r>
      <w:r w:rsidRPr="003F23AC">
        <w:rPr>
          <w:rFonts w:cs="Times New Roman"/>
          <w:noProof/>
          <w:lang w:val="sk-SK"/>
        </w:rPr>
        <w:t>historických archívov krajiny:</w:t>
      </w:r>
    </w:p>
    <w:p w14:paraId="6C9F1DA9" w14:textId="58BFA565" w:rsidR="00387C70" w:rsidRPr="003F23AC" w:rsidRDefault="000F5AA4" w:rsidP="003F23AC">
      <w:pPr>
        <w:pStyle w:val="P68B1DB1-Normal4"/>
        <w:numPr>
          <w:ilvl w:val="1"/>
          <w:numId w:val="70"/>
        </w:numPr>
        <w:spacing w:before="40" w:after="160" w:line="259" w:lineRule="auto"/>
        <w:ind w:hanging="357"/>
        <w:contextualSpacing/>
        <w:jc w:val="both"/>
        <w:rPr>
          <w:rFonts w:eastAsiaTheme="minorEastAsia" w:cs="Times New Roman"/>
          <w:noProof/>
          <w:lang w:val="sk-SK"/>
        </w:rPr>
      </w:pPr>
      <w:r w:rsidRPr="003F23AC">
        <w:rPr>
          <w:rFonts w:cs="Times New Roman"/>
          <w:noProof/>
          <w:lang w:val="sk-SK"/>
        </w:rPr>
        <w:t>digitalizácia</w:t>
      </w:r>
      <w:r w:rsidR="00A75B3C" w:rsidRPr="003F23AC">
        <w:rPr>
          <w:rFonts w:cs="Times New Roman"/>
          <w:noProof/>
          <w:lang w:val="sk-SK"/>
        </w:rPr>
        <w:t xml:space="preserve"> a </w:t>
      </w:r>
      <w:r w:rsidRPr="003F23AC">
        <w:rPr>
          <w:rFonts w:cs="Times New Roman"/>
          <w:noProof/>
          <w:lang w:val="sk-SK"/>
        </w:rPr>
        <w:t>virtualizácia zbierok verejných knižníc (20000000 obrázkov);</w:t>
      </w:r>
    </w:p>
    <w:p w14:paraId="2F41C273" w14:textId="625947F0" w:rsidR="00387C70" w:rsidRPr="003F23AC" w:rsidRDefault="000F5AA4" w:rsidP="003F23AC">
      <w:pPr>
        <w:pStyle w:val="P68B1DB1-Normal4"/>
        <w:numPr>
          <w:ilvl w:val="1"/>
          <w:numId w:val="70"/>
        </w:numPr>
        <w:spacing w:before="40" w:after="160" w:line="259" w:lineRule="auto"/>
        <w:ind w:hanging="357"/>
        <w:contextualSpacing/>
        <w:jc w:val="both"/>
        <w:rPr>
          <w:rFonts w:eastAsiaTheme="minorEastAsia" w:cs="Times New Roman"/>
          <w:noProof/>
          <w:lang w:val="sk-SK"/>
        </w:rPr>
      </w:pPr>
      <w:r w:rsidRPr="003F23AC">
        <w:rPr>
          <w:rFonts w:cs="Times New Roman"/>
          <w:noProof/>
          <w:lang w:val="sk-SK"/>
        </w:rPr>
        <w:t>digitalizácia</w:t>
      </w:r>
      <w:r w:rsidR="00A75B3C" w:rsidRPr="003F23AC">
        <w:rPr>
          <w:rFonts w:cs="Times New Roman"/>
          <w:noProof/>
          <w:lang w:val="sk-SK"/>
        </w:rPr>
        <w:t xml:space="preserve"> a </w:t>
      </w:r>
      <w:r w:rsidRPr="003F23AC">
        <w:rPr>
          <w:rFonts w:cs="Times New Roman"/>
          <w:noProof/>
          <w:lang w:val="sk-SK"/>
        </w:rPr>
        <w:t>virtualizácia zbierok národných archívov (19 00 000 dokumentov);</w:t>
      </w:r>
    </w:p>
    <w:p w14:paraId="08CD788B" w14:textId="77777777" w:rsidR="00387C70" w:rsidRPr="003F23AC" w:rsidRDefault="000F5AA4" w:rsidP="003F23AC">
      <w:pPr>
        <w:pStyle w:val="P68B1DB1-Normal4"/>
        <w:numPr>
          <w:ilvl w:val="1"/>
          <w:numId w:val="70"/>
        </w:numPr>
        <w:spacing w:before="40" w:after="160" w:line="259" w:lineRule="auto"/>
        <w:ind w:hanging="357"/>
        <w:contextualSpacing/>
        <w:jc w:val="both"/>
        <w:rPr>
          <w:rFonts w:eastAsiaTheme="minorEastAsia" w:cs="Times New Roman"/>
          <w:noProof/>
          <w:lang w:val="sk-SK"/>
        </w:rPr>
      </w:pPr>
      <w:r w:rsidRPr="003F23AC">
        <w:rPr>
          <w:rFonts w:cs="Times New Roman"/>
          <w:noProof/>
          <w:lang w:val="sk-SK"/>
        </w:rPr>
        <w:t>digitalizácia 59500 záznamov verejných múzeí;</w:t>
      </w:r>
    </w:p>
    <w:p w14:paraId="4D9619E7" w14:textId="63B3EDDD" w:rsidR="00387C70" w:rsidRPr="003F23AC" w:rsidRDefault="000F5AA4" w:rsidP="003F23AC">
      <w:pPr>
        <w:pStyle w:val="P68B1DB1-Normal4"/>
        <w:numPr>
          <w:ilvl w:val="1"/>
          <w:numId w:val="70"/>
        </w:numPr>
        <w:spacing w:before="40" w:after="160" w:line="259" w:lineRule="auto"/>
        <w:ind w:hanging="357"/>
        <w:contextualSpacing/>
        <w:jc w:val="both"/>
        <w:rPr>
          <w:rFonts w:eastAsiaTheme="minorEastAsia" w:cs="Times New Roman"/>
          <w:noProof/>
          <w:lang w:val="sk-SK"/>
        </w:rPr>
      </w:pPr>
      <w:r w:rsidRPr="003F23AC">
        <w:rPr>
          <w:rFonts w:cs="Times New Roman"/>
          <w:noProof/>
          <w:lang w:val="sk-SK"/>
        </w:rPr>
        <w:t>virtuálne návštevy múzeí,</w:t>
      </w:r>
    </w:p>
    <w:p w14:paraId="6147E91E" w14:textId="587E25BE" w:rsidR="00387C70" w:rsidRPr="003F23AC" w:rsidRDefault="000F5AA4" w:rsidP="003F23AC">
      <w:pPr>
        <w:pStyle w:val="P68B1DB1-Normal4"/>
        <w:numPr>
          <w:ilvl w:val="1"/>
          <w:numId w:val="70"/>
        </w:numPr>
        <w:spacing w:before="40" w:after="160" w:line="259" w:lineRule="auto"/>
        <w:ind w:hanging="357"/>
        <w:contextualSpacing/>
        <w:jc w:val="both"/>
        <w:rPr>
          <w:rFonts w:eastAsiaTheme="minorEastAsia" w:cs="Times New Roman"/>
          <w:noProof/>
          <w:lang w:val="sk-SK"/>
        </w:rPr>
      </w:pPr>
      <w:r w:rsidRPr="003F23AC">
        <w:rPr>
          <w:rFonts w:cs="Times New Roman"/>
          <w:noProof/>
          <w:lang w:val="sk-SK"/>
        </w:rPr>
        <w:t>digitalizácia 1000 filmov (Cinematheque);</w:t>
      </w:r>
      <w:r w:rsidR="00A75B3C" w:rsidRPr="003F23AC">
        <w:rPr>
          <w:rFonts w:cs="Times New Roman"/>
          <w:noProof/>
          <w:lang w:val="sk-SK"/>
        </w:rPr>
        <w:t xml:space="preserve"> a </w:t>
      </w:r>
      <w:r w:rsidRPr="003F23AC">
        <w:rPr>
          <w:rFonts w:cs="Times New Roman"/>
          <w:noProof/>
          <w:lang w:val="sk-SK"/>
        </w:rPr>
        <w:t>zároveň</w:t>
      </w:r>
    </w:p>
    <w:p w14:paraId="126C8F9B" w14:textId="04E3FED9" w:rsidR="00387C70" w:rsidRPr="003F23AC" w:rsidRDefault="000F5AA4" w:rsidP="003F23AC">
      <w:pPr>
        <w:pStyle w:val="P68B1DB1-Normal4"/>
        <w:numPr>
          <w:ilvl w:val="1"/>
          <w:numId w:val="70"/>
        </w:numPr>
        <w:spacing w:before="40" w:after="160" w:line="259" w:lineRule="auto"/>
        <w:ind w:hanging="357"/>
        <w:contextualSpacing/>
        <w:jc w:val="both"/>
        <w:rPr>
          <w:rFonts w:eastAsiaTheme="minorEastAsia" w:cs="Times New Roman"/>
          <w:noProof/>
          <w:lang w:val="sk-SK"/>
        </w:rPr>
      </w:pPr>
      <w:r w:rsidRPr="003F23AC">
        <w:rPr>
          <w:rFonts w:cs="Times New Roman"/>
          <w:noProof/>
          <w:lang w:val="sk-SK"/>
        </w:rPr>
        <w:t>digitalizácia audiovizuálneho materiálu</w:t>
      </w:r>
      <w:r w:rsidR="00A75B3C" w:rsidRPr="003F23AC">
        <w:rPr>
          <w:rFonts w:cs="Times New Roman"/>
          <w:noProof/>
          <w:lang w:val="sk-SK"/>
        </w:rPr>
        <w:t xml:space="preserve"> z </w:t>
      </w:r>
      <w:r w:rsidRPr="003F23AC">
        <w:rPr>
          <w:rFonts w:cs="Times New Roman"/>
          <w:noProof/>
          <w:lang w:val="sk-SK"/>
        </w:rPr>
        <w:t>archívov historických médií</w:t>
      </w:r>
      <w:r w:rsidR="00A75B3C" w:rsidRPr="003F23AC">
        <w:rPr>
          <w:rFonts w:cs="Times New Roman"/>
          <w:noProof/>
          <w:lang w:val="sk-SK"/>
        </w:rPr>
        <w:t xml:space="preserve"> a </w:t>
      </w:r>
      <w:r w:rsidRPr="003F23AC">
        <w:rPr>
          <w:rFonts w:cs="Times New Roman"/>
          <w:noProof/>
          <w:lang w:val="sk-SK"/>
        </w:rPr>
        <w:t>služieb televízneho vysielania</w:t>
      </w:r>
      <w:r w:rsidR="00A75B3C" w:rsidRPr="003F23AC">
        <w:rPr>
          <w:rFonts w:cs="Times New Roman"/>
          <w:noProof/>
          <w:lang w:val="sk-SK"/>
        </w:rPr>
        <w:t xml:space="preserve"> v </w:t>
      </w:r>
      <w:r w:rsidRPr="003F23AC">
        <w:rPr>
          <w:rFonts w:cs="Times New Roman"/>
          <w:noProof/>
          <w:lang w:val="sk-SK"/>
        </w:rPr>
        <w:t>krajine</w:t>
      </w:r>
      <w:r w:rsidR="00A75B3C" w:rsidRPr="003F23AC">
        <w:rPr>
          <w:rFonts w:cs="Times New Roman"/>
          <w:noProof/>
          <w:lang w:val="sk-SK"/>
        </w:rPr>
        <w:t xml:space="preserve"> a </w:t>
      </w:r>
      <w:r w:rsidRPr="003F23AC">
        <w:rPr>
          <w:rFonts w:cs="Times New Roman"/>
          <w:noProof/>
          <w:lang w:val="sk-SK"/>
        </w:rPr>
        <w:t>jeho sprístupnenie verejnosti</w:t>
      </w:r>
      <w:r w:rsidR="00A75B3C" w:rsidRPr="003F23AC">
        <w:rPr>
          <w:rFonts w:cs="Times New Roman"/>
          <w:noProof/>
          <w:lang w:val="sk-SK"/>
        </w:rPr>
        <w:t xml:space="preserve"> v </w:t>
      </w:r>
      <w:r w:rsidRPr="003F23AC">
        <w:rPr>
          <w:rFonts w:cs="Times New Roman"/>
          <w:noProof/>
          <w:lang w:val="sk-SK"/>
        </w:rPr>
        <w:t>rozsahu 45000 hodín</w:t>
      </w:r>
    </w:p>
    <w:p w14:paraId="69CDFB3B" w14:textId="15251062" w:rsidR="00387C70" w:rsidRPr="003F23AC" w:rsidRDefault="000F5AA4" w:rsidP="003F23AC">
      <w:pPr>
        <w:pStyle w:val="ListParagraph"/>
        <w:keepNext w:val="0"/>
        <w:numPr>
          <w:ilvl w:val="0"/>
          <w:numId w:val="71"/>
        </w:numPr>
        <w:spacing w:before="40"/>
        <w:rPr>
          <w:noProof/>
          <w:lang w:val="sk-SK"/>
        </w:rPr>
      </w:pPr>
      <w:r w:rsidRPr="003F23AC">
        <w:rPr>
          <w:noProof/>
          <w:lang w:val="sk-SK"/>
        </w:rPr>
        <w:t>Internacionalizácia, modernizácia</w:t>
      </w:r>
      <w:r w:rsidR="00A75B3C" w:rsidRPr="003F23AC">
        <w:rPr>
          <w:noProof/>
          <w:lang w:val="sk-SK"/>
        </w:rPr>
        <w:t xml:space="preserve"> a </w:t>
      </w:r>
      <w:r w:rsidRPr="003F23AC">
        <w:rPr>
          <w:noProof/>
          <w:lang w:val="sk-SK"/>
        </w:rPr>
        <w:t>digitálna transformácia kníh</w:t>
      </w:r>
      <w:r w:rsidR="00A75B3C" w:rsidRPr="003F23AC">
        <w:rPr>
          <w:noProof/>
          <w:lang w:val="sk-SK"/>
        </w:rPr>
        <w:t xml:space="preserve"> a </w:t>
      </w:r>
      <w:r w:rsidRPr="003F23AC">
        <w:rPr>
          <w:noProof/>
          <w:lang w:val="sk-SK"/>
        </w:rPr>
        <w:t>autorov:</w:t>
      </w:r>
    </w:p>
    <w:p w14:paraId="1E2C030B" w14:textId="6A2E687D" w:rsidR="00387C70" w:rsidRPr="003F23AC" w:rsidRDefault="000F5AA4" w:rsidP="003F23AC">
      <w:pPr>
        <w:pStyle w:val="P68B1DB1-Normal4"/>
        <w:numPr>
          <w:ilvl w:val="1"/>
          <w:numId w:val="70"/>
        </w:numPr>
        <w:spacing w:before="40" w:after="160" w:line="259" w:lineRule="auto"/>
        <w:ind w:hanging="357"/>
        <w:contextualSpacing/>
        <w:jc w:val="both"/>
        <w:rPr>
          <w:rFonts w:eastAsiaTheme="minorEastAsia" w:cs="Times New Roman"/>
          <w:noProof/>
          <w:lang w:val="sk-SK"/>
        </w:rPr>
      </w:pPr>
      <w:r w:rsidRPr="003F23AC">
        <w:rPr>
          <w:rFonts w:cs="Times New Roman"/>
          <w:noProof/>
          <w:lang w:val="sk-SK"/>
        </w:rPr>
        <w:t>podpora prekladu</w:t>
      </w:r>
      <w:r w:rsidR="00A75B3C" w:rsidRPr="003F23AC">
        <w:rPr>
          <w:rFonts w:cs="Times New Roman"/>
          <w:noProof/>
          <w:lang w:val="sk-SK"/>
        </w:rPr>
        <w:t xml:space="preserve"> a </w:t>
      </w:r>
      <w:r w:rsidRPr="003F23AC">
        <w:rPr>
          <w:rFonts w:cs="Times New Roman"/>
          <w:noProof/>
          <w:lang w:val="sk-SK"/>
        </w:rPr>
        <w:t>vydávania kníh do cudzích jazykov.</w:t>
      </w:r>
    </w:p>
    <w:p w14:paraId="197D7319" w14:textId="488E7A7F" w:rsidR="00387C70" w:rsidRPr="003F23AC" w:rsidRDefault="000F5AA4" w:rsidP="003F23AC">
      <w:pPr>
        <w:pStyle w:val="P68B1DB1-Normal4"/>
        <w:numPr>
          <w:ilvl w:val="1"/>
          <w:numId w:val="70"/>
        </w:numPr>
        <w:spacing w:before="40" w:after="160" w:line="259" w:lineRule="auto"/>
        <w:ind w:hanging="357"/>
        <w:contextualSpacing/>
        <w:jc w:val="both"/>
        <w:rPr>
          <w:rFonts w:eastAsiaTheme="minorEastAsia" w:cs="Times New Roman"/>
          <w:noProof/>
          <w:lang w:val="sk-SK"/>
        </w:rPr>
      </w:pPr>
      <w:r w:rsidRPr="003F23AC">
        <w:rPr>
          <w:rFonts w:cs="Times New Roman"/>
          <w:noProof/>
          <w:lang w:val="sk-SK"/>
        </w:rPr>
        <w:t>podpora prekladu</w:t>
      </w:r>
      <w:r w:rsidR="00A75B3C" w:rsidRPr="003F23AC">
        <w:rPr>
          <w:rFonts w:cs="Times New Roman"/>
          <w:noProof/>
          <w:lang w:val="sk-SK"/>
        </w:rPr>
        <w:t xml:space="preserve"> a </w:t>
      </w:r>
      <w:r w:rsidRPr="003F23AC">
        <w:rPr>
          <w:rFonts w:cs="Times New Roman"/>
          <w:noProof/>
          <w:lang w:val="sk-SK"/>
        </w:rPr>
        <w:t>vydávania literárnych diel vrátane audioknih</w:t>
      </w:r>
      <w:r w:rsidR="00A75B3C" w:rsidRPr="003F23AC">
        <w:rPr>
          <w:rFonts w:cs="Times New Roman"/>
          <w:noProof/>
          <w:lang w:val="sk-SK"/>
        </w:rPr>
        <w:t xml:space="preserve"> a </w:t>
      </w:r>
      <w:r w:rsidRPr="003F23AC">
        <w:rPr>
          <w:rFonts w:cs="Times New Roman"/>
          <w:noProof/>
          <w:lang w:val="sk-SK"/>
        </w:rPr>
        <w:t>elektronických kníh;</w:t>
      </w:r>
    </w:p>
    <w:p w14:paraId="2A41A423" w14:textId="254388FF" w:rsidR="00387C70" w:rsidRPr="003F23AC" w:rsidRDefault="000F5AA4" w:rsidP="003F23AC">
      <w:pPr>
        <w:pStyle w:val="P68B1DB1-Normal4"/>
        <w:numPr>
          <w:ilvl w:val="1"/>
          <w:numId w:val="70"/>
        </w:numPr>
        <w:spacing w:before="40" w:after="160" w:line="259" w:lineRule="auto"/>
        <w:ind w:hanging="357"/>
        <w:contextualSpacing/>
        <w:jc w:val="both"/>
        <w:rPr>
          <w:rFonts w:eastAsia="Times New Roman" w:cs="Times New Roman"/>
          <w:noProof/>
          <w:lang w:val="sk-SK"/>
        </w:rPr>
      </w:pPr>
      <w:r w:rsidRPr="003F23AC">
        <w:rPr>
          <w:rFonts w:cs="Times New Roman"/>
          <w:noProof/>
          <w:lang w:val="sk-SK"/>
        </w:rPr>
        <w:t>podpora modernizácie</w:t>
      </w:r>
      <w:r w:rsidR="00A75B3C" w:rsidRPr="003F23AC">
        <w:rPr>
          <w:rFonts w:cs="Times New Roman"/>
          <w:noProof/>
          <w:lang w:val="sk-SK"/>
        </w:rPr>
        <w:t xml:space="preserve"> a </w:t>
      </w:r>
      <w:r w:rsidRPr="003F23AC">
        <w:rPr>
          <w:rFonts w:cs="Times New Roman"/>
          <w:noProof/>
          <w:lang w:val="sk-SK"/>
        </w:rPr>
        <w:t>digitálnej transformácie kníhkupectiev na nákup vybavenia</w:t>
      </w:r>
      <w:r w:rsidR="00A75B3C" w:rsidRPr="003F23AC">
        <w:rPr>
          <w:rFonts w:cs="Times New Roman"/>
          <w:noProof/>
          <w:lang w:val="sk-SK"/>
        </w:rPr>
        <w:t xml:space="preserve"> a </w:t>
      </w:r>
      <w:r w:rsidRPr="003F23AC">
        <w:rPr>
          <w:rFonts w:cs="Times New Roman"/>
          <w:noProof/>
          <w:lang w:val="sk-SK"/>
        </w:rPr>
        <w:t>technológií.</w:t>
      </w:r>
    </w:p>
    <w:p w14:paraId="496B0AF5" w14:textId="57DF3BD5" w:rsidR="00387C70" w:rsidRPr="003F23AC" w:rsidRDefault="00387C70" w:rsidP="003F23AC">
      <w:pPr>
        <w:spacing w:before="40" w:after="160" w:line="259" w:lineRule="auto"/>
        <w:ind w:left="1800"/>
        <w:contextualSpacing/>
        <w:jc w:val="both"/>
        <w:rPr>
          <w:rFonts w:ascii="Times New Roman" w:eastAsia="Times New Roman" w:hAnsi="Times New Roman" w:cs="Times New Roman"/>
          <w:noProof/>
          <w:sz w:val="24"/>
          <w:lang w:val="sk-SK"/>
        </w:rPr>
      </w:pPr>
    </w:p>
    <w:p w14:paraId="75954FB6" w14:textId="42361D0F"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marca</w:t>
      </w:r>
      <w:r w:rsidRPr="003F23AC">
        <w:rPr>
          <w:rFonts w:cs="Times New Roman"/>
          <w:noProof/>
          <w:lang w:val="sk-SK"/>
        </w:rPr>
        <w:t xml:space="preserve"> 2026.</w:t>
      </w:r>
    </w:p>
    <w:p w14:paraId="0CCAFF13" w14:textId="06C899D3"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28A8ED10" w14:textId="7777777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RE-C04-i02: Kultúrneho dedičstva</w:t>
      </w:r>
    </w:p>
    <w:p w14:paraId="739B4265" w14:textId="51DEF960" w:rsidR="00387C70" w:rsidRPr="003F23AC" w:rsidRDefault="000F5AA4" w:rsidP="003F23AC">
      <w:pPr>
        <w:pStyle w:val="P68B1DB1-Normal4"/>
        <w:widowControl w:val="0"/>
        <w:spacing w:before="120" w:after="120" w:line="259" w:lineRule="auto"/>
        <w:jc w:val="both"/>
        <w:rPr>
          <w:rFonts w:eastAsiaTheme="minorEastAsia" w:cs="Times New Roman"/>
          <w:noProof/>
          <w:lang w:val="sk-SK"/>
        </w:rPr>
      </w:pPr>
      <w:r w:rsidRPr="003F23AC">
        <w:rPr>
          <w:rFonts w:cs="Times New Roman"/>
          <w:noProof/>
          <w:lang w:val="sk-SK"/>
        </w:rPr>
        <w:t>Cieľom tohto opatrenia je obnova kultúrnych zariadení klasifikovaných ako kultúrne dedičstvo. Jedným</w:t>
      </w:r>
      <w:r w:rsidR="00A75B3C" w:rsidRPr="003F23AC">
        <w:rPr>
          <w:rFonts w:cs="Times New Roman"/>
          <w:noProof/>
          <w:lang w:val="sk-SK"/>
        </w:rPr>
        <w:t xml:space="preserve"> z </w:t>
      </w:r>
      <w:r w:rsidRPr="003F23AC">
        <w:rPr>
          <w:rFonts w:cs="Times New Roman"/>
          <w:noProof/>
          <w:lang w:val="sk-SK"/>
        </w:rPr>
        <w:t>hlavných cieľov je prispôsobiť tieto zariadenia novým environmentálnym normám. To zahŕňa opatrenia, ako je zníženie spotreby primárnej energie budov spolu</w:t>
      </w:r>
      <w:r w:rsidR="00A75B3C" w:rsidRPr="003F23AC">
        <w:rPr>
          <w:rFonts w:cs="Times New Roman"/>
          <w:noProof/>
          <w:lang w:val="sk-SK"/>
        </w:rPr>
        <w:t xml:space="preserve"> s </w:t>
      </w:r>
      <w:r w:rsidRPr="003F23AC">
        <w:rPr>
          <w:rFonts w:cs="Times New Roman"/>
          <w:noProof/>
          <w:lang w:val="sk-SK"/>
        </w:rPr>
        <w:t>intervenciou</w:t>
      </w:r>
      <w:r w:rsidR="00A75B3C" w:rsidRPr="003F23AC">
        <w:rPr>
          <w:rFonts w:cs="Times New Roman"/>
          <w:noProof/>
          <w:lang w:val="sk-SK"/>
        </w:rPr>
        <w:t xml:space="preserve"> v </w:t>
      </w:r>
      <w:r w:rsidRPr="003F23AC">
        <w:rPr>
          <w:rFonts w:cs="Times New Roman"/>
          <w:noProof/>
          <w:lang w:val="sk-SK"/>
        </w:rPr>
        <w:t>historických zelených parkoch</w:t>
      </w:r>
      <w:r w:rsidR="00A75B3C" w:rsidRPr="003F23AC">
        <w:rPr>
          <w:rFonts w:cs="Times New Roman"/>
          <w:noProof/>
          <w:lang w:val="sk-SK"/>
        </w:rPr>
        <w:t xml:space="preserve"> s </w:t>
      </w:r>
      <w:r w:rsidRPr="003F23AC">
        <w:rPr>
          <w:rFonts w:cs="Times New Roman"/>
          <w:noProof/>
          <w:lang w:val="sk-SK"/>
        </w:rPr>
        <w:t>jedinečnou flórou</w:t>
      </w:r>
      <w:r w:rsidR="00A75B3C" w:rsidRPr="003F23AC">
        <w:rPr>
          <w:rFonts w:cs="Times New Roman"/>
          <w:noProof/>
          <w:lang w:val="sk-SK"/>
        </w:rPr>
        <w:t xml:space="preserve"> a </w:t>
      </w:r>
      <w:r w:rsidRPr="003F23AC">
        <w:rPr>
          <w:rFonts w:cs="Times New Roman"/>
          <w:noProof/>
          <w:lang w:val="sk-SK"/>
        </w:rPr>
        <w:t>faunou</w:t>
      </w:r>
      <w:r w:rsidR="00A75B3C" w:rsidRPr="003F23AC">
        <w:rPr>
          <w:rFonts w:cs="Times New Roman"/>
          <w:noProof/>
          <w:lang w:val="sk-SK"/>
        </w:rPr>
        <w:t xml:space="preserve"> s </w:t>
      </w:r>
      <w:r w:rsidRPr="003F23AC">
        <w:rPr>
          <w:rFonts w:cs="Times New Roman"/>
          <w:noProof/>
          <w:lang w:val="sk-SK"/>
        </w:rPr>
        <w:t>cieľom podporiť adaptáciu na zmenu klímy</w:t>
      </w:r>
      <w:r w:rsidR="00A75B3C" w:rsidRPr="003F23AC">
        <w:rPr>
          <w:rFonts w:cs="Times New Roman"/>
          <w:noProof/>
          <w:lang w:val="sk-SK"/>
        </w:rPr>
        <w:t xml:space="preserve"> a </w:t>
      </w:r>
      <w:r w:rsidRPr="003F23AC">
        <w:rPr>
          <w:rFonts w:cs="Times New Roman"/>
          <w:noProof/>
          <w:lang w:val="sk-SK"/>
        </w:rPr>
        <w:t>jej zmiernenie prostredníctvom efektívneho opätovného využívania vody na zavlažovanie.</w:t>
      </w:r>
    </w:p>
    <w:p w14:paraId="506DC566" w14:textId="0D2FFE5D" w:rsidR="00A75B3C" w:rsidRPr="003F23AC" w:rsidRDefault="000F5AA4" w:rsidP="003F23AC">
      <w:pPr>
        <w:pStyle w:val="P68B1DB1-Normal4"/>
        <w:spacing w:before="120" w:after="120" w:line="259" w:lineRule="auto"/>
        <w:jc w:val="both"/>
        <w:rPr>
          <w:rFonts w:cs="Times New Roman"/>
          <w:noProof/>
          <w:lang w:val="sk-SK"/>
        </w:rPr>
      </w:pPr>
      <w:r w:rsidRPr="003F23AC">
        <w:rPr>
          <w:rFonts w:cs="Times New Roman"/>
          <w:noProof/>
          <w:lang w:val="sk-SK"/>
        </w:rPr>
        <w:t>Táto investícia pozostáva</w:t>
      </w:r>
      <w:r w:rsidR="00A75B3C" w:rsidRPr="003F23AC">
        <w:rPr>
          <w:rFonts w:cs="Times New Roman"/>
          <w:noProof/>
          <w:lang w:val="sk-SK"/>
        </w:rPr>
        <w:t xml:space="preserve"> z </w:t>
      </w:r>
      <w:r w:rsidRPr="003F23AC">
        <w:rPr>
          <w:rFonts w:cs="Times New Roman"/>
          <w:noProof/>
          <w:lang w:val="sk-SK"/>
        </w:rPr>
        <w:t>týchto intervencií</w:t>
      </w:r>
      <w:r w:rsidR="00A75B3C" w:rsidRPr="003F23AC">
        <w:rPr>
          <w:rFonts w:cs="Times New Roman"/>
          <w:noProof/>
          <w:lang w:val="sk-SK"/>
        </w:rPr>
        <w:t>:</w:t>
      </w:r>
    </w:p>
    <w:p w14:paraId="4328998B" w14:textId="4EFBDA12" w:rsidR="00387C70" w:rsidRPr="003F23AC" w:rsidRDefault="000F5AA4" w:rsidP="003F23AC">
      <w:pPr>
        <w:pStyle w:val="P68B1DB1-Normal4"/>
        <w:numPr>
          <w:ilvl w:val="0"/>
          <w:numId w:val="51"/>
        </w:numPr>
        <w:spacing w:before="120" w:after="120" w:line="259" w:lineRule="auto"/>
        <w:contextualSpacing/>
        <w:jc w:val="both"/>
        <w:rPr>
          <w:rFonts w:eastAsiaTheme="minorEastAsia" w:cs="Times New Roman"/>
          <w:noProof/>
          <w:lang w:val="sk-SK"/>
        </w:rPr>
      </w:pPr>
      <w:r w:rsidRPr="003F23AC">
        <w:rPr>
          <w:rFonts w:cs="Times New Roman"/>
          <w:noProof/>
          <w:lang w:val="sk-SK"/>
        </w:rPr>
        <w:t>vytvorenie registra informácií</w:t>
      </w:r>
      <w:r w:rsidR="00A75B3C" w:rsidRPr="003F23AC">
        <w:rPr>
          <w:rFonts w:cs="Times New Roman"/>
          <w:noProof/>
          <w:lang w:val="sk-SK"/>
        </w:rPr>
        <w:t xml:space="preserve"> a </w:t>
      </w:r>
      <w:r w:rsidRPr="003F23AC">
        <w:rPr>
          <w:rFonts w:cs="Times New Roman"/>
          <w:noProof/>
          <w:lang w:val="sk-SK"/>
        </w:rPr>
        <w:t>dokumentácie</w:t>
      </w:r>
      <w:r w:rsidR="00A75B3C" w:rsidRPr="003F23AC">
        <w:rPr>
          <w:rFonts w:cs="Times New Roman"/>
          <w:noProof/>
          <w:lang w:val="sk-SK"/>
        </w:rPr>
        <w:t xml:space="preserve"> o </w:t>
      </w:r>
      <w:r w:rsidRPr="003F23AC">
        <w:rPr>
          <w:rFonts w:cs="Times New Roman"/>
          <w:noProof/>
          <w:lang w:val="sk-SK"/>
        </w:rPr>
        <w:t>domácej remeselnej výrobe, identifikácii</w:t>
      </w:r>
      <w:r w:rsidR="00A75B3C" w:rsidRPr="003F23AC">
        <w:rPr>
          <w:rFonts w:cs="Times New Roman"/>
          <w:noProof/>
          <w:lang w:val="sk-SK"/>
        </w:rPr>
        <w:t xml:space="preserve"> a </w:t>
      </w:r>
      <w:r w:rsidRPr="003F23AC">
        <w:rPr>
          <w:rFonts w:cs="Times New Roman"/>
          <w:noProof/>
          <w:lang w:val="sk-SK"/>
        </w:rPr>
        <w:t>mapovaní surovín;</w:t>
      </w:r>
    </w:p>
    <w:p w14:paraId="07974284" w14:textId="19244F00" w:rsidR="00387C70" w:rsidRPr="003F23AC" w:rsidRDefault="000F5AA4" w:rsidP="003F23AC">
      <w:pPr>
        <w:pStyle w:val="P68B1DB1-Normal4"/>
        <w:numPr>
          <w:ilvl w:val="0"/>
          <w:numId w:val="51"/>
        </w:numPr>
        <w:spacing w:before="120" w:after="120" w:line="259" w:lineRule="auto"/>
        <w:contextualSpacing/>
        <w:jc w:val="both"/>
        <w:rPr>
          <w:rFonts w:eastAsiaTheme="minorEastAsia" w:cs="Times New Roman"/>
          <w:noProof/>
          <w:lang w:val="sk-SK"/>
        </w:rPr>
      </w:pPr>
      <w:r w:rsidRPr="003F23AC">
        <w:rPr>
          <w:rFonts w:cs="Times New Roman"/>
          <w:noProof/>
          <w:lang w:val="sk-SK"/>
        </w:rPr>
        <w:t>inštalácia laboratórií</w:t>
      </w:r>
      <w:r w:rsidR="00A75B3C" w:rsidRPr="003F23AC">
        <w:rPr>
          <w:rFonts w:cs="Times New Roman"/>
          <w:noProof/>
          <w:lang w:val="sk-SK"/>
        </w:rPr>
        <w:t xml:space="preserve"> a </w:t>
      </w:r>
      <w:r w:rsidRPr="003F23AC">
        <w:rPr>
          <w:rFonts w:cs="Times New Roman"/>
          <w:noProof/>
          <w:lang w:val="sk-SK"/>
        </w:rPr>
        <w:t>trás iniciatívy technologického centra</w:t>
      </w:r>
      <w:r w:rsidR="00FF0A91" w:rsidRPr="003F23AC">
        <w:rPr>
          <w:rFonts w:cs="Times New Roman"/>
          <w:noProof/>
          <w:lang w:val="sk-SK"/>
        </w:rPr>
        <w:t xml:space="preserve"> </w:t>
      </w:r>
      <w:r w:rsidRPr="003F23AC">
        <w:rPr>
          <w:rFonts w:cs="Times New Roman"/>
          <w:i/>
          <w:noProof/>
          <w:lang w:val="sk-SK"/>
        </w:rPr>
        <w:t>Saber Fazer</w:t>
      </w:r>
      <w:r w:rsidR="00FF0A91" w:rsidRPr="003F23AC">
        <w:rPr>
          <w:rFonts w:cs="Times New Roman"/>
          <w:i/>
          <w:noProof/>
          <w:lang w:val="sk-SK"/>
        </w:rPr>
        <w:t xml:space="preserve"> </w:t>
      </w:r>
      <w:r w:rsidRPr="003F23AC">
        <w:rPr>
          <w:rFonts w:cs="Times New Roman"/>
          <w:noProof/>
          <w:lang w:val="sk-SK"/>
        </w:rPr>
        <w:t>(ochrana remeselných techník</w:t>
      </w:r>
      <w:r w:rsidR="00A75B3C" w:rsidRPr="003F23AC">
        <w:rPr>
          <w:rFonts w:cs="Times New Roman"/>
          <w:noProof/>
          <w:lang w:val="sk-SK"/>
        </w:rPr>
        <w:t xml:space="preserve"> a </w:t>
      </w:r>
      <w:r w:rsidRPr="003F23AC">
        <w:rPr>
          <w:rFonts w:cs="Times New Roman"/>
          <w:noProof/>
          <w:lang w:val="sk-SK"/>
        </w:rPr>
        <w:t>profesií) vrátane uvádzania výrobkov na trh;</w:t>
      </w:r>
    </w:p>
    <w:p w14:paraId="50DF6D56" w14:textId="4FF4D30A" w:rsidR="00387C70" w:rsidRPr="003F23AC" w:rsidRDefault="000F5AA4" w:rsidP="003F23AC">
      <w:pPr>
        <w:pStyle w:val="P68B1DB1-Normal4"/>
        <w:numPr>
          <w:ilvl w:val="0"/>
          <w:numId w:val="51"/>
        </w:numPr>
        <w:spacing w:before="120" w:after="120" w:line="259" w:lineRule="auto"/>
        <w:contextualSpacing/>
        <w:jc w:val="both"/>
        <w:rPr>
          <w:rFonts w:eastAsiaTheme="minorEastAsia" w:cs="Times New Roman"/>
          <w:noProof/>
          <w:lang w:val="sk-SK"/>
        </w:rPr>
      </w:pPr>
      <w:r w:rsidRPr="003F23AC">
        <w:rPr>
          <w:rFonts w:cs="Times New Roman"/>
          <w:noProof/>
          <w:lang w:val="sk-SK"/>
        </w:rPr>
        <w:t>vytváranie činností (pedagogické</w:t>
      </w:r>
      <w:r w:rsidR="00A75B3C" w:rsidRPr="003F23AC">
        <w:rPr>
          <w:rFonts w:cs="Times New Roman"/>
          <w:noProof/>
          <w:lang w:val="sk-SK"/>
        </w:rPr>
        <w:t xml:space="preserve"> a </w:t>
      </w:r>
      <w:r w:rsidRPr="003F23AC">
        <w:rPr>
          <w:rFonts w:cs="Times New Roman"/>
          <w:noProof/>
          <w:lang w:val="sk-SK"/>
        </w:rPr>
        <w:t>informatívne</w:t>
      </w:r>
      <w:r w:rsidR="00A75B3C" w:rsidRPr="003F23AC">
        <w:rPr>
          <w:rFonts w:cs="Times New Roman"/>
          <w:noProof/>
          <w:lang w:val="sk-SK"/>
        </w:rPr>
        <w:t xml:space="preserve"> o </w:t>
      </w:r>
      <w:r w:rsidRPr="003F23AC">
        <w:rPr>
          <w:rFonts w:cs="Times New Roman"/>
          <w:noProof/>
          <w:lang w:val="sk-SK"/>
        </w:rPr>
        <w:t>tradičných technikách),</w:t>
      </w:r>
    </w:p>
    <w:p w14:paraId="773D0F6E" w14:textId="07EA4CD6" w:rsidR="00387C70" w:rsidRPr="003F23AC" w:rsidRDefault="000F5AA4" w:rsidP="003F23AC">
      <w:pPr>
        <w:pStyle w:val="P68B1DB1-Normal4"/>
        <w:numPr>
          <w:ilvl w:val="0"/>
          <w:numId w:val="51"/>
        </w:numPr>
        <w:spacing w:before="120" w:after="0" w:line="259" w:lineRule="auto"/>
        <w:ind w:left="714" w:hanging="357"/>
        <w:contextualSpacing/>
        <w:jc w:val="both"/>
        <w:rPr>
          <w:rFonts w:eastAsiaTheme="minorEastAsia" w:cs="Times New Roman"/>
          <w:noProof/>
          <w:lang w:val="sk-SK"/>
        </w:rPr>
      </w:pPr>
      <w:r w:rsidRPr="003F23AC">
        <w:rPr>
          <w:rFonts w:cs="Times New Roman"/>
          <w:noProof/>
          <w:lang w:val="sk-SK"/>
        </w:rPr>
        <w:t>dokončenie prác</w:t>
      </w:r>
      <w:r w:rsidR="00A75B3C" w:rsidRPr="003F23AC">
        <w:rPr>
          <w:rFonts w:cs="Times New Roman"/>
          <w:noProof/>
          <w:lang w:val="sk-SK"/>
        </w:rPr>
        <w:t xml:space="preserve"> v </w:t>
      </w:r>
      <w:r w:rsidRPr="003F23AC">
        <w:rPr>
          <w:rFonts w:cs="Times New Roman"/>
          <w:noProof/>
          <w:lang w:val="sk-SK"/>
        </w:rPr>
        <w:t xml:space="preserve">múzeách, pamiatkach, štátnych </w:t>
      </w:r>
      <w:r w:rsidR="00FF0A91" w:rsidRPr="003F23AC">
        <w:rPr>
          <w:rFonts w:cs="Times New Roman"/>
          <w:noProof/>
          <w:lang w:val="sk-SK"/>
        </w:rPr>
        <w:t>palácoch</w:t>
      </w:r>
      <w:r w:rsidR="00A75B3C" w:rsidRPr="003F23AC">
        <w:rPr>
          <w:rFonts w:cs="Times New Roman"/>
          <w:noProof/>
          <w:lang w:val="sk-SK"/>
        </w:rPr>
        <w:t xml:space="preserve"> a </w:t>
      </w:r>
      <w:r w:rsidRPr="003F23AC">
        <w:rPr>
          <w:rFonts w:cs="Times New Roman"/>
          <w:noProof/>
          <w:lang w:val="sk-SK"/>
        </w:rPr>
        <w:t>národných divadlách, ktoré zahŕňajú renováciu a/alebo rekvalifikáciu;</w:t>
      </w:r>
    </w:p>
    <w:p w14:paraId="78989F13" w14:textId="56AD200E" w:rsidR="00387C70" w:rsidRPr="003F23AC" w:rsidRDefault="000F5AA4" w:rsidP="003F23AC">
      <w:pPr>
        <w:pStyle w:val="P68B1DB1-Normal4"/>
        <w:numPr>
          <w:ilvl w:val="0"/>
          <w:numId w:val="51"/>
        </w:numPr>
        <w:spacing w:before="120" w:after="0" w:line="259" w:lineRule="auto"/>
        <w:ind w:left="714" w:hanging="357"/>
        <w:contextualSpacing/>
        <w:jc w:val="both"/>
        <w:rPr>
          <w:rFonts w:eastAsiaTheme="minorEastAsia" w:cs="Times New Roman"/>
          <w:noProof/>
          <w:lang w:val="sk-SK"/>
        </w:rPr>
      </w:pPr>
      <w:r w:rsidRPr="003F23AC">
        <w:rPr>
          <w:rFonts w:cs="Times New Roman"/>
          <w:noProof/>
          <w:lang w:val="sk-SK"/>
        </w:rPr>
        <w:t>výstavba budovy národného archívu Sound.</w:t>
      </w:r>
    </w:p>
    <w:p w14:paraId="07BCF263" w14:textId="5FACEEE5" w:rsidR="00387C70" w:rsidRPr="003F23AC" w:rsidRDefault="00387C70" w:rsidP="003F23AC">
      <w:pPr>
        <w:spacing w:before="120" w:after="0" w:line="259" w:lineRule="auto"/>
        <w:contextualSpacing/>
        <w:jc w:val="both"/>
        <w:rPr>
          <w:rFonts w:ascii="Times New Roman" w:eastAsia="Times New Roman" w:hAnsi="Times New Roman" w:cs="Times New Roman"/>
          <w:noProof/>
          <w:sz w:val="24"/>
          <w:lang w:val="sk-SK"/>
        </w:rPr>
      </w:pPr>
    </w:p>
    <w:p w14:paraId="406F9B64" w14:textId="4223EC0D" w:rsidR="00387C70" w:rsidRPr="003F23AC" w:rsidRDefault="000F5AA4" w:rsidP="003F23AC">
      <w:pPr>
        <w:pStyle w:val="P68B1DB1-Normal4"/>
        <w:spacing w:before="120" w:after="0" w:line="259" w:lineRule="auto"/>
        <w:contextualSpacing/>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marca</w:t>
      </w:r>
      <w:r w:rsidRPr="003F23AC">
        <w:rPr>
          <w:rFonts w:cs="Times New Roman"/>
          <w:noProof/>
          <w:lang w:val="sk-SK"/>
        </w:rPr>
        <w:t xml:space="preserve"> 2026.</w:t>
      </w:r>
    </w:p>
    <w:p w14:paraId="22EEA54D" w14:textId="77777777" w:rsidR="00387C70" w:rsidRPr="003F23AC" w:rsidRDefault="00387C70" w:rsidP="00A26F8D">
      <w:pPr>
        <w:spacing w:after="0" w:line="240" w:lineRule="auto"/>
        <w:rPr>
          <w:rFonts w:ascii="Times New Roman" w:eastAsiaTheme="minorEastAsia" w:hAnsi="Times New Roman" w:cs="Times New Roman"/>
          <w:noProof/>
          <w:sz w:val="24"/>
          <w:lang w:val="sk-SK"/>
        </w:rPr>
      </w:pPr>
    </w:p>
    <w:p w14:paraId="461EECF2" w14:textId="77777777" w:rsidR="00387C70" w:rsidRPr="003F23AC" w:rsidRDefault="00387C70" w:rsidP="00A26F8D">
      <w:pPr>
        <w:spacing w:after="0" w:line="240" w:lineRule="auto"/>
        <w:rPr>
          <w:rFonts w:ascii="Times New Roman" w:eastAsiaTheme="minorEastAsia" w:hAnsi="Times New Roman" w:cs="Times New Roman"/>
          <w:noProof/>
          <w:sz w:val="24"/>
          <w:lang w:val="sk-SK"/>
        </w:rPr>
      </w:pPr>
    </w:p>
    <w:p w14:paraId="3E877F21" w14:textId="77777777" w:rsidR="00387C70" w:rsidRPr="003F23AC" w:rsidRDefault="00387C70" w:rsidP="00A26F8D">
      <w:pPr>
        <w:spacing w:after="0" w:line="240" w:lineRule="auto"/>
        <w:rPr>
          <w:rFonts w:ascii="Times New Roman" w:eastAsiaTheme="minorEastAsia" w:hAnsi="Times New Roman" w:cs="Times New Roman"/>
          <w:noProof/>
          <w:sz w:val="24"/>
          <w:lang w:val="sk-SK"/>
        </w:rPr>
      </w:pPr>
    </w:p>
    <w:p w14:paraId="74F6E330" w14:textId="5CC31371" w:rsidR="00387C70" w:rsidRPr="003F23AC" w:rsidRDefault="000F5AA4" w:rsidP="00A26F8D">
      <w:pPr>
        <w:pStyle w:val="P68B1DB1-Normal4"/>
        <w:tabs>
          <w:tab w:val="left" w:pos="3527"/>
        </w:tabs>
        <w:spacing w:after="0" w:line="240" w:lineRule="auto"/>
        <w:rPr>
          <w:rFonts w:eastAsia="Times New Roman" w:cs="Times New Roman"/>
          <w:noProof/>
          <w:lang w:val="sk-SK"/>
        </w:rPr>
      </w:pPr>
      <w:r w:rsidRPr="003F23AC">
        <w:rPr>
          <w:rFonts w:cs="Times New Roman"/>
          <w:noProof/>
          <w:lang w:val="sk-SK"/>
        </w:rPr>
        <w:tab/>
      </w:r>
    </w:p>
    <w:p w14:paraId="67590288" w14:textId="77777777" w:rsidR="00387C70" w:rsidRPr="003F23AC" w:rsidRDefault="00387C70" w:rsidP="00A26F8D">
      <w:pPr>
        <w:spacing w:after="0" w:line="240" w:lineRule="auto"/>
        <w:rPr>
          <w:rFonts w:ascii="Times New Roman" w:eastAsia="Times New Roman" w:hAnsi="Times New Roman" w:cs="Times New Roman"/>
          <w:noProof/>
          <w:sz w:val="24"/>
          <w:lang w:val="sk-SK"/>
        </w:rPr>
      </w:pPr>
    </w:p>
    <w:p w14:paraId="33277AD8" w14:textId="77777777" w:rsidR="00387C70" w:rsidRPr="003F23AC" w:rsidRDefault="00387C70" w:rsidP="003F23AC">
      <w:pPr>
        <w:rPr>
          <w:rFonts w:ascii="Times New Roman" w:eastAsiaTheme="minorEastAsia" w:hAnsi="Times New Roman" w:cs="Times New Roman"/>
          <w:noProof/>
          <w:sz w:val="24"/>
          <w:lang w:val="sk-SK"/>
        </w:rPr>
        <w:sectPr w:rsidR="00387C70" w:rsidRPr="003F23AC" w:rsidSect="00E00EDD">
          <w:headerReference w:type="even" r:id="rId84"/>
          <w:headerReference w:type="default" r:id="rId85"/>
          <w:footerReference w:type="even" r:id="rId86"/>
          <w:footerReference w:type="default" r:id="rId87"/>
          <w:headerReference w:type="first" r:id="rId88"/>
          <w:footerReference w:type="first" r:id="rId89"/>
          <w:pgSz w:w="11907" w:h="16839"/>
          <w:pgMar w:top="1134" w:right="1134" w:bottom="1134" w:left="1134" w:header="567" w:footer="567" w:gutter="0"/>
          <w:cols w:space="720"/>
          <w:docGrid w:linePitch="360"/>
        </w:sectPr>
      </w:pPr>
    </w:p>
    <w:p w14:paraId="0CA086A4" w14:textId="5DD8315F" w:rsidR="00387C70" w:rsidRPr="003F23AC" w:rsidRDefault="000F5AA4" w:rsidP="003F23AC">
      <w:pPr>
        <w:spacing w:before="40" w:after="0" w:line="259" w:lineRule="auto"/>
        <w:ind w:left="130" w:firstLine="720"/>
        <w:jc w:val="both"/>
        <w:outlineLvl w:val="2"/>
        <w:rPr>
          <w:rFonts w:ascii="Times New Roman" w:eastAsiaTheme="minorEastAsia" w:hAnsi="Times New Roman" w:cs="Times New Roman"/>
          <w:b/>
          <w:noProof/>
          <w:sz w:val="24"/>
          <w:u w:val="single"/>
          <w:lang w:val="sk-SK"/>
        </w:rPr>
      </w:pPr>
      <w:r w:rsidRPr="003F23AC">
        <w:rPr>
          <w:rFonts w:ascii="Times New Roman" w:hAnsi="Times New Roman" w:cs="Times New Roman"/>
          <w:b/>
          <w:noProof/>
          <w:sz w:val="24"/>
          <w:u w:val="single"/>
          <w:lang w:val="sk-SK"/>
        </w:rPr>
        <w:t xml:space="preserve">D.2. </w:t>
      </w:r>
      <w:r w:rsidRPr="003F23AC">
        <w:rPr>
          <w:rFonts w:ascii="Times New Roman" w:hAnsi="Times New Roman" w:cs="Times New Roman"/>
          <w:noProof/>
          <w:lang w:val="sk-SK"/>
        </w:rPr>
        <w:tab/>
      </w:r>
      <w:r w:rsidRPr="003F23AC">
        <w:rPr>
          <w:rFonts w:ascii="Times New Roman" w:hAnsi="Times New Roman" w:cs="Times New Roman"/>
          <w:b/>
          <w:noProof/>
          <w:sz w:val="24"/>
          <w:u w:val="single"/>
          <w:lang w:val="sk-SK"/>
        </w:rPr>
        <w:t>Míľniky, ciele, ukazovatele</w:t>
      </w:r>
      <w:r w:rsidR="00A75B3C" w:rsidRPr="003F23AC">
        <w:rPr>
          <w:rFonts w:ascii="Times New Roman" w:hAnsi="Times New Roman" w:cs="Times New Roman"/>
          <w:b/>
          <w:noProof/>
          <w:sz w:val="24"/>
          <w:u w:val="single"/>
          <w:lang w:val="sk-SK"/>
        </w:rPr>
        <w:t xml:space="preserve"> a </w:t>
      </w:r>
      <w:r w:rsidRPr="003F23AC">
        <w:rPr>
          <w:rFonts w:ascii="Times New Roman" w:hAnsi="Times New Roman" w:cs="Times New Roman"/>
          <w:b/>
          <w:noProof/>
          <w:sz w:val="24"/>
          <w:u w:val="single"/>
          <w:lang w:val="sk-SK"/>
        </w:rPr>
        <w:t>harmonogram monitorovania</w:t>
      </w:r>
      <w:r w:rsidR="00A75B3C" w:rsidRPr="003F23AC">
        <w:rPr>
          <w:rFonts w:ascii="Times New Roman" w:hAnsi="Times New Roman" w:cs="Times New Roman"/>
          <w:b/>
          <w:noProof/>
          <w:sz w:val="24"/>
          <w:u w:val="single"/>
          <w:lang w:val="sk-SK"/>
        </w:rPr>
        <w:t xml:space="preserve"> a </w:t>
      </w:r>
      <w:r w:rsidRPr="003F23AC">
        <w:rPr>
          <w:rFonts w:ascii="Times New Roman" w:hAnsi="Times New Roman" w:cs="Times New Roman"/>
          <w:b/>
          <w:noProof/>
          <w:sz w:val="24"/>
          <w:u w:val="single"/>
          <w:lang w:val="sk-SK"/>
        </w:rPr>
        <w:t>realizácie pre nenávratnú finančnú podporu</w:t>
      </w:r>
    </w:p>
    <w:p w14:paraId="0559F0B6"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138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1191"/>
        <w:gridCol w:w="1060"/>
        <w:gridCol w:w="1588"/>
        <w:gridCol w:w="1373"/>
        <w:gridCol w:w="750"/>
        <w:gridCol w:w="986"/>
        <w:gridCol w:w="910"/>
        <w:gridCol w:w="798"/>
        <w:gridCol w:w="413"/>
        <w:gridCol w:w="3756"/>
      </w:tblGrid>
      <w:tr w:rsidR="00387C70" w:rsidRPr="003F23AC" w14:paraId="04D8F8F1" w14:textId="77777777" w:rsidTr="00A26F8D">
        <w:trPr>
          <w:trHeight w:val="910"/>
          <w:tblHeader/>
        </w:trPr>
        <w:tc>
          <w:tcPr>
            <w:tcW w:w="1067" w:type="dxa"/>
            <w:vMerge w:val="restart"/>
            <w:shd w:val="clear" w:color="auto" w:fill="B4C6E7"/>
            <w:tcMar>
              <w:left w:w="28" w:type="dxa"/>
              <w:right w:w="28" w:type="dxa"/>
            </w:tcMar>
            <w:vAlign w:val="center"/>
            <w:hideMark/>
          </w:tcPr>
          <w:p w14:paraId="66743342"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191" w:type="dxa"/>
            <w:vMerge w:val="restart"/>
            <w:shd w:val="clear" w:color="auto" w:fill="B4C6E7"/>
            <w:tcMar>
              <w:left w:w="28" w:type="dxa"/>
              <w:right w:w="28" w:type="dxa"/>
            </w:tcMar>
            <w:vAlign w:val="center"/>
            <w:hideMark/>
          </w:tcPr>
          <w:p w14:paraId="12DF4D36" w14:textId="77777777" w:rsidR="00387C70" w:rsidRPr="003F23AC" w:rsidRDefault="000F5AA4" w:rsidP="003F23AC">
            <w:pPr>
              <w:pStyle w:val="P68B1DB1-Normal16"/>
              <w:spacing w:after="0" w:line="240" w:lineRule="auto"/>
              <w:jc w:val="center"/>
              <w:rPr>
                <w:rFonts w:eastAsia="Times New Roman" w:cs="Times New Roman"/>
                <w:b/>
                <w:noProof/>
                <w:lang w:val="sk-SK"/>
              </w:rPr>
            </w:pPr>
            <w:r w:rsidRPr="003F23AC">
              <w:rPr>
                <w:rFonts w:cs="Times New Roman"/>
                <w:b/>
                <w:noProof/>
                <w:lang w:val="sk-SK"/>
              </w:rPr>
              <w:t>Opatrenie (reforma alebo investícia)</w:t>
            </w:r>
            <w:r w:rsidRPr="003F23AC">
              <w:rPr>
                <w:rFonts w:cs="Times New Roman"/>
                <w:noProof/>
                <w:lang w:val="sk-SK"/>
              </w:rPr>
              <w:t> </w:t>
            </w:r>
          </w:p>
        </w:tc>
        <w:tc>
          <w:tcPr>
            <w:tcW w:w="1060" w:type="dxa"/>
            <w:vMerge w:val="restart"/>
            <w:shd w:val="clear" w:color="auto" w:fill="B4C6E7"/>
            <w:tcMar>
              <w:left w:w="28" w:type="dxa"/>
              <w:right w:w="28" w:type="dxa"/>
            </w:tcMar>
            <w:vAlign w:val="center"/>
            <w:hideMark/>
          </w:tcPr>
          <w:p w14:paraId="1BA1C91E" w14:textId="292277FC" w:rsidR="00387C70" w:rsidRPr="003F23AC" w:rsidRDefault="000F5AA4" w:rsidP="003F23AC">
            <w:pPr>
              <w:pStyle w:val="P68B1DB1-Normal16"/>
              <w:spacing w:after="0" w:line="240" w:lineRule="auto"/>
              <w:jc w:val="center"/>
              <w:rPr>
                <w:rFonts w:eastAsia="Times New Roman" w:cs="Times New Roman"/>
                <w:b/>
                <w:noProof/>
                <w:lang w:val="sk-SK"/>
              </w:rPr>
            </w:pPr>
            <w:r w:rsidRPr="003F23AC">
              <w:rPr>
                <w:rFonts w:cs="Times New Roman"/>
                <w:b/>
                <w:noProof/>
                <w:lang w:val="sk-SK"/>
              </w:rPr>
              <w:t>Čiastkovýcieľ/ cieľ</w:t>
            </w:r>
          </w:p>
        </w:tc>
        <w:tc>
          <w:tcPr>
            <w:tcW w:w="1588" w:type="dxa"/>
            <w:vMerge w:val="restart"/>
            <w:shd w:val="clear" w:color="auto" w:fill="B4C6E7"/>
            <w:tcMar>
              <w:left w:w="28" w:type="dxa"/>
              <w:right w:w="28" w:type="dxa"/>
            </w:tcMar>
            <w:vAlign w:val="center"/>
            <w:hideMark/>
          </w:tcPr>
          <w:p w14:paraId="28AD35BA" w14:textId="77777777" w:rsidR="00387C70" w:rsidRPr="003F23AC" w:rsidRDefault="000F5AA4" w:rsidP="003F23AC">
            <w:pPr>
              <w:pStyle w:val="P68B1DB1-Normal16"/>
              <w:spacing w:after="0" w:line="240" w:lineRule="auto"/>
              <w:jc w:val="center"/>
              <w:rPr>
                <w:rFonts w:eastAsia="Times New Roman" w:cs="Times New Roman"/>
                <w:b/>
                <w:noProof/>
                <w:lang w:val="sk-SK"/>
              </w:rPr>
            </w:pPr>
            <w:r w:rsidRPr="003F23AC">
              <w:rPr>
                <w:rFonts w:cs="Times New Roman"/>
                <w:b/>
                <w:noProof/>
                <w:lang w:val="sk-SK"/>
              </w:rPr>
              <w:t>Názov</w:t>
            </w:r>
            <w:r w:rsidRPr="003F23AC">
              <w:rPr>
                <w:rFonts w:cs="Times New Roman"/>
                <w:noProof/>
                <w:lang w:val="sk-SK"/>
              </w:rPr>
              <w:t> </w:t>
            </w:r>
          </w:p>
        </w:tc>
        <w:tc>
          <w:tcPr>
            <w:tcW w:w="1373" w:type="dxa"/>
            <w:vMerge w:val="restart"/>
            <w:shd w:val="clear" w:color="auto" w:fill="B4C6E7"/>
            <w:tcMar>
              <w:left w:w="28" w:type="dxa"/>
              <w:right w:w="28" w:type="dxa"/>
            </w:tcMar>
            <w:vAlign w:val="center"/>
            <w:hideMark/>
          </w:tcPr>
          <w:p w14:paraId="17F2F265" w14:textId="77777777" w:rsidR="00387C70" w:rsidRPr="003F23AC" w:rsidRDefault="000F5AA4" w:rsidP="003F23AC">
            <w:pPr>
              <w:pStyle w:val="P68B1DB1-Normal16"/>
              <w:spacing w:after="0" w:line="240" w:lineRule="auto"/>
              <w:jc w:val="center"/>
              <w:rPr>
                <w:rFonts w:eastAsia="Times New Roman" w:cs="Times New Roman"/>
                <w:b/>
                <w:noProof/>
                <w:lang w:val="sk-SK"/>
              </w:rPr>
            </w:pPr>
            <w:r w:rsidRPr="003F23AC">
              <w:rPr>
                <w:rFonts w:cs="Times New Roman"/>
                <w:b/>
                <w:noProof/>
                <w:lang w:val="sk-SK"/>
              </w:rPr>
              <w:t>Kvalitatívne ukazovatele (pre míľniky)</w:t>
            </w:r>
            <w:r w:rsidRPr="003F23AC">
              <w:rPr>
                <w:rFonts w:cs="Times New Roman"/>
                <w:noProof/>
                <w:lang w:val="sk-SK"/>
              </w:rPr>
              <w:t> </w:t>
            </w:r>
          </w:p>
        </w:tc>
        <w:tc>
          <w:tcPr>
            <w:tcW w:w="2646" w:type="dxa"/>
            <w:gridSpan w:val="3"/>
            <w:shd w:val="clear" w:color="auto" w:fill="B4C6E7"/>
            <w:tcMar>
              <w:left w:w="28" w:type="dxa"/>
              <w:right w:w="28" w:type="dxa"/>
            </w:tcMar>
            <w:vAlign w:val="center"/>
            <w:hideMark/>
          </w:tcPr>
          <w:p w14:paraId="5E49CDA7" w14:textId="77777777" w:rsidR="00387C70" w:rsidRPr="003F23AC" w:rsidRDefault="000F5AA4" w:rsidP="003F23AC">
            <w:pPr>
              <w:pStyle w:val="P68B1DB1-Normal16"/>
              <w:spacing w:after="0" w:line="240" w:lineRule="auto"/>
              <w:jc w:val="center"/>
              <w:rPr>
                <w:rFonts w:eastAsia="Times New Roman" w:cs="Times New Roman"/>
                <w:b/>
                <w:noProof/>
                <w:lang w:val="sk-SK"/>
              </w:rPr>
            </w:pPr>
            <w:r w:rsidRPr="003F23AC">
              <w:rPr>
                <w:rFonts w:cs="Times New Roman"/>
                <w:b/>
                <w:noProof/>
                <w:lang w:val="sk-SK"/>
              </w:rPr>
              <w:t>Kvantitatívne ukazovatele (pre ciele)</w:t>
            </w:r>
            <w:r w:rsidRPr="003F23AC">
              <w:rPr>
                <w:rFonts w:cs="Times New Roman"/>
                <w:noProof/>
                <w:lang w:val="sk-SK"/>
              </w:rPr>
              <w:t> </w:t>
            </w:r>
          </w:p>
        </w:tc>
        <w:tc>
          <w:tcPr>
            <w:tcW w:w="1211" w:type="dxa"/>
            <w:gridSpan w:val="2"/>
            <w:shd w:val="clear" w:color="auto" w:fill="B4C6E7"/>
            <w:tcMar>
              <w:left w:w="28" w:type="dxa"/>
              <w:right w:w="28" w:type="dxa"/>
            </w:tcMar>
            <w:vAlign w:val="center"/>
            <w:hideMark/>
          </w:tcPr>
          <w:p w14:paraId="50636C03" w14:textId="77777777" w:rsidR="00387C70" w:rsidRPr="003F23AC" w:rsidRDefault="000F5AA4" w:rsidP="003F23AC">
            <w:pPr>
              <w:pStyle w:val="P68B1DB1-Normal16"/>
              <w:spacing w:after="0" w:line="240" w:lineRule="auto"/>
              <w:jc w:val="center"/>
              <w:rPr>
                <w:rFonts w:eastAsia="Times New Roman" w:cs="Times New Roman"/>
                <w:b/>
                <w:noProof/>
                <w:lang w:val="sk-SK"/>
              </w:rPr>
            </w:pPr>
            <w:r w:rsidRPr="003F23AC">
              <w:rPr>
                <w:rFonts w:cs="Times New Roman"/>
                <w:b/>
                <w:noProof/>
                <w:lang w:val="sk-SK"/>
              </w:rPr>
              <w:t>Orientačný harmonogram splnenia</w:t>
            </w:r>
            <w:r w:rsidRPr="003F23AC">
              <w:rPr>
                <w:rFonts w:cs="Times New Roman"/>
                <w:noProof/>
                <w:lang w:val="sk-SK"/>
              </w:rPr>
              <w:t> </w:t>
            </w:r>
          </w:p>
        </w:tc>
        <w:tc>
          <w:tcPr>
            <w:tcW w:w="3756" w:type="dxa"/>
            <w:vMerge w:val="restart"/>
            <w:shd w:val="clear" w:color="auto" w:fill="B4C6E7"/>
            <w:noWrap/>
            <w:tcMar>
              <w:left w:w="28" w:type="dxa"/>
              <w:right w:w="28" w:type="dxa"/>
            </w:tcMar>
            <w:vAlign w:val="center"/>
            <w:hideMark/>
          </w:tcPr>
          <w:p w14:paraId="1133A1F5" w14:textId="2C537040" w:rsidR="00387C70" w:rsidRPr="003F23AC" w:rsidRDefault="000F5AA4" w:rsidP="003F23AC">
            <w:pPr>
              <w:pStyle w:val="P68B1DB1-Normal16"/>
              <w:spacing w:after="0" w:line="240" w:lineRule="auto"/>
              <w:jc w:val="center"/>
              <w:rPr>
                <w:rFonts w:eastAsia="Times New Roman" w:cs="Times New Roman"/>
                <w:b/>
                <w:noProof/>
                <w:lang w:val="sk-SK"/>
              </w:rPr>
            </w:pPr>
            <w:r w:rsidRPr="003F23AC">
              <w:rPr>
                <w:rFonts w:cs="Times New Roman"/>
                <w:b/>
                <w:noProof/>
                <w:lang w:val="sk-SK"/>
              </w:rPr>
              <w:t>Opis</w:t>
            </w:r>
            <w:r w:rsidR="00A75B3C" w:rsidRPr="003F23AC">
              <w:rPr>
                <w:rFonts w:cs="Times New Roman"/>
                <w:b/>
                <w:noProof/>
                <w:lang w:val="sk-SK"/>
              </w:rPr>
              <w:t xml:space="preserve"> a </w:t>
            </w:r>
            <w:r w:rsidRPr="003F23AC">
              <w:rPr>
                <w:rFonts w:cs="Times New Roman"/>
                <w:b/>
                <w:noProof/>
                <w:lang w:val="sk-SK"/>
              </w:rPr>
              <w:t>jasné vymedzenie jednotlivých míľnikov</w:t>
            </w:r>
            <w:r w:rsidR="00A75B3C" w:rsidRPr="003F23AC">
              <w:rPr>
                <w:rFonts w:cs="Times New Roman"/>
                <w:b/>
                <w:noProof/>
                <w:lang w:val="sk-SK"/>
              </w:rPr>
              <w:t xml:space="preserve"> a </w:t>
            </w:r>
            <w:r w:rsidRPr="003F23AC">
              <w:rPr>
                <w:rFonts w:cs="Times New Roman"/>
                <w:b/>
                <w:noProof/>
                <w:lang w:val="sk-SK"/>
              </w:rPr>
              <w:t>cieľov</w:t>
            </w:r>
            <w:r w:rsidRPr="003F23AC">
              <w:rPr>
                <w:rFonts w:cs="Times New Roman"/>
                <w:noProof/>
                <w:lang w:val="sk-SK"/>
              </w:rPr>
              <w:t> </w:t>
            </w:r>
          </w:p>
        </w:tc>
      </w:tr>
      <w:tr w:rsidR="00387C70" w:rsidRPr="003F23AC" w14:paraId="52076021" w14:textId="77777777" w:rsidTr="00A26F8D">
        <w:trPr>
          <w:trHeight w:val="470"/>
          <w:tblHeader/>
        </w:trPr>
        <w:tc>
          <w:tcPr>
            <w:tcW w:w="1067" w:type="dxa"/>
            <w:vMerge/>
            <w:tcMar>
              <w:left w:w="28" w:type="dxa"/>
              <w:right w:w="28" w:type="dxa"/>
            </w:tcMar>
            <w:vAlign w:val="center"/>
            <w:hideMark/>
          </w:tcPr>
          <w:p w14:paraId="12D2ED3A"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91" w:type="dxa"/>
            <w:vMerge/>
            <w:tcMar>
              <w:left w:w="28" w:type="dxa"/>
              <w:right w:w="28" w:type="dxa"/>
            </w:tcMar>
            <w:vAlign w:val="center"/>
            <w:hideMark/>
          </w:tcPr>
          <w:p w14:paraId="40E37BF9"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060" w:type="dxa"/>
            <w:vMerge/>
            <w:tcMar>
              <w:left w:w="28" w:type="dxa"/>
              <w:right w:w="28" w:type="dxa"/>
            </w:tcMar>
            <w:vAlign w:val="center"/>
            <w:hideMark/>
          </w:tcPr>
          <w:p w14:paraId="7217D83F" w14:textId="40991F61"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588" w:type="dxa"/>
            <w:vMerge/>
            <w:tcMar>
              <w:left w:w="28" w:type="dxa"/>
              <w:right w:w="28" w:type="dxa"/>
            </w:tcMar>
            <w:vAlign w:val="center"/>
            <w:hideMark/>
          </w:tcPr>
          <w:p w14:paraId="17CFCC18"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373" w:type="dxa"/>
            <w:vMerge/>
            <w:tcMar>
              <w:left w:w="28" w:type="dxa"/>
              <w:right w:w="28" w:type="dxa"/>
            </w:tcMar>
            <w:vAlign w:val="center"/>
            <w:hideMark/>
          </w:tcPr>
          <w:p w14:paraId="19D57B14"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750" w:type="dxa"/>
            <w:shd w:val="clear" w:color="auto" w:fill="B4C6E7"/>
            <w:tcMar>
              <w:left w:w="28" w:type="dxa"/>
              <w:right w:w="28" w:type="dxa"/>
            </w:tcMar>
            <w:vAlign w:val="center"/>
            <w:hideMark/>
          </w:tcPr>
          <w:p w14:paraId="2DDF773F" w14:textId="77777777" w:rsidR="00387C70" w:rsidRPr="003F23AC" w:rsidRDefault="000F5AA4" w:rsidP="003F23AC">
            <w:pPr>
              <w:pStyle w:val="P68B1DB1-Normal16"/>
              <w:spacing w:after="0" w:line="240" w:lineRule="auto"/>
              <w:jc w:val="center"/>
              <w:rPr>
                <w:rFonts w:eastAsia="Times New Roman" w:cs="Times New Roman"/>
                <w:b/>
                <w:noProof/>
                <w:lang w:val="sk-SK"/>
              </w:rPr>
            </w:pPr>
            <w:r w:rsidRPr="003F23AC">
              <w:rPr>
                <w:rFonts w:cs="Times New Roman"/>
                <w:b/>
                <w:noProof/>
                <w:lang w:val="sk-SK"/>
              </w:rPr>
              <w:t>Merná jednotka</w:t>
            </w:r>
            <w:r w:rsidRPr="003F23AC">
              <w:rPr>
                <w:rFonts w:cs="Times New Roman"/>
                <w:noProof/>
                <w:lang w:val="sk-SK"/>
              </w:rPr>
              <w:t> </w:t>
            </w:r>
          </w:p>
        </w:tc>
        <w:tc>
          <w:tcPr>
            <w:tcW w:w="986" w:type="dxa"/>
            <w:shd w:val="clear" w:color="auto" w:fill="B4C6E7"/>
            <w:tcMar>
              <w:left w:w="28" w:type="dxa"/>
              <w:right w:w="28" w:type="dxa"/>
            </w:tcMar>
            <w:vAlign w:val="center"/>
            <w:hideMark/>
          </w:tcPr>
          <w:p w14:paraId="70EE8293" w14:textId="3F539BD6" w:rsidR="00387C70" w:rsidRPr="003F23AC" w:rsidRDefault="00680FF6" w:rsidP="003F23AC">
            <w:pPr>
              <w:pStyle w:val="P68B1DB1-Normal16"/>
              <w:spacing w:after="0" w:line="240" w:lineRule="auto"/>
              <w:jc w:val="center"/>
              <w:rPr>
                <w:rFonts w:eastAsia="Times New Roman" w:cs="Times New Roman"/>
                <w:b/>
                <w:noProof/>
                <w:lang w:val="sk-SK"/>
              </w:rPr>
            </w:pPr>
            <w:r w:rsidRPr="003F23AC">
              <w:rPr>
                <w:rFonts w:cs="Times New Roman"/>
                <w:b/>
                <w:noProof/>
                <w:lang w:val="sk-SK"/>
              </w:rPr>
              <w:t>Východisková hodnota</w:t>
            </w:r>
            <w:r w:rsidR="000F5AA4" w:rsidRPr="003F23AC">
              <w:rPr>
                <w:rFonts w:cs="Times New Roman"/>
                <w:noProof/>
                <w:lang w:val="sk-SK"/>
              </w:rPr>
              <w:t> </w:t>
            </w:r>
          </w:p>
        </w:tc>
        <w:tc>
          <w:tcPr>
            <w:tcW w:w="910" w:type="dxa"/>
            <w:shd w:val="clear" w:color="auto" w:fill="B4C6E7"/>
            <w:tcMar>
              <w:left w:w="28" w:type="dxa"/>
              <w:right w:w="28" w:type="dxa"/>
            </w:tcMar>
            <w:vAlign w:val="center"/>
            <w:hideMark/>
          </w:tcPr>
          <w:p w14:paraId="091447AD" w14:textId="00496FA7" w:rsidR="00387C70" w:rsidRPr="003F23AC" w:rsidRDefault="00680FF6" w:rsidP="003F23AC">
            <w:pPr>
              <w:pStyle w:val="P68B1DB1-Normal16"/>
              <w:spacing w:after="0" w:line="240" w:lineRule="auto"/>
              <w:jc w:val="center"/>
              <w:rPr>
                <w:rFonts w:eastAsia="Times New Roman" w:cs="Times New Roman"/>
                <w:b/>
                <w:noProof/>
                <w:lang w:val="sk-SK"/>
              </w:rPr>
            </w:pPr>
            <w:r w:rsidRPr="003F23AC">
              <w:rPr>
                <w:rFonts w:cs="Times New Roman"/>
                <w:b/>
                <w:noProof/>
                <w:lang w:val="sk-SK"/>
              </w:rPr>
              <w:t>Cieľová hodnota</w:t>
            </w:r>
            <w:r w:rsidR="000F5AA4" w:rsidRPr="003F23AC">
              <w:rPr>
                <w:rFonts w:cs="Times New Roman"/>
                <w:noProof/>
                <w:lang w:val="sk-SK"/>
              </w:rPr>
              <w:t> </w:t>
            </w:r>
          </w:p>
        </w:tc>
        <w:tc>
          <w:tcPr>
            <w:tcW w:w="798" w:type="dxa"/>
            <w:shd w:val="clear" w:color="auto" w:fill="B4C6E7"/>
            <w:tcMar>
              <w:left w:w="28" w:type="dxa"/>
              <w:right w:w="28" w:type="dxa"/>
            </w:tcMar>
            <w:vAlign w:val="center"/>
            <w:hideMark/>
          </w:tcPr>
          <w:p w14:paraId="6A0E7E81" w14:textId="7F47E4D2" w:rsidR="00387C70" w:rsidRPr="003F23AC" w:rsidRDefault="00680FF6" w:rsidP="003F23AC">
            <w:pPr>
              <w:pStyle w:val="P68B1DB1-Normal16"/>
              <w:spacing w:after="0" w:line="240" w:lineRule="auto"/>
              <w:jc w:val="center"/>
              <w:rPr>
                <w:rFonts w:eastAsia="Times New Roman" w:cs="Times New Roman"/>
                <w:b/>
                <w:noProof/>
                <w:lang w:val="sk-SK"/>
              </w:rPr>
            </w:pPr>
            <w:r w:rsidRPr="003F23AC">
              <w:rPr>
                <w:rFonts w:cs="Times New Roman"/>
                <w:b/>
                <w:noProof/>
                <w:lang w:val="sk-SK"/>
              </w:rPr>
              <w:t>Štvrťrok</w:t>
            </w:r>
            <w:r w:rsidR="000F5AA4" w:rsidRPr="003F23AC">
              <w:rPr>
                <w:rFonts w:cs="Times New Roman"/>
                <w:noProof/>
                <w:lang w:val="sk-SK"/>
              </w:rPr>
              <w:t> </w:t>
            </w:r>
          </w:p>
        </w:tc>
        <w:tc>
          <w:tcPr>
            <w:tcW w:w="413" w:type="dxa"/>
            <w:shd w:val="clear" w:color="auto" w:fill="B4C6E7"/>
            <w:tcMar>
              <w:left w:w="28" w:type="dxa"/>
              <w:right w:w="28" w:type="dxa"/>
            </w:tcMar>
            <w:vAlign w:val="center"/>
            <w:hideMark/>
          </w:tcPr>
          <w:p w14:paraId="4917FFB7" w14:textId="77777777" w:rsidR="00387C70" w:rsidRPr="003F23AC" w:rsidRDefault="000F5AA4" w:rsidP="003F23AC">
            <w:pPr>
              <w:pStyle w:val="P68B1DB1-Normal16"/>
              <w:spacing w:after="0" w:line="240" w:lineRule="auto"/>
              <w:jc w:val="center"/>
              <w:rPr>
                <w:rFonts w:eastAsia="Times New Roman" w:cs="Times New Roman"/>
                <w:b/>
                <w:noProof/>
                <w:lang w:val="sk-SK"/>
              </w:rPr>
            </w:pPr>
            <w:r w:rsidRPr="003F23AC">
              <w:rPr>
                <w:rFonts w:cs="Times New Roman"/>
                <w:b/>
                <w:noProof/>
                <w:lang w:val="sk-SK"/>
              </w:rPr>
              <w:t>Rok</w:t>
            </w:r>
            <w:r w:rsidRPr="003F23AC">
              <w:rPr>
                <w:rFonts w:cs="Times New Roman"/>
                <w:noProof/>
                <w:lang w:val="sk-SK"/>
              </w:rPr>
              <w:t> </w:t>
            </w:r>
          </w:p>
        </w:tc>
        <w:tc>
          <w:tcPr>
            <w:tcW w:w="3756" w:type="dxa"/>
            <w:vMerge/>
            <w:tcMar>
              <w:left w:w="28" w:type="dxa"/>
              <w:right w:w="28" w:type="dxa"/>
            </w:tcMar>
            <w:vAlign w:val="center"/>
            <w:hideMark/>
          </w:tcPr>
          <w:p w14:paraId="38B9FC0D"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A26F8D" w:rsidRPr="003F23AC" w14:paraId="69100ED4" w14:textId="77777777" w:rsidTr="00A26F8D">
        <w:trPr>
          <w:trHeight w:val="1480"/>
        </w:trPr>
        <w:tc>
          <w:tcPr>
            <w:tcW w:w="1067" w:type="dxa"/>
            <w:shd w:val="clear" w:color="auto" w:fill="C5EFCE"/>
            <w:tcMar>
              <w:left w:w="28" w:type="dxa"/>
              <w:right w:w="28" w:type="dxa"/>
            </w:tcMar>
            <w:vAlign w:val="center"/>
            <w:hideMark/>
          </w:tcPr>
          <w:p w14:paraId="7FFFB0EB"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4.1</w:t>
            </w:r>
          </w:p>
        </w:tc>
        <w:tc>
          <w:tcPr>
            <w:tcW w:w="1191" w:type="dxa"/>
            <w:shd w:val="clear" w:color="auto" w:fill="C4EFCE"/>
            <w:tcMar>
              <w:left w:w="28" w:type="dxa"/>
              <w:right w:w="28" w:type="dxa"/>
            </w:tcMar>
            <w:vAlign w:val="center"/>
            <w:hideMark/>
          </w:tcPr>
          <w:p w14:paraId="0F332CE6" w14:textId="691584B0"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C04-i01 </w:t>
            </w:r>
          </w:p>
        </w:tc>
        <w:tc>
          <w:tcPr>
            <w:tcW w:w="1060" w:type="dxa"/>
            <w:shd w:val="clear" w:color="auto" w:fill="C4EFCE"/>
            <w:tcMar>
              <w:left w:w="28" w:type="dxa"/>
              <w:right w:w="28" w:type="dxa"/>
            </w:tcMar>
            <w:vAlign w:val="center"/>
            <w:hideMark/>
          </w:tcPr>
          <w:p w14:paraId="394E1B0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 </w:t>
            </w:r>
          </w:p>
        </w:tc>
        <w:tc>
          <w:tcPr>
            <w:tcW w:w="1588" w:type="dxa"/>
            <w:shd w:val="clear" w:color="auto" w:fill="C4EFCE"/>
            <w:tcMar>
              <w:left w:w="28" w:type="dxa"/>
              <w:right w:w="28" w:type="dxa"/>
            </w:tcMar>
            <w:vAlign w:val="center"/>
            <w:hideMark/>
          </w:tcPr>
          <w:p w14:paraId="0470444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Technologické špecifikácie siete kultúrnych zariadení</w:t>
            </w:r>
          </w:p>
        </w:tc>
        <w:tc>
          <w:tcPr>
            <w:tcW w:w="1373" w:type="dxa"/>
            <w:shd w:val="clear" w:color="auto" w:fill="C4EFCE"/>
            <w:tcMar>
              <w:left w:w="28" w:type="dxa"/>
              <w:right w:w="28" w:type="dxa"/>
            </w:tcMar>
            <w:vAlign w:val="center"/>
            <w:hideMark/>
          </w:tcPr>
          <w:p w14:paraId="61F7EBA6" w14:textId="62FD89A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technologických špecifikáciách siete kultúrnych zariadení</w:t>
            </w:r>
          </w:p>
        </w:tc>
        <w:tc>
          <w:tcPr>
            <w:tcW w:w="750" w:type="dxa"/>
            <w:shd w:val="clear" w:color="auto" w:fill="C4EFCE"/>
            <w:tcMar>
              <w:left w:w="28" w:type="dxa"/>
              <w:right w:w="28" w:type="dxa"/>
            </w:tcMar>
            <w:vAlign w:val="center"/>
            <w:hideMark/>
          </w:tcPr>
          <w:p w14:paraId="7F181E4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86" w:type="dxa"/>
            <w:shd w:val="clear" w:color="auto" w:fill="C4EFCE"/>
            <w:tcMar>
              <w:left w:w="28" w:type="dxa"/>
              <w:right w:w="28" w:type="dxa"/>
            </w:tcMar>
            <w:vAlign w:val="center"/>
            <w:hideMark/>
          </w:tcPr>
          <w:p w14:paraId="5B4FC930" w14:textId="7E611E3F" w:rsidR="00387C70" w:rsidRPr="003F23AC" w:rsidRDefault="00A75B3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10" w:type="dxa"/>
            <w:shd w:val="clear" w:color="auto" w:fill="C4EFCE"/>
            <w:tcMar>
              <w:left w:w="28" w:type="dxa"/>
              <w:right w:w="28" w:type="dxa"/>
            </w:tcMar>
            <w:vAlign w:val="center"/>
            <w:hideMark/>
          </w:tcPr>
          <w:p w14:paraId="1EE6267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98" w:type="dxa"/>
            <w:shd w:val="clear" w:color="auto" w:fill="C4EFCE"/>
            <w:tcMar>
              <w:left w:w="28" w:type="dxa"/>
              <w:right w:w="28" w:type="dxa"/>
            </w:tcMar>
            <w:vAlign w:val="center"/>
            <w:hideMark/>
          </w:tcPr>
          <w:p w14:paraId="7E5E1F2E" w14:textId="31FE05A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r w:rsidR="000F5AA4" w:rsidRPr="003F23AC">
              <w:rPr>
                <w:rFonts w:ascii="Times New Roman" w:hAnsi="Times New Roman" w:cs="Times New Roman"/>
                <w:noProof/>
                <w:lang w:val="sk-SK"/>
              </w:rPr>
              <w:t> </w:t>
            </w:r>
          </w:p>
        </w:tc>
        <w:tc>
          <w:tcPr>
            <w:tcW w:w="413" w:type="dxa"/>
            <w:shd w:val="clear" w:color="auto" w:fill="C4EFCE"/>
            <w:tcMar>
              <w:left w:w="28" w:type="dxa"/>
              <w:right w:w="28" w:type="dxa"/>
            </w:tcMar>
            <w:vAlign w:val="center"/>
            <w:hideMark/>
          </w:tcPr>
          <w:p w14:paraId="7BDF2F4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2022 </w:t>
            </w:r>
          </w:p>
        </w:tc>
        <w:tc>
          <w:tcPr>
            <w:tcW w:w="3756" w:type="dxa"/>
            <w:shd w:val="clear" w:color="auto" w:fill="C4EFCE"/>
            <w:noWrap/>
            <w:tcMar>
              <w:left w:w="28" w:type="dxa"/>
              <w:right w:w="28" w:type="dxa"/>
            </w:tcMar>
            <w:vAlign w:val="center"/>
            <w:hideMark/>
          </w:tcPr>
          <w:p w14:paraId="3C24C115"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Podrobné vymedzenie technologických špecifikácií pre sieť kultúrnych zariadení </w:t>
            </w:r>
          </w:p>
        </w:tc>
      </w:tr>
      <w:tr w:rsidR="00A26F8D" w:rsidRPr="003F23AC" w14:paraId="6A18F214" w14:textId="77777777" w:rsidTr="00A26F8D">
        <w:trPr>
          <w:trHeight w:val="1060"/>
        </w:trPr>
        <w:tc>
          <w:tcPr>
            <w:tcW w:w="1067" w:type="dxa"/>
            <w:shd w:val="clear" w:color="auto" w:fill="C5EFCE"/>
            <w:tcMar>
              <w:left w:w="28" w:type="dxa"/>
              <w:right w:w="28" w:type="dxa"/>
            </w:tcMar>
            <w:vAlign w:val="center"/>
            <w:hideMark/>
          </w:tcPr>
          <w:p w14:paraId="2815D0C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4.2</w:t>
            </w:r>
          </w:p>
        </w:tc>
        <w:tc>
          <w:tcPr>
            <w:tcW w:w="1191" w:type="dxa"/>
            <w:shd w:val="clear" w:color="auto" w:fill="C4EFCE"/>
            <w:tcMar>
              <w:left w:w="28" w:type="dxa"/>
              <w:right w:w="28" w:type="dxa"/>
            </w:tcMar>
            <w:vAlign w:val="center"/>
            <w:hideMark/>
          </w:tcPr>
          <w:p w14:paraId="67F836FD" w14:textId="2E15FBFD"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C04-i01 </w:t>
            </w:r>
          </w:p>
        </w:tc>
        <w:tc>
          <w:tcPr>
            <w:tcW w:w="1060" w:type="dxa"/>
            <w:shd w:val="clear" w:color="auto" w:fill="C4EFCE"/>
            <w:tcMar>
              <w:left w:w="28" w:type="dxa"/>
              <w:right w:w="28" w:type="dxa"/>
            </w:tcMar>
            <w:vAlign w:val="center"/>
            <w:hideMark/>
          </w:tcPr>
          <w:p w14:paraId="3862850B" w14:textId="24F30F63"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r w:rsidR="000F5AA4" w:rsidRPr="003F23AC">
              <w:rPr>
                <w:rFonts w:ascii="Times New Roman" w:hAnsi="Times New Roman" w:cs="Times New Roman"/>
                <w:noProof/>
                <w:lang w:val="sk-SK"/>
              </w:rPr>
              <w:t> </w:t>
            </w:r>
          </w:p>
        </w:tc>
        <w:tc>
          <w:tcPr>
            <w:tcW w:w="1588" w:type="dxa"/>
            <w:shd w:val="clear" w:color="auto" w:fill="C4EFCE"/>
            <w:tcMar>
              <w:left w:w="28" w:type="dxa"/>
              <w:right w:w="28" w:type="dxa"/>
            </w:tcMar>
            <w:vAlign w:val="center"/>
            <w:hideMark/>
          </w:tcPr>
          <w:p w14:paraId="3696B78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Finančná podpora digitálnej transformácie kníhkupectiev</w:t>
            </w:r>
          </w:p>
        </w:tc>
        <w:tc>
          <w:tcPr>
            <w:tcW w:w="1373" w:type="dxa"/>
            <w:shd w:val="clear" w:color="auto" w:fill="C4EFCE"/>
            <w:tcMar>
              <w:left w:w="28" w:type="dxa"/>
              <w:right w:w="28" w:type="dxa"/>
            </w:tcMar>
            <w:vAlign w:val="center"/>
            <w:hideMark/>
          </w:tcPr>
          <w:p w14:paraId="4F0ADF2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50" w:type="dxa"/>
            <w:shd w:val="clear" w:color="auto" w:fill="C4EFCE"/>
            <w:tcMar>
              <w:left w:w="28" w:type="dxa"/>
              <w:right w:w="28" w:type="dxa"/>
            </w:tcMar>
            <w:vAlign w:val="center"/>
            <w:hideMark/>
          </w:tcPr>
          <w:p w14:paraId="6F1EB3D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86" w:type="dxa"/>
            <w:shd w:val="clear" w:color="auto" w:fill="C4EFCE"/>
            <w:tcMar>
              <w:left w:w="28" w:type="dxa"/>
              <w:right w:w="28" w:type="dxa"/>
            </w:tcMar>
            <w:vAlign w:val="center"/>
            <w:hideMark/>
          </w:tcPr>
          <w:p w14:paraId="07E69B4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0 </w:t>
            </w:r>
          </w:p>
        </w:tc>
        <w:tc>
          <w:tcPr>
            <w:tcW w:w="910" w:type="dxa"/>
            <w:shd w:val="clear" w:color="auto" w:fill="C4EFCE"/>
            <w:tcMar>
              <w:left w:w="28" w:type="dxa"/>
              <w:right w:w="28" w:type="dxa"/>
            </w:tcMar>
            <w:vAlign w:val="center"/>
            <w:hideMark/>
          </w:tcPr>
          <w:p w14:paraId="34DE8CD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200 </w:t>
            </w:r>
          </w:p>
        </w:tc>
        <w:tc>
          <w:tcPr>
            <w:tcW w:w="798" w:type="dxa"/>
            <w:shd w:val="clear" w:color="auto" w:fill="C4EFCE"/>
            <w:tcMar>
              <w:left w:w="28" w:type="dxa"/>
              <w:right w:w="28" w:type="dxa"/>
            </w:tcMar>
            <w:vAlign w:val="center"/>
            <w:hideMark/>
          </w:tcPr>
          <w:p w14:paraId="58CDDC7C" w14:textId="3CB66FA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r w:rsidR="000F5AA4" w:rsidRPr="003F23AC">
              <w:rPr>
                <w:rFonts w:ascii="Times New Roman" w:hAnsi="Times New Roman" w:cs="Times New Roman"/>
                <w:noProof/>
                <w:lang w:val="sk-SK"/>
              </w:rPr>
              <w:t> </w:t>
            </w:r>
          </w:p>
        </w:tc>
        <w:tc>
          <w:tcPr>
            <w:tcW w:w="413" w:type="dxa"/>
            <w:shd w:val="clear" w:color="auto" w:fill="C4EFCE"/>
            <w:tcMar>
              <w:left w:w="28" w:type="dxa"/>
              <w:right w:w="28" w:type="dxa"/>
            </w:tcMar>
            <w:vAlign w:val="center"/>
            <w:hideMark/>
          </w:tcPr>
          <w:p w14:paraId="6C906CB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2025 </w:t>
            </w:r>
          </w:p>
        </w:tc>
        <w:tc>
          <w:tcPr>
            <w:tcW w:w="3756" w:type="dxa"/>
            <w:shd w:val="clear" w:color="auto" w:fill="C4EFCE"/>
            <w:tcMar>
              <w:left w:w="28" w:type="dxa"/>
              <w:right w:w="28" w:type="dxa"/>
            </w:tcMar>
            <w:vAlign w:val="center"/>
            <w:hideMark/>
          </w:tcPr>
          <w:p w14:paraId="7BA7A95B" w14:textId="1294F92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kníhkupectiev získal finančnú podporu na digitálnu transformáciu kníhkupectiev,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ktorej sa dotuje 60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nákladov na kôš technologického vybavenia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služieb na kníhkupectvo (napr. skener kníh, siete Wi-fi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VPN, webové sídlo kníhkupectva, integrovaný účtovný systém atď.)</w:t>
            </w:r>
          </w:p>
        </w:tc>
      </w:tr>
      <w:tr w:rsidR="00A26F8D" w:rsidRPr="003F23AC" w14:paraId="26C8893F" w14:textId="77777777" w:rsidTr="00A26F8D">
        <w:trPr>
          <w:trHeight w:val="290"/>
        </w:trPr>
        <w:tc>
          <w:tcPr>
            <w:tcW w:w="1067" w:type="dxa"/>
            <w:shd w:val="clear" w:color="auto" w:fill="C5EFCE"/>
            <w:tcMar>
              <w:left w:w="28" w:type="dxa"/>
              <w:right w:w="28" w:type="dxa"/>
            </w:tcMar>
            <w:vAlign w:val="center"/>
            <w:hideMark/>
          </w:tcPr>
          <w:p w14:paraId="5A0BEA5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4.3</w:t>
            </w:r>
          </w:p>
        </w:tc>
        <w:tc>
          <w:tcPr>
            <w:tcW w:w="1191" w:type="dxa"/>
            <w:shd w:val="clear" w:color="auto" w:fill="C4EFCE"/>
            <w:tcMar>
              <w:left w:w="28" w:type="dxa"/>
              <w:right w:w="28" w:type="dxa"/>
            </w:tcMar>
            <w:vAlign w:val="center"/>
            <w:hideMark/>
          </w:tcPr>
          <w:p w14:paraId="162AF0B7" w14:textId="31CD5C10"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C04-i01 </w:t>
            </w:r>
          </w:p>
        </w:tc>
        <w:tc>
          <w:tcPr>
            <w:tcW w:w="1060" w:type="dxa"/>
            <w:shd w:val="clear" w:color="auto" w:fill="C4EFCE"/>
            <w:tcMar>
              <w:left w:w="28" w:type="dxa"/>
              <w:right w:w="28" w:type="dxa"/>
            </w:tcMar>
            <w:vAlign w:val="center"/>
            <w:hideMark/>
          </w:tcPr>
          <w:p w14:paraId="08616AC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 </w:t>
            </w:r>
          </w:p>
        </w:tc>
        <w:tc>
          <w:tcPr>
            <w:tcW w:w="1588" w:type="dxa"/>
            <w:shd w:val="clear" w:color="auto" w:fill="C4EFCE"/>
            <w:tcMar>
              <w:left w:w="28" w:type="dxa"/>
              <w:right w:w="28" w:type="dxa"/>
            </w:tcMar>
            <w:vAlign w:val="center"/>
            <w:hideMark/>
          </w:tcPr>
          <w:p w14:paraId="1C4A4D61" w14:textId="5A2327C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Digitalizácia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virtualizácia verejných zbierok </w:t>
            </w:r>
          </w:p>
        </w:tc>
        <w:tc>
          <w:tcPr>
            <w:tcW w:w="1373" w:type="dxa"/>
            <w:shd w:val="clear" w:color="auto" w:fill="C4EFCE"/>
            <w:tcMar>
              <w:left w:w="28" w:type="dxa"/>
              <w:right w:w="28" w:type="dxa"/>
            </w:tcMar>
            <w:vAlign w:val="center"/>
            <w:hideMark/>
          </w:tcPr>
          <w:p w14:paraId="69874A18" w14:textId="14DD368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Digitalizácia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virtualizácia verejných zbierok</w:t>
            </w:r>
          </w:p>
        </w:tc>
        <w:tc>
          <w:tcPr>
            <w:tcW w:w="750" w:type="dxa"/>
            <w:shd w:val="clear" w:color="auto" w:fill="C4EFCE"/>
            <w:tcMar>
              <w:left w:w="28" w:type="dxa"/>
              <w:right w:w="28" w:type="dxa"/>
            </w:tcMar>
            <w:vAlign w:val="center"/>
            <w:hideMark/>
          </w:tcPr>
          <w:p w14:paraId="06325BFB" w14:textId="145B9697" w:rsidR="00387C70" w:rsidRPr="003F23AC" w:rsidRDefault="00A75B3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86" w:type="dxa"/>
            <w:shd w:val="clear" w:color="auto" w:fill="C4EFCE"/>
            <w:tcMar>
              <w:left w:w="28" w:type="dxa"/>
              <w:right w:w="28" w:type="dxa"/>
            </w:tcMar>
            <w:vAlign w:val="center"/>
            <w:hideMark/>
          </w:tcPr>
          <w:p w14:paraId="54FF56D1" w14:textId="37E2E600" w:rsidR="00387C70" w:rsidRPr="003F23AC" w:rsidRDefault="00A75B3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10" w:type="dxa"/>
            <w:shd w:val="clear" w:color="auto" w:fill="C4EFCE"/>
            <w:tcMar>
              <w:left w:w="28" w:type="dxa"/>
              <w:right w:w="28" w:type="dxa"/>
            </w:tcMar>
            <w:vAlign w:val="center"/>
            <w:hideMark/>
          </w:tcPr>
          <w:p w14:paraId="62B27753" w14:textId="56EE2A2C" w:rsidR="00387C70" w:rsidRPr="003F23AC" w:rsidRDefault="00A75B3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798" w:type="dxa"/>
            <w:shd w:val="clear" w:color="auto" w:fill="C4EFCE"/>
            <w:tcMar>
              <w:left w:w="28" w:type="dxa"/>
              <w:right w:w="28" w:type="dxa"/>
            </w:tcMar>
            <w:vAlign w:val="center"/>
            <w:hideMark/>
          </w:tcPr>
          <w:p w14:paraId="73989E77" w14:textId="46AB6D5C"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r w:rsidR="000F5AA4" w:rsidRPr="003F23AC">
              <w:rPr>
                <w:rFonts w:ascii="Times New Roman" w:hAnsi="Times New Roman" w:cs="Times New Roman"/>
                <w:noProof/>
                <w:lang w:val="sk-SK"/>
              </w:rPr>
              <w:t> </w:t>
            </w:r>
          </w:p>
        </w:tc>
        <w:tc>
          <w:tcPr>
            <w:tcW w:w="413" w:type="dxa"/>
            <w:shd w:val="clear" w:color="auto" w:fill="C4EFCE"/>
            <w:tcMar>
              <w:left w:w="28" w:type="dxa"/>
              <w:right w:w="28" w:type="dxa"/>
            </w:tcMar>
            <w:vAlign w:val="center"/>
            <w:hideMark/>
          </w:tcPr>
          <w:p w14:paraId="410429F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2025 </w:t>
            </w:r>
          </w:p>
        </w:tc>
        <w:tc>
          <w:tcPr>
            <w:tcW w:w="3756" w:type="dxa"/>
            <w:shd w:val="clear" w:color="auto" w:fill="C4EFCE"/>
            <w:noWrap/>
            <w:tcMar>
              <w:left w:w="28" w:type="dxa"/>
              <w:right w:w="28" w:type="dxa"/>
            </w:tcMar>
            <w:vAlign w:val="center"/>
            <w:hideMark/>
          </w:tcPr>
          <w:p w14:paraId="676C4B31" w14:textId="721D11BC"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Digitalizácia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virtualizácia zbierok</w:t>
            </w:r>
            <w:bookmarkStart w:id="7" w:name="_Int_JLJ2Ng8K"/>
            <w:r w:rsidRPr="003F23AC">
              <w:rPr>
                <w:rFonts w:ascii="Times New Roman" w:hAnsi="Times New Roman" w:cs="Times New Roman"/>
                <w:noProof/>
                <w:lang w:val="sk-SK"/>
              </w:rPr>
              <w:t>:</w:t>
            </w:r>
            <w:bookmarkEnd w:id="7"/>
            <w:r w:rsidRPr="003F23AC">
              <w:rPr>
                <w:rFonts w:ascii="Times New Roman" w:hAnsi="Times New Roman" w:cs="Times New Roman"/>
                <w:noProof/>
                <w:lang w:val="sk-SK"/>
              </w:rPr>
              <w:t xml:space="preserve"> Generálne riaditeľstvo kníh, archívov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knižníc</w:t>
            </w:r>
            <w:r w:rsidR="00A75B3C" w:rsidRPr="003F23AC">
              <w:rPr>
                <w:rFonts w:ascii="Times New Roman" w:hAnsi="Times New Roman" w:cs="Times New Roman"/>
                <w:noProof/>
                <w:lang w:val="sk-SK"/>
              </w:rPr>
              <w:t>;</w:t>
            </w:r>
          </w:p>
          <w:p w14:paraId="1B51508B"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Portugalská národná knižnica,</w:t>
            </w:r>
          </w:p>
          <w:p w14:paraId="1DDE7FC6"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verejná knižnica Évora,</w:t>
            </w:r>
          </w:p>
          <w:p w14:paraId="125C26EB" w14:textId="198BA8F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Cinemateca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múzeá (pod vedením DGPC</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regionálnych riaditeľstiev kultúry)</w:t>
            </w:r>
          </w:p>
          <w:p w14:paraId="3F87D97E"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Verejné knižnice (20000000 obrázkov)</w:t>
            </w:r>
          </w:p>
          <w:p w14:paraId="3E20B628"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Národné archívy (19500000 dokumentov)</w:t>
            </w:r>
          </w:p>
          <w:p w14:paraId="0C26521C" w14:textId="59AF88D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Verejné múzeá (59500 záznamov)</w:t>
            </w:r>
          </w:p>
          <w:p w14:paraId="5E5FA37C"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Virtuálne návštevy múzeí (65 múzeí)</w:t>
            </w:r>
          </w:p>
          <w:p w14:paraId="4A3AECA6" w14:textId="503848A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Cinematheque (1000 filmov)</w:t>
            </w:r>
          </w:p>
          <w:p w14:paraId="57CB2147" w14:textId="70384F5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Archívy poskytovateľov služieb historického mediálneho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televízneho vysielania (digitalizované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sprístupnené verejnosti, 45000 hodín obsahu videokaziet)</w:t>
            </w:r>
          </w:p>
        </w:tc>
      </w:tr>
      <w:tr w:rsidR="00A26F8D" w:rsidRPr="003F23AC" w14:paraId="0744F11D" w14:textId="77777777" w:rsidTr="00A26F8D">
        <w:trPr>
          <w:trHeight w:val="1690"/>
        </w:trPr>
        <w:tc>
          <w:tcPr>
            <w:tcW w:w="1067" w:type="dxa"/>
            <w:shd w:val="clear" w:color="auto" w:fill="C5EFCE"/>
            <w:tcMar>
              <w:left w:w="28" w:type="dxa"/>
              <w:right w:w="28" w:type="dxa"/>
            </w:tcMar>
            <w:vAlign w:val="center"/>
            <w:hideMark/>
          </w:tcPr>
          <w:p w14:paraId="0143633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4.4</w:t>
            </w:r>
          </w:p>
        </w:tc>
        <w:tc>
          <w:tcPr>
            <w:tcW w:w="1191" w:type="dxa"/>
            <w:shd w:val="clear" w:color="auto" w:fill="C4EFCE"/>
            <w:tcMar>
              <w:left w:w="28" w:type="dxa"/>
              <w:right w:w="28" w:type="dxa"/>
            </w:tcMar>
            <w:vAlign w:val="center"/>
            <w:hideMark/>
          </w:tcPr>
          <w:p w14:paraId="1141670F" w14:textId="0EDF6F9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C04-i01 </w:t>
            </w:r>
          </w:p>
        </w:tc>
        <w:tc>
          <w:tcPr>
            <w:tcW w:w="1060" w:type="dxa"/>
            <w:shd w:val="clear" w:color="auto" w:fill="C4EFCE"/>
            <w:tcMar>
              <w:left w:w="28" w:type="dxa"/>
              <w:right w:w="28" w:type="dxa"/>
            </w:tcMar>
            <w:vAlign w:val="center"/>
            <w:hideMark/>
          </w:tcPr>
          <w:p w14:paraId="151B618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88" w:type="dxa"/>
            <w:shd w:val="clear" w:color="auto" w:fill="C4EFCE"/>
            <w:tcMar>
              <w:left w:w="28" w:type="dxa"/>
              <w:right w:w="28" w:type="dxa"/>
            </w:tcMar>
            <w:vAlign w:val="center"/>
            <w:hideMark/>
          </w:tcPr>
          <w:p w14:paraId="5679241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Zabezpečenie modernizovanej technologickej infraštruktúry pre sieť kultúrnych zariadení </w:t>
            </w:r>
          </w:p>
        </w:tc>
        <w:tc>
          <w:tcPr>
            <w:tcW w:w="1373" w:type="dxa"/>
            <w:shd w:val="clear" w:color="auto" w:fill="C4EFCE"/>
            <w:tcMar>
              <w:left w:w="28" w:type="dxa"/>
              <w:right w:w="28" w:type="dxa"/>
            </w:tcMar>
            <w:vAlign w:val="center"/>
            <w:hideMark/>
          </w:tcPr>
          <w:p w14:paraId="00695BD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Zabezpečenie modernizovanej technologickej infraštruktúry pre kultúrne zariadenia</w:t>
            </w:r>
          </w:p>
        </w:tc>
        <w:tc>
          <w:tcPr>
            <w:tcW w:w="750" w:type="dxa"/>
            <w:shd w:val="clear" w:color="auto" w:fill="C4EFCE"/>
            <w:tcMar>
              <w:left w:w="28" w:type="dxa"/>
              <w:right w:w="28" w:type="dxa"/>
            </w:tcMar>
            <w:vAlign w:val="center"/>
            <w:hideMark/>
          </w:tcPr>
          <w:p w14:paraId="64F5C137"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86" w:type="dxa"/>
            <w:shd w:val="clear" w:color="auto" w:fill="C4EFCE"/>
            <w:tcMar>
              <w:left w:w="28" w:type="dxa"/>
              <w:right w:w="28" w:type="dxa"/>
            </w:tcMar>
            <w:vAlign w:val="center"/>
            <w:hideMark/>
          </w:tcPr>
          <w:p w14:paraId="430240F6" w14:textId="410BEB6D" w:rsidR="00387C70" w:rsidRPr="003F23AC" w:rsidRDefault="00A75B3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10" w:type="dxa"/>
            <w:shd w:val="clear" w:color="auto" w:fill="C4EFCE"/>
            <w:tcMar>
              <w:left w:w="28" w:type="dxa"/>
              <w:right w:w="28" w:type="dxa"/>
            </w:tcMar>
            <w:vAlign w:val="center"/>
            <w:hideMark/>
          </w:tcPr>
          <w:p w14:paraId="4882E76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98" w:type="dxa"/>
            <w:shd w:val="clear" w:color="auto" w:fill="C4EFCE"/>
            <w:tcMar>
              <w:left w:w="28" w:type="dxa"/>
              <w:right w:w="28" w:type="dxa"/>
            </w:tcMar>
            <w:vAlign w:val="center"/>
            <w:hideMark/>
          </w:tcPr>
          <w:p w14:paraId="60F3F936" w14:textId="6FDF086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r w:rsidR="000F5AA4" w:rsidRPr="003F23AC">
              <w:rPr>
                <w:rFonts w:ascii="Times New Roman" w:hAnsi="Times New Roman" w:cs="Times New Roman"/>
                <w:noProof/>
                <w:lang w:val="sk-SK"/>
              </w:rPr>
              <w:t> </w:t>
            </w:r>
          </w:p>
        </w:tc>
        <w:tc>
          <w:tcPr>
            <w:tcW w:w="413" w:type="dxa"/>
            <w:shd w:val="clear" w:color="auto" w:fill="C4EFCE"/>
            <w:tcMar>
              <w:left w:w="28" w:type="dxa"/>
              <w:right w:w="28" w:type="dxa"/>
            </w:tcMar>
            <w:vAlign w:val="center"/>
            <w:hideMark/>
          </w:tcPr>
          <w:p w14:paraId="0AAC7F90" w14:textId="71E4A3E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756" w:type="dxa"/>
            <w:shd w:val="clear" w:color="auto" w:fill="C4EFCE"/>
            <w:tcMar>
              <w:left w:w="28" w:type="dxa"/>
              <w:right w:w="28" w:type="dxa"/>
            </w:tcMar>
            <w:vAlign w:val="center"/>
            <w:hideMark/>
          </w:tcPr>
          <w:p w14:paraId="16A65CDB" w14:textId="51CFAC0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Dodanie počítačového vybavenia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integrovaných informačných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katalógových systémov pre 239 verejných knižníc; Wi-fi pokrytie 50 múzeí, palácov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pamiatok, nákup videozáznamov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premietacích zariadení pre 155 kínových hrdiel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verejných centier súčasného umenia.</w:t>
            </w:r>
          </w:p>
        </w:tc>
      </w:tr>
      <w:tr w:rsidR="00A26F8D" w:rsidRPr="003F23AC" w14:paraId="20E65D52" w14:textId="77777777" w:rsidTr="00A26F8D">
        <w:trPr>
          <w:trHeight w:val="1124"/>
        </w:trPr>
        <w:tc>
          <w:tcPr>
            <w:tcW w:w="1067" w:type="dxa"/>
            <w:shd w:val="clear" w:color="auto" w:fill="C5EFCE"/>
            <w:tcMar>
              <w:left w:w="28" w:type="dxa"/>
              <w:right w:w="28" w:type="dxa"/>
            </w:tcMar>
            <w:vAlign w:val="center"/>
            <w:hideMark/>
          </w:tcPr>
          <w:p w14:paraId="7AE297CF"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4.5</w:t>
            </w:r>
          </w:p>
        </w:tc>
        <w:tc>
          <w:tcPr>
            <w:tcW w:w="1191" w:type="dxa"/>
            <w:shd w:val="clear" w:color="auto" w:fill="C4EFCE"/>
            <w:tcMar>
              <w:left w:w="28" w:type="dxa"/>
              <w:right w:w="28" w:type="dxa"/>
            </w:tcMar>
            <w:vAlign w:val="center"/>
            <w:hideMark/>
          </w:tcPr>
          <w:p w14:paraId="61E6DBD4" w14:textId="2067DA08"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C04-i01 </w:t>
            </w:r>
          </w:p>
        </w:tc>
        <w:tc>
          <w:tcPr>
            <w:tcW w:w="1060" w:type="dxa"/>
            <w:shd w:val="clear" w:color="auto" w:fill="C4EFCE"/>
            <w:tcMar>
              <w:left w:w="28" w:type="dxa"/>
              <w:right w:w="28" w:type="dxa"/>
            </w:tcMar>
            <w:vAlign w:val="center"/>
            <w:hideMark/>
          </w:tcPr>
          <w:p w14:paraId="708C4920" w14:textId="3346CB3A"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r w:rsidR="000F5AA4" w:rsidRPr="003F23AC">
              <w:rPr>
                <w:rFonts w:ascii="Times New Roman" w:hAnsi="Times New Roman" w:cs="Times New Roman"/>
                <w:noProof/>
                <w:lang w:val="sk-SK"/>
              </w:rPr>
              <w:t> </w:t>
            </w:r>
          </w:p>
        </w:tc>
        <w:tc>
          <w:tcPr>
            <w:tcW w:w="1588" w:type="dxa"/>
            <w:shd w:val="clear" w:color="auto" w:fill="C4EFCE"/>
            <w:tcMar>
              <w:left w:w="28" w:type="dxa"/>
              <w:right w:w="28" w:type="dxa"/>
            </w:tcMar>
            <w:vAlign w:val="center"/>
            <w:hideMark/>
          </w:tcPr>
          <w:p w14:paraId="50DE4D28" w14:textId="5A546BF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Finančná podpora na preklady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vydávanie literárnych diel</w:t>
            </w:r>
          </w:p>
        </w:tc>
        <w:tc>
          <w:tcPr>
            <w:tcW w:w="1373" w:type="dxa"/>
            <w:shd w:val="clear" w:color="auto" w:fill="C4EFCE"/>
            <w:tcMar>
              <w:left w:w="28" w:type="dxa"/>
              <w:right w:w="28" w:type="dxa"/>
            </w:tcMar>
            <w:vAlign w:val="center"/>
            <w:hideMark/>
          </w:tcPr>
          <w:p w14:paraId="7B42CD2C" w14:textId="7E27695F" w:rsidR="00387C70" w:rsidRPr="003F23AC" w:rsidRDefault="00A75B3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750" w:type="dxa"/>
            <w:shd w:val="clear" w:color="auto" w:fill="C4EFCE"/>
            <w:tcMar>
              <w:left w:w="28" w:type="dxa"/>
              <w:right w:w="28" w:type="dxa"/>
            </w:tcMar>
            <w:vAlign w:val="center"/>
            <w:hideMark/>
          </w:tcPr>
          <w:p w14:paraId="4CC6026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86" w:type="dxa"/>
            <w:shd w:val="clear" w:color="auto" w:fill="C4EFCE"/>
            <w:tcMar>
              <w:left w:w="28" w:type="dxa"/>
              <w:right w:w="28" w:type="dxa"/>
            </w:tcMar>
            <w:vAlign w:val="center"/>
            <w:hideMark/>
          </w:tcPr>
          <w:p w14:paraId="6357E9BC" w14:textId="7C7F7A59" w:rsidR="00387C70" w:rsidRPr="003F23AC" w:rsidRDefault="00A75B3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10" w:type="dxa"/>
            <w:shd w:val="clear" w:color="auto" w:fill="C4EFCE"/>
            <w:tcMar>
              <w:left w:w="28" w:type="dxa"/>
              <w:right w:w="28" w:type="dxa"/>
            </w:tcMar>
            <w:vAlign w:val="center"/>
            <w:hideMark/>
          </w:tcPr>
          <w:p w14:paraId="3EAEBED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5 200 </w:t>
            </w:r>
          </w:p>
        </w:tc>
        <w:tc>
          <w:tcPr>
            <w:tcW w:w="798" w:type="dxa"/>
            <w:shd w:val="clear" w:color="auto" w:fill="C4EFCE"/>
            <w:tcMar>
              <w:left w:w="28" w:type="dxa"/>
              <w:right w:w="28" w:type="dxa"/>
            </w:tcMar>
            <w:vAlign w:val="center"/>
            <w:hideMark/>
          </w:tcPr>
          <w:p w14:paraId="50DC2D60" w14:textId="46E52990"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r w:rsidR="000F5AA4" w:rsidRPr="003F23AC">
              <w:rPr>
                <w:rFonts w:ascii="Times New Roman" w:hAnsi="Times New Roman" w:cs="Times New Roman"/>
                <w:noProof/>
                <w:lang w:val="sk-SK"/>
              </w:rPr>
              <w:t> </w:t>
            </w:r>
          </w:p>
        </w:tc>
        <w:tc>
          <w:tcPr>
            <w:tcW w:w="413" w:type="dxa"/>
            <w:shd w:val="clear" w:color="auto" w:fill="C4EFCE"/>
            <w:tcMar>
              <w:left w:w="28" w:type="dxa"/>
              <w:right w:w="28" w:type="dxa"/>
            </w:tcMar>
            <w:vAlign w:val="center"/>
            <w:hideMark/>
          </w:tcPr>
          <w:p w14:paraId="29C58B9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2025 </w:t>
            </w:r>
          </w:p>
        </w:tc>
        <w:tc>
          <w:tcPr>
            <w:tcW w:w="3756" w:type="dxa"/>
            <w:shd w:val="clear" w:color="auto" w:fill="C4EFCE"/>
            <w:tcMar>
              <w:left w:w="28" w:type="dxa"/>
              <w:right w:w="28" w:type="dxa"/>
            </w:tcMar>
            <w:vAlign w:val="center"/>
            <w:hideMark/>
          </w:tcPr>
          <w:p w14:paraId="315D085F" w14:textId="0B09D103" w:rsidR="00387C70" w:rsidRPr="003F23AC" w:rsidRDefault="00387C70" w:rsidP="003F23AC">
            <w:pPr>
              <w:spacing w:after="0" w:line="240" w:lineRule="auto"/>
              <w:jc w:val="both"/>
              <w:rPr>
                <w:rFonts w:ascii="Times New Roman" w:eastAsia="Times New Roman" w:hAnsi="Times New Roman" w:cs="Times New Roman"/>
                <w:noProof/>
                <w:sz w:val="16"/>
                <w:lang w:val="sk-SK"/>
              </w:rPr>
            </w:pPr>
          </w:p>
          <w:p w14:paraId="1A89509D" w14:textId="05B34C4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literárnych diel, ktorým bola poskytnutá finančná podpora na preklad</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vydávanie literárnych diel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vydávanie audiokníh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elektronických kníh prostredníctvom financovania 60 – 70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nákladov na preklad</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publikovanie.</w:t>
            </w:r>
          </w:p>
        </w:tc>
      </w:tr>
      <w:tr w:rsidR="00A26F8D" w:rsidRPr="003F23AC" w14:paraId="69C93F6D" w14:textId="77777777" w:rsidTr="00A26F8D">
        <w:trPr>
          <w:trHeight w:val="1252"/>
        </w:trPr>
        <w:tc>
          <w:tcPr>
            <w:tcW w:w="1067" w:type="dxa"/>
            <w:shd w:val="clear" w:color="auto" w:fill="C5EFCE"/>
            <w:tcMar>
              <w:left w:w="28" w:type="dxa"/>
              <w:right w:w="28" w:type="dxa"/>
            </w:tcMar>
            <w:vAlign w:val="center"/>
            <w:hideMark/>
          </w:tcPr>
          <w:p w14:paraId="4136033A" w14:textId="7FAAF2FA" w:rsidR="00387C70" w:rsidRPr="003F23AC" w:rsidRDefault="000F5AA4" w:rsidP="003F23AC">
            <w:pPr>
              <w:pStyle w:val="P68B1DB1-Normal7"/>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4.9</w:t>
            </w:r>
          </w:p>
        </w:tc>
        <w:tc>
          <w:tcPr>
            <w:tcW w:w="1191" w:type="dxa"/>
            <w:shd w:val="clear" w:color="auto" w:fill="C4EFCE"/>
            <w:tcMar>
              <w:left w:w="28" w:type="dxa"/>
              <w:right w:w="28" w:type="dxa"/>
            </w:tcMar>
            <w:vAlign w:val="center"/>
            <w:hideMark/>
          </w:tcPr>
          <w:p w14:paraId="087D8C01" w14:textId="438030FF" w:rsidR="00387C70" w:rsidRPr="003F23AC" w:rsidRDefault="00F218FC"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C04-i01</w:t>
            </w:r>
          </w:p>
        </w:tc>
        <w:tc>
          <w:tcPr>
            <w:tcW w:w="1060" w:type="dxa"/>
            <w:shd w:val="clear" w:color="auto" w:fill="C4EFCE"/>
            <w:tcMar>
              <w:left w:w="28" w:type="dxa"/>
              <w:right w:w="28" w:type="dxa"/>
            </w:tcMar>
            <w:vAlign w:val="center"/>
            <w:hideMark/>
          </w:tcPr>
          <w:p w14:paraId="102CD47A" w14:textId="3BE67781" w:rsidR="00387C70" w:rsidRPr="003F23AC" w:rsidRDefault="000F5AA4"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88" w:type="dxa"/>
            <w:shd w:val="clear" w:color="auto" w:fill="C4EFCE"/>
            <w:tcMar>
              <w:left w:w="28" w:type="dxa"/>
              <w:right w:w="28" w:type="dxa"/>
            </w:tcMar>
            <w:vAlign w:val="center"/>
            <w:hideMark/>
          </w:tcPr>
          <w:p w14:paraId="226CD61A" w14:textId="4958D1C6" w:rsidR="00387C70" w:rsidRPr="003F23AC" w:rsidRDefault="000F5AA4" w:rsidP="003F23AC">
            <w:pPr>
              <w:pStyle w:val="P68B1DB1-Normal8"/>
              <w:widowControl w:val="0"/>
              <w:spacing w:before="320" w:after="0" w:line="240" w:lineRule="auto"/>
              <w:jc w:val="center"/>
              <w:rPr>
                <w:rFonts w:ascii="Times New Roman" w:eastAsia="Calibri" w:hAnsi="Times New Roman" w:cs="Times New Roman"/>
                <w:noProof/>
                <w:lang w:val="sk-SK"/>
              </w:rPr>
            </w:pPr>
            <w:r w:rsidRPr="003F23AC">
              <w:rPr>
                <w:rFonts w:ascii="Times New Roman" w:hAnsi="Times New Roman" w:cs="Times New Roman"/>
                <w:noProof/>
                <w:lang w:val="sk-SK"/>
              </w:rPr>
              <w:t>Technologická modernizácia ANIM – národného archívu pohyblivých obrazov</w:t>
            </w:r>
          </w:p>
        </w:tc>
        <w:tc>
          <w:tcPr>
            <w:tcW w:w="1373" w:type="dxa"/>
            <w:shd w:val="clear" w:color="auto" w:fill="C4EFCE"/>
            <w:tcMar>
              <w:left w:w="28" w:type="dxa"/>
              <w:right w:w="28" w:type="dxa"/>
            </w:tcMar>
            <w:vAlign w:val="center"/>
            <w:hideMark/>
          </w:tcPr>
          <w:p w14:paraId="36622BAB" w14:textId="2B99FCB6" w:rsidR="00387C70" w:rsidRPr="003F23AC" w:rsidRDefault="000F5AA4"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Dodanie vybavenia</w:t>
            </w:r>
          </w:p>
        </w:tc>
        <w:tc>
          <w:tcPr>
            <w:tcW w:w="750" w:type="dxa"/>
            <w:shd w:val="clear" w:color="auto" w:fill="C4EFCE"/>
            <w:tcMar>
              <w:left w:w="28" w:type="dxa"/>
              <w:right w:w="28" w:type="dxa"/>
            </w:tcMar>
            <w:vAlign w:val="center"/>
            <w:hideMark/>
          </w:tcPr>
          <w:p w14:paraId="50A25E56" w14:textId="4285FAF0" w:rsidR="00387C70" w:rsidRPr="003F23AC" w:rsidRDefault="00387C70" w:rsidP="003F23AC">
            <w:pPr>
              <w:spacing w:line="240" w:lineRule="auto"/>
              <w:jc w:val="center"/>
              <w:rPr>
                <w:rFonts w:ascii="Times New Roman" w:eastAsia="Times New Roman" w:hAnsi="Times New Roman" w:cs="Times New Roman"/>
                <w:noProof/>
                <w:sz w:val="16"/>
                <w:lang w:val="sk-SK"/>
              </w:rPr>
            </w:pPr>
          </w:p>
        </w:tc>
        <w:tc>
          <w:tcPr>
            <w:tcW w:w="986" w:type="dxa"/>
            <w:shd w:val="clear" w:color="auto" w:fill="C4EFCE"/>
            <w:tcMar>
              <w:left w:w="28" w:type="dxa"/>
              <w:right w:w="28" w:type="dxa"/>
            </w:tcMar>
            <w:vAlign w:val="center"/>
            <w:hideMark/>
          </w:tcPr>
          <w:p w14:paraId="3A7664CF" w14:textId="533FA4EC" w:rsidR="00387C70" w:rsidRPr="003F23AC" w:rsidRDefault="00387C70" w:rsidP="003F23AC">
            <w:pPr>
              <w:spacing w:line="240" w:lineRule="auto"/>
              <w:jc w:val="center"/>
              <w:rPr>
                <w:rFonts w:ascii="Times New Roman" w:eastAsia="Times New Roman" w:hAnsi="Times New Roman" w:cs="Times New Roman"/>
                <w:noProof/>
                <w:sz w:val="16"/>
                <w:lang w:val="sk-SK"/>
              </w:rPr>
            </w:pPr>
          </w:p>
        </w:tc>
        <w:tc>
          <w:tcPr>
            <w:tcW w:w="910" w:type="dxa"/>
            <w:shd w:val="clear" w:color="auto" w:fill="C4EFCE"/>
            <w:tcMar>
              <w:left w:w="28" w:type="dxa"/>
              <w:right w:w="28" w:type="dxa"/>
            </w:tcMar>
            <w:vAlign w:val="center"/>
            <w:hideMark/>
          </w:tcPr>
          <w:p w14:paraId="4B934F52" w14:textId="168F57DB" w:rsidR="00387C70" w:rsidRPr="003F23AC" w:rsidRDefault="00387C70" w:rsidP="003F23AC">
            <w:pPr>
              <w:spacing w:line="240" w:lineRule="auto"/>
              <w:jc w:val="center"/>
              <w:rPr>
                <w:rFonts w:ascii="Times New Roman" w:eastAsia="Times New Roman" w:hAnsi="Times New Roman" w:cs="Times New Roman"/>
                <w:noProof/>
                <w:sz w:val="16"/>
                <w:lang w:val="sk-SK"/>
              </w:rPr>
            </w:pPr>
          </w:p>
        </w:tc>
        <w:tc>
          <w:tcPr>
            <w:tcW w:w="798" w:type="dxa"/>
            <w:shd w:val="clear" w:color="auto" w:fill="C4EFCE"/>
            <w:tcMar>
              <w:left w:w="28" w:type="dxa"/>
              <w:right w:w="28" w:type="dxa"/>
            </w:tcMar>
            <w:vAlign w:val="center"/>
            <w:hideMark/>
          </w:tcPr>
          <w:p w14:paraId="2BB5A574" w14:textId="01934CE3" w:rsidR="00387C70" w:rsidRPr="003F23AC" w:rsidRDefault="00FF0A91"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13" w:type="dxa"/>
            <w:shd w:val="clear" w:color="auto" w:fill="C4EFCE"/>
            <w:tcMar>
              <w:left w:w="28" w:type="dxa"/>
              <w:right w:w="28" w:type="dxa"/>
            </w:tcMar>
            <w:vAlign w:val="center"/>
            <w:hideMark/>
          </w:tcPr>
          <w:p w14:paraId="4FE4F2D2" w14:textId="215CF13E" w:rsidR="00387C70" w:rsidRPr="003F23AC" w:rsidRDefault="000F5AA4"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756" w:type="dxa"/>
            <w:shd w:val="clear" w:color="auto" w:fill="C4EFCE"/>
            <w:tcMar>
              <w:left w:w="28" w:type="dxa"/>
              <w:right w:w="28" w:type="dxa"/>
            </w:tcMar>
            <w:vAlign w:val="center"/>
            <w:hideMark/>
          </w:tcPr>
          <w:p w14:paraId="0A05C053" w14:textId="1A2F05CC" w:rsidR="00387C70" w:rsidRPr="003F23AC" w:rsidRDefault="000F5AA4" w:rsidP="003F23AC">
            <w:pPr>
              <w:pStyle w:val="P68B1DB1-Normal8"/>
              <w:spacing w:before="40" w:after="160" w:line="240" w:lineRule="auto"/>
              <w:contextualSpacing/>
              <w:jc w:val="both"/>
              <w:rPr>
                <w:rFonts w:ascii="Times New Roman" w:eastAsia="Calibri" w:hAnsi="Times New Roman" w:cs="Times New Roman"/>
                <w:noProof/>
                <w:lang w:val="sk-SK"/>
              </w:rPr>
            </w:pPr>
            <w:r w:rsidRPr="003F23AC">
              <w:rPr>
                <w:rFonts w:ascii="Times New Roman" w:hAnsi="Times New Roman" w:cs="Times New Roman"/>
                <w:noProof/>
                <w:lang w:val="sk-SK"/>
              </w:rPr>
              <w:t>Dodanie vybavenia na technologickú modernizáciu národného archívu pohybujúcich sa obrazov.</w:t>
            </w:r>
          </w:p>
        </w:tc>
      </w:tr>
      <w:tr w:rsidR="00A26F8D" w:rsidRPr="003F23AC" w14:paraId="7A6F89CA" w14:textId="77777777" w:rsidTr="00A26F8D">
        <w:trPr>
          <w:trHeight w:val="1883"/>
        </w:trPr>
        <w:tc>
          <w:tcPr>
            <w:tcW w:w="1067" w:type="dxa"/>
            <w:shd w:val="clear" w:color="auto" w:fill="C5EFCE"/>
            <w:tcMar>
              <w:left w:w="28" w:type="dxa"/>
              <w:right w:w="28" w:type="dxa"/>
            </w:tcMar>
            <w:vAlign w:val="center"/>
            <w:hideMark/>
          </w:tcPr>
          <w:p w14:paraId="0F231483" w14:textId="3BD0B995" w:rsidR="00387C70" w:rsidRPr="003F23AC" w:rsidRDefault="000F5AA4" w:rsidP="003F23AC">
            <w:pPr>
              <w:pStyle w:val="P68B1DB1-Normal7"/>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4.10</w:t>
            </w:r>
          </w:p>
        </w:tc>
        <w:tc>
          <w:tcPr>
            <w:tcW w:w="1191" w:type="dxa"/>
            <w:shd w:val="clear" w:color="auto" w:fill="C4EFCE"/>
            <w:tcMar>
              <w:left w:w="28" w:type="dxa"/>
              <w:right w:w="28" w:type="dxa"/>
            </w:tcMar>
            <w:vAlign w:val="center"/>
            <w:hideMark/>
          </w:tcPr>
          <w:p w14:paraId="3A7259C4" w14:textId="04C8527F" w:rsidR="00387C70" w:rsidRPr="003F23AC" w:rsidRDefault="00F218FC"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C04-i01</w:t>
            </w:r>
          </w:p>
        </w:tc>
        <w:tc>
          <w:tcPr>
            <w:tcW w:w="1060" w:type="dxa"/>
            <w:shd w:val="clear" w:color="auto" w:fill="C4EFCE"/>
            <w:tcMar>
              <w:left w:w="28" w:type="dxa"/>
              <w:right w:w="28" w:type="dxa"/>
            </w:tcMar>
            <w:vAlign w:val="center"/>
            <w:hideMark/>
          </w:tcPr>
          <w:p w14:paraId="707B69E4" w14:textId="20E79653" w:rsidR="00387C70" w:rsidRPr="003F23AC" w:rsidRDefault="00C32C63"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88" w:type="dxa"/>
            <w:shd w:val="clear" w:color="auto" w:fill="C4EFCE"/>
            <w:tcMar>
              <w:left w:w="28" w:type="dxa"/>
              <w:right w:w="28" w:type="dxa"/>
            </w:tcMar>
            <w:vAlign w:val="center"/>
            <w:hideMark/>
          </w:tcPr>
          <w:p w14:paraId="600DDD24" w14:textId="6CCD7AB8" w:rsidR="00387C70" w:rsidRPr="003F23AC" w:rsidRDefault="000F5AA4" w:rsidP="003F23AC">
            <w:pPr>
              <w:pStyle w:val="P68B1DB1-Normal8"/>
              <w:widowControl w:val="0"/>
              <w:spacing w:before="320" w:after="0" w:line="240" w:lineRule="auto"/>
              <w:jc w:val="center"/>
              <w:rPr>
                <w:rFonts w:ascii="Times New Roman" w:eastAsia="Calibri" w:hAnsi="Times New Roman" w:cs="Times New Roman"/>
                <w:noProof/>
                <w:lang w:val="sk-SK"/>
              </w:rPr>
            </w:pPr>
            <w:r w:rsidRPr="003F23AC">
              <w:rPr>
                <w:rFonts w:ascii="Times New Roman" w:hAnsi="Times New Roman" w:cs="Times New Roman"/>
                <w:noProof/>
                <w:lang w:val="sk-SK"/>
              </w:rPr>
              <w:t>Dodávka vybavenia na inštaláciu národného archívu zvuku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technologickú modernizáciu verejných laboratórií</w:t>
            </w:r>
          </w:p>
        </w:tc>
        <w:tc>
          <w:tcPr>
            <w:tcW w:w="1373" w:type="dxa"/>
            <w:shd w:val="clear" w:color="auto" w:fill="C4EFCE"/>
            <w:tcMar>
              <w:left w:w="28" w:type="dxa"/>
              <w:right w:w="28" w:type="dxa"/>
            </w:tcMar>
            <w:vAlign w:val="center"/>
            <w:hideMark/>
          </w:tcPr>
          <w:p w14:paraId="3916C5A9" w14:textId="2EEBDAB8" w:rsidR="00387C70" w:rsidRPr="003F23AC" w:rsidRDefault="00387C70" w:rsidP="003F23AC">
            <w:pPr>
              <w:spacing w:line="240" w:lineRule="auto"/>
              <w:jc w:val="center"/>
              <w:rPr>
                <w:rFonts w:ascii="Times New Roman" w:eastAsia="Times New Roman" w:hAnsi="Times New Roman" w:cs="Times New Roman"/>
                <w:noProof/>
                <w:sz w:val="16"/>
                <w:lang w:val="sk-SK"/>
              </w:rPr>
            </w:pPr>
          </w:p>
        </w:tc>
        <w:tc>
          <w:tcPr>
            <w:tcW w:w="750" w:type="dxa"/>
            <w:shd w:val="clear" w:color="auto" w:fill="C4EFCE"/>
            <w:tcMar>
              <w:left w:w="28" w:type="dxa"/>
              <w:right w:w="28" w:type="dxa"/>
            </w:tcMar>
            <w:vAlign w:val="center"/>
            <w:hideMark/>
          </w:tcPr>
          <w:p w14:paraId="3EC993CE" w14:textId="4B407D21" w:rsidR="00387C70" w:rsidRPr="003F23AC" w:rsidRDefault="000F5AA4"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86" w:type="dxa"/>
            <w:shd w:val="clear" w:color="auto" w:fill="C4EFCE"/>
            <w:tcMar>
              <w:left w:w="28" w:type="dxa"/>
              <w:right w:w="28" w:type="dxa"/>
            </w:tcMar>
            <w:vAlign w:val="center"/>
            <w:hideMark/>
          </w:tcPr>
          <w:p w14:paraId="40DF9AC1" w14:textId="69274E4F" w:rsidR="00387C70" w:rsidRPr="003F23AC" w:rsidRDefault="000F5AA4"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10" w:type="dxa"/>
            <w:shd w:val="clear" w:color="auto" w:fill="C4EFCE"/>
            <w:tcMar>
              <w:left w:w="28" w:type="dxa"/>
              <w:right w:w="28" w:type="dxa"/>
            </w:tcMar>
            <w:vAlign w:val="center"/>
            <w:hideMark/>
          </w:tcPr>
          <w:p w14:paraId="706ECCC2" w14:textId="057ADB86" w:rsidR="00387C70" w:rsidRPr="003F23AC" w:rsidRDefault="000F5AA4"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w:t>
            </w:r>
          </w:p>
        </w:tc>
        <w:tc>
          <w:tcPr>
            <w:tcW w:w="798" w:type="dxa"/>
            <w:shd w:val="clear" w:color="auto" w:fill="C4EFCE"/>
            <w:tcMar>
              <w:left w:w="28" w:type="dxa"/>
              <w:right w:w="28" w:type="dxa"/>
            </w:tcMar>
            <w:vAlign w:val="center"/>
            <w:hideMark/>
          </w:tcPr>
          <w:p w14:paraId="03E2A86D" w14:textId="2D94D1CF" w:rsidR="00387C70" w:rsidRPr="003F23AC" w:rsidRDefault="00FF0A91"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13" w:type="dxa"/>
            <w:shd w:val="clear" w:color="auto" w:fill="C4EFCE"/>
            <w:tcMar>
              <w:left w:w="28" w:type="dxa"/>
              <w:right w:w="28" w:type="dxa"/>
            </w:tcMar>
            <w:vAlign w:val="center"/>
            <w:hideMark/>
          </w:tcPr>
          <w:p w14:paraId="217FE2C8" w14:textId="0B333ABA" w:rsidR="00387C70" w:rsidRPr="003F23AC" w:rsidRDefault="000F5AA4"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756" w:type="dxa"/>
            <w:shd w:val="clear" w:color="auto" w:fill="C4EFCE"/>
            <w:tcMar>
              <w:left w:w="28" w:type="dxa"/>
              <w:right w:w="28" w:type="dxa"/>
            </w:tcMar>
            <w:vAlign w:val="center"/>
            <w:hideMark/>
          </w:tcPr>
          <w:p w14:paraId="752F7E82" w14:textId="5B1213DD" w:rsidR="00387C70" w:rsidRPr="003F23AC" w:rsidRDefault="000F5AA4" w:rsidP="003F23AC">
            <w:pPr>
              <w:pStyle w:val="P68B1DB1-Normal8"/>
              <w:widowControl w:val="0"/>
              <w:spacing w:after="160" w:line="240" w:lineRule="auto"/>
              <w:rPr>
                <w:rFonts w:ascii="Times New Roman" w:eastAsia="Calibri" w:hAnsi="Times New Roman" w:cs="Times New Roman"/>
                <w:noProof/>
                <w:lang w:val="sk-SK"/>
              </w:rPr>
            </w:pPr>
            <w:r w:rsidRPr="003F23AC">
              <w:rPr>
                <w:rFonts w:ascii="Times New Roman" w:hAnsi="Times New Roman" w:cs="Times New Roman"/>
                <w:noProof/>
                <w:lang w:val="sk-SK"/>
              </w:rPr>
              <w:t>Počet budov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laboratórií, pre ktoré bolo dodané vybavenie (národný archív zvukových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verejných laboratórií: Laboratórium José Figueiredo, CNANS, LARQ</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Forte de Sacavém).</w:t>
            </w:r>
          </w:p>
        </w:tc>
      </w:tr>
      <w:tr w:rsidR="00A26F8D" w:rsidRPr="003F23AC" w14:paraId="6CE186ED" w14:textId="77777777" w:rsidTr="00A26F8D">
        <w:trPr>
          <w:trHeight w:val="2740"/>
        </w:trPr>
        <w:tc>
          <w:tcPr>
            <w:tcW w:w="1067" w:type="dxa"/>
            <w:shd w:val="clear" w:color="auto" w:fill="C5EFCE"/>
            <w:tcMar>
              <w:left w:w="28" w:type="dxa"/>
              <w:right w:w="28" w:type="dxa"/>
            </w:tcMar>
            <w:vAlign w:val="center"/>
            <w:hideMark/>
          </w:tcPr>
          <w:p w14:paraId="4096D4CD"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4.6</w:t>
            </w:r>
          </w:p>
        </w:tc>
        <w:tc>
          <w:tcPr>
            <w:tcW w:w="1191" w:type="dxa"/>
            <w:shd w:val="clear" w:color="auto" w:fill="C4EFCE"/>
            <w:tcMar>
              <w:left w:w="28" w:type="dxa"/>
              <w:right w:w="28" w:type="dxa"/>
            </w:tcMar>
            <w:vAlign w:val="center"/>
            <w:hideMark/>
          </w:tcPr>
          <w:p w14:paraId="756E9748" w14:textId="7DDB39BD"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C04-i02 </w:t>
            </w:r>
          </w:p>
        </w:tc>
        <w:tc>
          <w:tcPr>
            <w:tcW w:w="1060" w:type="dxa"/>
            <w:shd w:val="clear" w:color="auto" w:fill="C4EFCE"/>
            <w:tcMar>
              <w:left w:w="28" w:type="dxa"/>
              <w:right w:w="28" w:type="dxa"/>
            </w:tcMar>
            <w:vAlign w:val="center"/>
            <w:hideMark/>
          </w:tcPr>
          <w:p w14:paraId="2EAEAB0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 </w:t>
            </w:r>
          </w:p>
        </w:tc>
        <w:tc>
          <w:tcPr>
            <w:tcW w:w="1588" w:type="dxa"/>
            <w:shd w:val="clear" w:color="auto" w:fill="C4EFCE"/>
            <w:tcMar>
              <w:left w:w="28" w:type="dxa"/>
              <w:right w:w="28" w:type="dxa"/>
            </w:tcMar>
            <w:vAlign w:val="center"/>
            <w:hideMark/>
          </w:tcPr>
          <w:p w14:paraId="7DE5025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Vytvorenie siete „Saber Fazer“ </w:t>
            </w:r>
          </w:p>
        </w:tc>
        <w:tc>
          <w:tcPr>
            <w:tcW w:w="1373" w:type="dxa"/>
            <w:shd w:val="clear" w:color="auto" w:fill="C4EFCE"/>
            <w:tcMar>
              <w:left w:w="28" w:type="dxa"/>
              <w:right w:w="28" w:type="dxa"/>
            </w:tcMar>
            <w:vAlign w:val="center"/>
            <w:hideMark/>
          </w:tcPr>
          <w:p w14:paraId="55979DAB" w14:textId="03CFCB1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Vytvorenie registra informácií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dokumentácie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domácej remeselnej výrobe, identifikácii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mapovaní surovín </w:t>
            </w:r>
          </w:p>
        </w:tc>
        <w:tc>
          <w:tcPr>
            <w:tcW w:w="750" w:type="dxa"/>
            <w:shd w:val="clear" w:color="auto" w:fill="C4EFCE"/>
            <w:tcMar>
              <w:left w:w="28" w:type="dxa"/>
              <w:right w:w="28" w:type="dxa"/>
            </w:tcMar>
            <w:vAlign w:val="center"/>
            <w:hideMark/>
          </w:tcPr>
          <w:p w14:paraId="34888FD9" w14:textId="3EA54CB1" w:rsidR="00387C70" w:rsidRPr="003F23AC" w:rsidRDefault="00A75B3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86" w:type="dxa"/>
            <w:shd w:val="clear" w:color="auto" w:fill="C4EFCE"/>
            <w:tcMar>
              <w:left w:w="28" w:type="dxa"/>
              <w:right w:w="28" w:type="dxa"/>
            </w:tcMar>
            <w:vAlign w:val="center"/>
            <w:hideMark/>
          </w:tcPr>
          <w:p w14:paraId="760352CB" w14:textId="3F704CA3" w:rsidR="00387C70" w:rsidRPr="003F23AC" w:rsidRDefault="00A75B3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10" w:type="dxa"/>
            <w:shd w:val="clear" w:color="auto" w:fill="C4EFCE"/>
            <w:tcMar>
              <w:left w:w="28" w:type="dxa"/>
              <w:right w:w="28" w:type="dxa"/>
            </w:tcMar>
            <w:vAlign w:val="center"/>
            <w:hideMark/>
          </w:tcPr>
          <w:p w14:paraId="788C2337" w14:textId="693ADAF9" w:rsidR="00387C70" w:rsidRPr="003F23AC" w:rsidRDefault="00A75B3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798" w:type="dxa"/>
            <w:shd w:val="clear" w:color="auto" w:fill="C4EFCE"/>
            <w:tcMar>
              <w:left w:w="28" w:type="dxa"/>
              <w:right w:w="28" w:type="dxa"/>
            </w:tcMar>
            <w:vAlign w:val="center"/>
            <w:hideMark/>
          </w:tcPr>
          <w:p w14:paraId="332FDD5B" w14:textId="04B2FE7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r w:rsidR="000F5AA4" w:rsidRPr="003F23AC">
              <w:rPr>
                <w:rFonts w:ascii="Times New Roman" w:hAnsi="Times New Roman" w:cs="Times New Roman"/>
                <w:noProof/>
                <w:lang w:val="sk-SK"/>
              </w:rPr>
              <w:t> </w:t>
            </w:r>
          </w:p>
        </w:tc>
        <w:tc>
          <w:tcPr>
            <w:tcW w:w="413" w:type="dxa"/>
            <w:shd w:val="clear" w:color="auto" w:fill="C4EFCE"/>
            <w:tcMar>
              <w:left w:w="28" w:type="dxa"/>
              <w:right w:w="28" w:type="dxa"/>
            </w:tcMar>
            <w:vAlign w:val="center"/>
            <w:hideMark/>
          </w:tcPr>
          <w:p w14:paraId="4E4BC6F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2022 </w:t>
            </w:r>
          </w:p>
        </w:tc>
        <w:tc>
          <w:tcPr>
            <w:tcW w:w="3756" w:type="dxa"/>
            <w:shd w:val="clear" w:color="auto" w:fill="C4EFCE"/>
            <w:tcMar>
              <w:left w:w="28" w:type="dxa"/>
              <w:right w:w="28" w:type="dxa"/>
            </w:tcMar>
            <w:vAlign w:val="center"/>
            <w:hideMark/>
          </w:tcPr>
          <w:p w14:paraId="4C1C186A" w14:textId="03325AD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Vytvorenie siete „Saber Fazer“: vytvorenie registra informácií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dokumentácie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domácej remeselnej výrobe;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identifikácia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mapovanie surovín používaných pri remeselnej výrobe.</w:t>
            </w:r>
          </w:p>
        </w:tc>
      </w:tr>
      <w:tr w:rsidR="00A26F8D" w:rsidRPr="003F23AC" w14:paraId="35C27186" w14:textId="77777777" w:rsidTr="00A26F8D">
        <w:trPr>
          <w:trHeight w:val="1492"/>
        </w:trPr>
        <w:tc>
          <w:tcPr>
            <w:tcW w:w="1067" w:type="dxa"/>
            <w:shd w:val="clear" w:color="auto" w:fill="C5EFCE"/>
            <w:tcMar>
              <w:left w:w="28" w:type="dxa"/>
              <w:right w:w="28" w:type="dxa"/>
            </w:tcMar>
            <w:vAlign w:val="center"/>
            <w:hideMark/>
          </w:tcPr>
          <w:p w14:paraId="23022BEF"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4.7</w:t>
            </w:r>
          </w:p>
        </w:tc>
        <w:tc>
          <w:tcPr>
            <w:tcW w:w="1191" w:type="dxa"/>
            <w:shd w:val="clear" w:color="auto" w:fill="C4EFCE"/>
            <w:tcMar>
              <w:left w:w="28" w:type="dxa"/>
              <w:right w:w="28" w:type="dxa"/>
            </w:tcMar>
            <w:vAlign w:val="center"/>
            <w:hideMark/>
          </w:tcPr>
          <w:p w14:paraId="255C30CA" w14:textId="2C158356"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C04-i02</w:t>
            </w:r>
            <w:r w:rsidR="00A75B3C" w:rsidRPr="003F23AC">
              <w:rPr>
                <w:rFonts w:ascii="Times New Roman" w:hAnsi="Times New Roman" w:cs="Times New Roman"/>
                <w:noProof/>
                <w:lang w:val="sk-SK"/>
              </w:rPr>
              <w:t xml:space="preserve"> </w:t>
            </w:r>
          </w:p>
        </w:tc>
        <w:tc>
          <w:tcPr>
            <w:tcW w:w="1060" w:type="dxa"/>
            <w:shd w:val="clear" w:color="auto" w:fill="C4EFCE"/>
            <w:tcMar>
              <w:left w:w="28" w:type="dxa"/>
              <w:right w:w="28" w:type="dxa"/>
            </w:tcMar>
            <w:vAlign w:val="center"/>
            <w:hideMark/>
          </w:tcPr>
          <w:p w14:paraId="5CC87B5D" w14:textId="6CF95662"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88" w:type="dxa"/>
            <w:shd w:val="clear" w:color="auto" w:fill="C4EFCE"/>
            <w:tcMar>
              <w:left w:w="28" w:type="dxa"/>
              <w:right w:w="28" w:type="dxa"/>
            </w:tcMar>
            <w:vAlign w:val="center"/>
            <w:hideMark/>
          </w:tcPr>
          <w:p w14:paraId="123191A7" w14:textId="7154B04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Podpísané zmluvy na obnovu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zachovanie budov kultúrneho dedičstva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národných divadiel</w:t>
            </w:r>
          </w:p>
        </w:tc>
        <w:tc>
          <w:tcPr>
            <w:tcW w:w="1373" w:type="dxa"/>
            <w:shd w:val="clear" w:color="auto" w:fill="C4EFCE"/>
            <w:tcMar>
              <w:left w:w="28" w:type="dxa"/>
              <w:right w:w="28" w:type="dxa"/>
            </w:tcMar>
            <w:vAlign w:val="center"/>
            <w:hideMark/>
          </w:tcPr>
          <w:p w14:paraId="12AD789B"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Počet podpísaných zmlúv</w:t>
            </w:r>
          </w:p>
        </w:tc>
        <w:tc>
          <w:tcPr>
            <w:tcW w:w="750" w:type="dxa"/>
            <w:shd w:val="clear" w:color="auto" w:fill="C4EFCE"/>
            <w:tcMar>
              <w:left w:w="28" w:type="dxa"/>
              <w:right w:w="28" w:type="dxa"/>
            </w:tcMar>
            <w:vAlign w:val="center"/>
            <w:hideMark/>
          </w:tcPr>
          <w:p w14:paraId="23F889F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86" w:type="dxa"/>
            <w:shd w:val="clear" w:color="auto" w:fill="C4EFCE"/>
            <w:tcMar>
              <w:left w:w="28" w:type="dxa"/>
              <w:right w:w="28" w:type="dxa"/>
            </w:tcMar>
            <w:vAlign w:val="center"/>
            <w:hideMark/>
          </w:tcPr>
          <w:p w14:paraId="10D23A7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10" w:type="dxa"/>
            <w:shd w:val="clear" w:color="auto" w:fill="C4EFCE"/>
            <w:tcMar>
              <w:left w:w="28" w:type="dxa"/>
              <w:right w:w="28" w:type="dxa"/>
            </w:tcMar>
            <w:vAlign w:val="center"/>
            <w:hideMark/>
          </w:tcPr>
          <w:p w14:paraId="6C19269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49</w:t>
            </w:r>
          </w:p>
        </w:tc>
        <w:tc>
          <w:tcPr>
            <w:tcW w:w="798" w:type="dxa"/>
            <w:shd w:val="clear" w:color="auto" w:fill="C4EFCE"/>
            <w:tcMar>
              <w:left w:w="28" w:type="dxa"/>
              <w:right w:w="28" w:type="dxa"/>
            </w:tcMar>
            <w:vAlign w:val="center"/>
            <w:hideMark/>
          </w:tcPr>
          <w:p w14:paraId="1BE96BE2" w14:textId="1C01A01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13" w:type="dxa"/>
            <w:shd w:val="clear" w:color="auto" w:fill="C4EFCE"/>
            <w:tcMar>
              <w:left w:w="28" w:type="dxa"/>
              <w:right w:w="28" w:type="dxa"/>
            </w:tcMar>
            <w:vAlign w:val="center"/>
            <w:hideMark/>
          </w:tcPr>
          <w:p w14:paraId="64DC837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756" w:type="dxa"/>
            <w:shd w:val="clear" w:color="auto" w:fill="C4EFCE"/>
            <w:tcMar>
              <w:left w:w="28" w:type="dxa"/>
              <w:right w:w="28" w:type="dxa"/>
            </w:tcMar>
            <w:vAlign w:val="center"/>
            <w:hideMark/>
          </w:tcPr>
          <w:p w14:paraId="7AAC0ED8" w14:textId="08E0CA9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kultúrnych pamiatok, na ktoré sa podpisujú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rehabilitácii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ochrane múzeí, pamiatok, štátnych palác</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národných divadiel.</w:t>
            </w:r>
          </w:p>
        </w:tc>
      </w:tr>
      <w:tr w:rsidR="00A26F8D" w:rsidRPr="003F23AC" w14:paraId="21A4EBFD" w14:textId="77777777" w:rsidTr="00A26F8D">
        <w:trPr>
          <w:trHeight w:val="1691"/>
        </w:trPr>
        <w:tc>
          <w:tcPr>
            <w:tcW w:w="1067" w:type="dxa"/>
            <w:shd w:val="clear" w:color="auto" w:fill="C5EFCE"/>
            <w:tcMar>
              <w:left w:w="28" w:type="dxa"/>
              <w:right w:w="28" w:type="dxa"/>
            </w:tcMar>
            <w:vAlign w:val="center"/>
            <w:hideMark/>
          </w:tcPr>
          <w:p w14:paraId="5313500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4.8</w:t>
            </w:r>
          </w:p>
        </w:tc>
        <w:tc>
          <w:tcPr>
            <w:tcW w:w="1191" w:type="dxa"/>
            <w:shd w:val="clear" w:color="auto" w:fill="C4EFCE"/>
            <w:tcMar>
              <w:left w:w="28" w:type="dxa"/>
              <w:right w:w="28" w:type="dxa"/>
            </w:tcMar>
            <w:vAlign w:val="center"/>
            <w:hideMark/>
          </w:tcPr>
          <w:p w14:paraId="26F1C65B" w14:textId="5A27F4D8"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C04-i02 </w:t>
            </w:r>
          </w:p>
        </w:tc>
        <w:tc>
          <w:tcPr>
            <w:tcW w:w="1060" w:type="dxa"/>
            <w:shd w:val="clear" w:color="auto" w:fill="C4EFCE"/>
            <w:tcMar>
              <w:left w:w="28" w:type="dxa"/>
              <w:right w:w="28" w:type="dxa"/>
            </w:tcMar>
            <w:vAlign w:val="center"/>
            <w:hideMark/>
          </w:tcPr>
          <w:p w14:paraId="2453522C" w14:textId="5D7F94B4"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r w:rsidR="000F5AA4" w:rsidRPr="003F23AC">
              <w:rPr>
                <w:rFonts w:ascii="Times New Roman" w:hAnsi="Times New Roman" w:cs="Times New Roman"/>
                <w:noProof/>
                <w:lang w:val="sk-SK"/>
              </w:rPr>
              <w:t> </w:t>
            </w:r>
          </w:p>
        </w:tc>
        <w:tc>
          <w:tcPr>
            <w:tcW w:w="1588" w:type="dxa"/>
            <w:shd w:val="clear" w:color="auto" w:fill="C4EFCE"/>
            <w:tcMar>
              <w:left w:w="28" w:type="dxa"/>
              <w:right w:w="28" w:type="dxa"/>
            </w:tcMar>
            <w:vAlign w:val="center"/>
            <w:hideMark/>
          </w:tcPr>
          <w:p w14:paraId="2B8435E8" w14:textId="72F8915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Dokončené práce na obnovu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zachovanie budov kultúrneho dedičstva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národných divadiel </w:t>
            </w:r>
          </w:p>
        </w:tc>
        <w:tc>
          <w:tcPr>
            <w:tcW w:w="1373" w:type="dxa"/>
            <w:shd w:val="clear" w:color="auto" w:fill="C4EFCE"/>
            <w:tcMar>
              <w:left w:w="28" w:type="dxa"/>
              <w:right w:w="28" w:type="dxa"/>
            </w:tcMar>
            <w:vAlign w:val="center"/>
            <w:hideMark/>
          </w:tcPr>
          <w:p w14:paraId="0A14C98B"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Completion of works dokončenie prác</w:t>
            </w:r>
          </w:p>
        </w:tc>
        <w:tc>
          <w:tcPr>
            <w:tcW w:w="750" w:type="dxa"/>
            <w:shd w:val="clear" w:color="auto" w:fill="C4EFCE"/>
            <w:tcMar>
              <w:left w:w="28" w:type="dxa"/>
              <w:right w:w="28" w:type="dxa"/>
            </w:tcMar>
            <w:vAlign w:val="center"/>
            <w:hideMark/>
          </w:tcPr>
          <w:p w14:paraId="5A849F2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86" w:type="dxa"/>
            <w:shd w:val="clear" w:color="auto" w:fill="C4EFCE"/>
            <w:tcMar>
              <w:left w:w="28" w:type="dxa"/>
              <w:right w:w="28" w:type="dxa"/>
            </w:tcMar>
            <w:vAlign w:val="center"/>
            <w:hideMark/>
          </w:tcPr>
          <w:p w14:paraId="2CDB7EB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10" w:type="dxa"/>
            <w:shd w:val="clear" w:color="auto" w:fill="C4EFCE"/>
            <w:tcMar>
              <w:left w:w="28" w:type="dxa"/>
              <w:right w:w="28" w:type="dxa"/>
            </w:tcMar>
            <w:vAlign w:val="center"/>
            <w:hideMark/>
          </w:tcPr>
          <w:p w14:paraId="7B9894CE" w14:textId="6B71FBD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75</w:t>
            </w:r>
          </w:p>
        </w:tc>
        <w:tc>
          <w:tcPr>
            <w:tcW w:w="798" w:type="dxa"/>
            <w:shd w:val="clear" w:color="auto" w:fill="C4EFCE"/>
            <w:tcMar>
              <w:left w:w="28" w:type="dxa"/>
              <w:right w:w="28" w:type="dxa"/>
            </w:tcMar>
            <w:vAlign w:val="center"/>
            <w:hideMark/>
          </w:tcPr>
          <w:p w14:paraId="2791A5BD" w14:textId="0FBCC12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r w:rsidR="000F5AA4" w:rsidRPr="003F23AC">
              <w:rPr>
                <w:rFonts w:ascii="Times New Roman" w:hAnsi="Times New Roman" w:cs="Times New Roman"/>
                <w:noProof/>
                <w:lang w:val="sk-SK"/>
              </w:rPr>
              <w:t> </w:t>
            </w:r>
          </w:p>
        </w:tc>
        <w:tc>
          <w:tcPr>
            <w:tcW w:w="413" w:type="dxa"/>
            <w:shd w:val="clear" w:color="auto" w:fill="C4EFCE"/>
            <w:tcMar>
              <w:left w:w="28" w:type="dxa"/>
              <w:right w:w="28" w:type="dxa"/>
            </w:tcMar>
            <w:vAlign w:val="center"/>
            <w:hideMark/>
          </w:tcPr>
          <w:p w14:paraId="199003BA" w14:textId="4BAD994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756" w:type="dxa"/>
            <w:shd w:val="clear" w:color="auto" w:fill="C4EFCE"/>
            <w:tcMar>
              <w:left w:w="28" w:type="dxa"/>
              <w:right w:w="28" w:type="dxa"/>
            </w:tcMar>
            <w:vAlign w:val="center"/>
            <w:hideMark/>
          </w:tcPr>
          <w:p w14:paraId="44EBB5A9" w14:textId="3E734CE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kultúrnych pamiatok,</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ktorých sa dokončili práce na rehabilitáciu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zachovanie múzeí, pamiatok, štátnych palác</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národných divadiel.</w:t>
            </w:r>
          </w:p>
        </w:tc>
      </w:tr>
      <w:tr w:rsidR="00A26F8D" w:rsidRPr="003F23AC" w14:paraId="6C8F3CC5" w14:textId="77777777" w:rsidTr="00A26F8D">
        <w:trPr>
          <w:trHeight w:val="2486"/>
        </w:trPr>
        <w:tc>
          <w:tcPr>
            <w:tcW w:w="1067" w:type="dxa"/>
            <w:shd w:val="clear" w:color="auto" w:fill="C5EFCE"/>
            <w:tcMar>
              <w:left w:w="28" w:type="dxa"/>
              <w:right w:w="28" w:type="dxa"/>
            </w:tcMar>
            <w:vAlign w:val="center"/>
          </w:tcPr>
          <w:p w14:paraId="14F7780E" w14:textId="50B225CD" w:rsidR="00387C70" w:rsidRPr="003F23AC" w:rsidRDefault="000F5AA4" w:rsidP="003F23AC">
            <w:pPr>
              <w:pStyle w:val="P68B1DB1-Normal11"/>
              <w:spacing w:line="240" w:lineRule="auto"/>
              <w:jc w:val="center"/>
              <w:rPr>
                <w:rFonts w:ascii="Times New Roman" w:eastAsiaTheme="minorEastAsia" w:hAnsi="Times New Roman" w:cs="Times New Roman"/>
                <w:noProof/>
                <w:lang w:val="sk-SK"/>
              </w:rPr>
            </w:pPr>
            <w:r w:rsidRPr="003F23AC">
              <w:rPr>
                <w:rFonts w:ascii="Times New Roman" w:hAnsi="Times New Roman" w:cs="Times New Roman"/>
                <w:noProof/>
                <w:lang w:val="sk-SK"/>
              </w:rPr>
              <w:t>4.11</w:t>
            </w:r>
          </w:p>
        </w:tc>
        <w:tc>
          <w:tcPr>
            <w:tcW w:w="1191" w:type="dxa"/>
            <w:shd w:val="clear" w:color="auto" w:fill="C4EFCE"/>
            <w:tcMar>
              <w:left w:w="28" w:type="dxa"/>
              <w:right w:w="28" w:type="dxa"/>
            </w:tcMar>
            <w:vAlign w:val="center"/>
          </w:tcPr>
          <w:p w14:paraId="031805CE" w14:textId="0624AB31"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C04-i02 </w:t>
            </w:r>
          </w:p>
        </w:tc>
        <w:tc>
          <w:tcPr>
            <w:tcW w:w="1060" w:type="dxa"/>
            <w:shd w:val="clear" w:color="auto" w:fill="C4EFCE"/>
            <w:tcMar>
              <w:left w:w="28" w:type="dxa"/>
              <w:right w:w="28" w:type="dxa"/>
            </w:tcMar>
            <w:vAlign w:val="center"/>
          </w:tcPr>
          <w:p w14:paraId="0170B3FA" w14:textId="1839734A" w:rsidR="00387C70" w:rsidRPr="003F23AC" w:rsidRDefault="000F5AA4" w:rsidP="003F23AC">
            <w:pPr>
              <w:pStyle w:val="P68B1DB1-Normal12"/>
              <w:spacing w:line="240" w:lineRule="auto"/>
              <w:jc w:val="center"/>
              <w:rPr>
                <w:rFonts w:ascii="Times New Roman" w:eastAsiaTheme="minorEastAsia" w:hAnsi="Times New Roman" w:cs="Times New Roman"/>
                <w:noProof/>
                <w:lang w:val="sk-SK"/>
              </w:rPr>
            </w:pPr>
            <w:r w:rsidRPr="003F23AC">
              <w:rPr>
                <w:rFonts w:ascii="Times New Roman" w:hAnsi="Times New Roman" w:cs="Times New Roman"/>
                <w:noProof/>
                <w:lang w:val="sk-SK"/>
              </w:rPr>
              <w:t>M</w:t>
            </w:r>
          </w:p>
        </w:tc>
        <w:tc>
          <w:tcPr>
            <w:tcW w:w="1588" w:type="dxa"/>
            <w:shd w:val="clear" w:color="auto" w:fill="C4EFCE"/>
            <w:tcMar>
              <w:left w:w="28" w:type="dxa"/>
              <w:right w:w="28" w:type="dxa"/>
            </w:tcMar>
            <w:vAlign w:val="center"/>
          </w:tcPr>
          <w:p w14:paraId="7A827ECC" w14:textId="78DB793A" w:rsidR="00387C70" w:rsidRPr="003F23AC" w:rsidRDefault="000F5AA4" w:rsidP="003F23AC">
            <w:pPr>
              <w:pStyle w:val="P68B1DB1-Normal8"/>
              <w:widowControl w:val="0"/>
              <w:spacing w:after="0" w:line="240" w:lineRule="auto"/>
              <w:jc w:val="center"/>
              <w:rPr>
                <w:rFonts w:ascii="Times New Roman" w:eastAsia="Calibri" w:hAnsi="Times New Roman" w:cs="Times New Roman"/>
                <w:noProof/>
                <w:lang w:val="sk-SK"/>
              </w:rPr>
            </w:pPr>
            <w:r w:rsidRPr="003F23AC">
              <w:rPr>
                <w:rFonts w:ascii="Times New Roman" w:hAnsi="Times New Roman" w:cs="Times New Roman"/>
                <w:noProof/>
                <w:lang w:val="sk-SK"/>
              </w:rPr>
              <w:t>Inštalácia laboratórií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trás iniciatívy technologického centra „Saber Fazer“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vytvorenie pedagogických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informačných činností</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tradičných technikách.</w:t>
            </w:r>
          </w:p>
        </w:tc>
        <w:tc>
          <w:tcPr>
            <w:tcW w:w="1373" w:type="dxa"/>
            <w:shd w:val="clear" w:color="auto" w:fill="C4EFCE"/>
            <w:tcMar>
              <w:left w:w="28" w:type="dxa"/>
              <w:right w:w="28" w:type="dxa"/>
            </w:tcMar>
            <w:vAlign w:val="center"/>
          </w:tcPr>
          <w:p w14:paraId="02EC0D5B" w14:textId="46A260C2" w:rsidR="00387C70" w:rsidRPr="003F23AC" w:rsidRDefault="000F5AA4" w:rsidP="003F23AC">
            <w:pPr>
              <w:pStyle w:val="P68B1DB1-Normal8"/>
              <w:spacing w:after="0" w:line="240" w:lineRule="auto"/>
              <w:jc w:val="center"/>
              <w:rPr>
                <w:rFonts w:ascii="Times New Roman" w:eastAsia="Calibri" w:hAnsi="Times New Roman" w:cs="Times New Roman"/>
                <w:noProof/>
                <w:lang w:val="sk-SK"/>
              </w:rPr>
            </w:pPr>
            <w:r w:rsidRPr="003F23AC">
              <w:rPr>
                <w:rFonts w:ascii="Times New Roman" w:hAnsi="Times New Roman" w:cs="Times New Roman"/>
                <w:noProof/>
                <w:lang w:val="sk-SK"/>
              </w:rPr>
              <w:t>Inštalácia laboratórií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trás</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vytváranie informačných činností</w:t>
            </w:r>
          </w:p>
        </w:tc>
        <w:tc>
          <w:tcPr>
            <w:tcW w:w="750" w:type="dxa"/>
            <w:shd w:val="clear" w:color="auto" w:fill="C4EFCE"/>
            <w:tcMar>
              <w:left w:w="28" w:type="dxa"/>
              <w:right w:w="28" w:type="dxa"/>
            </w:tcMar>
            <w:vAlign w:val="center"/>
          </w:tcPr>
          <w:p w14:paraId="00D6DCB5" w14:textId="6E4FFB7F" w:rsidR="00387C70" w:rsidRPr="003F23AC" w:rsidRDefault="00387C70" w:rsidP="003F23AC">
            <w:pPr>
              <w:spacing w:line="240" w:lineRule="auto"/>
              <w:jc w:val="center"/>
              <w:rPr>
                <w:rFonts w:ascii="Times New Roman" w:eastAsiaTheme="minorEastAsia" w:hAnsi="Times New Roman" w:cs="Times New Roman"/>
                <w:noProof/>
                <w:sz w:val="16"/>
                <w:lang w:val="sk-SK"/>
              </w:rPr>
            </w:pPr>
          </w:p>
        </w:tc>
        <w:tc>
          <w:tcPr>
            <w:tcW w:w="986" w:type="dxa"/>
            <w:shd w:val="clear" w:color="auto" w:fill="C4EFCE"/>
            <w:tcMar>
              <w:left w:w="28" w:type="dxa"/>
              <w:right w:w="28" w:type="dxa"/>
            </w:tcMar>
            <w:vAlign w:val="center"/>
          </w:tcPr>
          <w:p w14:paraId="212F99FB" w14:textId="75AD13CC" w:rsidR="00387C70" w:rsidRPr="003F23AC" w:rsidRDefault="00387C70" w:rsidP="003F23AC">
            <w:pPr>
              <w:spacing w:line="240" w:lineRule="auto"/>
              <w:jc w:val="center"/>
              <w:rPr>
                <w:rFonts w:ascii="Times New Roman" w:eastAsiaTheme="minorEastAsia" w:hAnsi="Times New Roman" w:cs="Times New Roman"/>
                <w:noProof/>
                <w:sz w:val="16"/>
                <w:lang w:val="sk-SK"/>
              </w:rPr>
            </w:pPr>
          </w:p>
        </w:tc>
        <w:tc>
          <w:tcPr>
            <w:tcW w:w="910" w:type="dxa"/>
            <w:shd w:val="clear" w:color="auto" w:fill="C4EFCE"/>
            <w:tcMar>
              <w:left w:w="28" w:type="dxa"/>
              <w:right w:w="28" w:type="dxa"/>
            </w:tcMar>
            <w:vAlign w:val="center"/>
          </w:tcPr>
          <w:p w14:paraId="55B67104" w14:textId="32C4CF8D" w:rsidR="00387C70" w:rsidRPr="003F23AC" w:rsidRDefault="00387C70" w:rsidP="003F23AC">
            <w:pPr>
              <w:spacing w:line="240" w:lineRule="auto"/>
              <w:jc w:val="center"/>
              <w:rPr>
                <w:rFonts w:ascii="Times New Roman" w:eastAsiaTheme="minorEastAsia" w:hAnsi="Times New Roman" w:cs="Times New Roman"/>
                <w:noProof/>
                <w:sz w:val="16"/>
                <w:lang w:val="sk-SK"/>
              </w:rPr>
            </w:pPr>
          </w:p>
        </w:tc>
        <w:tc>
          <w:tcPr>
            <w:tcW w:w="798" w:type="dxa"/>
            <w:shd w:val="clear" w:color="auto" w:fill="C4EFCE"/>
            <w:tcMar>
              <w:left w:w="28" w:type="dxa"/>
              <w:right w:w="28" w:type="dxa"/>
            </w:tcMar>
            <w:vAlign w:val="center"/>
          </w:tcPr>
          <w:p w14:paraId="21CA84BA" w14:textId="6AF6D027" w:rsidR="00387C70" w:rsidRPr="003F23AC" w:rsidRDefault="00FF0A91" w:rsidP="003F23AC">
            <w:pPr>
              <w:pStyle w:val="P68B1DB1-Normal12"/>
              <w:spacing w:line="240" w:lineRule="auto"/>
              <w:jc w:val="center"/>
              <w:rPr>
                <w:rFonts w:ascii="Times New Roman" w:eastAsiaTheme="minorEastAsia" w:hAnsi="Times New Roman" w:cs="Times New Roman"/>
                <w:noProof/>
                <w:lang w:val="sk-SK"/>
              </w:rPr>
            </w:pPr>
            <w:r w:rsidRPr="003F23AC">
              <w:rPr>
                <w:rFonts w:ascii="Times New Roman" w:hAnsi="Times New Roman" w:cs="Times New Roman"/>
                <w:noProof/>
                <w:lang w:val="sk-SK"/>
              </w:rPr>
              <w:t>4. štvrťrok</w:t>
            </w:r>
          </w:p>
        </w:tc>
        <w:tc>
          <w:tcPr>
            <w:tcW w:w="413" w:type="dxa"/>
            <w:shd w:val="clear" w:color="auto" w:fill="C4EFCE"/>
            <w:tcMar>
              <w:left w:w="28" w:type="dxa"/>
              <w:right w:w="28" w:type="dxa"/>
            </w:tcMar>
            <w:vAlign w:val="center"/>
          </w:tcPr>
          <w:p w14:paraId="48405223" w14:textId="3B99029C" w:rsidR="00387C70" w:rsidRPr="003F23AC" w:rsidRDefault="000F5AA4" w:rsidP="003F23AC">
            <w:pPr>
              <w:pStyle w:val="P68B1DB1-Normal12"/>
              <w:spacing w:line="240" w:lineRule="auto"/>
              <w:jc w:val="center"/>
              <w:rPr>
                <w:rFonts w:ascii="Times New Roman" w:eastAsiaTheme="minorEastAsia" w:hAnsi="Times New Roman" w:cs="Times New Roman"/>
                <w:noProof/>
                <w:lang w:val="sk-SK"/>
              </w:rPr>
            </w:pPr>
            <w:r w:rsidRPr="003F23AC">
              <w:rPr>
                <w:rFonts w:ascii="Times New Roman" w:hAnsi="Times New Roman" w:cs="Times New Roman"/>
                <w:noProof/>
                <w:lang w:val="sk-SK"/>
              </w:rPr>
              <w:t>2025</w:t>
            </w:r>
          </w:p>
        </w:tc>
        <w:tc>
          <w:tcPr>
            <w:tcW w:w="3756" w:type="dxa"/>
            <w:shd w:val="clear" w:color="auto" w:fill="C4EFCE"/>
            <w:tcMar>
              <w:left w:w="28" w:type="dxa"/>
              <w:right w:w="28" w:type="dxa"/>
            </w:tcMar>
            <w:vAlign w:val="center"/>
          </w:tcPr>
          <w:p w14:paraId="68A57C86" w14:textId="28A4F201" w:rsidR="00387C70" w:rsidRPr="003F23AC" w:rsidRDefault="000F5AA4" w:rsidP="003F23AC">
            <w:pPr>
              <w:pStyle w:val="P68B1DB1-Normal8"/>
              <w:spacing w:line="240" w:lineRule="auto"/>
              <w:rPr>
                <w:rFonts w:ascii="Times New Roman" w:eastAsia="Calibri" w:hAnsi="Times New Roman" w:cs="Times New Roman"/>
                <w:noProof/>
                <w:lang w:val="sk-SK"/>
              </w:rPr>
            </w:pPr>
            <w:r w:rsidRPr="003F23AC">
              <w:rPr>
                <w:rFonts w:ascii="Times New Roman" w:hAnsi="Times New Roman" w:cs="Times New Roman"/>
                <w:noProof/>
                <w:lang w:val="sk-SK"/>
              </w:rPr>
              <w:t>Nainštalujú sa laboratóriá</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trasy iniciatívy technologického centra „Saber Fazer“.</w:t>
            </w:r>
          </w:p>
          <w:p w14:paraId="4A586D50" w14:textId="197B4FC4" w:rsidR="00387C70" w:rsidRPr="003F23AC" w:rsidRDefault="000F5AA4" w:rsidP="003F23AC">
            <w:pPr>
              <w:pStyle w:val="P68B1DB1-Normal8"/>
              <w:spacing w:line="240" w:lineRule="auto"/>
              <w:rPr>
                <w:rFonts w:ascii="Times New Roman" w:eastAsia="Calibri" w:hAnsi="Times New Roman" w:cs="Times New Roman"/>
                <w:noProof/>
                <w:lang w:val="sk-SK"/>
              </w:rPr>
            </w:pPr>
            <w:r w:rsidRPr="003F23AC">
              <w:rPr>
                <w:rFonts w:ascii="Times New Roman" w:hAnsi="Times New Roman" w:cs="Times New Roman"/>
                <w:noProof/>
                <w:lang w:val="sk-SK"/>
              </w:rPr>
              <w:t>Vytvoria sa pedagogické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informatívne činnosti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tradičných technikách.</w:t>
            </w:r>
          </w:p>
        </w:tc>
      </w:tr>
      <w:tr w:rsidR="00A26F8D" w:rsidRPr="003F23AC" w14:paraId="2E9B74C5" w14:textId="77777777" w:rsidTr="00A26F8D">
        <w:trPr>
          <w:trHeight w:val="1232"/>
        </w:trPr>
        <w:tc>
          <w:tcPr>
            <w:tcW w:w="1067" w:type="dxa"/>
            <w:shd w:val="clear" w:color="auto" w:fill="C5EFCE"/>
            <w:tcMar>
              <w:left w:w="28" w:type="dxa"/>
              <w:right w:w="28" w:type="dxa"/>
            </w:tcMar>
            <w:vAlign w:val="center"/>
          </w:tcPr>
          <w:p w14:paraId="7B23F4D9" w14:textId="656A027C" w:rsidR="00387C70" w:rsidRPr="003F23AC" w:rsidRDefault="000F5AA4" w:rsidP="003F23AC">
            <w:pPr>
              <w:pStyle w:val="P68B1DB1-Normal11"/>
              <w:spacing w:after="0" w:line="240" w:lineRule="auto"/>
              <w:jc w:val="center"/>
              <w:rPr>
                <w:rFonts w:ascii="Times New Roman" w:eastAsiaTheme="minorEastAsia" w:hAnsi="Times New Roman" w:cs="Times New Roman"/>
                <w:noProof/>
                <w:lang w:val="sk-SK"/>
              </w:rPr>
            </w:pPr>
            <w:r w:rsidRPr="003F23AC">
              <w:rPr>
                <w:rFonts w:ascii="Times New Roman" w:hAnsi="Times New Roman" w:cs="Times New Roman"/>
                <w:noProof/>
                <w:lang w:val="sk-SK"/>
              </w:rPr>
              <w:t>4.12</w:t>
            </w:r>
          </w:p>
        </w:tc>
        <w:tc>
          <w:tcPr>
            <w:tcW w:w="1191" w:type="dxa"/>
            <w:shd w:val="clear" w:color="auto" w:fill="C4EFCE"/>
            <w:tcMar>
              <w:left w:w="28" w:type="dxa"/>
              <w:right w:w="28" w:type="dxa"/>
            </w:tcMar>
            <w:vAlign w:val="center"/>
          </w:tcPr>
          <w:p w14:paraId="2D75212B" w14:textId="671E7F8A" w:rsidR="00387C70" w:rsidRPr="003F23AC" w:rsidRDefault="00F218FC" w:rsidP="003F23AC">
            <w:pPr>
              <w:pStyle w:val="P68B1DB1-Normal12"/>
              <w:spacing w:line="240" w:lineRule="auto"/>
              <w:jc w:val="center"/>
              <w:rPr>
                <w:rFonts w:ascii="Times New Roman" w:eastAsiaTheme="minorEastAsia"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C04-i02</w:t>
            </w:r>
          </w:p>
        </w:tc>
        <w:tc>
          <w:tcPr>
            <w:tcW w:w="1060" w:type="dxa"/>
            <w:shd w:val="clear" w:color="auto" w:fill="C4EFCE"/>
            <w:tcMar>
              <w:left w:w="28" w:type="dxa"/>
              <w:right w:w="28" w:type="dxa"/>
            </w:tcMar>
            <w:vAlign w:val="center"/>
          </w:tcPr>
          <w:p w14:paraId="01863DAD" w14:textId="500BD97C" w:rsidR="00387C70" w:rsidRPr="003F23AC" w:rsidRDefault="000F5AA4" w:rsidP="003F23AC">
            <w:pPr>
              <w:pStyle w:val="P68B1DB1-Normal12"/>
              <w:spacing w:after="0" w:line="240" w:lineRule="auto"/>
              <w:jc w:val="center"/>
              <w:rPr>
                <w:rFonts w:ascii="Times New Roman" w:eastAsiaTheme="minorEastAsia" w:hAnsi="Times New Roman" w:cs="Times New Roman"/>
                <w:noProof/>
                <w:lang w:val="sk-SK"/>
              </w:rPr>
            </w:pPr>
            <w:r w:rsidRPr="003F23AC">
              <w:rPr>
                <w:rFonts w:ascii="Times New Roman" w:hAnsi="Times New Roman" w:cs="Times New Roman"/>
                <w:noProof/>
                <w:lang w:val="sk-SK"/>
              </w:rPr>
              <w:t>M</w:t>
            </w:r>
          </w:p>
        </w:tc>
        <w:tc>
          <w:tcPr>
            <w:tcW w:w="1588" w:type="dxa"/>
            <w:shd w:val="clear" w:color="auto" w:fill="C4EFCE"/>
            <w:tcMar>
              <w:left w:w="28" w:type="dxa"/>
              <w:right w:w="28" w:type="dxa"/>
            </w:tcMar>
            <w:vAlign w:val="center"/>
          </w:tcPr>
          <w:p w14:paraId="15F8BB2A" w14:textId="4AD42237" w:rsidR="00387C70" w:rsidRPr="003F23AC" w:rsidRDefault="000F5AA4" w:rsidP="003F23AC">
            <w:pPr>
              <w:pStyle w:val="P68B1DB1-Normal12"/>
              <w:widowControl w:val="0"/>
              <w:spacing w:after="0" w:line="240" w:lineRule="auto"/>
              <w:jc w:val="center"/>
              <w:rPr>
                <w:rFonts w:ascii="Times New Roman" w:eastAsia="Calibri" w:hAnsi="Times New Roman" w:cs="Times New Roman"/>
                <w:noProof/>
                <w:lang w:val="sk-SK"/>
              </w:rPr>
            </w:pPr>
            <w:r w:rsidRPr="003F23AC">
              <w:rPr>
                <w:rFonts w:ascii="Times New Roman" w:hAnsi="Times New Roman" w:cs="Times New Roman"/>
                <w:noProof/>
                <w:lang w:val="sk-SK"/>
              </w:rPr>
              <w:t>Dokončenie výstavby národného archívu zvuku</w:t>
            </w:r>
          </w:p>
        </w:tc>
        <w:tc>
          <w:tcPr>
            <w:tcW w:w="1373" w:type="dxa"/>
            <w:shd w:val="clear" w:color="auto" w:fill="C4EFCE"/>
            <w:tcMar>
              <w:left w:w="28" w:type="dxa"/>
              <w:right w:w="28" w:type="dxa"/>
            </w:tcMar>
            <w:vAlign w:val="center"/>
          </w:tcPr>
          <w:p w14:paraId="21192B9D" w14:textId="5381A138" w:rsidR="00387C70" w:rsidRPr="003F23AC" w:rsidRDefault="000F5AA4" w:rsidP="003F23AC">
            <w:pPr>
              <w:pStyle w:val="P68B1DB1-Normal12"/>
              <w:spacing w:after="0" w:line="240" w:lineRule="auto"/>
              <w:jc w:val="center"/>
              <w:rPr>
                <w:rFonts w:ascii="Times New Roman" w:eastAsiaTheme="minorEastAsia" w:hAnsi="Times New Roman" w:cs="Times New Roman"/>
                <w:noProof/>
                <w:lang w:val="sk-SK"/>
              </w:rPr>
            </w:pPr>
            <w:r w:rsidRPr="003F23AC">
              <w:rPr>
                <w:rFonts w:ascii="Times New Roman" w:hAnsi="Times New Roman" w:cs="Times New Roman"/>
                <w:noProof/>
                <w:lang w:val="sk-SK"/>
              </w:rPr>
              <w:t>Dokončenie stavebných prác</w:t>
            </w:r>
          </w:p>
          <w:p w14:paraId="0230FF46" w14:textId="6B7D17FB" w:rsidR="00387C70" w:rsidRPr="003F23AC" w:rsidRDefault="00387C70" w:rsidP="003F23AC">
            <w:pPr>
              <w:spacing w:after="0" w:line="240" w:lineRule="auto"/>
              <w:jc w:val="center"/>
              <w:rPr>
                <w:rFonts w:ascii="Times New Roman" w:eastAsiaTheme="minorEastAsia" w:hAnsi="Times New Roman" w:cs="Times New Roman"/>
                <w:noProof/>
                <w:sz w:val="16"/>
                <w:lang w:val="sk-SK"/>
              </w:rPr>
            </w:pPr>
          </w:p>
        </w:tc>
        <w:tc>
          <w:tcPr>
            <w:tcW w:w="750" w:type="dxa"/>
            <w:shd w:val="clear" w:color="auto" w:fill="C4EFCE"/>
            <w:tcMar>
              <w:left w:w="28" w:type="dxa"/>
              <w:right w:w="28" w:type="dxa"/>
            </w:tcMar>
            <w:vAlign w:val="center"/>
          </w:tcPr>
          <w:p w14:paraId="2CBDC436" w14:textId="77777777" w:rsidR="00387C70" w:rsidRPr="003F23AC" w:rsidRDefault="00387C70" w:rsidP="003F23AC">
            <w:pPr>
              <w:spacing w:after="0" w:line="240" w:lineRule="auto"/>
              <w:jc w:val="center"/>
              <w:rPr>
                <w:rFonts w:ascii="Times New Roman" w:eastAsiaTheme="minorEastAsia" w:hAnsi="Times New Roman" w:cs="Times New Roman"/>
                <w:noProof/>
                <w:sz w:val="16"/>
                <w:lang w:val="sk-SK"/>
              </w:rPr>
            </w:pPr>
          </w:p>
        </w:tc>
        <w:tc>
          <w:tcPr>
            <w:tcW w:w="986" w:type="dxa"/>
            <w:shd w:val="clear" w:color="auto" w:fill="C4EFCE"/>
            <w:tcMar>
              <w:left w:w="28" w:type="dxa"/>
              <w:right w:w="28" w:type="dxa"/>
            </w:tcMar>
            <w:vAlign w:val="center"/>
          </w:tcPr>
          <w:p w14:paraId="071D080E" w14:textId="77777777" w:rsidR="00387C70" w:rsidRPr="003F23AC" w:rsidRDefault="00387C70" w:rsidP="003F23AC">
            <w:pPr>
              <w:spacing w:after="0" w:line="240" w:lineRule="auto"/>
              <w:jc w:val="center"/>
              <w:rPr>
                <w:rFonts w:ascii="Times New Roman" w:eastAsiaTheme="minorEastAsia" w:hAnsi="Times New Roman" w:cs="Times New Roman"/>
                <w:noProof/>
                <w:sz w:val="16"/>
                <w:lang w:val="sk-SK"/>
              </w:rPr>
            </w:pPr>
          </w:p>
        </w:tc>
        <w:tc>
          <w:tcPr>
            <w:tcW w:w="910" w:type="dxa"/>
            <w:shd w:val="clear" w:color="auto" w:fill="C4EFCE"/>
            <w:tcMar>
              <w:left w:w="28" w:type="dxa"/>
              <w:right w:w="28" w:type="dxa"/>
            </w:tcMar>
            <w:vAlign w:val="center"/>
          </w:tcPr>
          <w:p w14:paraId="7FCAA4F0" w14:textId="77777777" w:rsidR="00387C70" w:rsidRPr="003F23AC" w:rsidRDefault="00387C70" w:rsidP="003F23AC">
            <w:pPr>
              <w:spacing w:after="0" w:line="240" w:lineRule="auto"/>
              <w:jc w:val="center"/>
              <w:rPr>
                <w:rFonts w:ascii="Times New Roman" w:eastAsiaTheme="minorEastAsia" w:hAnsi="Times New Roman" w:cs="Times New Roman"/>
                <w:noProof/>
                <w:sz w:val="16"/>
                <w:lang w:val="sk-SK"/>
              </w:rPr>
            </w:pPr>
          </w:p>
        </w:tc>
        <w:tc>
          <w:tcPr>
            <w:tcW w:w="798" w:type="dxa"/>
            <w:shd w:val="clear" w:color="auto" w:fill="C4EFCE"/>
            <w:tcMar>
              <w:left w:w="28" w:type="dxa"/>
              <w:right w:w="28" w:type="dxa"/>
            </w:tcMar>
            <w:vAlign w:val="center"/>
          </w:tcPr>
          <w:p w14:paraId="1C2674F4" w14:textId="7D92667C" w:rsidR="00387C70" w:rsidRPr="003F23AC" w:rsidRDefault="00FF0A91" w:rsidP="003F23AC">
            <w:pPr>
              <w:pStyle w:val="P68B1DB1-Normal12"/>
              <w:spacing w:after="0" w:line="240" w:lineRule="auto"/>
              <w:jc w:val="center"/>
              <w:rPr>
                <w:rFonts w:ascii="Times New Roman" w:eastAsiaTheme="minorEastAsia" w:hAnsi="Times New Roman" w:cs="Times New Roman"/>
                <w:noProof/>
                <w:lang w:val="sk-SK"/>
              </w:rPr>
            </w:pPr>
            <w:r w:rsidRPr="003F23AC">
              <w:rPr>
                <w:rFonts w:ascii="Times New Roman" w:hAnsi="Times New Roman" w:cs="Times New Roman"/>
                <w:noProof/>
                <w:lang w:val="sk-SK"/>
              </w:rPr>
              <w:t>1. štvrťrok</w:t>
            </w:r>
          </w:p>
        </w:tc>
        <w:tc>
          <w:tcPr>
            <w:tcW w:w="413" w:type="dxa"/>
            <w:shd w:val="clear" w:color="auto" w:fill="C4EFCE"/>
            <w:tcMar>
              <w:left w:w="28" w:type="dxa"/>
              <w:right w:w="28" w:type="dxa"/>
            </w:tcMar>
            <w:vAlign w:val="center"/>
          </w:tcPr>
          <w:p w14:paraId="0A6163C6" w14:textId="6FB0E70F" w:rsidR="00387C70" w:rsidRPr="003F23AC" w:rsidRDefault="000F5AA4" w:rsidP="003F23AC">
            <w:pPr>
              <w:pStyle w:val="P68B1DB1-Normal12"/>
              <w:spacing w:after="0" w:line="240" w:lineRule="auto"/>
              <w:jc w:val="center"/>
              <w:rPr>
                <w:rFonts w:ascii="Times New Roman" w:eastAsiaTheme="minorEastAsia" w:hAnsi="Times New Roman" w:cs="Times New Roman"/>
                <w:noProof/>
                <w:lang w:val="sk-SK"/>
              </w:rPr>
            </w:pPr>
            <w:r w:rsidRPr="003F23AC">
              <w:rPr>
                <w:rFonts w:ascii="Times New Roman" w:hAnsi="Times New Roman" w:cs="Times New Roman"/>
                <w:noProof/>
                <w:lang w:val="sk-SK"/>
              </w:rPr>
              <w:t>2026</w:t>
            </w:r>
          </w:p>
        </w:tc>
        <w:tc>
          <w:tcPr>
            <w:tcW w:w="3756" w:type="dxa"/>
            <w:shd w:val="clear" w:color="auto" w:fill="C4EFCE"/>
            <w:tcMar>
              <w:left w:w="28" w:type="dxa"/>
              <w:right w:w="28" w:type="dxa"/>
            </w:tcMar>
            <w:vAlign w:val="center"/>
          </w:tcPr>
          <w:p w14:paraId="553D6012" w14:textId="7A69412D" w:rsidR="00387C70" w:rsidRPr="003F23AC" w:rsidRDefault="000F5AA4" w:rsidP="003F23AC">
            <w:pPr>
              <w:pStyle w:val="P68B1DB1-Normal12"/>
              <w:spacing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Dokončenie výstavby budovy národného archívu zvuku. Budova musí mať využiteľnú plochu najmenej 1 100 m²</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musí byť vybavená okrem iného na uchovávanie zvukových dokumentov. Newbudova musí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bl>
    <w:p w14:paraId="7A7D7EC6" w14:textId="25A02098" w:rsidR="00387C70" w:rsidRPr="00A26F8D" w:rsidRDefault="00387C70" w:rsidP="00A26F8D">
      <w:pPr>
        <w:spacing w:after="0" w:line="240" w:lineRule="auto"/>
        <w:rPr>
          <w:rFonts w:ascii="Times New Roman" w:hAnsi="Times New Roman" w:cs="Times New Roman"/>
          <w:noProof/>
          <w:sz w:val="6"/>
          <w:szCs w:val="6"/>
          <w:lang w:val="sk-SK"/>
        </w:rPr>
      </w:pPr>
    </w:p>
    <w:p w14:paraId="796D791C" w14:textId="77777777" w:rsidR="00387C70" w:rsidRPr="00A26F8D" w:rsidRDefault="00387C70" w:rsidP="00A26F8D">
      <w:pPr>
        <w:spacing w:after="0" w:line="240" w:lineRule="auto"/>
        <w:rPr>
          <w:rFonts w:ascii="Times New Roman" w:eastAsiaTheme="minorEastAsia" w:hAnsi="Times New Roman" w:cs="Times New Roman"/>
          <w:noProof/>
          <w:sz w:val="6"/>
          <w:szCs w:val="6"/>
          <w:lang w:val="sk-SK"/>
        </w:rPr>
      </w:pPr>
    </w:p>
    <w:p w14:paraId="77CC12FE" w14:textId="77777777" w:rsidR="00387C70" w:rsidRPr="00A26F8D" w:rsidRDefault="00387C70" w:rsidP="00A26F8D">
      <w:pPr>
        <w:spacing w:after="0" w:line="240" w:lineRule="auto"/>
        <w:rPr>
          <w:rFonts w:ascii="Times New Roman" w:eastAsiaTheme="minorEastAsia" w:hAnsi="Times New Roman" w:cs="Times New Roman"/>
          <w:noProof/>
          <w:sz w:val="6"/>
          <w:szCs w:val="6"/>
          <w:lang w:val="sk-SK"/>
        </w:rPr>
      </w:pPr>
    </w:p>
    <w:p w14:paraId="62B18445" w14:textId="77777777" w:rsidR="00387C70" w:rsidRPr="003F23AC" w:rsidRDefault="00387C70" w:rsidP="003F23AC">
      <w:pPr>
        <w:rPr>
          <w:rFonts w:ascii="Times New Roman" w:eastAsiaTheme="minorEastAsia" w:hAnsi="Times New Roman" w:cs="Times New Roman"/>
          <w:b/>
          <w:noProof/>
          <w:sz w:val="24"/>
          <w:u w:val="single"/>
          <w:lang w:val="sk-SK"/>
        </w:rPr>
        <w:sectPr w:rsidR="00387C70" w:rsidRPr="003F23AC" w:rsidSect="00E00EDD">
          <w:headerReference w:type="even" r:id="rId90"/>
          <w:headerReference w:type="default" r:id="rId91"/>
          <w:footerReference w:type="even" r:id="rId92"/>
          <w:footerReference w:type="default" r:id="rId93"/>
          <w:headerReference w:type="first" r:id="rId94"/>
          <w:footerReference w:type="first" r:id="rId95"/>
          <w:pgSz w:w="16839" w:h="11907" w:orient="landscape"/>
          <w:pgMar w:top="1134" w:right="1134" w:bottom="1134" w:left="1134" w:header="567" w:footer="567" w:gutter="0"/>
          <w:cols w:space="720"/>
          <w:docGrid w:linePitch="360"/>
        </w:sectPr>
      </w:pPr>
    </w:p>
    <w:p w14:paraId="67852003" w14:textId="61D898E6" w:rsidR="00387C70" w:rsidRPr="003F23AC" w:rsidRDefault="000F5AA4" w:rsidP="003F23AC">
      <w:pPr>
        <w:pStyle w:val="P68B1DB1-Normal3"/>
        <w:rPr>
          <w:rFonts w:eastAsiaTheme="minorEastAsia" w:cs="Times New Roman"/>
          <w:noProof/>
          <w:lang w:val="sk-SK"/>
        </w:rPr>
      </w:pPr>
      <w:r w:rsidRPr="003F23AC">
        <w:rPr>
          <w:rFonts w:cs="Times New Roman"/>
          <w:noProof/>
          <w:lang w:val="sk-SK"/>
        </w:rPr>
        <w:t>E</w:t>
      </w:r>
      <w:r w:rsidR="00C32C63" w:rsidRPr="003F23AC">
        <w:rPr>
          <w:rFonts w:cs="Times New Roman"/>
          <w:noProof/>
          <w:lang w:val="sk-SK"/>
        </w:rPr>
        <w:t>. KOMPONENT</w:t>
      </w:r>
      <w:r w:rsidRPr="003F23AC">
        <w:rPr>
          <w:rFonts w:cs="Times New Roman"/>
          <w:noProof/>
          <w:lang w:val="sk-SK"/>
        </w:rPr>
        <w:t xml:space="preserve"> 5: Investície</w:t>
      </w:r>
      <w:r w:rsidR="00A75B3C" w:rsidRPr="003F23AC">
        <w:rPr>
          <w:rFonts w:cs="Times New Roman"/>
          <w:noProof/>
          <w:lang w:val="sk-SK"/>
        </w:rPr>
        <w:t xml:space="preserve"> a </w:t>
      </w:r>
      <w:r w:rsidRPr="003F23AC">
        <w:rPr>
          <w:rFonts w:cs="Times New Roman"/>
          <w:noProof/>
          <w:lang w:val="sk-SK"/>
        </w:rPr>
        <w:t>inovácie</w:t>
      </w:r>
    </w:p>
    <w:p w14:paraId="1531FA16" w14:textId="730C41FF" w:rsidR="00387C70" w:rsidRPr="003F23AC" w:rsidRDefault="000F5AA4" w:rsidP="003F23AC">
      <w:pPr>
        <w:pStyle w:val="P68B1DB1-Normal4"/>
        <w:jc w:val="both"/>
        <w:rPr>
          <w:rFonts w:eastAsiaTheme="minorEastAsia" w:cs="Times New Roman"/>
          <w:noProof/>
          <w:lang w:val="sk-SK"/>
        </w:rPr>
      </w:pPr>
      <w:r w:rsidRPr="003F23AC">
        <w:rPr>
          <w:rFonts w:cs="Times New Roman"/>
          <w:noProof/>
          <w:lang w:val="sk-SK"/>
        </w:rPr>
        <w:t>Táto zložka portugalského plánu obnovy</w:t>
      </w:r>
      <w:r w:rsidR="00A75B3C" w:rsidRPr="003F23AC">
        <w:rPr>
          <w:rFonts w:cs="Times New Roman"/>
          <w:noProof/>
          <w:lang w:val="sk-SK"/>
        </w:rPr>
        <w:t xml:space="preserve"> a </w:t>
      </w:r>
      <w:r w:rsidRPr="003F23AC">
        <w:rPr>
          <w:rFonts w:cs="Times New Roman"/>
          <w:noProof/>
          <w:lang w:val="sk-SK"/>
        </w:rPr>
        <w:t>odolnosti rieši výzvy súvisiace</w:t>
      </w:r>
      <w:r w:rsidR="00A75B3C" w:rsidRPr="003F23AC">
        <w:rPr>
          <w:rFonts w:cs="Times New Roman"/>
          <w:noProof/>
          <w:lang w:val="sk-SK"/>
        </w:rPr>
        <w:t xml:space="preserve"> s </w:t>
      </w:r>
      <w:r w:rsidRPr="003F23AC">
        <w:rPr>
          <w:rFonts w:cs="Times New Roman"/>
          <w:noProof/>
          <w:lang w:val="sk-SK"/>
        </w:rPr>
        <w:t>relatívne nízkou úrovňou výskumu</w:t>
      </w:r>
      <w:r w:rsidR="00A75B3C" w:rsidRPr="003F23AC">
        <w:rPr>
          <w:rFonts w:cs="Times New Roman"/>
          <w:noProof/>
          <w:lang w:val="sk-SK"/>
        </w:rPr>
        <w:t xml:space="preserve"> a </w:t>
      </w:r>
      <w:r w:rsidRPr="003F23AC">
        <w:rPr>
          <w:rFonts w:cs="Times New Roman"/>
          <w:noProof/>
          <w:lang w:val="sk-SK"/>
        </w:rPr>
        <w:t>inovácií, najmä prostredníctvom podpory prepojení medzi podnikmi</w:t>
      </w:r>
      <w:r w:rsidR="00A75B3C" w:rsidRPr="003F23AC">
        <w:rPr>
          <w:rFonts w:cs="Times New Roman"/>
          <w:noProof/>
          <w:lang w:val="sk-SK"/>
        </w:rPr>
        <w:t xml:space="preserve"> a </w:t>
      </w:r>
      <w:r w:rsidRPr="003F23AC">
        <w:rPr>
          <w:rFonts w:cs="Times New Roman"/>
          <w:noProof/>
          <w:lang w:val="sk-SK"/>
        </w:rPr>
        <w:t>vedou</w:t>
      </w:r>
      <w:r w:rsidR="00A75B3C" w:rsidRPr="003F23AC">
        <w:rPr>
          <w:rFonts w:cs="Times New Roman"/>
          <w:noProof/>
          <w:lang w:val="sk-SK"/>
        </w:rPr>
        <w:t xml:space="preserve"> a s </w:t>
      </w:r>
      <w:r w:rsidRPr="003F23AC">
        <w:rPr>
          <w:rFonts w:cs="Times New Roman"/>
          <w:noProof/>
          <w:lang w:val="sk-SK"/>
        </w:rPr>
        <w:t>osobitným zameraním na inovácie</w:t>
      </w:r>
      <w:r w:rsidR="00A75B3C" w:rsidRPr="003F23AC">
        <w:rPr>
          <w:rFonts w:cs="Times New Roman"/>
          <w:noProof/>
          <w:lang w:val="sk-SK"/>
        </w:rPr>
        <w:t xml:space="preserve"> v </w:t>
      </w:r>
      <w:r w:rsidRPr="003F23AC">
        <w:rPr>
          <w:rFonts w:cs="Times New Roman"/>
          <w:noProof/>
          <w:lang w:val="sk-SK"/>
        </w:rPr>
        <w:t>oblasti zelenej transformácie, ako aj výziev súvisiacich</w:t>
      </w:r>
      <w:r w:rsidR="00A75B3C" w:rsidRPr="003F23AC">
        <w:rPr>
          <w:rFonts w:cs="Times New Roman"/>
          <w:noProof/>
          <w:lang w:val="sk-SK"/>
        </w:rPr>
        <w:t xml:space="preserve"> s </w:t>
      </w:r>
      <w:r w:rsidRPr="003F23AC">
        <w:rPr>
          <w:rFonts w:cs="Times New Roman"/>
          <w:noProof/>
          <w:lang w:val="sk-SK"/>
        </w:rPr>
        <w:t>chronickou podkapitalizáciou portugalského podnikateľského sektora, ktorá sa</w:t>
      </w:r>
      <w:r w:rsidR="00A75B3C" w:rsidRPr="003F23AC">
        <w:rPr>
          <w:rFonts w:cs="Times New Roman"/>
          <w:noProof/>
          <w:lang w:val="sk-SK"/>
        </w:rPr>
        <w:t xml:space="preserve"> v </w:t>
      </w:r>
      <w:r w:rsidRPr="003F23AC">
        <w:rPr>
          <w:rFonts w:cs="Times New Roman"/>
          <w:noProof/>
          <w:lang w:val="sk-SK"/>
        </w:rPr>
        <w:t>dôsledku pandémie COVID-19 ďalej zhoršila.</w:t>
      </w:r>
    </w:p>
    <w:p w14:paraId="08FBDB3A" w14:textId="1DCA0291" w:rsidR="00A75B3C" w:rsidRPr="003F23AC" w:rsidRDefault="000F5AA4" w:rsidP="003F23AC">
      <w:pPr>
        <w:pStyle w:val="P68B1DB1-Normal4"/>
        <w:jc w:val="both"/>
        <w:rPr>
          <w:rFonts w:cs="Times New Roman"/>
          <w:noProof/>
          <w:lang w:val="sk-SK"/>
        </w:rPr>
      </w:pPr>
      <w:r w:rsidRPr="003F23AC">
        <w:rPr>
          <w:rFonts w:cs="Times New Roman"/>
          <w:noProof/>
          <w:lang w:val="sk-SK"/>
        </w:rPr>
        <w:t>Cieľom tejto zložky je zvýšiť konkurencieschopnosť</w:t>
      </w:r>
      <w:r w:rsidR="00A75B3C" w:rsidRPr="003F23AC">
        <w:rPr>
          <w:rFonts w:cs="Times New Roman"/>
          <w:noProof/>
          <w:lang w:val="sk-SK"/>
        </w:rPr>
        <w:t xml:space="preserve"> a </w:t>
      </w:r>
      <w:r w:rsidRPr="003F23AC">
        <w:rPr>
          <w:rFonts w:cs="Times New Roman"/>
          <w:noProof/>
          <w:lang w:val="sk-SK"/>
        </w:rPr>
        <w:t>odolnosť portugalského hospodárstva prostredníctvom opatrení určených na posilnenie výskumu podporou prenosu jeho výsledkov do podnikateľského sektora, čím sa podporí inovácia</w:t>
      </w:r>
      <w:r w:rsidR="00A75B3C" w:rsidRPr="003F23AC">
        <w:rPr>
          <w:rFonts w:cs="Times New Roman"/>
          <w:noProof/>
          <w:lang w:val="sk-SK"/>
        </w:rPr>
        <w:t xml:space="preserve"> a </w:t>
      </w:r>
      <w:r w:rsidRPr="003F23AC">
        <w:rPr>
          <w:rFonts w:cs="Times New Roman"/>
          <w:noProof/>
          <w:lang w:val="sk-SK"/>
        </w:rPr>
        <w:t>investície. Cieľom výskumnej</w:t>
      </w:r>
      <w:r w:rsidR="00A75B3C" w:rsidRPr="003F23AC">
        <w:rPr>
          <w:rFonts w:cs="Times New Roman"/>
          <w:noProof/>
          <w:lang w:val="sk-SK"/>
        </w:rPr>
        <w:t xml:space="preserve"> a </w:t>
      </w:r>
      <w:r w:rsidRPr="003F23AC">
        <w:rPr>
          <w:rFonts w:cs="Times New Roman"/>
          <w:noProof/>
          <w:lang w:val="sk-SK"/>
        </w:rPr>
        <w:t>inovačnej zložky je zlepšiť spoluprácu medzi akademickou obcou</w:t>
      </w:r>
      <w:r w:rsidR="00A75B3C" w:rsidRPr="003F23AC">
        <w:rPr>
          <w:rFonts w:cs="Times New Roman"/>
          <w:noProof/>
          <w:lang w:val="sk-SK"/>
        </w:rPr>
        <w:t xml:space="preserve"> a </w:t>
      </w:r>
      <w:r w:rsidRPr="003F23AC">
        <w:rPr>
          <w:rFonts w:cs="Times New Roman"/>
          <w:noProof/>
          <w:lang w:val="sk-SK"/>
        </w:rPr>
        <w:t>podnikmi, posilniť vedecký</w:t>
      </w:r>
      <w:r w:rsidR="00A75B3C" w:rsidRPr="003F23AC">
        <w:rPr>
          <w:rFonts w:cs="Times New Roman"/>
          <w:noProof/>
          <w:lang w:val="sk-SK"/>
        </w:rPr>
        <w:t xml:space="preserve"> a </w:t>
      </w:r>
      <w:r w:rsidRPr="003F23AC">
        <w:rPr>
          <w:rFonts w:cs="Times New Roman"/>
          <w:noProof/>
          <w:lang w:val="sk-SK"/>
        </w:rPr>
        <w:t>technologický potenciál Portugalska</w:t>
      </w:r>
      <w:r w:rsidR="00A75B3C" w:rsidRPr="003F23AC">
        <w:rPr>
          <w:rFonts w:cs="Times New Roman"/>
          <w:noProof/>
          <w:lang w:val="sk-SK"/>
        </w:rPr>
        <w:t xml:space="preserve"> a </w:t>
      </w:r>
      <w:r w:rsidRPr="003F23AC">
        <w:rPr>
          <w:rFonts w:cs="Times New Roman"/>
          <w:noProof/>
          <w:lang w:val="sk-SK"/>
        </w:rPr>
        <w:t>podporiť vykonávanie ambicióznych</w:t>
      </w:r>
      <w:r w:rsidR="00A75B3C" w:rsidRPr="003F23AC">
        <w:rPr>
          <w:rFonts w:cs="Times New Roman"/>
          <w:noProof/>
          <w:lang w:val="sk-SK"/>
        </w:rPr>
        <w:t xml:space="preserve"> a </w:t>
      </w:r>
      <w:r w:rsidRPr="003F23AC">
        <w:rPr>
          <w:rFonts w:cs="Times New Roman"/>
          <w:noProof/>
          <w:lang w:val="sk-SK"/>
        </w:rPr>
        <w:t>komplexných výskumných</w:t>
      </w:r>
      <w:r w:rsidR="00A75B3C" w:rsidRPr="003F23AC">
        <w:rPr>
          <w:rFonts w:cs="Times New Roman"/>
          <w:noProof/>
          <w:lang w:val="sk-SK"/>
        </w:rPr>
        <w:t xml:space="preserve"> a </w:t>
      </w:r>
      <w:r w:rsidRPr="003F23AC">
        <w:rPr>
          <w:rFonts w:cs="Times New Roman"/>
          <w:noProof/>
          <w:lang w:val="sk-SK"/>
        </w:rPr>
        <w:t>inovačných programov zameraných na hlavné sociálno-ekonomické</w:t>
      </w:r>
      <w:r w:rsidR="00A75B3C" w:rsidRPr="003F23AC">
        <w:rPr>
          <w:rFonts w:cs="Times New Roman"/>
          <w:noProof/>
          <w:lang w:val="sk-SK"/>
        </w:rPr>
        <w:t xml:space="preserve"> a </w:t>
      </w:r>
      <w:r w:rsidRPr="003F23AC">
        <w:rPr>
          <w:rFonts w:cs="Times New Roman"/>
          <w:noProof/>
          <w:lang w:val="sk-SK"/>
        </w:rPr>
        <w:t>environmentálne výzvy. Očakáva sa, že sa to dosiahne prostredníctvom zvýšených</w:t>
      </w:r>
      <w:r w:rsidR="00A75B3C" w:rsidRPr="003F23AC">
        <w:rPr>
          <w:rFonts w:cs="Times New Roman"/>
          <w:noProof/>
          <w:lang w:val="sk-SK"/>
        </w:rPr>
        <w:t xml:space="preserve"> a </w:t>
      </w:r>
      <w:r w:rsidRPr="003F23AC">
        <w:rPr>
          <w:rFonts w:cs="Times New Roman"/>
          <w:noProof/>
          <w:lang w:val="sk-SK"/>
        </w:rPr>
        <w:t>účinnejších investícií do výskumu, vývoja</w:t>
      </w:r>
      <w:r w:rsidR="00A75B3C" w:rsidRPr="003F23AC">
        <w:rPr>
          <w:rFonts w:cs="Times New Roman"/>
          <w:noProof/>
          <w:lang w:val="sk-SK"/>
        </w:rPr>
        <w:t xml:space="preserve"> a </w:t>
      </w:r>
      <w:r w:rsidRPr="003F23AC">
        <w:rPr>
          <w:rFonts w:cs="Times New Roman"/>
          <w:noProof/>
          <w:lang w:val="sk-SK"/>
        </w:rPr>
        <w:t>inovácií, cielenej podpory na lepšie premietnutie výsledkov výskumu do investícií, diverzifikácie</w:t>
      </w:r>
      <w:r w:rsidR="00A75B3C" w:rsidRPr="003F23AC">
        <w:rPr>
          <w:rFonts w:cs="Times New Roman"/>
          <w:noProof/>
          <w:lang w:val="sk-SK"/>
        </w:rPr>
        <w:t xml:space="preserve"> a </w:t>
      </w:r>
      <w:r w:rsidRPr="003F23AC">
        <w:rPr>
          <w:rFonts w:cs="Times New Roman"/>
          <w:noProof/>
          <w:lang w:val="sk-SK"/>
        </w:rPr>
        <w:t>špecializácie výrobnej štruktúry, využívania skutočného potenciálu konkurencieschopného potvrdenia etablovaných priemyselných odvetví</w:t>
      </w:r>
      <w:r w:rsidR="00A75B3C" w:rsidRPr="003F23AC">
        <w:rPr>
          <w:rFonts w:cs="Times New Roman"/>
          <w:noProof/>
          <w:lang w:val="sk-SK"/>
        </w:rPr>
        <w:t xml:space="preserve"> a </w:t>
      </w:r>
      <w:r w:rsidRPr="003F23AC">
        <w:rPr>
          <w:rFonts w:cs="Times New Roman"/>
          <w:noProof/>
          <w:lang w:val="sk-SK"/>
        </w:rPr>
        <w:t>vznikajúcich oblastí</w:t>
      </w:r>
      <w:r w:rsidR="00A75B3C" w:rsidRPr="003F23AC">
        <w:rPr>
          <w:rFonts w:cs="Times New Roman"/>
          <w:noProof/>
          <w:lang w:val="sk-SK"/>
        </w:rPr>
        <w:t xml:space="preserve"> a </w:t>
      </w:r>
      <w:r w:rsidRPr="003F23AC">
        <w:rPr>
          <w:rFonts w:cs="Times New Roman"/>
          <w:noProof/>
          <w:lang w:val="sk-SK"/>
        </w:rPr>
        <w:t>prispievania</w:t>
      </w:r>
      <w:r w:rsidR="00A75B3C" w:rsidRPr="003F23AC">
        <w:rPr>
          <w:rFonts w:cs="Times New Roman"/>
          <w:noProof/>
          <w:lang w:val="sk-SK"/>
        </w:rPr>
        <w:t xml:space="preserve"> k </w:t>
      </w:r>
      <w:r w:rsidRPr="003F23AC">
        <w:rPr>
          <w:rFonts w:cs="Times New Roman"/>
          <w:noProof/>
          <w:lang w:val="sk-SK"/>
        </w:rPr>
        <w:t>dvojakej transformácii. Cieľom tejto zložky je najmä zvýšiť vývoz tovaru</w:t>
      </w:r>
      <w:r w:rsidR="00A75B3C" w:rsidRPr="003F23AC">
        <w:rPr>
          <w:rFonts w:cs="Times New Roman"/>
          <w:noProof/>
          <w:lang w:val="sk-SK"/>
        </w:rPr>
        <w:t xml:space="preserve"> a </w:t>
      </w:r>
      <w:r w:rsidRPr="003F23AC">
        <w:rPr>
          <w:rFonts w:cs="Times New Roman"/>
          <w:noProof/>
          <w:lang w:val="sk-SK"/>
        </w:rPr>
        <w:t>služieb</w:t>
      </w:r>
      <w:r w:rsidR="00A75B3C" w:rsidRPr="003F23AC">
        <w:rPr>
          <w:rFonts w:cs="Times New Roman"/>
          <w:noProof/>
          <w:lang w:val="sk-SK"/>
        </w:rPr>
        <w:t xml:space="preserve"> s </w:t>
      </w:r>
      <w:r w:rsidRPr="003F23AC">
        <w:rPr>
          <w:rFonts w:cs="Times New Roman"/>
          <w:noProof/>
          <w:lang w:val="sk-SK"/>
        </w:rPr>
        <w:t>vysokou pridanou hodnotou, zvýšiť investície do výskumu</w:t>
      </w:r>
      <w:r w:rsidR="00A75B3C" w:rsidRPr="003F23AC">
        <w:rPr>
          <w:rFonts w:cs="Times New Roman"/>
          <w:noProof/>
          <w:lang w:val="sk-SK"/>
        </w:rPr>
        <w:t xml:space="preserve"> a </w:t>
      </w:r>
      <w:r w:rsidRPr="003F23AC">
        <w:rPr>
          <w:rFonts w:cs="Times New Roman"/>
          <w:noProof/>
          <w:lang w:val="sk-SK"/>
        </w:rPr>
        <w:t>vývoja (prostredníctvom nových vysokokvalifikovaných pracovných miest, ako aj zvýšením výdavkov podnikov na výskum</w:t>
      </w:r>
      <w:r w:rsidR="00A75B3C" w:rsidRPr="003F23AC">
        <w:rPr>
          <w:rFonts w:cs="Times New Roman"/>
          <w:noProof/>
          <w:lang w:val="sk-SK"/>
        </w:rPr>
        <w:t xml:space="preserve"> a </w:t>
      </w:r>
      <w:r w:rsidRPr="003F23AC">
        <w:rPr>
          <w:rFonts w:cs="Times New Roman"/>
          <w:noProof/>
          <w:lang w:val="sk-SK"/>
        </w:rPr>
        <w:t>vývoj)</w:t>
      </w:r>
      <w:r w:rsidR="00A75B3C" w:rsidRPr="003F23AC">
        <w:rPr>
          <w:rFonts w:cs="Times New Roman"/>
          <w:noProof/>
          <w:lang w:val="sk-SK"/>
        </w:rPr>
        <w:t xml:space="preserve"> a </w:t>
      </w:r>
      <w:r w:rsidRPr="003F23AC">
        <w:rPr>
          <w:rFonts w:cs="Times New Roman"/>
          <w:noProof/>
          <w:lang w:val="sk-SK"/>
        </w:rPr>
        <w:t>prispieť</w:t>
      </w:r>
      <w:r w:rsidR="00A75B3C" w:rsidRPr="003F23AC">
        <w:rPr>
          <w:rFonts w:cs="Times New Roman"/>
          <w:noProof/>
          <w:lang w:val="sk-SK"/>
        </w:rPr>
        <w:t xml:space="preserve"> k </w:t>
      </w:r>
      <w:r w:rsidRPr="003F23AC">
        <w:rPr>
          <w:rFonts w:cs="Times New Roman"/>
          <w:noProof/>
          <w:lang w:val="sk-SK"/>
        </w:rPr>
        <w:t>zníženiu emisií CO2</w:t>
      </w:r>
      <w:r w:rsidR="00A75B3C" w:rsidRPr="003F23AC">
        <w:rPr>
          <w:rFonts w:cs="Times New Roman"/>
          <w:noProof/>
          <w:lang w:val="sk-SK"/>
        </w:rPr>
        <w:t>.</w:t>
      </w:r>
    </w:p>
    <w:p w14:paraId="0D653E56" w14:textId="4EF0D694" w:rsidR="00387C70" w:rsidRPr="00A26F8D" w:rsidRDefault="000F5AA4" w:rsidP="003F23AC">
      <w:pPr>
        <w:pStyle w:val="P68B1DB1-Normal4"/>
        <w:jc w:val="both"/>
        <w:rPr>
          <w:rFonts w:eastAsiaTheme="minorEastAsia" w:cs="Times New Roman"/>
          <w:noProof/>
          <w:spacing w:val="-4"/>
          <w:lang w:val="sk-SK"/>
        </w:rPr>
      </w:pPr>
      <w:r w:rsidRPr="00A26F8D">
        <w:rPr>
          <w:rFonts w:cs="Times New Roman"/>
          <w:noProof/>
          <w:spacing w:val="-4"/>
          <w:lang w:val="sk-SK"/>
        </w:rPr>
        <w:t>V súlade</w:t>
      </w:r>
      <w:r w:rsidR="00A75B3C" w:rsidRPr="00A26F8D">
        <w:rPr>
          <w:rFonts w:cs="Times New Roman"/>
          <w:noProof/>
          <w:spacing w:val="-4"/>
          <w:lang w:val="sk-SK"/>
        </w:rPr>
        <w:t xml:space="preserve"> s </w:t>
      </w:r>
      <w:r w:rsidRPr="00A26F8D">
        <w:rPr>
          <w:rFonts w:cs="Times New Roman"/>
          <w:noProof/>
          <w:spacing w:val="-4"/>
          <w:lang w:val="sk-SK"/>
        </w:rPr>
        <w:t>potrebou podporiť platobnú schopnosť výrobného systému</w:t>
      </w:r>
      <w:r w:rsidR="00A75B3C" w:rsidRPr="00A26F8D">
        <w:rPr>
          <w:rFonts w:cs="Times New Roman"/>
          <w:noProof/>
          <w:spacing w:val="-4"/>
          <w:lang w:val="sk-SK"/>
        </w:rPr>
        <w:t xml:space="preserve"> a </w:t>
      </w:r>
      <w:r w:rsidRPr="00A26F8D">
        <w:rPr>
          <w:rFonts w:cs="Times New Roman"/>
          <w:noProof/>
          <w:spacing w:val="-4"/>
          <w:lang w:val="sk-SK"/>
        </w:rPr>
        <w:t>riešiť zlyhania trhu</w:t>
      </w:r>
      <w:r w:rsidR="00A75B3C" w:rsidRPr="00A26F8D">
        <w:rPr>
          <w:rFonts w:cs="Times New Roman"/>
          <w:noProof/>
          <w:spacing w:val="-4"/>
          <w:lang w:val="sk-SK"/>
        </w:rPr>
        <w:t xml:space="preserve"> v </w:t>
      </w:r>
      <w:r w:rsidRPr="00A26F8D">
        <w:rPr>
          <w:rFonts w:cs="Times New Roman"/>
          <w:noProof/>
          <w:spacing w:val="-4"/>
          <w:lang w:val="sk-SK"/>
        </w:rPr>
        <w:t>oblasti prístupu</w:t>
      </w:r>
      <w:r w:rsidR="00A75B3C" w:rsidRPr="00A26F8D">
        <w:rPr>
          <w:rFonts w:cs="Times New Roman"/>
          <w:noProof/>
          <w:spacing w:val="-4"/>
          <w:lang w:val="sk-SK"/>
        </w:rPr>
        <w:t xml:space="preserve"> k </w:t>
      </w:r>
      <w:r w:rsidRPr="00A26F8D">
        <w:rPr>
          <w:rFonts w:cs="Times New Roman"/>
          <w:noProof/>
          <w:spacing w:val="-4"/>
          <w:lang w:val="sk-SK"/>
        </w:rPr>
        <w:t>financovaniu táto zložka zahŕňa reformu</w:t>
      </w:r>
      <w:r w:rsidR="00A75B3C" w:rsidRPr="00A26F8D">
        <w:rPr>
          <w:rFonts w:cs="Times New Roman"/>
          <w:noProof/>
          <w:spacing w:val="-4"/>
          <w:lang w:val="sk-SK"/>
        </w:rPr>
        <w:t xml:space="preserve"> a </w:t>
      </w:r>
      <w:r w:rsidRPr="00A26F8D">
        <w:rPr>
          <w:rFonts w:cs="Times New Roman"/>
          <w:noProof/>
          <w:spacing w:val="-4"/>
          <w:lang w:val="sk-SK"/>
        </w:rPr>
        <w:t>investície, ktoré prispievajú</w:t>
      </w:r>
      <w:r w:rsidR="00A75B3C" w:rsidRPr="00A26F8D">
        <w:rPr>
          <w:rFonts w:cs="Times New Roman"/>
          <w:noProof/>
          <w:spacing w:val="-4"/>
          <w:lang w:val="sk-SK"/>
        </w:rPr>
        <w:t xml:space="preserve"> k </w:t>
      </w:r>
      <w:r w:rsidRPr="00A26F8D">
        <w:rPr>
          <w:rFonts w:cs="Times New Roman"/>
          <w:noProof/>
          <w:spacing w:val="-4"/>
          <w:lang w:val="sk-SK"/>
        </w:rPr>
        <w:t>zlepšeniu portugalského trhu financovania podnikov prostredníctvom vytvorenia</w:t>
      </w:r>
      <w:r w:rsidR="00A75B3C" w:rsidRPr="00A26F8D">
        <w:rPr>
          <w:rFonts w:cs="Times New Roman"/>
          <w:noProof/>
          <w:spacing w:val="-4"/>
          <w:lang w:val="sk-SK"/>
        </w:rPr>
        <w:t xml:space="preserve"> a </w:t>
      </w:r>
      <w:r w:rsidRPr="00A26F8D">
        <w:rPr>
          <w:rFonts w:cs="Times New Roman"/>
          <w:noProof/>
          <w:spacing w:val="-4"/>
          <w:lang w:val="sk-SK"/>
        </w:rPr>
        <w:t xml:space="preserve">posilnenia kapitálu Národnej podpornej banky, </w:t>
      </w:r>
      <w:r w:rsidRPr="00A26F8D">
        <w:rPr>
          <w:rFonts w:cs="Times New Roman"/>
          <w:i/>
          <w:noProof/>
          <w:spacing w:val="-4"/>
          <w:lang w:val="sk-SK"/>
        </w:rPr>
        <w:t>Banco Português de Fomento</w:t>
      </w:r>
      <w:r w:rsidR="00A75B3C" w:rsidRPr="00A26F8D">
        <w:rPr>
          <w:rFonts w:cs="Times New Roman"/>
          <w:noProof/>
          <w:spacing w:val="-4"/>
          <w:lang w:val="sk-SK"/>
        </w:rPr>
        <w:t xml:space="preserve"> a </w:t>
      </w:r>
      <w:r w:rsidRPr="00A26F8D">
        <w:rPr>
          <w:rFonts w:cs="Times New Roman"/>
          <w:noProof/>
          <w:spacing w:val="-4"/>
          <w:lang w:val="sk-SK"/>
        </w:rPr>
        <w:t>rozvoja nových finančných nástrojov. Touto zložkou sa zavádzajú aj reformy kapitálového trhu</w:t>
      </w:r>
      <w:r w:rsidR="00A75B3C" w:rsidRPr="00A26F8D">
        <w:rPr>
          <w:rFonts w:cs="Times New Roman"/>
          <w:noProof/>
          <w:spacing w:val="-4"/>
          <w:lang w:val="sk-SK"/>
        </w:rPr>
        <w:t xml:space="preserve"> s </w:t>
      </w:r>
      <w:r w:rsidRPr="00A26F8D">
        <w:rPr>
          <w:rFonts w:cs="Times New Roman"/>
          <w:noProof/>
          <w:spacing w:val="-4"/>
          <w:lang w:val="sk-SK"/>
        </w:rPr>
        <w:t>cieľom dlhodobo posilniť kapitálové trhy</w:t>
      </w:r>
      <w:r w:rsidR="00A75B3C" w:rsidRPr="00A26F8D">
        <w:rPr>
          <w:rFonts w:cs="Times New Roman"/>
          <w:noProof/>
          <w:spacing w:val="-4"/>
          <w:lang w:val="sk-SK"/>
        </w:rPr>
        <w:t xml:space="preserve"> v </w:t>
      </w:r>
      <w:r w:rsidRPr="00A26F8D">
        <w:rPr>
          <w:rFonts w:cs="Times New Roman"/>
          <w:noProof/>
          <w:spacing w:val="-4"/>
          <w:lang w:val="sk-SK"/>
        </w:rPr>
        <w:t>Portugalsku prostredníctvom revízie existujúceho právneho rámca</w:t>
      </w:r>
      <w:r w:rsidR="00A75B3C" w:rsidRPr="00A26F8D">
        <w:rPr>
          <w:rFonts w:cs="Times New Roman"/>
          <w:noProof/>
          <w:spacing w:val="-4"/>
          <w:lang w:val="sk-SK"/>
        </w:rPr>
        <w:t xml:space="preserve"> a </w:t>
      </w:r>
      <w:r w:rsidRPr="00A26F8D">
        <w:rPr>
          <w:rFonts w:cs="Times New Roman"/>
          <w:noProof/>
          <w:spacing w:val="-4"/>
          <w:lang w:val="sk-SK"/>
        </w:rPr>
        <w:t>prijatia nových zákonov</w:t>
      </w:r>
      <w:r w:rsidR="00A75B3C" w:rsidRPr="00A26F8D">
        <w:rPr>
          <w:rFonts w:cs="Times New Roman"/>
          <w:noProof/>
          <w:spacing w:val="-4"/>
          <w:lang w:val="sk-SK"/>
        </w:rPr>
        <w:t xml:space="preserve"> s </w:t>
      </w:r>
      <w:r w:rsidRPr="00A26F8D">
        <w:rPr>
          <w:rFonts w:cs="Times New Roman"/>
          <w:noProof/>
          <w:spacing w:val="-4"/>
          <w:lang w:val="sk-SK"/>
        </w:rPr>
        <w:t>osobitným dôrazom na spoločnosti investujúce do cenných papierov</w:t>
      </w:r>
      <w:r w:rsidR="00A75B3C" w:rsidRPr="00A26F8D">
        <w:rPr>
          <w:rFonts w:cs="Times New Roman"/>
          <w:noProof/>
          <w:spacing w:val="-4"/>
          <w:lang w:val="sk-SK"/>
        </w:rPr>
        <w:t xml:space="preserve"> v </w:t>
      </w:r>
      <w:r w:rsidRPr="00A26F8D">
        <w:rPr>
          <w:rFonts w:cs="Times New Roman"/>
          <w:noProof/>
          <w:spacing w:val="-4"/>
          <w:lang w:val="sk-SK"/>
        </w:rPr>
        <w:t>záujme rozvoja hospodárstva (SIMFE), podnikov kolektívneho investovania</w:t>
      </w:r>
      <w:r w:rsidR="00A75B3C" w:rsidRPr="00A26F8D">
        <w:rPr>
          <w:rFonts w:cs="Times New Roman"/>
          <w:noProof/>
          <w:spacing w:val="-4"/>
          <w:lang w:val="sk-SK"/>
        </w:rPr>
        <w:t xml:space="preserve"> a </w:t>
      </w:r>
      <w:r w:rsidRPr="00A26F8D">
        <w:rPr>
          <w:rFonts w:cs="Times New Roman"/>
          <w:noProof/>
          <w:spacing w:val="-4"/>
          <w:lang w:val="sk-SK"/>
        </w:rPr>
        <w:t>revízie kódexu cenných papierov.</w:t>
      </w:r>
    </w:p>
    <w:p w14:paraId="0426FCC6" w14:textId="14C2DACD" w:rsidR="00A75B3C" w:rsidRPr="003F23AC" w:rsidRDefault="000F5AA4" w:rsidP="003F23AC">
      <w:pPr>
        <w:pStyle w:val="P68B1DB1-Normal4"/>
        <w:jc w:val="both"/>
        <w:rPr>
          <w:rFonts w:cs="Times New Roman"/>
          <w:noProof/>
          <w:lang w:val="sk-SK"/>
        </w:rPr>
      </w:pPr>
      <w:r w:rsidRPr="003F23AC">
        <w:rPr>
          <w:rFonts w:cs="Times New Roman"/>
          <w:noProof/>
          <w:lang w:val="sk-SK"/>
        </w:rPr>
        <w:t>Táto zložka podporuje plnenie odporúčania pre jednotlivé krajiny týkajúceho sa investícií do klimatickej transformácie (odporúčanie 3 2020), odporúčania pre jednotlivé krajiny</w:t>
      </w:r>
      <w:r w:rsidR="00A75B3C" w:rsidRPr="003F23AC">
        <w:rPr>
          <w:rFonts w:cs="Times New Roman"/>
          <w:noProof/>
          <w:lang w:val="sk-SK"/>
        </w:rPr>
        <w:t xml:space="preserve"> o </w:t>
      </w:r>
      <w:r w:rsidRPr="003F23AC">
        <w:rPr>
          <w:rFonts w:cs="Times New Roman"/>
          <w:noProof/>
          <w:lang w:val="sk-SK"/>
        </w:rPr>
        <w:t>zameraní hospodárskej politiky</w:t>
      </w:r>
      <w:r w:rsidR="00A75B3C" w:rsidRPr="003F23AC">
        <w:rPr>
          <w:rFonts w:cs="Times New Roman"/>
          <w:noProof/>
          <w:lang w:val="sk-SK"/>
        </w:rPr>
        <w:t xml:space="preserve"> v </w:t>
      </w:r>
      <w:r w:rsidRPr="003F23AC">
        <w:rPr>
          <w:rFonts w:cs="Times New Roman"/>
          <w:noProof/>
          <w:lang w:val="sk-SK"/>
        </w:rPr>
        <w:t>súvislosti</w:t>
      </w:r>
      <w:r w:rsidR="00A75B3C" w:rsidRPr="003F23AC">
        <w:rPr>
          <w:rFonts w:cs="Times New Roman"/>
          <w:noProof/>
          <w:lang w:val="sk-SK"/>
        </w:rPr>
        <w:t xml:space="preserve"> s </w:t>
      </w:r>
      <w:r w:rsidRPr="003F23AC">
        <w:rPr>
          <w:rFonts w:cs="Times New Roman"/>
          <w:noProof/>
          <w:lang w:val="sk-SK"/>
        </w:rPr>
        <w:t>investíciami do inovácií (odporúčanie pre jednotlivé krajiny 3 2019)</w:t>
      </w:r>
      <w:r w:rsidR="00A75B3C" w:rsidRPr="003F23AC">
        <w:rPr>
          <w:rFonts w:cs="Times New Roman"/>
          <w:noProof/>
          <w:lang w:val="sk-SK"/>
        </w:rPr>
        <w:t xml:space="preserve"> a </w:t>
      </w:r>
      <w:r w:rsidRPr="003F23AC">
        <w:rPr>
          <w:rFonts w:cs="Times New Roman"/>
          <w:noProof/>
          <w:lang w:val="sk-SK"/>
        </w:rPr>
        <w:t xml:space="preserve">odporúčania pre jednotlivé krajiny </w:t>
      </w:r>
      <w:r w:rsidR="00A75B3C" w:rsidRPr="003F23AC">
        <w:rPr>
          <w:rFonts w:cs="Times New Roman"/>
          <w:noProof/>
          <w:lang w:val="sk-SK"/>
        </w:rPr>
        <w:t>č. </w:t>
      </w:r>
      <w:r w:rsidRPr="003F23AC">
        <w:rPr>
          <w:rFonts w:cs="Times New Roman"/>
          <w:noProof/>
          <w:lang w:val="sk-SK"/>
        </w:rPr>
        <w:t>3 2020 (zameranie investícií do zelenej</w:t>
      </w:r>
      <w:r w:rsidR="00A75B3C" w:rsidRPr="003F23AC">
        <w:rPr>
          <w:rFonts w:cs="Times New Roman"/>
          <w:noProof/>
          <w:lang w:val="sk-SK"/>
        </w:rPr>
        <w:t xml:space="preserve"> a </w:t>
      </w:r>
      <w:r w:rsidRPr="003F23AC">
        <w:rPr>
          <w:rFonts w:cs="Times New Roman"/>
          <w:noProof/>
          <w:lang w:val="sk-SK"/>
        </w:rPr>
        <w:t>digitálnej transformácie). Táto zložka prispieva</w:t>
      </w:r>
      <w:r w:rsidR="00A75B3C" w:rsidRPr="003F23AC">
        <w:rPr>
          <w:rFonts w:cs="Times New Roman"/>
          <w:noProof/>
          <w:lang w:val="sk-SK"/>
        </w:rPr>
        <w:t xml:space="preserve"> k </w:t>
      </w:r>
      <w:r w:rsidRPr="003F23AC">
        <w:rPr>
          <w:rFonts w:cs="Times New Roman"/>
          <w:noProof/>
          <w:lang w:val="sk-SK"/>
        </w:rPr>
        <w:t>plneniu odporúčania pre jednotlivé krajiny týkajúceho sa vykonávania dočasných opatrení zameraných na zabezpečenie prístupu</w:t>
      </w:r>
      <w:r w:rsidR="00A75B3C" w:rsidRPr="003F23AC">
        <w:rPr>
          <w:rFonts w:cs="Times New Roman"/>
          <w:noProof/>
          <w:lang w:val="sk-SK"/>
        </w:rPr>
        <w:t xml:space="preserve"> k </w:t>
      </w:r>
      <w:r w:rsidRPr="003F23AC">
        <w:rPr>
          <w:rFonts w:cs="Times New Roman"/>
          <w:noProof/>
          <w:lang w:val="sk-SK"/>
        </w:rPr>
        <w:t>likvidite pre firmy, najmä malé</w:t>
      </w:r>
      <w:r w:rsidR="00A75B3C" w:rsidRPr="003F23AC">
        <w:rPr>
          <w:rFonts w:cs="Times New Roman"/>
          <w:noProof/>
          <w:lang w:val="sk-SK"/>
        </w:rPr>
        <w:t xml:space="preserve"> a </w:t>
      </w:r>
      <w:r w:rsidRPr="003F23AC">
        <w:rPr>
          <w:rFonts w:cs="Times New Roman"/>
          <w:noProof/>
          <w:lang w:val="sk-SK"/>
        </w:rPr>
        <w:t>stredné podniky,</w:t>
      </w:r>
      <w:r w:rsidR="00A75B3C" w:rsidRPr="003F23AC">
        <w:rPr>
          <w:rFonts w:cs="Times New Roman"/>
          <w:noProof/>
          <w:lang w:val="sk-SK"/>
        </w:rPr>
        <w:t xml:space="preserve"> a </w:t>
      </w:r>
      <w:r w:rsidRPr="003F23AC">
        <w:rPr>
          <w:rFonts w:cs="Times New Roman"/>
          <w:noProof/>
          <w:lang w:val="sk-SK"/>
        </w:rPr>
        <w:t>na podporu súkromných investícií na podporu oživenia hospodárstva (odporúčanie pre jednotlivé krajiny 3 2020)</w:t>
      </w:r>
      <w:r w:rsidR="00A75B3C" w:rsidRPr="003F23AC">
        <w:rPr>
          <w:rFonts w:cs="Times New Roman"/>
          <w:noProof/>
          <w:lang w:val="sk-SK"/>
        </w:rPr>
        <w:t>.</w:t>
      </w:r>
    </w:p>
    <w:p w14:paraId="664ADF2C" w14:textId="146051F8" w:rsidR="00387C70" w:rsidRPr="003F23AC" w:rsidRDefault="000F5AA4" w:rsidP="003F23AC">
      <w:pPr>
        <w:pStyle w:val="P68B1DB1-Normal4"/>
        <w:jc w:val="both"/>
        <w:rPr>
          <w:rFonts w:eastAsiaTheme="minorEastAsia"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p>
    <w:p w14:paraId="61608694"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4F17D5AC" w14:textId="6FFE77BD"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E.1.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606D15A1" w14:textId="70722B19"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Reforma RE-r09: Podpora výskumu, inovácií</w:t>
      </w:r>
      <w:r w:rsidR="00A75B3C" w:rsidRPr="003F23AC">
        <w:rPr>
          <w:rFonts w:cs="Times New Roman"/>
          <w:noProof/>
          <w:lang w:val="sk-SK"/>
        </w:rPr>
        <w:t xml:space="preserve"> a </w:t>
      </w:r>
      <w:r w:rsidRPr="003F23AC">
        <w:rPr>
          <w:rFonts w:cs="Times New Roman"/>
          <w:noProof/>
          <w:lang w:val="sk-SK"/>
        </w:rPr>
        <w:t>vývoja</w:t>
      </w:r>
      <w:r w:rsidR="00A75B3C" w:rsidRPr="003F23AC">
        <w:rPr>
          <w:rFonts w:cs="Times New Roman"/>
          <w:noProof/>
          <w:lang w:val="sk-SK"/>
        </w:rPr>
        <w:t xml:space="preserve"> a </w:t>
      </w:r>
      <w:r w:rsidRPr="003F23AC">
        <w:rPr>
          <w:rFonts w:cs="Times New Roman"/>
          <w:noProof/>
          <w:lang w:val="sk-SK"/>
        </w:rPr>
        <w:t>inovačných investícií do podnikov</w:t>
      </w:r>
    </w:p>
    <w:p w14:paraId="53E39BC7" w14:textId="1D9B5386"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reformy je podporiť investície do výskumu</w:t>
      </w:r>
      <w:r w:rsidR="00A75B3C" w:rsidRPr="003F23AC">
        <w:rPr>
          <w:rFonts w:cs="Times New Roman"/>
          <w:noProof/>
          <w:lang w:val="sk-SK"/>
        </w:rPr>
        <w:t xml:space="preserve"> a </w:t>
      </w:r>
      <w:r w:rsidRPr="003F23AC">
        <w:rPr>
          <w:rFonts w:cs="Times New Roman"/>
          <w:noProof/>
          <w:lang w:val="sk-SK"/>
        </w:rPr>
        <w:t>vývoja, najmä zabezpečením priaznivých rámcových podmienok na zvýšenie efektívnosti</w:t>
      </w:r>
      <w:r w:rsidR="00A75B3C" w:rsidRPr="003F23AC">
        <w:rPr>
          <w:rFonts w:cs="Times New Roman"/>
          <w:noProof/>
          <w:lang w:val="sk-SK"/>
        </w:rPr>
        <w:t xml:space="preserve"> a </w:t>
      </w:r>
      <w:r w:rsidRPr="003F23AC">
        <w:rPr>
          <w:rFonts w:cs="Times New Roman"/>
          <w:noProof/>
          <w:lang w:val="sk-SK"/>
        </w:rPr>
        <w:t>účinnosti verejných</w:t>
      </w:r>
      <w:r w:rsidR="00A75B3C" w:rsidRPr="003F23AC">
        <w:rPr>
          <w:rFonts w:cs="Times New Roman"/>
          <w:noProof/>
          <w:lang w:val="sk-SK"/>
        </w:rPr>
        <w:t xml:space="preserve"> a </w:t>
      </w:r>
      <w:r w:rsidRPr="003F23AC">
        <w:rPr>
          <w:rFonts w:cs="Times New Roman"/>
          <w:noProof/>
          <w:lang w:val="sk-SK"/>
        </w:rPr>
        <w:t>súkromných investícií do výskumu</w:t>
      </w:r>
      <w:r w:rsidR="00A75B3C" w:rsidRPr="003F23AC">
        <w:rPr>
          <w:rFonts w:cs="Times New Roman"/>
          <w:noProof/>
          <w:lang w:val="sk-SK"/>
        </w:rPr>
        <w:t xml:space="preserve"> a </w:t>
      </w:r>
      <w:r w:rsidRPr="003F23AC">
        <w:rPr>
          <w:rFonts w:cs="Times New Roman"/>
          <w:noProof/>
          <w:lang w:val="sk-SK"/>
        </w:rPr>
        <w:t>vývoja. Reforma je súčasťou aktualizácie stratégie pre technologické</w:t>
      </w:r>
      <w:r w:rsidR="00A75B3C" w:rsidRPr="003F23AC">
        <w:rPr>
          <w:rFonts w:cs="Times New Roman"/>
          <w:noProof/>
          <w:lang w:val="sk-SK"/>
        </w:rPr>
        <w:t xml:space="preserve"> a </w:t>
      </w:r>
      <w:r w:rsidRPr="003F23AC">
        <w:rPr>
          <w:rFonts w:cs="Times New Roman"/>
          <w:noProof/>
          <w:lang w:val="sk-SK"/>
        </w:rPr>
        <w:t>podnikateľské inovácie na roky 2018 – 2030. Cieľom tejto aktualizácie je uľahčiť financovanie</w:t>
      </w:r>
      <w:r w:rsidR="00A75B3C" w:rsidRPr="003F23AC">
        <w:rPr>
          <w:rFonts w:cs="Times New Roman"/>
          <w:noProof/>
          <w:lang w:val="sk-SK"/>
        </w:rPr>
        <w:t xml:space="preserve"> a </w:t>
      </w:r>
      <w:r w:rsidRPr="003F23AC">
        <w:rPr>
          <w:rFonts w:cs="Times New Roman"/>
          <w:noProof/>
          <w:lang w:val="sk-SK"/>
        </w:rPr>
        <w:t>sfunkčnenie verejno-súkromných partnerstiev na podporu ambicióznych výskumných</w:t>
      </w:r>
      <w:r w:rsidR="00A75B3C" w:rsidRPr="003F23AC">
        <w:rPr>
          <w:rFonts w:cs="Times New Roman"/>
          <w:noProof/>
          <w:lang w:val="sk-SK"/>
        </w:rPr>
        <w:t xml:space="preserve"> a </w:t>
      </w:r>
      <w:r w:rsidRPr="003F23AC">
        <w:rPr>
          <w:rFonts w:cs="Times New Roman"/>
          <w:noProof/>
          <w:lang w:val="sk-SK"/>
        </w:rPr>
        <w:t>inovačných programov. Cieľom reformy je zjednodušiť prístup</w:t>
      </w:r>
      <w:r w:rsidR="00A75B3C" w:rsidRPr="003F23AC">
        <w:rPr>
          <w:rFonts w:cs="Times New Roman"/>
          <w:noProof/>
          <w:lang w:val="sk-SK"/>
        </w:rPr>
        <w:t xml:space="preserve"> k </w:t>
      </w:r>
      <w:r w:rsidRPr="003F23AC">
        <w:rPr>
          <w:rFonts w:cs="Times New Roman"/>
          <w:noProof/>
          <w:lang w:val="sk-SK"/>
        </w:rPr>
        <w:t>nástrojom financovania činností</w:t>
      </w:r>
      <w:r w:rsidR="00A75B3C" w:rsidRPr="003F23AC">
        <w:rPr>
          <w:rFonts w:cs="Times New Roman"/>
          <w:noProof/>
          <w:lang w:val="sk-SK"/>
        </w:rPr>
        <w:t xml:space="preserve"> v </w:t>
      </w:r>
      <w:r w:rsidRPr="003F23AC">
        <w:rPr>
          <w:rFonts w:cs="Times New Roman"/>
          <w:noProof/>
          <w:lang w:val="sk-SK"/>
        </w:rPr>
        <w:t>oblasti výskumu</w:t>
      </w:r>
      <w:r w:rsidR="00A75B3C" w:rsidRPr="003F23AC">
        <w:rPr>
          <w:rFonts w:cs="Times New Roman"/>
          <w:noProof/>
          <w:lang w:val="sk-SK"/>
        </w:rPr>
        <w:t xml:space="preserve"> a </w:t>
      </w:r>
      <w:r w:rsidRPr="003F23AC">
        <w:rPr>
          <w:rFonts w:cs="Times New Roman"/>
          <w:noProof/>
          <w:lang w:val="sk-SK"/>
        </w:rPr>
        <w:t>vývoja</w:t>
      </w:r>
      <w:r w:rsidR="00A75B3C" w:rsidRPr="003F23AC">
        <w:rPr>
          <w:rFonts w:cs="Times New Roman"/>
          <w:noProof/>
          <w:lang w:val="sk-SK"/>
        </w:rPr>
        <w:t xml:space="preserve"> a </w:t>
      </w:r>
      <w:r w:rsidRPr="003F23AC">
        <w:rPr>
          <w:rFonts w:cs="Times New Roman"/>
          <w:noProof/>
          <w:lang w:val="sk-SK"/>
        </w:rPr>
        <w:t>pomôcť zvýšiť predvídateľnosť</w:t>
      </w:r>
      <w:r w:rsidR="00A75B3C" w:rsidRPr="003F23AC">
        <w:rPr>
          <w:rFonts w:cs="Times New Roman"/>
          <w:noProof/>
          <w:lang w:val="sk-SK"/>
        </w:rPr>
        <w:t xml:space="preserve"> a </w:t>
      </w:r>
      <w:r w:rsidRPr="003F23AC">
        <w:rPr>
          <w:rFonts w:cs="Times New Roman"/>
          <w:noProof/>
          <w:lang w:val="sk-SK"/>
        </w:rPr>
        <w:t>stabilitu financovania vytvorením viacročného programového rámca pre verejné investície do výskumu</w:t>
      </w:r>
      <w:r w:rsidR="00A75B3C" w:rsidRPr="003F23AC">
        <w:rPr>
          <w:rFonts w:cs="Times New Roman"/>
          <w:noProof/>
          <w:lang w:val="sk-SK"/>
        </w:rPr>
        <w:t xml:space="preserve"> a </w:t>
      </w:r>
      <w:r w:rsidRPr="003F23AC">
        <w:rPr>
          <w:rFonts w:cs="Times New Roman"/>
          <w:noProof/>
          <w:lang w:val="sk-SK"/>
        </w:rPr>
        <w:t>vývoja</w:t>
      </w:r>
      <w:r w:rsidR="00A75B3C" w:rsidRPr="003F23AC">
        <w:rPr>
          <w:rFonts w:cs="Times New Roman"/>
          <w:noProof/>
          <w:lang w:val="sk-SK"/>
        </w:rPr>
        <w:t xml:space="preserve"> s </w:t>
      </w:r>
      <w:r w:rsidRPr="003F23AC">
        <w:rPr>
          <w:rFonts w:cs="Times New Roman"/>
          <w:noProof/>
          <w:lang w:val="sk-SK"/>
        </w:rPr>
        <w:t>podporou nezávislého systému monitorovania investícií do výskumu</w:t>
      </w:r>
      <w:r w:rsidR="00A75B3C" w:rsidRPr="003F23AC">
        <w:rPr>
          <w:rFonts w:cs="Times New Roman"/>
          <w:noProof/>
          <w:lang w:val="sk-SK"/>
        </w:rPr>
        <w:t xml:space="preserve"> a </w:t>
      </w:r>
      <w:r w:rsidRPr="003F23AC">
        <w:rPr>
          <w:rFonts w:cs="Times New Roman"/>
          <w:noProof/>
          <w:lang w:val="sk-SK"/>
        </w:rPr>
        <w:t>vývoja. Investície, ktoré sa majú realizovať</w:t>
      </w:r>
      <w:r w:rsidR="00A75B3C" w:rsidRPr="003F23AC">
        <w:rPr>
          <w:rFonts w:cs="Times New Roman"/>
          <w:noProof/>
          <w:lang w:val="sk-SK"/>
        </w:rPr>
        <w:t xml:space="preserve"> v </w:t>
      </w:r>
      <w:r w:rsidRPr="003F23AC">
        <w:rPr>
          <w:rFonts w:cs="Times New Roman"/>
          <w:noProof/>
          <w:lang w:val="sk-SK"/>
        </w:rPr>
        <w:t>súvislosti</w:t>
      </w:r>
      <w:r w:rsidR="00A75B3C" w:rsidRPr="003F23AC">
        <w:rPr>
          <w:rFonts w:cs="Times New Roman"/>
          <w:noProof/>
          <w:lang w:val="sk-SK"/>
        </w:rPr>
        <w:t xml:space="preserve"> s </w:t>
      </w:r>
      <w:r w:rsidRPr="003F23AC">
        <w:rPr>
          <w:rFonts w:cs="Times New Roman"/>
          <w:noProof/>
          <w:lang w:val="sk-SK"/>
        </w:rPr>
        <w:t>touto reformou, sú RE-C05-i01.01</w:t>
      </w:r>
      <w:r w:rsidR="00A75B3C" w:rsidRPr="003F23AC">
        <w:rPr>
          <w:rFonts w:cs="Times New Roman"/>
          <w:noProof/>
          <w:lang w:val="sk-SK"/>
        </w:rPr>
        <w:t xml:space="preserve"> a </w:t>
      </w:r>
      <w:r w:rsidRPr="003F23AC">
        <w:rPr>
          <w:rFonts w:cs="Times New Roman"/>
          <w:noProof/>
          <w:lang w:val="sk-SK"/>
        </w:rPr>
        <w:t>RE-C05-i01.02.</w:t>
      </w:r>
    </w:p>
    <w:p w14:paraId="5DDBF669" w14:textId="18985CD0"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tejto reformy sa dokončí do 31</w:t>
      </w:r>
      <w:r w:rsidR="00A75B3C" w:rsidRPr="003F23AC">
        <w:rPr>
          <w:rFonts w:cs="Times New Roman"/>
          <w:noProof/>
          <w:lang w:val="sk-SK"/>
        </w:rPr>
        <w:t>. decembra</w:t>
      </w:r>
      <w:r w:rsidRPr="003F23AC">
        <w:rPr>
          <w:rFonts w:cs="Times New Roman"/>
          <w:noProof/>
          <w:lang w:val="sk-SK"/>
        </w:rPr>
        <w:t xml:space="preserve"> 2021.</w:t>
      </w:r>
    </w:p>
    <w:p w14:paraId="5A89012B" w14:textId="2C98DB30"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Reforma RE-r11: Rozšírenie</w:t>
      </w:r>
      <w:r w:rsidR="00A75B3C" w:rsidRPr="003F23AC">
        <w:rPr>
          <w:rFonts w:cs="Times New Roman"/>
          <w:noProof/>
          <w:lang w:val="sk-SK"/>
        </w:rPr>
        <w:t xml:space="preserve"> a </w:t>
      </w:r>
      <w:r w:rsidRPr="003F23AC">
        <w:rPr>
          <w:rFonts w:cs="Times New Roman"/>
          <w:noProof/>
          <w:lang w:val="sk-SK"/>
        </w:rPr>
        <w:t>konsolidácia siete inštitúcií rozhrania.</w:t>
      </w:r>
    </w:p>
    <w:p w14:paraId="54FEC575" w14:textId="0047B0F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 xml:space="preserve"> Cieľom reformy je zlepšiť prepojenia medzi akademickou obcou</w:t>
      </w:r>
      <w:r w:rsidR="00A75B3C" w:rsidRPr="003F23AC">
        <w:rPr>
          <w:rFonts w:cs="Times New Roman"/>
          <w:noProof/>
          <w:lang w:val="sk-SK"/>
        </w:rPr>
        <w:t xml:space="preserve"> a </w:t>
      </w:r>
      <w:r w:rsidRPr="003F23AC">
        <w:rPr>
          <w:rFonts w:cs="Times New Roman"/>
          <w:noProof/>
          <w:lang w:val="sk-SK"/>
        </w:rPr>
        <w:t>podnikmi</w:t>
      </w:r>
      <w:r w:rsidR="00A75B3C" w:rsidRPr="003F23AC">
        <w:rPr>
          <w:rFonts w:cs="Times New Roman"/>
          <w:noProof/>
          <w:lang w:val="sk-SK"/>
        </w:rPr>
        <w:t xml:space="preserve"> s </w:t>
      </w:r>
      <w:r w:rsidRPr="003F23AC">
        <w:rPr>
          <w:rFonts w:cs="Times New Roman"/>
          <w:noProof/>
          <w:lang w:val="sk-SK"/>
        </w:rPr>
        <w:t>cieľom zlepšiť toky poznatkov</w:t>
      </w:r>
      <w:r w:rsidR="00A75B3C" w:rsidRPr="003F23AC">
        <w:rPr>
          <w:rFonts w:cs="Times New Roman"/>
          <w:noProof/>
          <w:lang w:val="sk-SK"/>
        </w:rPr>
        <w:t xml:space="preserve"> a </w:t>
      </w:r>
      <w:r w:rsidRPr="003F23AC">
        <w:rPr>
          <w:rFonts w:cs="Times New Roman"/>
          <w:noProof/>
          <w:lang w:val="sk-SK"/>
        </w:rPr>
        <w:t>prenos technológií.</w:t>
      </w:r>
    </w:p>
    <w:p w14:paraId="52BB8105" w14:textId="47BA954B"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Reforma pozostáva</w:t>
      </w:r>
      <w:r w:rsidR="00A75B3C" w:rsidRPr="003F23AC">
        <w:rPr>
          <w:rFonts w:cs="Times New Roman"/>
          <w:noProof/>
          <w:lang w:val="sk-SK"/>
        </w:rPr>
        <w:t xml:space="preserve"> z </w:t>
      </w:r>
      <w:r w:rsidRPr="003F23AC">
        <w:rPr>
          <w:rFonts w:cs="Times New Roman"/>
          <w:noProof/>
          <w:lang w:val="sk-SK"/>
        </w:rPr>
        <w:t>revízie</w:t>
      </w:r>
      <w:r w:rsidR="00A75B3C" w:rsidRPr="003F23AC">
        <w:rPr>
          <w:rFonts w:cs="Times New Roman"/>
          <w:noProof/>
          <w:lang w:val="sk-SK"/>
        </w:rPr>
        <w:t xml:space="preserve"> a </w:t>
      </w:r>
      <w:r w:rsidRPr="003F23AC">
        <w:rPr>
          <w:rFonts w:cs="Times New Roman"/>
          <w:noProof/>
          <w:lang w:val="sk-SK"/>
        </w:rPr>
        <w:t>štandardizácie legislatívneho</w:t>
      </w:r>
      <w:r w:rsidR="00A75B3C" w:rsidRPr="003F23AC">
        <w:rPr>
          <w:rFonts w:cs="Times New Roman"/>
          <w:noProof/>
          <w:lang w:val="sk-SK"/>
        </w:rPr>
        <w:t xml:space="preserve"> a </w:t>
      </w:r>
      <w:r w:rsidRPr="003F23AC">
        <w:rPr>
          <w:rFonts w:cs="Times New Roman"/>
          <w:noProof/>
          <w:lang w:val="sk-SK"/>
        </w:rPr>
        <w:t>regulačného rámca systému technologického rozhrania, najmä technologických centier</w:t>
      </w:r>
      <w:r w:rsidR="00A75B3C" w:rsidRPr="003F23AC">
        <w:rPr>
          <w:rFonts w:cs="Times New Roman"/>
          <w:noProof/>
          <w:lang w:val="sk-SK"/>
        </w:rPr>
        <w:t xml:space="preserve"> a </w:t>
      </w:r>
      <w:r w:rsidRPr="003F23AC">
        <w:rPr>
          <w:rFonts w:cs="Times New Roman"/>
          <w:noProof/>
          <w:lang w:val="sk-SK"/>
        </w:rPr>
        <w:t>centier INTERFACE vytvorených</w:t>
      </w:r>
      <w:r w:rsidR="00A75B3C" w:rsidRPr="003F23AC">
        <w:rPr>
          <w:rFonts w:cs="Times New Roman"/>
          <w:noProof/>
          <w:lang w:val="sk-SK"/>
        </w:rPr>
        <w:t xml:space="preserve"> v </w:t>
      </w:r>
      <w:r w:rsidRPr="003F23AC">
        <w:rPr>
          <w:rFonts w:cs="Times New Roman"/>
          <w:noProof/>
          <w:lang w:val="sk-SK"/>
        </w:rPr>
        <w:t>rámci programu INTERFACE. Technologické centrá</w:t>
      </w:r>
      <w:r w:rsidR="00A75B3C" w:rsidRPr="003F23AC">
        <w:rPr>
          <w:rFonts w:cs="Times New Roman"/>
          <w:noProof/>
          <w:lang w:val="sk-SK"/>
        </w:rPr>
        <w:t xml:space="preserve"> a </w:t>
      </w:r>
      <w:r w:rsidRPr="003F23AC">
        <w:rPr>
          <w:rFonts w:cs="Times New Roman"/>
          <w:noProof/>
          <w:lang w:val="sk-SK"/>
        </w:rPr>
        <w:t>centrá INTERFACE prepájajú výskumné organizácie (vrátane inštitúcií vysokoškolského vzdelávania)</w:t>
      </w:r>
      <w:r w:rsidR="00A75B3C" w:rsidRPr="003F23AC">
        <w:rPr>
          <w:rFonts w:cs="Times New Roman"/>
          <w:noProof/>
          <w:lang w:val="sk-SK"/>
        </w:rPr>
        <w:t xml:space="preserve"> a </w:t>
      </w:r>
      <w:r w:rsidRPr="003F23AC">
        <w:rPr>
          <w:rFonts w:cs="Times New Roman"/>
          <w:noProof/>
          <w:lang w:val="sk-SK"/>
        </w:rPr>
        <w:t>spoločnosti</w:t>
      </w:r>
      <w:r w:rsidR="00A75B3C" w:rsidRPr="003F23AC">
        <w:rPr>
          <w:rFonts w:cs="Times New Roman"/>
          <w:noProof/>
          <w:lang w:val="sk-SK"/>
        </w:rPr>
        <w:t xml:space="preserve"> s </w:t>
      </w:r>
      <w:r w:rsidRPr="003F23AC">
        <w:rPr>
          <w:rFonts w:cs="Times New Roman"/>
          <w:noProof/>
          <w:lang w:val="sk-SK"/>
        </w:rPr>
        <w:t>cieľom podporiť prenos znalostí</w:t>
      </w:r>
      <w:r w:rsidR="00A75B3C" w:rsidRPr="003F23AC">
        <w:rPr>
          <w:rFonts w:cs="Times New Roman"/>
          <w:noProof/>
          <w:lang w:val="sk-SK"/>
        </w:rPr>
        <w:t xml:space="preserve"> a </w:t>
      </w:r>
      <w:r w:rsidRPr="003F23AC">
        <w:rPr>
          <w:rFonts w:cs="Times New Roman"/>
          <w:noProof/>
          <w:lang w:val="sk-SK"/>
        </w:rPr>
        <w:t>technológií.</w:t>
      </w:r>
      <w:r w:rsidR="00A75B3C" w:rsidRPr="003F23AC">
        <w:rPr>
          <w:rFonts w:cs="Times New Roman"/>
          <w:noProof/>
          <w:lang w:val="sk-SK"/>
        </w:rPr>
        <w:t xml:space="preserve"> V </w:t>
      </w:r>
      <w:r w:rsidRPr="003F23AC">
        <w:rPr>
          <w:rFonts w:cs="Times New Roman"/>
          <w:noProof/>
          <w:lang w:val="sk-SK"/>
        </w:rPr>
        <w:t>reforme sa stanovuje proces zriaďovania týchto subjektov</w:t>
      </w:r>
      <w:r w:rsidR="00A75B3C" w:rsidRPr="003F23AC">
        <w:rPr>
          <w:rFonts w:cs="Times New Roman"/>
          <w:noProof/>
          <w:lang w:val="sk-SK"/>
        </w:rPr>
        <w:t xml:space="preserve"> a </w:t>
      </w:r>
      <w:r w:rsidRPr="003F23AC">
        <w:rPr>
          <w:rFonts w:cs="Times New Roman"/>
          <w:noProof/>
          <w:lang w:val="sk-SK"/>
        </w:rPr>
        <w:t>ich model riadenia</w:t>
      </w:r>
      <w:r w:rsidR="00A75B3C" w:rsidRPr="003F23AC">
        <w:rPr>
          <w:rFonts w:cs="Times New Roman"/>
          <w:noProof/>
          <w:lang w:val="sk-SK"/>
        </w:rPr>
        <w:t xml:space="preserve"> a </w:t>
      </w:r>
      <w:r w:rsidRPr="003F23AC">
        <w:rPr>
          <w:rFonts w:cs="Times New Roman"/>
          <w:noProof/>
          <w:lang w:val="sk-SK"/>
        </w:rPr>
        <w:t>financovania</w:t>
      </w:r>
      <w:r w:rsidR="00A75B3C" w:rsidRPr="003F23AC">
        <w:rPr>
          <w:rFonts w:cs="Times New Roman"/>
          <w:noProof/>
          <w:lang w:val="sk-SK"/>
        </w:rPr>
        <w:t>.</w:t>
      </w:r>
    </w:p>
    <w:p w14:paraId="18FF3D26" w14:textId="7777777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Za prípravu legislatívneho návrhu zodpovedá pracovná skupina pre podporné technologické infraštruktúry zriadená vládou</w:t>
      </w:r>
      <w:r w:rsidR="00A75B3C" w:rsidRPr="003F23AC">
        <w:rPr>
          <w:rFonts w:cs="Times New Roman"/>
          <w:noProof/>
          <w:lang w:val="sk-SK"/>
        </w:rPr>
        <w:t>.</w:t>
      </w:r>
    </w:p>
    <w:p w14:paraId="43B1FE19" w14:textId="42F9B2D2"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Investície, ktoré sa majú realizovať</w:t>
      </w:r>
      <w:r w:rsidR="00A75B3C" w:rsidRPr="003F23AC">
        <w:rPr>
          <w:rFonts w:cs="Times New Roman"/>
          <w:noProof/>
          <w:lang w:val="sk-SK"/>
        </w:rPr>
        <w:t xml:space="preserve"> v </w:t>
      </w:r>
      <w:r w:rsidRPr="003F23AC">
        <w:rPr>
          <w:rFonts w:cs="Times New Roman"/>
          <w:noProof/>
          <w:lang w:val="sk-SK"/>
        </w:rPr>
        <w:t>súvislosti</w:t>
      </w:r>
      <w:r w:rsidR="00A75B3C" w:rsidRPr="003F23AC">
        <w:rPr>
          <w:rFonts w:cs="Times New Roman"/>
          <w:noProof/>
          <w:lang w:val="sk-SK"/>
        </w:rPr>
        <w:t xml:space="preserve"> s </w:t>
      </w:r>
      <w:r w:rsidRPr="003F23AC">
        <w:rPr>
          <w:rFonts w:cs="Times New Roman"/>
          <w:noProof/>
          <w:lang w:val="sk-SK"/>
        </w:rPr>
        <w:t>touto reformou, sú RE-C05-i01.01</w:t>
      </w:r>
      <w:r w:rsidR="00A75B3C" w:rsidRPr="003F23AC">
        <w:rPr>
          <w:rFonts w:cs="Times New Roman"/>
          <w:noProof/>
          <w:lang w:val="sk-SK"/>
        </w:rPr>
        <w:t xml:space="preserve"> a </w:t>
      </w:r>
      <w:r w:rsidRPr="003F23AC">
        <w:rPr>
          <w:rFonts w:cs="Times New Roman"/>
          <w:noProof/>
          <w:lang w:val="sk-SK"/>
        </w:rPr>
        <w:t>RE-C05-i01.02</w:t>
      </w:r>
      <w:r w:rsidR="00A75B3C" w:rsidRPr="003F23AC">
        <w:rPr>
          <w:rFonts w:cs="Times New Roman"/>
          <w:noProof/>
          <w:lang w:val="sk-SK"/>
        </w:rPr>
        <w:t>.</w:t>
      </w:r>
    </w:p>
    <w:p w14:paraId="782A941C" w14:textId="6DC4035F"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tejto reformy sa dokončí do 31</w:t>
      </w:r>
      <w:r w:rsidR="00A75B3C" w:rsidRPr="003F23AC">
        <w:rPr>
          <w:rFonts w:cs="Times New Roman"/>
          <w:noProof/>
          <w:lang w:val="sk-SK"/>
        </w:rPr>
        <w:t>. decembra</w:t>
      </w:r>
      <w:r w:rsidRPr="003F23AC">
        <w:rPr>
          <w:rFonts w:cs="Times New Roman"/>
          <w:noProof/>
          <w:lang w:val="sk-SK"/>
        </w:rPr>
        <w:t xml:space="preserve"> 2021</w:t>
      </w:r>
      <w:r w:rsidR="00A75B3C" w:rsidRPr="003F23AC">
        <w:rPr>
          <w:rFonts w:cs="Times New Roman"/>
          <w:noProof/>
          <w:lang w:val="sk-SK"/>
        </w:rPr>
        <w:t>.</w:t>
      </w:r>
    </w:p>
    <w:p w14:paraId="799FB709" w14:textId="26A3D7B4"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Reforma RE-r12: Výskumný</w:t>
      </w:r>
      <w:r w:rsidR="00A75B3C" w:rsidRPr="003F23AC">
        <w:rPr>
          <w:rFonts w:cs="Times New Roman"/>
          <w:noProof/>
          <w:lang w:val="sk-SK"/>
        </w:rPr>
        <w:t xml:space="preserve"> a </w:t>
      </w:r>
      <w:r w:rsidRPr="003F23AC">
        <w:rPr>
          <w:rFonts w:cs="Times New Roman"/>
          <w:noProof/>
          <w:lang w:val="sk-SK"/>
        </w:rPr>
        <w:t>inovačný program pre udržateľné poľnohospodárstvo, potravinárstvo</w:t>
      </w:r>
      <w:r w:rsidR="00A75B3C" w:rsidRPr="003F23AC">
        <w:rPr>
          <w:rFonts w:cs="Times New Roman"/>
          <w:noProof/>
          <w:lang w:val="sk-SK"/>
        </w:rPr>
        <w:t xml:space="preserve"> a </w:t>
      </w:r>
      <w:r w:rsidRPr="003F23AC">
        <w:rPr>
          <w:rFonts w:cs="Times New Roman"/>
          <w:noProof/>
          <w:lang w:val="sk-SK"/>
        </w:rPr>
        <w:t>agropriemysel.</w:t>
      </w:r>
    </w:p>
    <w:p w14:paraId="31FA1850" w14:textId="416803DA"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reformy je posilniť odvetvie poľnohospodárstva</w:t>
      </w:r>
      <w:r w:rsidR="00A75B3C" w:rsidRPr="003F23AC">
        <w:rPr>
          <w:rFonts w:cs="Times New Roman"/>
          <w:noProof/>
          <w:lang w:val="sk-SK"/>
        </w:rPr>
        <w:t xml:space="preserve"> v </w:t>
      </w:r>
      <w:r w:rsidRPr="003F23AC">
        <w:rPr>
          <w:rFonts w:cs="Times New Roman"/>
          <w:noProof/>
          <w:lang w:val="sk-SK"/>
        </w:rPr>
        <w:t>Portugalsku</w:t>
      </w:r>
      <w:r w:rsidR="00A75B3C" w:rsidRPr="003F23AC">
        <w:rPr>
          <w:rFonts w:cs="Times New Roman"/>
          <w:noProof/>
          <w:lang w:val="sk-SK"/>
        </w:rPr>
        <w:t xml:space="preserve"> a </w:t>
      </w:r>
      <w:r w:rsidRPr="003F23AC">
        <w:rPr>
          <w:rFonts w:cs="Times New Roman"/>
          <w:noProof/>
          <w:lang w:val="sk-SK"/>
        </w:rPr>
        <w:t>zaistiť potravinovú</w:t>
      </w:r>
      <w:r w:rsidR="00A75B3C" w:rsidRPr="003F23AC">
        <w:rPr>
          <w:rFonts w:cs="Times New Roman"/>
          <w:noProof/>
          <w:lang w:val="sk-SK"/>
        </w:rPr>
        <w:t xml:space="preserve"> a </w:t>
      </w:r>
      <w:r w:rsidRPr="003F23AC">
        <w:rPr>
          <w:rFonts w:cs="Times New Roman"/>
          <w:noProof/>
          <w:lang w:val="sk-SK"/>
        </w:rPr>
        <w:t>výživovú bezpečnosť, prispieť</w:t>
      </w:r>
      <w:r w:rsidR="00A75B3C" w:rsidRPr="003F23AC">
        <w:rPr>
          <w:rFonts w:cs="Times New Roman"/>
          <w:noProof/>
          <w:lang w:val="sk-SK"/>
        </w:rPr>
        <w:t xml:space="preserve"> k </w:t>
      </w:r>
      <w:r w:rsidRPr="003F23AC">
        <w:rPr>
          <w:rFonts w:cs="Times New Roman"/>
          <w:noProof/>
          <w:lang w:val="sk-SK"/>
        </w:rPr>
        <w:t>zdraviu</w:t>
      </w:r>
      <w:r w:rsidR="00A75B3C" w:rsidRPr="003F23AC">
        <w:rPr>
          <w:rFonts w:cs="Times New Roman"/>
          <w:noProof/>
          <w:lang w:val="sk-SK"/>
        </w:rPr>
        <w:t xml:space="preserve"> a </w:t>
      </w:r>
      <w:r w:rsidRPr="003F23AC">
        <w:rPr>
          <w:rFonts w:cs="Times New Roman"/>
          <w:noProof/>
          <w:lang w:val="sk-SK"/>
        </w:rPr>
        <w:t>blahobytu, zlepšiť riadenie vidieckych oblastí, podporiť zachovanie biodiverzity, riešiť účinky zmeny klímy</w:t>
      </w:r>
      <w:r w:rsidR="00A75B3C" w:rsidRPr="003F23AC">
        <w:rPr>
          <w:rFonts w:cs="Times New Roman"/>
          <w:noProof/>
          <w:lang w:val="sk-SK"/>
        </w:rPr>
        <w:t xml:space="preserve"> s </w:t>
      </w:r>
      <w:r w:rsidRPr="003F23AC">
        <w:rPr>
          <w:rFonts w:cs="Times New Roman"/>
          <w:noProof/>
          <w:lang w:val="sk-SK"/>
        </w:rPr>
        <w:t>potrebnými úpravami</w:t>
      </w:r>
      <w:r w:rsidR="00A75B3C" w:rsidRPr="003F23AC">
        <w:rPr>
          <w:rFonts w:cs="Times New Roman"/>
          <w:noProof/>
          <w:lang w:val="sk-SK"/>
        </w:rPr>
        <w:t xml:space="preserve"> a </w:t>
      </w:r>
      <w:r w:rsidRPr="003F23AC">
        <w:rPr>
          <w:rFonts w:cs="Times New Roman"/>
          <w:noProof/>
          <w:lang w:val="sk-SK"/>
        </w:rPr>
        <w:t>príspevkami na zmiernenie jej účinkov</w:t>
      </w:r>
      <w:r w:rsidR="00A75B3C" w:rsidRPr="003F23AC">
        <w:rPr>
          <w:rFonts w:cs="Times New Roman"/>
          <w:noProof/>
          <w:lang w:val="sk-SK"/>
        </w:rPr>
        <w:t xml:space="preserve"> a </w:t>
      </w:r>
      <w:r w:rsidRPr="003F23AC">
        <w:rPr>
          <w:rFonts w:cs="Times New Roman"/>
          <w:noProof/>
          <w:lang w:val="sk-SK"/>
        </w:rPr>
        <w:t>podporiť iné hospodárske činnosti, ako sú okrem iného poľnohospodárske služby</w:t>
      </w:r>
      <w:r w:rsidR="00A75B3C" w:rsidRPr="003F23AC">
        <w:rPr>
          <w:rFonts w:cs="Times New Roman"/>
          <w:noProof/>
          <w:lang w:val="sk-SK"/>
        </w:rPr>
        <w:t xml:space="preserve"> a </w:t>
      </w:r>
      <w:r w:rsidRPr="003F23AC">
        <w:rPr>
          <w:rFonts w:cs="Times New Roman"/>
          <w:noProof/>
          <w:lang w:val="sk-SK"/>
        </w:rPr>
        <w:t>dokonca stravovacie služby</w:t>
      </w:r>
      <w:r w:rsidR="00A75B3C" w:rsidRPr="003F23AC">
        <w:rPr>
          <w:rFonts w:cs="Times New Roman"/>
          <w:noProof/>
          <w:lang w:val="sk-SK"/>
        </w:rPr>
        <w:t xml:space="preserve"> a </w:t>
      </w:r>
      <w:r w:rsidRPr="003F23AC">
        <w:rPr>
          <w:rFonts w:cs="Times New Roman"/>
          <w:noProof/>
          <w:lang w:val="sk-SK"/>
        </w:rPr>
        <w:t>cestovný ruch</w:t>
      </w:r>
      <w:r w:rsidR="00A75B3C" w:rsidRPr="003F23AC">
        <w:rPr>
          <w:rFonts w:cs="Times New Roman"/>
          <w:noProof/>
          <w:lang w:val="sk-SK"/>
        </w:rPr>
        <w:t>.</w:t>
      </w:r>
    </w:p>
    <w:p w14:paraId="0282D255" w14:textId="763A7251"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Reforma podporuje implementáciu inovačného programu pre poľnohospodárstvo 20|30. Pozostáva</w:t>
      </w:r>
      <w:r w:rsidR="00A75B3C" w:rsidRPr="003F23AC">
        <w:rPr>
          <w:rFonts w:cs="Times New Roman"/>
          <w:noProof/>
          <w:lang w:val="sk-SK"/>
        </w:rPr>
        <w:t xml:space="preserve"> z </w:t>
      </w:r>
      <w:r w:rsidRPr="003F23AC">
        <w:rPr>
          <w:rFonts w:cs="Times New Roman"/>
          <w:noProof/>
          <w:lang w:val="sk-SK"/>
        </w:rPr>
        <w:t>poskytovania potrebných prostriedkov na aktualizáciu</w:t>
      </w:r>
      <w:r w:rsidR="00A75B3C" w:rsidRPr="003F23AC">
        <w:rPr>
          <w:rFonts w:cs="Times New Roman"/>
          <w:noProof/>
          <w:lang w:val="sk-SK"/>
        </w:rPr>
        <w:t xml:space="preserve"> a </w:t>
      </w:r>
      <w:r w:rsidRPr="003F23AC">
        <w:rPr>
          <w:rFonts w:cs="Times New Roman"/>
          <w:noProof/>
          <w:lang w:val="sk-SK"/>
        </w:rPr>
        <w:t>prípravu existujúcej infraštruktúry, ako aj podpory funkčných spojenectiev</w:t>
      </w:r>
      <w:r w:rsidR="00A75B3C" w:rsidRPr="003F23AC">
        <w:rPr>
          <w:rFonts w:cs="Times New Roman"/>
          <w:noProof/>
          <w:lang w:val="sk-SK"/>
        </w:rPr>
        <w:t xml:space="preserve"> v </w:t>
      </w:r>
      <w:r w:rsidRPr="003F23AC">
        <w:rPr>
          <w:rFonts w:cs="Times New Roman"/>
          <w:noProof/>
          <w:lang w:val="sk-SK"/>
        </w:rPr>
        <w:t>rámci agropotravinového reťazca, podnikov</w:t>
      </w:r>
      <w:r w:rsidR="00A75B3C" w:rsidRPr="003F23AC">
        <w:rPr>
          <w:rFonts w:cs="Times New Roman"/>
          <w:noProof/>
          <w:lang w:val="sk-SK"/>
        </w:rPr>
        <w:t xml:space="preserve"> a </w:t>
      </w:r>
      <w:r w:rsidRPr="003F23AC">
        <w:rPr>
          <w:rFonts w:cs="Times New Roman"/>
          <w:noProof/>
          <w:lang w:val="sk-SK"/>
        </w:rPr>
        <w:t>výskumu</w:t>
      </w:r>
      <w:r w:rsidR="00A75B3C" w:rsidRPr="003F23AC">
        <w:rPr>
          <w:rFonts w:cs="Times New Roman"/>
          <w:noProof/>
          <w:lang w:val="sk-SK"/>
        </w:rPr>
        <w:t xml:space="preserve"> s </w:t>
      </w:r>
      <w:r w:rsidRPr="003F23AC">
        <w:rPr>
          <w:rFonts w:cs="Times New Roman"/>
          <w:noProof/>
          <w:lang w:val="sk-SK"/>
        </w:rPr>
        <w:t>cieľom podporiť rozvoj</w:t>
      </w:r>
      <w:r w:rsidR="00A75B3C" w:rsidRPr="003F23AC">
        <w:rPr>
          <w:rFonts w:cs="Times New Roman"/>
          <w:noProof/>
          <w:lang w:val="sk-SK"/>
        </w:rPr>
        <w:t xml:space="preserve"> a </w:t>
      </w:r>
      <w:r w:rsidRPr="003F23AC">
        <w:rPr>
          <w:rFonts w:cs="Times New Roman"/>
          <w:noProof/>
          <w:lang w:val="sk-SK"/>
        </w:rPr>
        <w:t>integráciu výskumu</w:t>
      </w:r>
      <w:r w:rsidR="00A75B3C" w:rsidRPr="003F23AC">
        <w:rPr>
          <w:rFonts w:cs="Times New Roman"/>
          <w:noProof/>
          <w:lang w:val="sk-SK"/>
        </w:rPr>
        <w:t xml:space="preserve"> a </w:t>
      </w:r>
      <w:r w:rsidRPr="003F23AC">
        <w:rPr>
          <w:rFonts w:cs="Times New Roman"/>
          <w:noProof/>
          <w:lang w:val="sk-SK"/>
        </w:rPr>
        <w:t>inovácií zameraných na potreby poľnohospodárskeho odvetvia so zreteľom na zelenú</w:t>
      </w:r>
      <w:r w:rsidR="00A75B3C" w:rsidRPr="003F23AC">
        <w:rPr>
          <w:rFonts w:cs="Times New Roman"/>
          <w:noProof/>
          <w:lang w:val="sk-SK"/>
        </w:rPr>
        <w:t xml:space="preserve"> a </w:t>
      </w:r>
      <w:r w:rsidRPr="003F23AC">
        <w:rPr>
          <w:rFonts w:cs="Times New Roman"/>
          <w:noProof/>
          <w:lang w:val="sk-SK"/>
        </w:rPr>
        <w:t>digitálnu transformáciu.</w:t>
      </w:r>
    </w:p>
    <w:p w14:paraId="6B75AC71" w14:textId="1CBCD726"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reformy sa mala dokončiť do 31</w:t>
      </w:r>
      <w:r w:rsidR="00A75B3C" w:rsidRPr="003F23AC">
        <w:rPr>
          <w:rFonts w:cs="Times New Roman"/>
          <w:noProof/>
          <w:lang w:val="sk-SK"/>
        </w:rPr>
        <w:t>. decembra</w:t>
      </w:r>
      <w:r w:rsidRPr="003F23AC">
        <w:rPr>
          <w:rFonts w:cs="Times New Roman"/>
          <w:noProof/>
          <w:lang w:val="sk-SK"/>
        </w:rPr>
        <w:t xml:space="preserve"> 2020</w:t>
      </w:r>
      <w:r w:rsidR="00A75B3C" w:rsidRPr="003F23AC">
        <w:rPr>
          <w:rFonts w:cs="Times New Roman"/>
          <w:noProof/>
          <w:lang w:val="sk-SK"/>
        </w:rPr>
        <w:t>.</w:t>
      </w:r>
    </w:p>
    <w:p w14:paraId="7CB132E9" w14:textId="62838AEE"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201F11C9" w14:textId="62FA20B0"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30C4E385"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7357A226" w14:textId="7777777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RE-C05-i01.01: Mobilizácia programov/Aliancií pre podnikateľské inovácie.</w:t>
      </w:r>
    </w:p>
    <w:p w14:paraId="03F47396" w14:textId="3ABE764D"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tejto investície je mobilizovať</w:t>
      </w:r>
      <w:r w:rsidR="00A75B3C" w:rsidRPr="003F23AC">
        <w:rPr>
          <w:rFonts w:cs="Times New Roman"/>
          <w:noProof/>
          <w:lang w:val="sk-SK"/>
        </w:rPr>
        <w:t xml:space="preserve"> a </w:t>
      </w:r>
      <w:r w:rsidRPr="003F23AC">
        <w:rPr>
          <w:rFonts w:cs="Times New Roman"/>
          <w:noProof/>
          <w:lang w:val="sk-SK"/>
        </w:rPr>
        <w:t>posilniť vedecké</w:t>
      </w:r>
      <w:r w:rsidR="00A75B3C" w:rsidRPr="003F23AC">
        <w:rPr>
          <w:rFonts w:cs="Times New Roman"/>
          <w:noProof/>
          <w:lang w:val="sk-SK"/>
        </w:rPr>
        <w:t xml:space="preserve"> a </w:t>
      </w:r>
      <w:r w:rsidRPr="003F23AC">
        <w:rPr>
          <w:rFonts w:cs="Times New Roman"/>
          <w:noProof/>
          <w:lang w:val="sk-SK"/>
        </w:rPr>
        <w:t>technologické kapacity Portugalska prostredníctvom zavádzania ambicióznych výskumných</w:t>
      </w:r>
      <w:r w:rsidR="00A75B3C" w:rsidRPr="003F23AC">
        <w:rPr>
          <w:rFonts w:cs="Times New Roman"/>
          <w:noProof/>
          <w:lang w:val="sk-SK"/>
        </w:rPr>
        <w:t xml:space="preserve"> a </w:t>
      </w:r>
      <w:r w:rsidRPr="003F23AC">
        <w:rPr>
          <w:rFonts w:cs="Times New Roman"/>
          <w:noProof/>
          <w:lang w:val="sk-SK"/>
        </w:rPr>
        <w:t>inovačných programov založených na konzorciách medzi podnikmi</w:t>
      </w:r>
      <w:r w:rsidR="00A75B3C" w:rsidRPr="003F23AC">
        <w:rPr>
          <w:rFonts w:cs="Times New Roman"/>
          <w:noProof/>
          <w:lang w:val="sk-SK"/>
        </w:rPr>
        <w:t xml:space="preserve"> a </w:t>
      </w:r>
      <w:r w:rsidRPr="003F23AC">
        <w:rPr>
          <w:rFonts w:cs="Times New Roman"/>
          <w:noProof/>
          <w:lang w:val="sk-SK"/>
        </w:rPr>
        <w:t>akademickou obcou.</w:t>
      </w:r>
    </w:p>
    <w:p w14:paraId="77FBE35D" w14:textId="06FFA2DD"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 predovšetkým</w:t>
      </w:r>
      <w:r w:rsidR="00A75B3C" w:rsidRPr="003F23AC">
        <w:rPr>
          <w:rFonts w:cs="Times New Roman"/>
          <w:noProof/>
          <w:lang w:val="sk-SK"/>
        </w:rPr>
        <w:t xml:space="preserve"> z </w:t>
      </w:r>
      <w:r w:rsidRPr="003F23AC">
        <w:rPr>
          <w:rFonts w:cs="Times New Roman"/>
          <w:noProof/>
          <w:lang w:val="sk-SK"/>
        </w:rPr>
        <w:t>grantov na vykonávanie mobilizačných programov/Aliancií pre podnikateľské inovácie prostredníctvom dvoch vzájomne sa dopĺňajúcich nástrojov: I) inovačné pakty, ktoré podporujú spoluprácu</w:t>
      </w:r>
      <w:r w:rsidR="00A75B3C" w:rsidRPr="003F23AC">
        <w:rPr>
          <w:rFonts w:cs="Times New Roman"/>
          <w:noProof/>
          <w:lang w:val="sk-SK"/>
        </w:rPr>
        <w:t xml:space="preserve"> a </w:t>
      </w:r>
      <w:r w:rsidRPr="003F23AC">
        <w:rPr>
          <w:rFonts w:cs="Times New Roman"/>
          <w:noProof/>
          <w:lang w:val="sk-SK"/>
        </w:rPr>
        <w:t>vedú</w:t>
      </w:r>
      <w:r w:rsidR="00A75B3C" w:rsidRPr="003F23AC">
        <w:rPr>
          <w:rFonts w:cs="Times New Roman"/>
          <w:noProof/>
          <w:lang w:val="sk-SK"/>
        </w:rPr>
        <w:t xml:space="preserve"> k </w:t>
      </w:r>
      <w:r w:rsidRPr="003F23AC">
        <w:rPr>
          <w:rFonts w:cs="Times New Roman"/>
          <w:noProof/>
          <w:lang w:val="sk-SK"/>
        </w:rPr>
        <w:t>rozvoju inovačných projektov,</w:t>
      </w:r>
      <w:r w:rsidR="00A75B3C" w:rsidRPr="003F23AC">
        <w:rPr>
          <w:rFonts w:cs="Times New Roman"/>
          <w:noProof/>
          <w:lang w:val="sk-SK"/>
        </w:rPr>
        <w:t xml:space="preserve"> a </w:t>
      </w:r>
      <w:r w:rsidRPr="003F23AC">
        <w:rPr>
          <w:rFonts w:cs="Times New Roman"/>
          <w:noProof/>
          <w:lang w:val="sk-SK"/>
        </w:rPr>
        <w:t>ii) mobilizácia projektov zameraných na výskum</w:t>
      </w:r>
      <w:r w:rsidR="00A75B3C" w:rsidRPr="003F23AC">
        <w:rPr>
          <w:rFonts w:cs="Times New Roman"/>
          <w:noProof/>
          <w:lang w:val="sk-SK"/>
        </w:rPr>
        <w:t xml:space="preserve"> a </w:t>
      </w:r>
      <w:r w:rsidRPr="003F23AC">
        <w:rPr>
          <w:rFonts w:cs="Times New Roman"/>
          <w:noProof/>
          <w:lang w:val="sk-SK"/>
        </w:rPr>
        <w:t>vývoj</w:t>
      </w:r>
      <w:r w:rsidR="00A75B3C" w:rsidRPr="003F23AC">
        <w:rPr>
          <w:rFonts w:cs="Times New Roman"/>
          <w:noProof/>
          <w:lang w:val="sk-SK"/>
        </w:rPr>
        <w:t xml:space="preserve"> a </w:t>
      </w:r>
      <w:r w:rsidRPr="003F23AC">
        <w:rPr>
          <w:rFonts w:cs="Times New Roman"/>
          <w:noProof/>
          <w:lang w:val="sk-SK"/>
        </w:rPr>
        <w:t>ich transformáciu na nový tovar</w:t>
      </w:r>
      <w:r w:rsidR="00A75B3C" w:rsidRPr="003F23AC">
        <w:rPr>
          <w:rFonts w:cs="Times New Roman"/>
          <w:noProof/>
          <w:lang w:val="sk-SK"/>
        </w:rPr>
        <w:t xml:space="preserve"> a </w:t>
      </w:r>
      <w:r w:rsidRPr="003F23AC">
        <w:rPr>
          <w:rFonts w:cs="Times New Roman"/>
          <w:noProof/>
          <w:lang w:val="sk-SK"/>
        </w:rPr>
        <w:t>služby prostredníctvom investícií. Mobilizačné programy sa vyberajú prostredníctvom otvorených súťažných výziev na predkladanie strategických plánov, ktoré majú navrhnúť konzorciá medzi podnikmi</w:t>
      </w:r>
      <w:r w:rsidR="00A75B3C" w:rsidRPr="003F23AC">
        <w:rPr>
          <w:rFonts w:cs="Times New Roman"/>
          <w:noProof/>
          <w:lang w:val="sk-SK"/>
        </w:rPr>
        <w:t xml:space="preserve"> a </w:t>
      </w:r>
      <w:r w:rsidRPr="003F23AC">
        <w:rPr>
          <w:rFonts w:cs="Times New Roman"/>
          <w:noProof/>
          <w:lang w:val="sk-SK"/>
        </w:rPr>
        <w:t>akademickými, vedeckými a/alebo technologickými inštitúciami. Táto investícia vychádza zo strategického rámca, ktorý sa má realizovať</w:t>
      </w:r>
      <w:r w:rsidR="00A75B3C" w:rsidRPr="003F23AC">
        <w:rPr>
          <w:rFonts w:cs="Times New Roman"/>
          <w:noProof/>
          <w:lang w:val="sk-SK"/>
        </w:rPr>
        <w:t xml:space="preserve"> v </w:t>
      </w:r>
      <w:r w:rsidRPr="003F23AC">
        <w:rPr>
          <w:rFonts w:cs="Times New Roman"/>
          <w:noProof/>
          <w:lang w:val="sk-SK"/>
        </w:rPr>
        <w:t>rámci RE-r09,</w:t>
      </w:r>
      <w:r w:rsidR="00A75B3C" w:rsidRPr="003F23AC">
        <w:rPr>
          <w:rFonts w:cs="Times New Roman"/>
          <w:noProof/>
          <w:lang w:val="sk-SK"/>
        </w:rPr>
        <w:t xml:space="preserve"> a </w:t>
      </w:r>
      <w:r w:rsidRPr="003F23AC">
        <w:rPr>
          <w:rFonts w:cs="Times New Roman"/>
          <w:noProof/>
          <w:lang w:val="sk-SK"/>
        </w:rPr>
        <w:t>posilňuje úlohu inštitúcií prepojenia</w:t>
      </w:r>
      <w:r w:rsidR="00A75B3C" w:rsidRPr="003F23AC">
        <w:rPr>
          <w:rFonts w:cs="Times New Roman"/>
          <w:noProof/>
          <w:lang w:val="sk-SK"/>
        </w:rPr>
        <w:t xml:space="preserve"> a </w:t>
      </w:r>
      <w:r w:rsidRPr="003F23AC">
        <w:rPr>
          <w:rFonts w:cs="Times New Roman"/>
          <w:noProof/>
          <w:lang w:val="sk-SK"/>
        </w:rPr>
        <w:t>konsolidáciu tejto siete</w:t>
      </w:r>
      <w:r w:rsidR="00A75B3C" w:rsidRPr="003F23AC">
        <w:rPr>
          <w:rFonts w:cs="Times New Roman"/>
          <w:noProof/>
          <w:lang w:val="sk-SK"/>
        </w:rPr>
        <w:t>.</w:t>
      </w:r>
    </w:p>
    <w:p w14:paraId="0E09FBF6" w14:textId="68F806CE" w:rsidR="00387C70" w:rsidRPr="003F23AC" w:rsidRDefault="000F5AA4" w:rsidP="003F23AC">
      <w:pPr>
        <w:pStyle w:val="P68B1DB1-Normal4"/>
        <w:spacing w:before="40" w:after="0" w:line="259" w:lineRule="auto"/>
        <w:jc w:val="both"/>
        <w:rPr>
          <w:rFonts w:eastAsiaTheme="minorEastAsia" w:cs="Times New Roman"/>
          <w:noProof/>
          <w:highlight w:val="green"/>
          <w:lang w:val="sk-SK"/>
        </w:rPr>
      </w:pPr>
      <w:r w:rsidRPr="003F23AC">
        <w:rPr>
          <w:rFonts w:cs="Times New Roman"/>
          <w:noProof/>
          <w:lang w:val="sk-SK"/>
        </w:rPr>
        <w:t>S cieľom zabezpečiť, aby bolo opatrenie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„nespôsobovať významnú škodu“ (2021/C58/01), kritériá oprávnenosti uvedené</w:t>
      </w:r>
      <w:r w:rsidR="00A75B3C" w:rsidRPr="003F23AC">
        <w:rPr>
          <w:rFonts w:cs="Times New Roman"/>
          <w:noProof/>
          <w:lang w:val="sk-SK"/>
        </w:rPr>
        <w:t xml:space="preserve"> v </w:t>
      </w:r>
      <w:r w:rsidRPr="003F23AC">
        <w:rPr>
          <w:rFonts w:cs="Times New Roman"/>
          <w:noProof/>
          <w:lang w:val="sk-SK"/>
        </w:rPr>
        <w:t>referenčnom rámci pre nadchádzajúce výzvy na predkladanie projektov nezahŕňajú tento zoznam činností: I) činnosti súvisiace</w:t>
      </w:r>
      <w:r w:rsidR="00A75B3C" w:rsidRPr="003F23AC">
        <w:rPr>
          <w:rFonts w:cs="Times New Roman"/>
          <w:noProof/>
          <w:lang w:val="sk-SK"/>
        </w:rPr>
        <w:t xml:space="preserve"> s </w:t>
      </w:r>
      <w:r w:rsidRPr="003F23AC">
        <w:rPr>
          <w:rFonts w:cs="Times New Roman"/>
          <w:noProof/>
          <w:lang w:val="sk-SK"/>
        </w:rPr>
        <w:t>fosílnymi palivami vrátane následného použitia</w:t>
      </w:r>
      <w:r w:rsidRPr="003F23AC">
        <w:rPr>
          <w:rFonts w:cs="Times New Roman"/>
          <w:noProof/>
          <w:lang w:val="sk-SK"/>
        </w:rPr>
        <w:footnoteReference w:id="11"/>
      </w:r>
      <w:r w:rsidRPr="003F23AC">
        <w:rPr>
          <w:rFonts w:cs="Times New Roman"/>
          <w:noProof/>
          <w:lang w:val="sk-SK"/>
        </w:rPr>
        <w:t>; II) činnosti</w:t>
      </w:r>
      <w:r w:rsidR="00A75B3C" w:rsidRPr="003F23AC">
        <w:rPr>
          <w:rFonts w:cs="Times New Roman"/>
          <w:noProof/>
          <w:lang w:val="sk-SK"/>
        </w:rPr>
        <w:t xml:space="preserve"> v </w:t>
      </w:r>
      <w:r w:rsidRPr="003F23AC">
        <w:rPr>
          <w:rFonts w:cs="Times New Roman"/>
          <w:noProof/>
          <w:lang w:val="sk-SK"/>
        </w:rPr>
        <w:t>rámci systému EÚ na obchodovanie</w:t>
      </w:r>
      <w:r w:rsidR="00A75B3C" w:rsidRPr="003F23AC">
        <w:rPr>
          <w:rFonts w:cs="Times New Roman"/>
          <w:noProof/>
          <w:lang w:val="sk-SK"/>
        </w:rPr>
        <w:t xml:space="preserve"> s </w:t>
      </w:r>
      <w:r w:rsidRPr="003F23AC">
        <w:rPr>
          <w:rFonts w:cs="Times New Roman"/>
          <w:noProof/>
          <w:lang w:val="sk-SK"/>
        </w:rPr>
        <w:t>emisiami (ETS), ktorými sa dosahujú predpokladané emisie skleníkových plynov, ktoré nie sú nižšie ako príslušné referenčné hodnoty</w:t>
      </w:r>
      <w:r w:rsidRPr="003F23AC">
        <w:rPr>
          <w:rFonts w:cs="Times New Roman"/>
          <w:noProof/>
          <w:lang w:val="sk-SK"/>
        </w:rPr>
        <w:footnoteReference w:id="12"/>
      </w:r>
      <w:r w:rsidRPr="003F23AC">
        <w:rPr>
          <w:rFonts w:cs="Times New Roman"/>
          <w:noProof/>
          <w:lang w:val="sk-SK"/>
        </w:rPr>
        <w:t>; III) činnosti týkajúce sa skládok odpadu, spaľovní</w:t>
      </w:r>
      <w:r w:rsidRPr="003F23AC">
        <w:rPr>
          <w:rFonts w:cs="Times New Roman"/>
          <w:noProof/>
          <w:lang w:val="sk-SK"/>
        </w:rPr>
        <w:footnoteReference w:id="13"/>
      </w:r>
      <w:r w:rsidR="00A75B3C" w:rsidRPr="003F23AC">
        <w:rPr>
          <w:rFonts w:cs="Times New Roman"/>
          <w:noProof/>
          <w:lang w:val="sk-SK"/>
        </w:rPr>
        <w:t xml:space="preserve"> a </w:t>
      </w:r>
      <w:r w:rsidRPr="003F23AC">
        <w:rPr>
          <w:rFonts w:cs="Times New Roman"/>
          <w:noProof/>
          <w:lang w:val="sk-SK"/>
        </w:rPr>
        <w:t>mechanických biologických čistiarní</w:t>
      </w:r>
      <w:r w:rsidRPr="003F23AC">
        <w:rPr>
          <w:rFonts w:cs="Times New Roman"/>
          <w:noProof/>
          <w:lang w:val="sk-SK"/>
        </w:rPr>
        <w:footnoteReference w:id="14"/>
      </w:r>
      <w:r w:rsidRPr="003F23AC">
        <w:rPr>
          <w:rFonts w:cs="Times New Roman"/>
          <w:noProof/>
          <w:lang w:val="sk-SK"/>
        </w:rPr>
        <w:t>;</w:t>
      </w:r>
      <w:r w:rsidR="00A75B3C" w:rsidRPr="003F23AC">
        <w:rPr>
          <w:rFonts w:cs="Times New Roman"/>
          <w:noProof/>
          <w:lang w:val="sk-SK"/>
        </w:rPr>
        <w:t xml:space="preserve"> a </w:t>
      </w:r>
      <w:r w:rsidRPr="003F23AC">
        <w:rPr>
          <w:rFonts w:cs="Times New Roman"/>
          <w:noProof/>
          <w:lang w:val="sk-SK"/>
        </w:rPr>
        <w:t>iv) činnosti, pri ktorých môže dlhodobé zneškodňovanie odpadu poškodiť životné prostredie.</w:t>
      </w:r>
      <w:r w:rsidR="00A75B3C" w:rsidRPr="003F23AC">
        <w:rPr>
          <w:rFonts w:cs="Times New Roman"/>
          <w:noProof/>
          <w:lang w:val="sk-SK"/>
        </w:rPr>
        <w:t xml:space="preserve"> V </w:t>
      </w:r>
      <w:r w:rsidRPr="003F23AC">
        <w:rPr>
          <w:rFonts w:cs="Times New Roman"/>
          <w:noProof/>
          <w:lang w:val="sk-SK"/>
        </w:rPr>
        <w:t>referenčnom rámci sa okrem toho vyžaduje, aby sa mohli vybrať len činnosti, ktoré sú</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príslušnými právnymi predpismi EÚ</w:t>
      </w:r>
      <w:r w:rsidR="00A75B3C" w:rsidRPr="003F23AC">
        <w:rPr>
          <w:rFonts w:cs="Times New Roman"/>
          <w:noProof/>
          <w:lang w:val="sk-SK"/>
        </w:rPr>
        <w:t xml:space="preserve"> a </w:t>
      </w:r>
      <w:r w:rsidRPr="003F23AC">
        <w:rPr>
          <w:rFonts w:cs="Times New Roman"/>
          <w:noProof/>
          <w:lang w:val="sk-SK"/>
        </w:rPr>
        <w:t>vnútroštátnymi právnymi predpismi</w:t>
      </w:r>
      <w:r w:rsidR="00A75B3C" w:rsidRPr="003F23AC">
        <w:rPr>
          <w:rFonts w:cs="Times New Roman"/>
          <w:noProof/>
          <w:lang w:val="sk-SK"/>
        </w:rPr>
        <w:t xml:space="preserve"> v </w:t>
      </w:r>
      <w:r w:rsidRPr="003F23AC">
        <w:rPr>
          <w:rFonts w:cs="Times New Roman"/>
          <w:noProof/>
          <w:lang w:val="sk-SK"/>
        </w:rPr>
        <w:t>oblasti životného prostredia.</w:t>
      </w:r>
    </w:p>
    <w:p w14:paraId="5C52E9CB" w14:textId="136A51CD"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73E004CF" w14:textId="7777777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RE-C05-i01.02: Ekologické programy/Aliancia pre podnikateľské inovácie</w:t>
      </w:r>
    </w:p>
    <w:p w14:paraId="78EF0AF7" w14:textId="373D064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implementovať rovnaké nástroje ako</w:t>
      </w:r>
      <w:r w:rsidR="00A75B3C" w:rsidRPr="003F23AC">
        <w:rPr>
          <w:rFonts w:cs="Times New Roman"/>
          <w:noProof/>
          <w:lang w:val="sk-SK"/>
        </w:rPr>
        <w:t xml:space="preserve"> v </w:t>
      </w:r>
      <w:r w:rsidRPr="003F23AC">
        <w:rPr>
          <w:rFonts w:cs="Times New Roman"/>
          <w:noProof/>
          <w:lang w:val="sk-SK"/>
        </w:rPr>
        <w:t>RE-C05-i01.01, ktoré sa však špecializujú na obmedzený súbor zelených programov prostredníctvom konzorcií medzi podnikmi</w:t>
      </w:r>
      <w:r w:rsidR="00A75B3C" w:rsidRPr="003F23AC">
        <w:rPr>
          <w:rFonts w:cs="Times New Roman"/>
          <w:noProof/>
          <w:lang w:val="sk-SK"/>
        </w:rPr>
        <w:t xml:space="preserve"> a </w:t>
      </w:r>
      <w:r w:rsidRPr="003F23AC">
        <w:rPr>
          <w:rFonts w:cs="Times New Roman"/>
          <w:noProof/>
          <w:lang w:val="sk-SK"/>
        </w:rPr>
        <w:t>akademickými, vedeckými a/alebo technologickými inštitúciami na podporu inovácií (so zameraním na zelenú transformáciu, pole 022 prílohy</w:t>
      </w:r>
      <w:r w:rsidR="00A75B3C" w:rsidRPr="003F23AC">
        <w:rPr>
          <w:rFonts w:cs="Times New Roman"/>
          <w:noProof/>
          <w:lang w:val="sk-SK"/>
        </w:rPr>
        <w:t xml:space="preserve"> k </w:t>
      </w:r>
      <w:r w:rsidRPr="003F23AC">
        <w:rPr>
          <w:rFonts w:cs="Times New Roman"/>
          <w:noProof/>
          <w:lang w:val="sk-SK"/>
        </w:rPr>
        <w:t>nariadeniu</w:t>
      </w:r>
      <w:r w:rsidR="00A75B3C" w:rsidRPr="003F23AC">
        <w:rPr>
          <w:rFonts w:cs="Times New Roman"/>
          <w:noProof/>
          <w:lang w:val="sk-SK"/>
        </w:rPr>
        <w:t xml:space="preserve"> o </w:t>
      </w:r>
      <w:r w:rsidRPr="003F23AC">
        <w:rPr>
          <w:rFonts w:cs="Times New Roman"/>
          <w:noProof/>
          <w:lang w:val="sk-SK"/>
        </w:rPr>
        <w:t>Mechanizme na podporu obnovy</w:t>
      </w:r>
      <w:r w:rsidR="00A75B3C" w:rsidRPr="003F23AC">
        <w:rPr>
          <w:rFonts w:cs="Times New Roman"/>
          <w:noProof/>
          <w:lang w:val="sk-SK"/>
        </w:rPr>
        <w:t xml:space="preserve"> a </w:t>
      </w:r>
      <w:r w:rsidRPr="003F23AC">
        <w:rPr>
          <w:rFonts w:cs="Times New Roman"/>
          <w:noProof/>
          <w:lang w:val="sk-SK"/>
        </w:rPr>
        <w:t>odolnosti)</w:t>
      </w:r>
      <w:r w:rsidR="00A75B3C" w:rsidRPr="003F23AC">
        <w:rPr>
          <w:rFonts w:cs="Times New Roman"/>
          <w:noProof/>
          <w:lang w:val="sk-SK"/>
        </w:rPr>
        <w:t>.</w:t>
      </w:r>
    </w:p>
    <w:p w14:paraId="59034061" w14:textId="735CC6AC" w:rsidR="00387C70" w:rsidRPr="003F23AC" w:rsidRDefault="000F5AA4" w:rsidP="003F23AC">
      <w:pPr>
        <w:pStyle w:val="P68B1DB1-Normal4"/>
        <w:spacing w:before="40" w:after="0" w:line="259" w:lineRule="auto"/>
        <w:jc w:val="both"/>
        <w:rPr>
          <w:rFonts w:eastAsiaTheme="minorEastAsia" w:cs="Times New Roman"/>
          <w:noProof/>
          <w:highlight w:val="green"/>
          <w:lang w:val="sk-SK"/>
        </w:rPr>
      </w:pPr>
      <w:r w:rsidRPr="003F23AC">
        <w:rPr>
          <w:rFonts w:cs="Times New Roman"/>
          <w:noProof/>
          <w:lang w:val="sk-SK"/>
        </w:rPr>
        <w:t>S cieľom zabezpečiť, aby bolo opatrenie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„nespôsobovať významnú škodu“ (2021/C58/01), kritériá oprávnenosti uvedené</w:t>
      </w:r>
      <w:r w:rsidR="00A75B3C" w:rsidRPr="003F23AC">
        <w:rPr>
          <w:rFonts w:cs="Times New Roman"/>
          <w:noProof/>
          <w:lang w:val="sk-SK"/>
        </w:rPr>
        <w:t xml:space="preserve"> v </w:t>
      </w:r>
      <w:r w:rsidRPr="003F23AC">
        <w:rPr>
          <w:rFonts w:cs="Times New Roman"/>
          <w:noProof/>
          <w:lang w:val="sk-SK"/>
        </w:rPr>
        <w:t>referenčnom rámci pre nadchádzajúce výzvy na predkladanie projektov nezahŕňajú tento zoznam činností: I) činnosti súvisiace</w:t>
      </w:r>
      <w:r w:rsidR="00A75B3C" w:rsidRPr="003F23AC">
        <w:rPr>
          <w:rFonts w:cs="Times New Roman"/>
          <w:noProof/>
          <w:lang w:val="sk-SK"/>
        </w:rPr>
        <w:t xml:space="preserve"> s </w:t>
      </w:r>
      <w:r w:rsidRPr="003F23AC">
        <w:rPr>
          <w:rFonts w:cs="Times New Roman"/>
          <w:noProof/>
          <w:lang w:val="sk-SK"/>
        </w:rPr>
        <w:t>fosílnymi palivami vrátane následného použitia</w:t>
      </w:r>
      <w:r w:rsidRPr="003F23AC">
        <w:rPr>
          <w:rFonts w:cs="Times New Roman"/>
          <w:noProof/>
          <w:lang w:val="sk-SK"/>
        </w:rPr>
        <w:footnoteReference w:id="15"/>
      </w:r>
      <w:r w:rsidRPr="003F23AC">
        <w:rPr>
          <w:rFonts w:cs="Times New Roman"/>
          <w:noProof/>
          <w:lang w:val="sk-SK"/>
        </w:rPr>
        <w:t>; II) činnosti</w:t>
      </w:r>
      <w:r w:rsidR="00A75B3C" w:rsidRPr="003F23AC">
        <w:rPr>
          <w:rFonts w:cs="Times New Roman"/>
          <w:noProof/>
          <w:lang w:val="sk-SK"/>
        </w:rPr>
        <w:t xml:space="preserve"> v </w:t>
      </w:r>
      <w:r w:rsidRPr="003F23AC">
        <w:rPr>
          <w:rFonts w:cs="Times New Roman"/>
          <w:noProof/>
          <w:lang w:val="sk-SK"/>
        </w:rPr>
        <w:t>rámci systému EÚ na obchodovanie</w:t>
      </w:r>
      <w:r w:rsidR="00A75B3C" w:rsidRPr="003F23AC">
        <w:rPr>
          <w:rFonts w:cs="Times New Roman"/>
          <w:noProof/>
          <w:lang w:val="sk-SK"/>
        </w:rPr>
        <w:t xml:space="preserve"> s </w:t>
      </w:r>
      <w:r w:rsidRPr="003F23AC">
        <w:rPr>
          <w:rFonts w:cs="Times New Roman"/>
          <w:noProof/>
          <w:lang w:val="sk-SK"/>
        </w:rPr>
        <w:t>emisiami (ETS), ktorými sa dosahujú predpokladané emisie skleníkových plynov, ktoré nie sú nižšie ako príslušné referenčné hodnoty</w:t>
      </w:r>
      <w:r w:rsidRPr="003F23AC">
        <w:rPr>
          <w:rFonts w:cs="Times New Roman"/>
          <w:noProof/>
          <w:lang w:val="sk-SK"/>
        </w:rPr>
        <w:footnoteReference w:id="16"/>
      </w:r>
      <w:r w:rsidRPr="003F23AC">
        <w:rPr>
          <w:rFonts w:cs="Times New Roman"/>
          <w:noProof/>
          <w:lang w:val="sk-SK"/>
        </w:rPr>
        <w:t>; III) činnosti týkajúce sa skládok odpadu, spaľovní</w:t>
      </w:r>
      <w:r w:rsidRPr="003F23AC">
        <w:rPr>
          <w:rFonts w:cs="Times New Roman"/>
          <w:noProof/>
          <w:lang w:val="sk-SK"/>
        </w:rPr>
        <w:footnoteReference w:id="17"/>
      </w:r>
      <w:r w:rsidR="00A75B3C" w:rsidRPr="003F23AC">
        <w:rPr>
          <w:rFonts w:cs="Times New Roman"/>
          <w:noProof/>
          <w:lang w:val="sk-SK"/>
        </w:rPr>
        <w:t xml:space="preserve"> a </w:t>
      </w:r>
      <w:r w:rsidRPr="003F23AC">
        <w:rPr>
          <w:rFonts w:cs="Times New Roman"/>
          <w:noProof/>
          <w:lang w:val="sk-SK"/>
        </w:rPr>
        <w:t>mechanických biologických čistiarní</w:t>
      </w:r>
      <w:r w:rsidRPr="003F23AC">
        <w:rPr>
          <w:rFonts w:cs="Times New Roman"/>
          <w:noProof/>
          <w:lang w:val="sk-SK"/>
        </w:rPr>
        <w:footnoteReference w:id="18"/>
      </w:r>
      <w:r w:rsidRPr="003F23AC">
        <w:rPr>
          <w:rFonts w:cs="Times New Roman"/>
          <w:noProof/>
          <w:lang w:val="sk-SK"/>
        </w:rPr>
        <w:t>;</w:t>
      </w:r>
      <w:r w:rsidR="00A75B3C" w:rsidRPr="003F23AC">
        <w:rPr>
          <w:rFonts w:cs="Times New Roman"/>
          <w:noProof/>
          <w:lang w:val="sk-SK"/>
        </w:rPr>
        <w:t xml:space="preserve"> a </w:t>
      </w:r>
      <w:r w:rsidRPr="003F23AC">
        <w:rPr>
          <w:rFonts w:cs="Times New Roman"/>
          <w:noProof/>
          <w:lang w:val="sk-SK"/>
        </w:rPr>
        <w:t>iv) činnosti, pri ktorých môže dlhodobé zneškodňovanie odpadu poškodiť životné prostredie.</w:t>
      </w:r>
      <w:r w:rsidR="00A75B3C" w:rsidRPr="003F23AC">
        <w:rPr>
          <w:rFonts w:cs="Times New Roman"/>
          <w:noProof/>
          <w:lang w:val="sk-SK"/>
        </w:rPr>
        <w:t xml:space="preserve"> V </w:t>
      </w:r>
      <w:r w:rsidRPr="003F23AC">
        <w:rPr>
          <w:rFonts w:cs="Times New Roman"/>
          <w:noProof/>
          <w:lang w:val="sk-SK"/>
        </w:rPr>
        <w:t>referenčnom rámci sa okrem toho vyžaduje, aby sa mohli vybrať len činnosti, ktoré sú</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príslušnými právnymi predpismi EÚ</w:t>
      </w:r>
      <w:r w:rsidR="00A75B3C" w:rsidRPr="003F23AC">
        <w:rPr>
          <w:rFonts w:cs="Times New Roman"/>
          <w:noProof/>
          <w:lang w:val="sk-SK"/>
        </w:rPr>
        <w:t xml:space="preserve"> a </w:t>
      </w:r>
      <w:r w:rsidRPr="003F23AC">
        <w:rPr>
          <w:rFonts w:cs="Times New Roman"/>
          <w:noProof/>
          <w:lang w:val="sk-SK"/>
        </w:rPr>
        <w:t>vnútroštátnymi právnymi predpismi</w:t>
      </w:r>
      <w:r w:rsidR="00A75B3C" w:rsidRPr="003F23AC">
        <w:rPr>
          <w:rFonts w:cs="Times New Roman"/>
          <w:noProof/>
          <w:lang w:val="sk-SK"/>
        </w:rPr>
        <w:t xml:space="preserve"> v </w:t>
      </w:r>
      <w:r w:rsidRPr="003F23AC">
        <w:rPr>
          <w:rFonts w:cs="Times New Roman"/>
          <w:noProof/>
          <w:lang w:val="sk-SK"/>
        </w:rPr>
        <w:t>oblasti životného prostredia.</w:t>
      </w:r>
    </w:p>
    <w:p w14:paraId="4CA2365C" w14:textId="178FCEE9"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11F2ED51" w14:textId="01DB016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RE-C05-i02: Poslanie rozhrania – obnova vedecko-technickej podpornej siete</w:t>
      </w:r>
      <w:r w:rsidR="00A75B3C" w:rsidRPr="003F23AC">
        <w:rPr>
          <w:rFonts w:cs="Times New Roman"/>
          <w:noProof/>
          <w:lang w:val="sk-SK"/>
        </w:rPr>
        <w:t xml:space="preserve"> a </w:t>
      </w:r>
      <w:r w:rsidRPr="003F23AC">
        <w:rPr>
          <w:rFonts w:cs="Times New Roman"/>
          <w:noProof/>
          <w:lang w:val="sk-SK"/>
        </w:rPr>
        <w:t>usmernenia pre výrobnú štruktúru</w:t>
      </w:r>
    </w:p>
    <w:p w14:paraId="22AE70CB" w14:textId="15202E16"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investície je posilniť</w:t>
      </w:r>
      <w:r w:rsidR="00A75B3C" w:rsidRPr="003F23AC">
        <w:rPr>
          <w:rFonts w:cs="Times New Roman"/>
          <w:noProof/>
          <w:lang w:val="sk-SK"/>
        </w:rPr>
        <w:t xml:space="preserve"> a </w:t>
      </w:r>
      <w:r w:rsidRPr="003F23AC">
        <w:rPr>
          <w:rFonts w:cs="Times New Roman"/>
          <w:noProof/>
          <w:lang w:val="sk-SK"/>
        </w:rPr>
        <w:t>posilniť vnútroštátny vedecký</w:t>
      </w:r>
      <w:r w:rsidR="00A75B3C" w:rsidRPr="003F23AC">
        <w:rPr>
          <w:rFonts w:cs="Times New Roman"/>
          <w:noProof/>
          <w:lang w:val="sk-SK"/>
        </w:rPr>
        <w:t xml:space="preserve"> a </w:t>
      </w:r>
      <w:r w:rsidRPr="003F23AC">
        <w:rPr>
          <w:rFonts w:cs="Times New Roman"/>
          <w:noProof/>
          <w:lang w:val="sk-SK"/>
        </w:rPr>
        <w:t>technologický systém</w:t>
      </w:r>
      <w:r w:rsidR="00A75B3C" w:rsidRPr="003F23AC">
        <w:rPr>
          <w:rFonts w:cs="Times New Roman"/>
          <w:noProof/>
          <w:lang w:val="sk-SK"/>
        </w:rPr>
        <w:t xml:space="preserve"> a </w:t>
      </w:r>
      <w:r w:rsidRPr="003F23AC">
        <w:rPr>
          <w:rFonts w:cs="Times New Roman"/>
          <w:noProof/>
          <w:lang w:val="sk-SK"/>
        </w:rPr>
        <w:t>zlepšiť prepojenia podnikateľskej akademickej obce</w:t>
      </w:r>
      <w:r w:rsidR="00A75B3C" w:rsidRPr="003F23AC">
        <w:rPr>
          <w:rFonts w:cs="Times New Roman"/>
          <w:noProof/>
          <w:lang w:val="sk-SK"/>
        </w:rPr>
        <w:t xml:space="preserve"> s </w:t>
      </w:r>
      <w:r w:rsidRPr="003F23AC">
        <w:rPr>
          <w:rFonts w:cs="Times New Roman"/>
          <w:noProof/>
          <w:lang w:val="sk-SK"/>
        </w:rPr>
        <w:t>cieľom zabezpečiť účinný prenos technológií</w:t>
      </w:r>
      <w:r w:rsidR="00A75B3C" w:rsidRPr="003F23AC">
        <w:rPr>
          <w:rFonts w:cs="Times New Roman"/>
          <w:noProof/>
          <w:lang w:val="sk-SK"/>
        </w:rPr>
        <w:t xml:space="preserve"> a </w:t>
      </w:r>
      <w:r w:rsidRPr="003F23AC">
        <w:rPr>
          <w:rFonts w:cs="Times New Roman"/>
          <w:noProof/>
          <w:lang w:val="sk-SK"/>
        </w:rPr>
        <w:t>premietnutie výsledkov výskumu do inovácií. Investícia pozostáva</w:t>
      </w:r>
      <w:r w:rsidR="00A75B3C" w:rsidRPr="003F23AC">
        <w:rPr>
          <w:rFonts w:cs="Times New Roman"/>
          <w:noProof/>
          <w:lang w:val="sk-SK"/>
        </w:rPr>
        <w:t xml:space="preserve"> z </w:t>
      </w:r>
      <w:r w:rsidRPr="003F23AC">
        <w:rPr>
          <w:rFonts w:cs="Times New Roman"/>
          <w:noProof/>
          <w:lang w:val="sk-SK"/>
        </w:rPr>
        <w:t>konsolidácie nového modelu financovania centier systému technologických rozhraní</w:t>
      </w:r>
      <w:r w:rsidR="00A75B3C" w:rsidRPr="003F23AC">
        <w:rPr>
          <w:rFonts w:cs="Times New Roman"/>
          <w:noProof/>
          <w:lang w:val="sk-SK"/>
        </w:rPr>
        <w:t xml:space="preserve"> a </w:t>
      </w:r>
      <w:r w:rsidRPr="003F23AC">
        <w:rPr>
          <w:rFonts w:cs="Times New Roman"/>
          <w:noProof/>
          <w:lang w:val="sk-SK"/>
        </w:rPr>
        <w:t>kolaboratívnych laboratórií CoLAB súkromných neziskových združení alebo firiem, ktorých cieľom je priamo alebo nepriamo vytvárať kvalifikované pracovné miesta,</w:t>
      </w:r>
      <w:r w:rsidR="00A75B3C" w:rsidRPr="003F23AC">
        <w:rPr>
          <w:rFonts w:cs="Times New Roman"/>
          <w:noProof/>
          <w:lang w:val="sk-SK"/>
        </w:rPr>
        <w:t xml:space="preserve"> a </w:t>
      </w:r>
      <w:r w:rsidRPr="003F23AC">
        <w:rPr>
          <w:rFonts w:cs="Times New Roman"/>
          <w:noProof/>
          <w:lang w:val="sk-SK"/>
        </w:rPr>
        <w:t>to prostredníctvom realizácie výskumných</w:t>
      </w:r>
      <w:r w:rsidR="00A75B3C" w:rsidRPr="003F23AC">
        <w:rPr>
          <w:rFonts w:cs="Times New Roman"/>
          <w:noProof/>
          <w:lang w:val="sk-SK"/>
        </w:rPr>
        <w:t xml:space="preserve"> a </w:t>
      </w:r>
      <w:r w:rsidRPr="003F23AC">
        <w:rPr>
          <w:rFonts w:cs="Times New Roman"/>
          <w:noProof/>
          <w:lang w:val="sk-SK"/>
        </w:rPr>
        <w:t>inovačných programov založených na štruktúre 1/3 základného financovania, 1/3 konkurenčného financovania</w:t>
      </w:r>
      <w:r w:rsidR="00A75B3C" w:rsidRPr="003F23AC">
        <w:rPr>
          <w:rFonts w:cs="Times New Roman"/>
          <w:noProof/>
          <w:lang w:val="sk-SK"/>
        </w:rPr>
        <w:t xml:space="preserve"> a </w:t>
      </w:r>
      <w:r w:rsidRPr="003F23AC">
        <w:rPr>
          <w:rFonts w:cs="Times New Roman"/>
          <w:noProof/>
          <w:lang w:val="sk-SK"/>
        </w:rPr>
        <w:t>1/3 trhového financovania,</w:t>
      </w:r>
      <w:r w:rsidR="00A75B3C" w:rsidRPr="003F23AC">
        <w:rPr>
          <w:rFonts w:cs="Times New Roman"/>
          <w:noProof/>
          <w:lang w:val="sk-SK"/>
        </w:rPr>
        <w:t xml:space="preserve"> a </w:t>
      </w:r>
      <w:r w:rsidRPr="003F23AC">
        <w:rPr>
          <w:rFonts w:cs="Times New Roman"/>
          <w:noProof/>
          <w:lang w:val="sk-SK"/>
        </w:rPr>
        <w:t>to zabezpečením základného financovania vo výške 186 miliónov EUR na</w:t>
      </w:r>
      <w:r w:rsidRPr="003F23AC">
        <w:rPr>
          <w:rFonts w:cs="Times New Roman"/>
          <w:i/>
          <w:noProof/>
          <w:lang w:val="sk-SK"/>
        </w:rPr>
        <w:t xml:space="preserve"> misiu rozhrania</w:t>
      </w:r>
      <w:r w:rsidRPr="003F23AC">
        <w:rPr>
          <w:rFonts w:cs="Times New Roman"/>
          <w:noProof/>
          <w:lang w:val="sk-SK"/>
        </w:rPr>
        <w:t>. Investícia pozostáva</w:t>
      </w:r>
      <w:r w:rsidR="00A75B3C" w:rsidRPr="003F23AC">
        <w:rPr>
          <w:rFonts w:cs="Times New Roman"/>
          <w:noProof/>
          <w:lang w:val="sk-SK"/>
        </w:rPr>
        <w:t xml:space="preserve"> z </w:t>
      </w:r>
      <w:r w:rsidRPr="003F23AC">
        <w:rPr>
          <w:rFonts w:cs="Times New Roman"/>
          <w:noProof/>
          <w:lang w:val="sk-SK"/>
        </w:rPr>
        <w:t>toho, že sa dostane 500 firiem, ktoré budú mať prospech</w:t>
      </w:r>
      <w:r w:rsidR="00A75B3C" w:rsidRPr="003F23AC">
        <w:rPr>
          <w:rFonts w:cs="Times New Roman"/>
          <w:noProof/>
          <w:lang w:val="sk-SK"/>
        </w:rPr>
        <w:t xml:space="preserve"> z </w:t>
      </w:r>
      <w:r w:rsidRPr="003F23AC">
        <w:rPr>
          <w:rFonts w:cs="Times New Roman"/>
          <w:noProof/>
          <w:lang w:val="sk-SK"/>
        </w:rPr>
        <w:t>tejto schémy</w:t>
      </w:r>
      <w:r w:rsidR="00A75B3C" w:rsidRPr="003F23AC">
        <w:rPr>
          <w:rFonts w:cs="Times New Roman"/>
          <w:noProof/>
          <w:lang w:val="sk-SK"/>
        </w:rPr>
        <w:t xml:space="preserve"> a </w:t>
      </w:r>
      <w:r w:rsidRPr="003F23AC">
        <w:rPr>
          <w:rFonts w:cs="Times New Roman"/>
          <w:noProof/>
          <w:lang w:val="sk-SK"/>
        </w:rPr>
        <w:t>služieb poskytovaných subjektmi INTERFACE. Očakáva sa, že spoločným opatrením reformy RE-r11</w:t>
      </w:r>
      <w:r w:rsidR="00A75B3C" w:rsidRPr="003F23AC">
        <w:rPr>
          <w:rFonts w:cs="Times New Roman"/>
          <w:noProof/>
          <w:lang w:val="sk-SK"/>
        </w:rPr>
        <w:t xml:space="preserve"> a </w:t>
      </w:r>
      <w:r w:rsidRPr="003F23AC">
        <w:rPr>
          <w:rFonts w:cs="Times New Roman"/>
          <w:noProof/>
          <w:lang w:val="sk-SK"/>
        </w:rPr>
        <w:t>investície RE-C05-i02 sa dosiahnu uvedené ciele</w:t>
      </w:r>
      <w:r w:rsidR="00A75B3C" w:rsidRPr="003F23AC">
        <w:rPr>
          <w:rFonts w:cs="Times New Roman"/>
          <w:noProof/>
          <w:lang w:val="sk-SK"/>
        </w:rPr>
        <w:t>.</w:t>
      </w:r>
    </w:p>
    <w:p w14:paraId="6646C73E" w14:textId="2611DCC2" w:rsidR="00387C70" w:rsidRPr="003F23AC" w:rsidRDefault="000F5AA4" w:rsidP="003F23AC">
      <w:pPr>
        <w:pStyle w:val="P68B1DB1-Normal4"/>
        <w:spacing w:before="40" w:after="0" w:line="259" w:lineRule="auto"/>
        <w:jc w:val="both"/>
        <w:rPr>
          <w:rFonts w:eastAsiaTheme="minorEastAsia" w:cs="Times New Roman"/>
          <w:noProof/>
          <w:highlight w:val="green"/>
          <w:lang w:val="sk-SK"/>
        </w:rPr>
      </w:pPr>
      <w:r w:rsidRPr="003F23AC">
        <w:rPr>
          <w:rFonts w:cs="Times New Roman"/>
          <w:noProof/>
          <w:lang w:val="sk-SK"/>
        </w:rPr>
        <w:t>S cieľom zabezpečiť, aby bolo opatrenie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„nespôsobovať významnú škodu“ (2021/C58/01), kritériá oprávnenosti uvedené</w:t>
      </w:r>
      <w:r w:rsidR="00A75B3C" w:rsidRPr="003F23AC">
        <w:rPr>
          <w:rFonts w:cs="Times New Roman"/>
          <w:noProof/>
          <w:lang w:val="sk-SK"/>
        </w:rPr>
        <w:t xml:space="preserve"> v </w:t>
      </w:r>
      <w:r w:rsidRPr="003F23AC">
        <w:rPr>
          <w:rFonts w:cs="Times New Roman"/>
          <w:noProof/>
          <w:lang w:val="sk-SK"/>
        </w:rPr>
        <w:t>referenčnom rámci pre nadchádzajúce výzvy na predkladanie projektov nezahŕňajú tento zoznam činností: I) činnosti súvisiace</w:t>
      </w:r>
      <w:r w:rsidR="00A75B3C" w:rsidRPr="003F23AC">
        <w:rPr>
          <w:rFonts w:cs="Times New Roman"/>
          <w:noProof/>
          <w:lang w:val="sk-SK"/>
        </w:rPr>
        <w:t xml:space="preserve"> s </w:t>
      </w:r>
      <w:r w:rsidRPr="003F23AC">
        <w:rPr>
          <w:rFonts w:cs="Times New Roman"/>
          <w:noProof/>
          <w:lang w:val="sk-SK"/>
        </w:rPr>
        <w:t>fosílnymi palivami vrátane následného použitia</w:t>
      </w:r>
      <w:r w:rsidRPr="003F23AC">
        <w:rPr>
          <w:rFonts w:cs="Times New Roman"/>
          <w:noProof/>
          <w:lang w:val="sk-SK"/>
        </w:rPr>
        <w:footnoteReference w:id="19"/>
      </w:r>
      <w:r w:rsidRPr="003F23AC">
        <w:rPr>
          <w:rFonts w:cs="Times New Roman"/>
          <w:noProof/>
          <w:lang w:val="sk-SK"/>
        </w:rPr>
        <w:t>; II) činnosti</w:t>
      </w:r>
      <w:r w:rsidR="00A75B3C" w:rsidRPr="003F23AC">
        <w:rPr>
          <w:rFonts w:cs="Times New Roman"/>
          <w:noProof/>
          <w:lang w:val="sk-SK"/>
        </w:rPr>
        <w:t xml:space="preserve"> v </w:t>
      </w:r>
      <w:r w:rsidRPr="003F23AC">
        <w:rPr>
          <w:rFonts w:cs="Times New Roman"/>
          <w:noProof/>
          <w:lang w:val="sk-SK"/>
        </w:rPr>
        <w:t>rámci systému EÚ na obchodovanie</w:t>
      </w:r>
      <w:r w:rsidR="00A75B3C" w:rsidRPr="003F23AC">
        <w:rPr>
          <w:rFonts w:cs="Times New Roman"/>
          <w:noProof/>
          <w:lang w:val="sk-SK"/>
        </w:rPr>
        <w:t xml:space="preserve"> s </w:t>
      </w:r>
      <w:r w:rsidRPr="003F23AC">
        <w:rPr>
          <w:rFonts w:cs="Times New Roman"/>
          <w:noProof/>
          <w:lang w:val="sk-SK"/>
        </w:rPr>
        <w:t>emisiami (ETS), ktorými sa dosahujú predpokladané emisie skleníkových plynov, ktoré nie sú nižšie ako príslušné referenčné hodnoty</w:t>
      </w:r>
      <w:r w:rsidRPr="003F23AC">
        <w:rPr>
          <w:rFonts w:cs="Times New Roman"/>
          <w:noProof/>
          <w:lang w:val="sk-SK"/>
        </w:rPr>
        <w:footnoteReference w:id="20"/>
      </w:r>
      <w:r w:rsidRPr="003F23AC">
        <w:rPr>
          <w:rFonts w:cs="Times New Roman"/>
          <w:noProof/>
          <w:lang w:val="sk-SK"/>
        </w:rPr>
        <w:t>; III) činnosti týkajúce sa skládok odpadu, spaľovní</w:t>
      </w:r>
      <w:r w:rsidRPr="003F23AC">
        <w:rPr>
          <w:rFonts w:cs="Times New Roman"/>
          <w:noProof/>
          <w:lang w:val="sk-SK"/>
        </w:rPr>
        <w:footnoteReference w:id="21"/>
      </w:r>
      <w:r w:rsidR="00A75B3C" w:rsidRPr="003F23AC">
        <w:rPr>
          <w:rFonts w:cs="Times New Roman"/>
          <w:noProof/>
          <w:lang w:val="sk-SK"/>
        </w:rPr>
        <w:t xml:space="preserve"> a </w:t>
      </w:r>
      <w:r w:rsidRPr="003F23AC">
        <w:rPr>
          <w:rFonts w:cs="Times New Roman"/>
          <w:noProof/>
          <w:lang w:val="sk-SK"/>
        </w:rPr>
        <w:t>mechanických biologických čistiarní</w:t>
      </w:r>
      <w:r w:rsidRPr="003F23AC">
        <w:rPr>
          <w:rFonts w:cs="Times New Roman"/>
          <w:noProof/>
          <w:lang w:val="sk-SK"/>
        </w:rPr>
        <w:footnoteReference w:id="22"/>
      </w:r>
      <w:r w:rsidRPr="003F23AC">
        <w:rPr>
          <w:rFonts w:cs="Times New Roman"/>
          <w:noProof/>
          <w:lang w:val="sk-SK"/>
        </w:rPr>
        <w:t>;</w:t>
      </w:r>
      <w:r w:rsidR="00A75B3C" w:rsidRPr="003F23AC">
        <w:rPr>
          <w:rFonts w:cs="Times New Roman"/>
          <w:noProof/>
          <w:lang w:val="sk-SK"/>
        </w:rPr>
        <w:t xml:space="preserve"> a </w:t>
      </w:r>
      <w:r w:rsidRPr="003F23AC">
        <w:rPr>
          <w:rFonts w:cs="Times New Roman"/>
          <w:noProof/>
          <w:lang w:val="sk-SK"/>
        </w:rPr>
        <w:t>iv) činnosti, pri ktorých môže dlhodobé zneškodňovanie odpadu poškodiť životné prostredie.</w:t>
      </w:r>
      <w:r w:rsidR="00A75B3C" w:rsidRPr="003F23AC">
        <w:rPr>
          <w:rFonts w:cs="Times New Roman"/>
          <w:noProof/>
          <w:lang w:val="sk-SK"/>
        </w:rPr>
        <w:t xml:space="preserve"> V </w:t>
      </w:r>
      <w:r w:rsidRPr="003F23AC">
        <w:rPr>
          <w:rFonts w:cs="Times New Roman"/>
          <w:noProof/>
          <w:lang w:val="sk-SK"/>
        </w:rPr>
        <w:t>referenčnom rámci sa okrem toho vyžaduje, aby sa mohli vybrať len činnosti, ktoré sú</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príslušnými právnymi predpismi EÚ</w:t>
      </w:r>
      <w:r w:rsidR="00A75B3C" w:rsidRPr="003F23AC">
        <w:rPr>
          <w:rFonts w:cs="Times New Roman"/>
          <w:noProof/>
          <w:lang w:val="sk-SK"/>
        </w:rPr>
        <w:t xml:space="preserve"> a </w:t>
      </w:r>
      <w:r w:rsidRPr="003F23AC">
        <w:rPr>
          <w:rFonts w:cs="Times New Roman"/>
          <w:noProof/>
          <w:lang w:val="sk-SK"/>
        </w:rPr>
        <w:t>vnútroštátnymi právnymi predpismi</w:t>
      </w:r>
      <w:r w:rsidR="00A75B3C" w:rsidRPr="003F23AC">
        <w:rPr>
          <w:rFonts w:cs="Times New Roman"/>
          <w:noProof/>
          <w:lang w:val="sk-SK"/>
        </w:rPr>
        <w:t xml:space="preserve"> v </w:t>
      </w:r>
      <w:r w:rsidRPr="003F23AC">
        <w:rPr>
          <w:rFonts w:cs="Times New Roman"/>
          <w:noProof/>
          <w:lang w:val="sk-SK"/>
        </w:rPr>
        <w:t>oblasti životného prostredia.</w:t>
      </w:r>
    </w:p>
    <w:p w14:paraId="5B04203E" w14:textId="68AB681F"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4855D333" w14:textId="716851BE"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RE-C05-i03: Výskumný</w:t>
      </w:r>
      <w:r w:rsidR="00A75B3C" w:rsidRPr="003F23AC">
        <w:rPr>
          <w:rFonts w:cs="Times New Roman"/>
          <w:noProof/>
          <w:lang w:val="sk-SK"/>
        </w:rPr>
        <w:t xml:space="preserve"> a </w:t>
      </w:r>
      <w:r w:rsidRPr="003F23AC">
        <w:rPr>
          <w:rFonts w:cs="Times New Roman"/>
          <w:noProof/>
          <w:lang w:val="sk-SK"/>
        </w:rPr>
        <w:t>inovačný program pre udržateľné poľnohospodárstvo, potravinárstvo</w:t>
      </w:r>
      <w:r w:rsidR="00A75B3C" w:rsidRPr="003F23AC">
        <w:rPr>
          <w:rFonts w:cs="Times New Roman"/>
          <w:noProof/>
          <w:lang w:val="sk-SK"/>
        </w:rPr>
        <w:t xml:space="preserve"> a </w:t>
      </w:r>
      <w:r w:rsidRPr="003F23AC">
        <w:rPr>
          <w:rFonts w:cs="Times New Roman"/>
          <w:noProof/>
          <w:lang w:val="sk-SK"/>
        </w:rPr>
        <w:t>agropriemysel [Inovačný program pre poľnohospodárstvo 20 30].</w:t>
      </w:r>
    </w:p>
    <w:p w14:paraId="775548F7" w14:textId="1ADD3E58"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podporiť výskum</w:t>
      </w:r>
      <w:r w:rsidR="00A75B3C" w:rsidRPr="003F23AC">
        <w:rPr>
          <w:rFonts w:cs="Times New Roman"/>
          <w:noProof/>
          <w:lang w:val="sk-SK"/>
        </w:rPr>
        <w:t xml:space="preserve"> a </w:t>
      </w:r>
      <w:r w:rsidRPr="003F23AC">
        <w:rPr>
          <w:rFonts w:cs="Times New Roman"/>
          <w:noProof/>
          <w:lang w:val="sk-SK"/>
        </w:rPr>
        <w:t>inovácie</w:t>
      </w:r>
      <w:r w:rsidR="00A75B3C" w:rsidRPr="003F23AC">
        <w:rPr>
          <w:rFonts w:cs="Times New Roman"/>
          <w:noProof/>
          <w:lang w:val="sk-SK"/>
        </w:rPr>
        <w:t xml:space="preserve"> s </w:t>
      </w:r>
      <w:r w:rsidRPr="003F23AC">
        <w:rPr>
          <w:rFonts w:cs="Times New Roman"/>
          <w:noProof/>
          <w:lang w:val="sk-SK"/>
        </w:rPr>
        <w:t>cieľom dosiahnuť udržateľnejšie poľnohospodárstvo</w:t>
      </w:r>
      <w:r w:rsidR="00A75B3C" w:rsidRPr="003F23AC">
        <w:rPr>
          <w:rFonts w:cs="Times New Roman"/>
          <w:noProof/>
          <w:lang w:val="sk-SK"/>
        </w:rPr>
        <w:t>.</w:t>
      </w:r>
    </w:p>
    <w:p w14:paraId="4966DC16" w14:textId="529B5C7F"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grantov pre verejné</w:t>
      </w:r>
      <w:r w:rsidR="00A75B3C" w:rsidRPr="003F23AC">
        <w:rPr>
          <w:rFonts w:cs="Times New Roman"/>
          <w:noProof/>
          <w:lang w:val="sk-SK"/>
        </w:rPr>
        <w:t xml:space="preserve"> a </w:t>
      </w:r>
      <w:r w:rsidRPr="003F23AC">
        <w:rPr>
          <w:rFonts w:cs="Times New Roman"/>
          <w:noProof/>
          <w:lang w:val="sk-SK"/>
        </w:rPr>
        <w:t>súkromné subjekty na podporu inovačného programu pre poľnohospodárstvo 20|30. Program je rozdelený do 15 hlavných iniciatív na podporu výskumných, vývojových</w:t>
      </w:r>
      <w:r w:rsidR="00A75B3C" w:rsidRPr="003F23AC">
        <w:rPr>
          <w:rFonts w:cs="Times New Roman"/>
          <w:noProof/>
          <w:lang w:val="sk-SK"/>
        </w:rPr>
        <w:t xml:space="preserve"> a </w:t>
      </w:r>
      <w:r w:rsidRPr="003F23AC">
        <w:rPr>
          <w:rFonts w:cs="Times New Roman"/>
          <w:noProof/>
          <w:lang w:val="sk-SK"/>
        </w:rPr>
        <w:t>inovačných projektov</w:t>
      </w:r>
      <w:r w:rsidR="00A75B3C" w:rsidRPr="003F23AC">
        <w:rPr>
          <w:rFonts w:cs="Times New Roman"/>
          <w:noProof/>
          <w:lang w:val="sk-SK"/>
        </w:rPr>
        <w:t xml:space="preserve"> a </w:t>
      </w:r>
      <w:r w:rsidRPr="003F23AC">
        <w:rPr>
          <w:rFonts w:cs="Times New Roman"/>
          <w:noProof/>
          <w:lang w:val="sk-SK"/>
        </w:rPr>
        <w:t>5 projektov zameraných na štruktúrovanie inovácií zameraných na digitalizáciu. Tieto výskumné</w:t>
      </w:r>
      <w:r w:rsidR="00A75B3C" w:rsidRPr="003F23AC">
        <w:rPr>
          <w:rFonts w:cs="Times New Roman"/>
          <w:noProof/>
          <w:lang w:val="sk-SK"/>
        </w:rPr>
        <w:t xml:space="preserve"> a </w:t>
      </w:r>
      <w:r w:rsidRPr="003F23AC">
        <w:rPr>
          <w:rFonts w:cs="Times New Roman"/>
          <w:noProof/>
          <w:lang w:val="sk-SK"/>
        </w:rPr>
        <w:t>inovačné projekty reagujú na potreby identifikované</w:t>
      </w:r>
      <w:r w:rsidR="00A75B3C" w:rsidRPr="003F23AC">
        <w:rPr>
          <w:rFonts w:cs="Times New Roman"/>
          <w:noProof/>
          <w:lang w:val="sk-SK"/>
        </w:rPr>
        <w:t xml:space="preserve"> v </w:t>
      </w:r>
      <w:r w:rsidRPr="003F23AC">
        <w:rPr>
          <w:rFonts w:cs="Times New Roman"/>
          <w:noProof/>
          <w:lang w:val="sk-SK"/>
        </w:rPr>
        <w:t>portugalskom strategickom pláne pre spoločnú poľnohospodársku politiku. Rôzne iniciatívy zahŕňajú opatrenia</w:t>
      </w:r>
      <w:r w:rsidR="00A75B3C" w:rsidRPr="003F23AC">
        <w:rPr>
          <w:rFonts w:cs="Times New Roman"/>
          <w:noProof/>
          <w:lang w:val="sk-SK"/>
        </w:rPr>
        <w:t xml:space="preserve"> v </w:t>
      </w:r>
      <w:r w:rsidRPr="003F23AC">
        <w:rPr>
          <w:rFonts w:cs="Times New Roman"/>
          <w:noProof/>
          <w:lang w:val="sk-SK"/>
        </w:rPr>
        <w:t>oblasti obehového biohospodárstva</w:t>
      </w:r>
      <w:r w:rsidR="00A75B3C" w:rsidRPr="003F23AC">
        <w:rPr>
          <w:rFonts w:cs="Times New Roman"/>
          <w:noProof/>
          <w:lang w:val="sk-SK"/>
        </w:rPr>
        <w:t xml:space="preserve"> a </w:t>
      </w:r>
      <w:r w:rsidRPr="003F23AC">
        <w:rPr>
          <w:rFonts w:cs="Times New Roman"/>
          <w:noProof/>
          <w:lang w:val="sk-SK"/>
        </w:rPr>
        <w:t>presného poľnohospodárstva. Pri výbere projektov sa zohľadňujú rôzne výrobné systémy</w:t>
      </w:r>
      <w:r w:rsidR="00A75B3C" w:rsidRPr="003F23AC">
        <w:rPr>
          <w:rFonts w:cs="Times New Roman"/>
          <w:noProof/>
          <w:lang w:val="sk-SK"/>
        </w:rPr>
        <w:t xml:space="preserve"> a </w:t>
      </w:r>
      <w:r w:rsidRPr="003F23AC">
        <w:rPr>
          <w:rFonts w:cs="Times New Roman"/>
          <w:noProof/>
          <w:lang w:val="sk-SK"/>
        </w:rPr>
        <w:t>sektory. Očakáva sa, že sa podporí 100 výskumných</w:t>
      </w:r>
      <w:r w:rsidR="00A75B3C" w:rsidRPr="003F23AC">
        <w:rPr>
          <w:rFonts w:cs="Times New Roman"/>
          <w:noProof/>
          <w:lang w:val="sk-SK"/>
        </w:rPr>
        <w:t xml:space="preserve"> a </w:t>
      </w:r>
      <w:r w:rsidRPr="003F23AC">
        <w:rPr>
          <w:rFonts w:cs="Times New Roman"/>
          <w:noProof/>
          <w:lang w:val="sk-SK"/>
        </w:rPr>
        <w:t>inovačných projektov. Investícia okrem toho zahŕňa obnovu</w:t>
      </w:r>
      <w:r w:rsidR="00A75B3C" w:rsidRPr="003F23AC">
        <w:rPr>
          <w:rFonts w:cs="Times New Roman"/>
          <w:noProof/>
          <w:lang w:val="sk-SK"/>
        </w:rPr>
        <w:t xml:space="preserve"> a </w:t>
      </w:r>
      <w:r w:rsidRPr="003F23AC">
        <w:rPr>
          <w:rFonts w:cs="Times New Roman"/>
          <w:noProof/>
          <w:lang w:val="sk-SK"/>
        </w:rPr>
        <w:t>modernizáciu vedeckých zariadení</w:t>
      </w:r>
      <w:r w:rsidR="00A75B3C" w:rsidRPr="003F23AC">
        <w:rPr>
          <w:rFonts w:cs="Times New Roman"/>
          <w:noProof/>
          <w:lang w:val="sk-SK"/>
        </w:rPr>
        <w:t xml:space="preserve"> a </w:t>
      </w:r>
      <w:r w:rsidRPr="003F23AC">
        <w:rPr>
          <w:rFonts w:cs="Times New Roman"/>
          <w:noProof/>
          <w:lang w:val="sk-SK"/>
        </w:rPr>
        <w:t>vybavenia 24 experimentálnych fariem</w:t>
      </w:r>
      <w:r w:rsidR="00A75B3C" w:rsidRPr="003F23AC">
        <w:rPr>
          <w:rFonts w:cs="Times New Roman"/>
          <w:noProof/>
          <w:lang w:val="sk-SK"/>
        </w:rPr>
        <w:t xml:space="preserve"> a </w:t>
      </w:r>
      <w:r w:rsidRPr="003F23AC">
        <w:rPr>
          <w:rFonts w:cs="Times New Roman"/>
          <w:noProof/>
          <w:lang w:val="sk-SK"/>
        </w:rPr>
        <w:t>laboratórií (inovačných centier)</w:t>
      </w:r>
      <w:r w:rsidR="00A75B3C" w:rsidRPr="003F23AC">
        <w:rPr>
          <w:rFonts w:cs="Times New Roman"/>
          <w:noProof/>
          <w:lang w:val="sk-SK"/>
        </w:rPr>
        <w:t>.</w:t>
      </w:r>
    </w:p>
    <w:p w14:paraId="02EFC191" w14:textId="38C4DFDD" w:rsidR="00387C70" w:rsidRPr="003F23AC" w:rsidRDefault="000F5AA4" w:rsidP="003F23AC">
      <w:pPr>
        <w:pStyle w:val="P68B1DB1-Normal4"/>
        <w:spacing w:before="40" w:after="0" w:line="259" w:lineRule="auto"/>
        <w:jc w:val="both"/>
        <w:rPr>
          <w:rFonts w:eastAsiaTheme="minorEastAsia" w:cs="Times New Roman"/>
          <w:noProof/>
          <w:highlight w:val="green"/>
          <w:lang w:val="sk-SK"/>
        </w:rPr>
      </w:pPr>
      <w:r w:rsidRPr="003F23AC">
        <w:rPr>
          <w:rFonts w:cs="Times New Roman"/>
          <w:noProof/>
          <w:lang w:val="sk-SK"/>
        </w:rPr>
        <w:t>S cieľom zabezpečiť, aby bolo opatrenie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„nespôsobovať významnú škodu“ (2021/C58/01), kritériá oprávnenosti uvedené</w:t>
      </w:r>
      <w:r w:rsidR="00A75B3C" w:rsidRPr="003F23AC">
        <w:rPr>
          <w:rFonts w:cs="Times New Roman"/>
          <w:noProof/>
          <w:lang w:val="sk-SK"/>
        </w:rPr>
        <w:t xml:space="preserve"> v </w:t>
      </w:r>
      <w:r w:rsidRPr="003F23AC">
        <w:rPr>
          <w:rFonts w:cs="Times New Roman"/>
          <w:noProof/>
          <w:lang w:val="sk-SK"/>
        </w:rPr>
        <w:t>referenčnom rámci pre nadchádzajúce výzvy na predkladanie projektov nezahŕňajú tento zoznam činností: I) činnosti súvisiace</w:t>
      </w:r>
      <w:r w:rsidR="00A75B3C" w:rsidRPr="003F23AC">
        <w:rPr>
          <w:rFonts w:cs="Times New Roman"/>
          <w:noProof/>
          <w:lang w:val="sk-SK"/>
        </w:rPr>
        <w:t xml:space="preserve"> s </w:t>
      </w:r>
      <w:r w:rsidRPr="003F23AC">
        <w:rPr>
          <w:rFonts w:cs="Times New Roman"/>
          <w:noProof/>
          <w:lang w:val="sk-SK"/>
        </w:rPr>
        <w:t>fosílnymi palivami vrátane následného použitia</w:t>
      </w:r>
      <w:r w:rsidRPr="003F23AC">
        <w:rPr>
          <w:rFonts w:cs="Times New Roman"/>
          <w:noProof/>
          <w:lang w:val="sk-SK"/>
        </w:rPr>
        <w:footnoteReference w:id="23"/>
      </w:r>
      <w:r w:rsidRPr="003F23AC">
        <w:rPr>
          <w:rFonts w:cs="Times New Roman"/>
          <w:noProof/>
          <w:lang w:val="sk-SK"/>
        </w:rPr>
        <w:t>; II) činnosti</w:t>
      </w:r>
      <w:r w:rsidR="00A75B3C" w:rsidRPr="003F23AC">
        <w:rPr>
          <w:rFonts w:cs="Times New Roman"/>
          <w:noProof/>
          <w:lang w:val="sk-SK"/>
        </w:rPr>
        <w:t xml:space="preserve"> v </w:t>
      </w:r>
      <w:r w:rsidRPr="003F23AC">
        <w:rPr>
          <w:rFonts w:cs="Times New Roman"/>
          <w:noProof/>
          <w:lang w:val="sk-SK"/>
        </w:rPr>
        <w:t>rámci systému EÚ na obchodovanie</w:t>
      </w:r>
      <w:r w:rsidR="00A75B3C" w:rsidRPr="003F23AC">
        <w:rPr>
          <w:rFonts w:cs="Times New Roman"/>
          <w:noProof/>
          <w:lang w:val="sk-SK"/>
        </w:rPr>
        <w:t xml:space="preserve"> s </w:t>
      </w:r>
      <w:r w:rsidRPr="003F23AC">
        <w:rPr>
          <w:rFonts w:cs="Times New Roman"/>
          <w:noProof/>
          <w:lang w:val="sk-SK"/>
        </w:rPr>
        <w:t>emisiami (ETS), ktorými sa dosahujú predpokladané emisie skleníkových plynov, ktoré nie sú nižšie ako príslušné referenčné hodnoty</w:t>
      </w:r>
      <w:r w:rsidRPr="003F23AC">
        <w:rPr>
          <w:rFonts w:cs="Times New Roman"/>
          <w:noProof/>
          <w:lang w:val="sk-SK"/>
        </w:rPr>
        <w:footnoteReference w:id="24"/>
      </w:r>
      <w:r w:rsidRPr="003F23AC">
        <w:rPr>
          <w:rFonts w:cs="Times New Roman"/>
          <w:noProof/>
          <w:lang w:val="sk-SK"/>
        </w:rPr>
        <w:t>; III) činnosti týkajúce sa skládok odpadu, spaľovní</w:t>
      </w:r>
      <w:r w:rsidRPr="003F23AC">
        <w:rPr>
          <w:rFonts w:cs="Times New Roman"/>
          <w:noProof/>
          <w:lang w:val="sk-SK"/>
        </w:rPr>
        <w:footnoteReference w:id="25"/>
      </w:r>
      <w:r w:rsidR="00A75B3C" w:rsidRPr="003F23AC">
        <w:rPr>
          <w:rFonts w:cs="Times New Roman"/>
          <w:noProof/>
          <w:lang w:val="sk-SK"/>
        </w:rPr>
        <w:t xml:space="preserve"> a </w:t>
      </w:r>
      <w:r w:rsidRPr="003F23AC">
        <w:rPr>
          <w:rFonts w:cs="Times New Roman"/>
          <w:noProof/>
          <w:lang w:val="sk-SK"/>
        </w:rPr>
        <w:t>mechanických biologických čistiarní</w:t>
      </w:r>
      <w:r w:rsidRPr="003F23AC">
        <w:rPr>
          <w:rFonts w:cs="Times New Roman"/>
          <w:noProof/>
          <w:lang w:val="sk-SK"/>
        </w:rPr>
        <w:footnoteReference w:id="26"/>
      </w:r>
      <w:r w:rsidRPr="003F23AC">
        <w:rPr>
          <w:rFonts w:cs="Times New Roman"/>
          <w:noProof/>
          <w:lang w:val="sk-SK"/>
        </w:rPr>
        <w:t>;</w:t>
      </w:r>
      <w:r w:rsidR="00A75B3C" w:rsidRPr="003F23AC">
        <w:rPr>
          <w:rFonts w:cs="Times New Roman"/>
          <w:noProof/>
          <w:lang w:val="sk-SK"/>
        </w:rPr>
        <w:t xml:space="preserve"> a </w:t>
      </w:r>
      <w:r w:rsidRPr="003F23AC">
        <w:rPr>
          <w:rFonts w:cs="Times New Roman"/>
          <w:noProof/>
          <w:lang w:val="sk-SK"/>
        </w:rPr>
        <w:t>iv) činnosti, pri ktorých môže dlhodobé zneškodňovanie odpadu poškodiť životné prostredie.</w:t>
      </w:r>
      <w:r w:rsidR="00A75B3C" w:rsidRPr="003F23AC">
        <w:rPr>
          <w:rFonts w:cs="Times New Roman"/>
          <w:noProof/>
          <w:lang w:val="sk-SK"/>
        </w:rPr>
        <w:t xml:space="preserve"> V </w:t>
      </w:r>
      <w:r w:rsidRPr="003F23AC">
        <w:rPr>
          <w:rFonts w:cs="Times New Roman"/>
          <w:noProof/>
          <w:lang w:val="sk-SK"/>
        </w:rPr>
        <w:t>referenčnom rámci sa okrem toho vyžaduje, aby sa mohli vybrať len činnosti, ktoré sú</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príslušnými právnymi predpismi EÚ</w:t>
      </w:r>
      <w:r w:rsidR="00A75B3C" w:rsidRPr="003F23AC">
        <w:rPr>
          <w:rFonts w:cs="Times New Roman"/>
          <w:noProof/>
          <w:lang w:val="sk-SK"/>
        </w:rPr>
        <w:t xml:space="preserve"> a </w:t>
      </w:r>
      <w:r w:rsidRPr="003F23AC">
        <w:rPr>
          <w:rFonts w:cs="Times New Roman"/>
          <w:noProof/>
          <w:lang w:val="sk-SK"/>
        </w:rPr>
        <w:t>vnútroštátnymi právnymi predpismi</w:t>
      </w:r>
      <w:r w:rsidR="00A75B3C" w:rsidRPr="003F23AC">
        <w:rPr>
          <w:rFonts w:cs="Times New Roman"/>
          <w:noProof/>
          <w:lang w:val="sk-SK"/>
        </w:rPr>
        <w:t xml:space="preserve"> v </w:t>
      </w:r>
      <w:r w:rsidRPr="003F23AC">
        <w:rPr>
          <w:rFonts w:cs="Times New Roman"/>
          <w:noProof/>
          <w:lang w:val="sk-SK"/>
        </w:rPr>
        <w:t>oblasti životného prostredia.</w:t>
      </w:r>
    </w:p>
    <w:p w14:paraId="0A2D1BC6" w14:textId="6111DA86"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07D9C278" w14:textId="0A160792"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RE-C05-i04-RAA: Rekapitalizácia obchodného systému Azorských ostrovov</w:t>
      </w:r>
    </w:p>
    <w:p w14:paraId="4806397B" w14:textId="0C182DBE"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opatrenia je riešiť štrukturálny problém nedostatočnej kapitalizácie podnikov</w:t>
      </w:r>
      <w:r w:rsidR="00A75B3C" w:rsidRPr="003F23AC">
        <w:rPr>
          <w:rFonts w:cs="Times New Roman"/>
          <w:noProof/>
          <w:lang w:val="sk-SK"/>
        </w:rPr>
        <w:t xml:space="preserve"> v </w:t>
      </w:r>
      <w:r w:rsidRPr="003F23AC">
        <w:rPr>
          <w:rFonts w:cs="Times New Roman"/>
          <w:noProof/>
          <w:lang w:val="sk-SK"/>
        </w:rPr>
        <w:t>autonómnej oblasti Azory.</w:t>
      </w:r>
    </w:p>
    <w:p w14:paraId="314210FC" w14:textId="05910121" w:rsidR="00A75B3C" w:rsidRPr="00A26F8D" w:rsidRDefault="000F5AA4" w:rsidP="003F23AC">
      <w:pPr>
        <w:pStyle w:val="P68B1DB1-Normal4"/>
        <w:spacing w:before="40" w:after="0" w:line="259" w:lineRule="auto"/>
        <w:jc w:val="both"/>
        <w:rPr>
          <w:rFonts w:cs="Times New Roman"/>
          <w:noProof/>
          <w:spacing w:val="-4"/>
          <w:lang w:val="sk-SK"/>
        </w:rPr>
      </w:pPr>
      <w:r w:rsidRPr="00A26F8D">
        <w:rPr>
          <w:rFonts w:cs="Times New Roman"/>
          <w:noProof/>
          <w:spacing w:val="-4"/>
          <w:lang w:val="sk-SK"/>
        </w:rPr>
        <w:t>Táto investícia pozostáva</w:t>
      </w:r>
      <w:r w:rsidR="00A75B3C" w:rsidRPr="00A26F8D">
        <w:rPr>
          <w:rFonts w:cs="Times New Roman"/>
          <w:noProof/>
          <w:spacing w:val="-4"/>
          <w:lang w:val="sk-SK"/>
        </w:rPr>
        <w:t xml:space="preserve"> z </w:t>
      </w:r>
      <w:r w:rsidRPr="00A26F8D">
        <w:rPr>
          <w:rFonts w:cs="Times New Roman"/>
          <w:noProof/>
          <w:spacing w:val="-4"/>
          <w:lang w:val="sk-SK"/>
        </w:rPr>
        <w:t>vytvorenia účelovo vytvoreného subjektu, ktorý následne investuje 125 000 000 EUR do životaschopných</w:t>
      </w:r>
      <w:r w:rsidR="00A75B3C" w:rsidRPr="00A26F8D">
        <w:rPr>
          <w:rFonts w:cs="Times New Roman"/>
          <w:noProof/>
          <w:spacing w:val="-4"/>
          <w:lang w:val="sk-SK"/>
        </w:rPr>
        <w:t xml:space="preserve"> a </w:t>
      </w:r>
      <w:r w:rsidRPr="00A26F8D">
        <w:rPr>
          <w:rFonts w:cs="Times New Roman"/>
          <w:noProof/>
          <w:spacing w:val="-4"/>
          <w:lang w:val="sk-SK"/>
        </w:rPr>
        <w:t>Azorských firiem najmä vo forme vlastného imania. Investícia dopĺňa vnútroštátne investície zamerané na kapitalizáciu spoločností regionálnym balíkom</w:t>
      </w:r>
      <w:r w:rsidR="00A75B3C" w:rsidRPr="00A26F8D">
        <w:rPr>
          <w:rFonts w:cs="Times New Roman"/>
          <w:noProof/>
          <w:spacing w:val="-4"/>
          <w:lang w:val="sk-SK"/>
        </w:rPr>
        <w:t xml:space="preserve"> a </w:t>
      </w:r>
      <w:r w:rsidRPr="00A26F8D">
        <w:rPr>
          <w:rFonts w:cs="Times New Roman"/>
          <w:noProof/>
          <w:spacing w:val="-4"/>
          <w:lang w:val="sk-SK"/>
        </w:rPr>
        <w:t>špecializovanými nástrojmi, ktoré reagujú na špecifiká obchodnej štruktúry autonómneho regiónu</w:t>
      </w:r>
      <w:r w:rsidR="00A75B3C" w:rsidRPr="00A26F8D">
        <w:rPr>
          <w:rFonts w:cs="Times New Roman"/>
          <w:noProof/>
          <w:spacing w:val="-4"/>
          <w:lang w:val="sk-SK"/>
        </w:rPr>
        <w:t>.</w:t>
      </w:r>
    </w:p>
    <w:p w14:paraId="687EFD9F" w14:textId="3D25718C"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Všetky projekty sa vykonávajú</w:t>
      </w:r>
      <w:r w:rsidR="00A75B3C" w:rsidRPr="003F23AC">
        <w:rPr>
          <w:rFonts w:cs="Times New Roman"/>
          <w:noProof/>
          <w:lang w:val="sk-SK"/>
        </w:rPr>
        <w:t xml:space="preserve"> v </w:t>
      </w:r>
      <w:r w:rsidRPr="003F23AC">
        <w:rPr>
          <w:rFonts w:cs="Times New Roman"/>
          <w:noProof/>
          <w:lang w:val="sk-SK"/>
        </w:rPr>
        <w:t>plnom 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 Portugalsko sa okrem toho zaviazalo, že</w:t>
      </w:r>
      <w:r w:rsidR="00A75B3C" w:rsidRPr="003F23AC">
        <w:rPr>
          <w:rFonts w:cs="Times New Roman"/>
          <w:noProof/>
          <w:lang w:val="sk-SK"/>
        </w:rPr>
        <w:t xml:space="preserve"> v </w:t>
      </w:r>
      <w:r w:rsidRPr="003F23AC">
        <w:rPr>
          <w:rFonts w:cs="Times New Roman"/>
          <w:noProof/>
          <w:lang w:val="sk-SK"/>
        </w:rPr>
        <w:t xml:space="preserve">dokumente investičnej politiky týkajúcom sa nástroja 125 000 000 EUR, ktorý prijme Banco Português </w:t>
      </w:r>
      <w:r w:rsidRPr="003F23AC">
        <w:rPr>
          <w:rFonts w:cs="Times New Roman"/>
          <w:i/>
          <w:noProof/>
          <w:lang w:val="sk-SK"/>
        </w:rPr>
        <w:t>de Fomento ako riadiaci</w:t>
      </w:r>
      <w:r w:rsidRPr="003F23AC">
        <w:rPr>
          <w:rFonts w:cs="Times New Roman"/>
          <w:noProof/>
          <w:lang w:val="sk-SK"/>
        </w:rPr>
        <w:t xml:space="preserve"> orgán účelovo vytvoreného subjektu, sa podrobne uvedú kritériá výberu/oprávnenosti pre podporované spoločnosti, pričom sa zabezpečí dodržiavanie klimatických</w:t>
      </w:r>
      <w:r w:rsidR="00A75B3C" w:rsidRPr="003F23AC">
        <w:rPr>
          <w:rFonts w:cs="Times New Roman"/>
          <w:noProof/>
          <w:lang w:val="sk-SK"/>
        </w:rPr>
        <w:t xml:space="preserve"> a </w:t>
      </w:r>
      <w:r w:rsidRPr="003F23AC">
        <w:rPr>
          <w:rFonts w:cs="Times New Roman"/>
          <w:noProof/>
          <w:lang w:val="sk-SK"/>
        </w:rPr>
        <w:t>environmentálnych požiadaviek Mechanizmu na podporu obnovy</w:t>
      </w:r>
      <w:r w:rsidR="00A75B3C" w:rsidRPr="003F23AC">
        <w:rPr>
          <w:rFonts w:cs="Times New Roman"/>
          <w:noProof/>
          <w:lang w:val="sk-SK"/>
        </w:rPr>
        <w:t xml:space="preserve"> a </w:t>
      </w:r>
      <w:r w:rsidRPr="003F23AC">
        <w:rPr>
          <w:rFonts w:cs="Times New Roman"/>
          <w:noProof/>
          <w:lang w:val="sk-SK"/>
        </w:rPr>
        <w:t>odolnosti vrátane súladu</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 podporovaných aktív/činností a/alebo spoločností</w:t>
      </w:r>
      <w:r w:rsidR="00A75B3C" w:rsidRPr="003F23AC">
        <w:rPr>
          <w:rFonts w:cs="Times New Roman"/>
          <w:noProof/>
          <w:lang w:val="sk-SK"/>
        </w:rPr>
        <w:t xml:space="preserve"> a </w:t>
      </w:r>
      <w:r w:rsidRPr="003F23AC">
        <w:rPr>
          <w:rFonts w:cs="Times New Roman"/>
          <w:noProof/>
          <w:lang w:val="sk-SK"/>
        </w:rPr>
        <w:t>špecifikujú sa investičné ciele</w:t>
      </w:r>
      <w:r w:rsidR="00A75B3C" w:rsidRPr="003F23AC">
        <w:rPr>
          <w:rFonts w:cs="Times New Roman"/>
          <w:noProof/>
          <w:lang w:val="sk-SK"/>
        </w:rPr>
        <w:t xml:space="preserve"> a </w:t>
      </w:r>
      <w:r w:rsidRPr="003F23AC">
        <w:rPr>
          <w:rFonts w:cs="Times New Roman"/>
          <w:noProof/>
          <w:lang w:val="sk-SK"/>
        </w:rPr>
        <w:t>cielené výnosy. Na dosiahnutie súladu</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 podporovaných spoločností sa</w:t>
      </w:r>
      <w:r w:rsidR="00A75B3C" w:rsidRPr="003F23AC">
        <w:rPr>
          <w:rFonts w:cs="Times New Roman"/>
          <w:noProof/>
          <w:lang w:val="sk-SK"/>
        </w:rPr>
        <w:t xml:space="preserve"> v </w:t>
      </w:r>
      <w:r w:rsidRPr="003F23AC">
        <w:rPr>
          <w:rFonts w:cs="Times New Roman"/>
          <w:noProof/>
          <w:lang w:val="sk-SK"/>
        </w:rPr>
        <w:t>investičnej politike vyžaduje</w:t>
      </w:r>
      <w:r w:rsidR="00A75B3C" w:rsidRPr="003F23AC">
        <w:rPr>
          <w:rFonts w:cs="Times New Roman"/>
          <w:noProof/>
          <w:lang w:val="sk-SK"/>
        </w:rPr>
        <w:t>:</w:t>
      </w:r>
    </w:p>
    <w:p w14:paraId="1142F429" w14:textId="77777777" w:rsidR="00A75B3C" w:rsidRPr="003F23AC" w:rsidRDefault="000F5AA4" w:rsidP="003F23AC">
      <w:pPr>
        <w:pStyle w:val="P68B1DB1-Normal4"/>
        <w:numPr>
          <w:ilvl w:val="0"/>
          <w:numId w:val="57"/>
        </w:numPr>
        <w:spacing w:before="40" w:after="160" w:line="259" w:lineRule="auto"/>
        <w:contextualSpacing/>
        <w:jc w:val="both"/>
        <w:rPr>
          <w:rFonts w:cs="Times New Roman"/>
          <w:noProof/>
          <w:lang w:val="sk-SK"/>
        </w:rPr>
      </w:pPr>
      <w:r w:rsidRPr="003F23AC">
        <w:rPr>
          <w:rFonts w:cs="Times New Roman"/>
          <w:noProof/>
          <w:lang w:val="sk-SK"/>
        </w:rPr>
        <w:t>používanie overovania udržateľnosti,</w:t>
      </w:r>
    </w:p>
    <w:p w14:paraId="6EBA5233" w14:textId="64A10B7F" w:rsidR="00387C70" w:rsidRPr="003F23AC" w:rsidRDefault="000F5AA4" w:rsidP="003F23AC">
      <w:pPr>
        <w:pStyle w:val="P68B1DB1-Normal4"/>
        <w:numPr>
          <w:ilvl w:val="0"/>
          <w:numId w:val="57"/>
        </w:numPr>
        <w:spacing w:before="40" w:after="160" w:line="259" w:lineRule="auto"/>
        <w:contextualSpacing/>
        <w:jc w:val="both"/>
        <w:rPr>
          <w:rFonts w:eastAsiaTheme="minorEastAsia" w:cs="Times New Roman"/>
          <w:noProof/>
          <w:lang w:val="sk-SK"/>
        </w:rPr>
      </w:pPr>
      <w:r w:rsidRPr="003F23AC">
        <w:rPr>
          <w:rFonts w:cs="Times New Roman"/>
          <w:noProof/>
          <w:lang w:val="sk-SK"/>
        </w:rPr>
        <w:t>zoznam vylúčených subjektov, ktorý obsahuje tieto prvky:</w:t>
      </w:r>
    </w:p>
    <w:p w14:paraId="3707878F" w14:textId="77459655" w:rsidR="00A75B3C" w:rsidRPr="003F23AC" w:rsidRDefault="000F5AA4" w:rsidP="003F23AC">
      <w:pPr>
        <w:pStyle w:val="P68B1DB1-Normal4"/>
        <w:numPr>
          <w:ilvl w:val="1"/>
          <w:numId w:val="64"/>
        </w:numPr>
        <w:spacing w:before="40" w:after="160" w:line="259" w:lineRule="auto"/>
        <w:contextualSpacing/>
        <w:jc w:val="both"/>
        <w:rPr>
          <w:rFonts w:cs="Times New Roman"/>
          <w:noProof/>
          <w:lang w:val="sk-SK"/>
        </w:rPr>
      </w:pPr>
      <w:r w:rsidRPr="003F23AC">
        <w:rPr>
          <w:rFonts w:cs="Times New Roman"/>
          <w:noProof/>
          <w:lang w:val="sk-SK"/>
        </w:rPr>
        <w:t>Činnosti súvisiace</w:t>
      </w:r>
      <w:r w:rsidR="00A75B3C" w:rsidRPr="003F23AC">
        <w:rPr>
          <w:rFonts w:cs="Times New Roman"/>
          <w:noProof/>
          <w:lang w:val="sk-SK"/>
        </w:rPr>
        <w:t xml:space="preserve"> s </w:t>
      </w:r>
      <w:r w:rsidRPr="003F23AC">
        <w:rPr>
          <w:rFonts w:cs="Times New Roman"/>
          <w:noProof/>
          <w:lang w:val="sk-SK"/>
        </w:rPr>
        <w:t>fosílnymi palivami vrátane následného použitia</w:t>
      </w:r>
      <w:r w:rsidRPr="003F23AC">
        <w:rPr>
          <w:rFonts w:cs="Times New Roman"/>
          <w:noProof/>
          <w:lang w:val="sk-SK"/>
        </w:rPr>
        <w:footnoteReference w:id="27"/>
      </w:r>
      <w:r w:rsidR="00A75B3C" w:rsidRPr="003F23AC">
        <w:rPr>
          <w:rFonts w:cs="Times New Roman"/>
          <w:noProof/>
          <w:lang w:val="sk-SK"/>
        </w:rPr>
        <w:t>;</w:t>
      </w:r>
    </w:p>
    <w:p w14:paraId="0AC83508" w14:textId="37C803E6" w:rsidR="00A75B3C" w:rsidRPr="003F23AC" w:rsidRDefault="000F5AA4" w:rsidP="003F23AC">
      <w:pPr>
        <w:pStyle w:val="P68B1DB1-Normal4"/>
        <w:numPr>
          <w:ilvl w:val="1"/>
          <w:numId w:val="64"/>
        </w:numPr>
        <w:spacing w:before="40" w:after="160" w:line="259" w:lineRule="auto"/>
        <w:contextualSpacing/>
        <w:jc w:val="both"/>
        <w:rPr>
          <w:rFonts w:cs="Times New Roman"/>
          <w:noProof/>
          <w:lang w:val="sk-SK"/>
        </w:rPr>
      </w:pPr>
      <w:r w:rsidRPr="003F23AC">
        <w:rPr>
          <w:rFonts w:cs="Times New Roman"/>
          <w:noProof/>
          <w:lang w:val="sk-SK"/>
        </w:rPr>
        <w:t>Činnosti</w:t>
      </w:r>
      <w:r w:rsidR="00A75B3C" w:rsidRPr="003F23AC">
        <w:rPr>
          <w:rFonts w:cs="Times New Roman"/>
          <w:noProof/>
          <w:lang w:val="sk-SK"/>
        </w:rPr>
        <w:t xml:space="preserve"> v </w:t>
      </w:r>
      <w:r w:rsidRPr="003F23AC">
        <w:rPr>
          <w:rFonts w:cs="Times New Roman"/>
          <w:noProof/>
          <w:lang w:val="sk-SK"/>
        </w:rPr>
        <w:t>rámci systému EÚ na obchodovanie</w:t>
      </w:r>
      <w:r w:rsidR="00A75B3C" w:rsidRPr="003F23AC">
        <w:rPr>
          <w:rFonts w:cs="Times New Roman"/>
          <w:noProof/>
          <w:lang w:val="sk-SK"/>
        </w:rPr>
        <w:t xml:space="preserve"> s </w:t>
      </w:r>
      <w:r w:rsidRPr="003F23AC">
        <w:rPr>
          <w:rFonts w:cs="Times New Roman"/>
          <w:noProof/>
          <w:lang w:val="sk-SK"/>
        </w:rPr>
        <w:t>emisiami (ETS), ktorými sa dosahujú plánované emisie skleníkových plynov, ktoré nie sú nižšie ako príslušné referenčné hodnoty</w:t>
      </w:r>
      <w:r w:rsidRPr="003F23AC">
        <w:rPr>
          <w:rFonts w:cs="Times New Roman"/>
          <w:noProof/>
          <w:lang w:val="sk-SK"/>
        </w:rPr>
        <w:footnoteReference w:id="28"/>
      </w:r>
      <w:r w:rsidR="00A75B3C" w:rsidRPr="003F23AC">
        <w:rPr>
          <w:rFonts w:cs="Times New Roman"/>
          <w:noProof/>
          <w:lang w:val="sk-SK"/>
        </w:rPr>
        <w:t>;</w:t>
      </w:r>
    </w:p>
    <w:p w14:paraId="509BCC67" w14:textId="70BF6D14" w:rsidR="00A75B3C" w:rsidRPr="003F23AC" w:rsidRDefault="000F5AA4" w:rsidP="003F23AC">
      <w:pPr>
        <w:pStyle w:val="P68B1DB1-Normal4"/>
        <w:numPr>
          <w:ilvl w:val="1"/>
          <w:numId w:val="64"/>
        </w:numPr>
        <w:spacing w:before="40" w:after="160" w:line="259" w:lineRule="auto"/>
        <w:contextualSpacing/>
        <w:jc w:val="both"/>
        <w:rPr>
          <w:rFonts w:cs="Times New Roman"/>
          <w:noProof/>
          <w:lang w:val="sk-SK"/>
        </w:rPr>
      </w:pPr>
      <w:r w:rsidRPr="003F23AC">
        <w:rPr>
          <w:rFonts w:cs="Times New Roman"/>
          <w:noProof/>
          <w:lang w:val="sk-SK"/>
        </w:rPr>
        <w:t>Činnosti týkajúce sa skládok odpadu, spaľovní</w:t>
      </w:r>
      <w:r w:rsidRPr="003F23AC">
        <w:rPr>
          <w:rFonts w:cs="Times New Roman"/>
          <w:noProof/>
          <w:lang w:val="sk-SK"/>
        </w:rPr>
        <w:footnoteReference w:id="29"/>
      </w:r>
      <w:r w:rsidR="00A75B3C" w:rsidRPr="003F23AC">
        <w:rPr>
          <w:rFonts w:cs="Times New Roman"/>
          <w:noProof/>
          <w:lang w:val="sk-SK"/>
        </w:rPr>
        <w:t xml:space="preserve"> a </w:t>
      </w:r>
      <w:r w:rsidRPr="003F23AC">
        <w:rPr>
          <w:rFonts w:cs="Times New Roman"/>
          <w:noProof/>
          <w:lang w:val="sk-SK"/>
        </w:rPr>
        <w:t>mechanických biologických čistiarní</w:t>
      </w:r>
      <w:r w:rsidRPr="003F23AC">
        <w:rPr>
          <w:rFonts w:cs="Times New Roman"/>
          <w:noProof/>
          <w:lang w:val="sk-SK"/>
        </w:rPr>
        <w:footnoteReference w:id="30"/>
      </w:r>
      <w:r w:rsidR="00A75B3C" w:rsidRPr="003F23AC">
        <w:rPr>
          <w:rFonts w:cs="Times New Roman"/>
          <w:noProof/>
          <w:lang w:val="sk-SK"/>
        </w:rPr>
        <w:t>;</w:t>
      </w:r>
    </w:p>
    <w:p w14:paraId="222E0859" w14:textId="7957EA53" w:rsidR="00387C70" w:rsidRPr="003F23AC" w:rsidRDefault="000F5AA4" w:rsidP="003F23AC">
      <w:pPr>
        <w:pStyle w:val="P68B1DB1-Normal4"/>
        <w:numPr>
          <w:ilvl w:val="1"/>
          <w:numId w:val="64"/>
        </w:numPr>
        <w:spacing w:before="40" w:after="160" w:line="259" w:lineRule="auto"/>
        <w:contextualSpacing/>
        <w:jc w:val="both"/>
        <w:rPr>
          <w:rFonts w:eastAsiaTheme="minorEastAsia" w:cs="Times New Roman"/>
          <w:noProof/>
          <w:lang w:val="sk-SK"/>
        </w:rPr>
      </w:pPr>
      <w:r w:rsidRPr="003F23AC">
        <w:rPr>
          <w:rFonts w:cs="Times New Roman"/>
          <w:noProof/>
          <w:lang w:val="sk-SK"/>
        </w:rPr>
        <w:t>Činnosti, pri ktorých môže dlhodobé zneškodňovanie odpadu spôsobiť dlhodobé poškodenie životného prostredia, ako napríklad jadrový odpad;</w:t>
      </w:r>
      <w:r w:rsidR="00A75B3C" w:rsidRPr="003F23AC">
        <w:rPr>
          <w:rFonts w:cs="Times New Roman"/>
          <w:noProof/>
          <w:lang w:val="sk-SK"/>
        </w:rPr>
        <w:t xml:space="preserve"> a </w:t>
      </w:r>
      <w:r w:rsidRPr="003F23AC">
        <w:rPr>
          <w:rFonts w:cs="Times New Roman"/>
          <w:noProof/>
          <w:lang w:val="sk-SK"/>
        </w:rPr>
        <w:t>zároveň</w:t>
      </w:r>
    </w:p>
    <w:p w14:paraId="5DF1F4E2" w14:textId="088E0E53" w:rsidR="00A75B3C" w:rsidRPr="003F23AC" w:rsidRDefault="000F5AA4" w:rsidP="003F23AC">
      <w:pPr>
        <w:pStyle w:val="P68B1DB1-Normal4"/>
        <w:numPr>
          <w:ilvl w:val="1"/>
          <w:numId w:val="64"/>
        </w:numPr>
        <w:spacing w:before="40" w:after="160" w:line="259" w:lineRule="auto"/>
        <w:contextualSpacing/>
        <w:jc w:val="both"/>
        <w:rPr>
          <w:rFonts w:cs="Times New Roman"/>
          <w:noProof/>
          <w:lang w:val="sk-SK"/>
        </w:rPr>
      </w:pPr>
      <w:r w:rsidRPr="003F23AC">
        <w:rPr>
          <w:rFonts w:cs="Times New Roman"/>
          <w:noProof/>
          <w:lang w:val="sk-SK"/>
        </w:rPr>
        <w:t>Výskum, vývoj</w:t>
      </w:r>
      <w:r w:rsidR="00A75B3C" w:rsidRPr="003F23AC">
        <w:rPr>
          <w:rFonts w:cs="Times New Roman"/>
          <w:noProof/>
          <w:lang w:val="sk-SK"/>
        </w:rPr>
        <w:t xml:space="preserve"> a </w:t>
      </w:r>
      <w:r w:rsidRPr="003F23AC">
        <w:rPr>
          <w:rFonts w:cs="Times New Roman"/>
          <w:noProof/>
          <w:lang w:val="sk-SK"/>
        </w:rPr>
        <w:t>inovácie zamerané na uvedené aktíva</w:t>
      </w:r>
      <w:r w:rsidR="00A75B3C" w:rsidRPr="003F23AC">
        <w:rPr>
          <w:rFonts w:cs="Times New Roman"/>
          <w:noProof/>
          <w:lang w:val="sk-SK"/>
        </w:rPr>
        <w:t xml:space="preserve"> a </w:t>
      </w:r>
      <w:r w:rsidRPr="003F23AC">
        <w:rPr>
          <w:rFonts w:cs="Times New Roman"/>
          <w:noProof/>
          <w:lang w:val="sk-SK"/>
        </w:rPr>
        <w:t>činnosti</w:t>
      </w:r>
      <w:r w:rsidR="00A75B3C" w:rsidRPr="003F23AC">
        <w:rPr>
          <w:rFonts w:cs="Times New Roman"/>
          <w:noProof/>
          <w:lang w:val="sk-SK"/>
        </w:rPr>
        <w:t>.</w:t>
      </w:r>
    </w:p>
    <w:p w14:paraId="465FA72C" w14:textId="77777777" w:rsidR="00A75B3C" w:rsidRPr="003F23AC" w:rsidRDefault="000F5AA4" w:rsidP="003F23AC">
      <w:pPr>
        <w:pStyle w:val="P68B1DB1-Normal4"/>
        <w:numPr>
          <w:ilvl w:val="0"/>
          <w:numId w:val="57"/>
        </w:numPr>
        <w:spacing w:before="40" w:after="160" w:line="259" w:lineRule="auto"/>
        <w:contextualSpacing/>
        <w:jc w:val="both"/>
        <w:rPr>
          <w:rFonts w:cs="Times New Roman"/>
          <w:noProof/>
          <w:lang w:val="sk-SK"/>
        </w:rPr>
      </w:pPr>
      <w:r w:rsidRPr="003F23AC">
        <w:rPr>
          <w:rFonts w:cs="Times New Roman"/>
          <w:noProof/>
          <w:lang w:val="sk-SK"/>
        </w:rPr>
        <w:t xml:space="preserve">povinné kontroly dodržiavania právnych predpisov prostredníctvom </w:t>
      </w:r>
      <w:r w:rsidRPr="003F23AC">
        <w:rPr>
          <w:rFonts w:cs="Times New Roman"/>
          <w:i/>
          <w:noProof/>
          <w:lang w:val="sk-SK"/>
        </w:rPr>
        <w:t>Banco Português de Fomento</w:t>
      </w:r>
      <w:r w:rsidRPr="003F23AC">
        <w:rPr>
          <w:rFonts w:cs="Times New Roman"/>
          <w:noProof/>
          <w:lang w:val="sk-SK"/>
        </w:rPr>
        <w:t xml:space="preserve"> a/alebo jej vybraných finančných sprostredkovateľov</w:t>
      </w:r>
      <w:r w:rsidR="00A75B3C" w:rsidRPr="003F23AC">
        <w:rPr>
          <w:rFonts w:cs="Times New Roman"/>
          <w:noProof/>
          <w:lang w:val="sk-SK"/>
        </w:rPr>
        <w:t xml:space="preserve"> v </w:t>
      </w:r>
      <w:r w:rsidRPr="003F23AC">
        <w:rPr>
          <w:rFonts w:cs="Times New Roman"/>
          <w:noProof/>
          <w:lang w:val="sk-SK"/>
        </w:rPr>
        <w:t>prípade transakcií oslobodených od overovania udržateľnosti</w:t>
      </w:r>
      <w:r w:rsidR="00A75B3C" w:rsidRPr="003F23AC">
        <w:rPr>
          <w:rFonts w:cs="Times New Roman"/>
          <w:noProof/>
          <w:lang w:val="sk-SK"/>
        </w:rPr>
        <w:t xml:space="preserve"> a</w:t>
      </w:r>
    </w:p>
    <w:p w14:paraId="67D0FED8" w14:textId="624B5817" w:rsidR="00387C70" w:rsidRPr="003F23AC" w:rsidRDefault="000F5AA4" w:rsidP="003F23AC">
      <w:pPr>
        <w:pStyle w:val="P68B1DB1-Normal4"/>
        <w:numPr>
          <w:ilvl w:val="0"/>
          <w:numId w:val="57"/>
        </w:numPr>
        <w:spacing w:before="40" w:after="160" w:line="259" w:lineRule="auto"/>
        <w:contextualSpacing/>
        <w:jc w:val="both"/>
        <w:rPr>
          <w:rFonts w:eastAsiaTheme="minorEastAsia" w:cs="Times New Roman"/>
          <w:noProof/>
          <w:lang w:val="sk-SK"/>
        </w:rPr>
      </w:pPr>
      <w:r w:rsidRPr="003F23AC">
        <w:rPr>
          <w:rFonts w:cs="Times New Roman"/>
          <w:noProof/>
          <w:lang w:val="sk-SK"/>
        </w:rPr>
        <w:t>prijímatelia kapitálovej podpory, ktorí získavajú aspoň 50</w:t>
      </w:r>
      <w:r w:rsidR="00A75B3C" w:rsidRPr="003F23AC">
        <w:rPr>
          <w:rFonts w:cs="Times New Roman"/>
          <w:noProof/>
          <w:lang w:val="sk-SK"/>
        </w:rPr>
        <w:t> %</w:t>
      </w:r>
      <w:r w:rsidRPr="003F23AC">
        <w:rPr>
          <w:rFonts w:cs="Times New Roman"/>
          <w:noProof/>
          <w:lang w:val="sk-SK"/>
        </w:rPr>
        <w:t xml:space="preserve"> svojich príjmov</w:t>
      </w:r>
      <w:r w:rsidR="00A75B3C" w:rsidRPr="003F23AC">
        <w:rPr>
          <w:rFonts w:cs="Times New Roman"/>
          <w:noProof/>
          <w:lang w:val="sk-SK"/>
        </w:rPr>
        <w:t xml:space="preserve"> z </w:t>
      </w:r>
      <w:r w:rsidRPr="003F23AC">
        <w:rPr>
          <w:rFonts w:cs="Times New Roman"/>
          <w:noProof/>
          <w:lang w:val="sk-SK"/>
        </w:rPr>
        <w:t>činností uvedených</w:t>
      </w:r>
      <w:r w:rsidR="00A75B3C" w:rsidRPr="003F23AC">
        <w:rPr>
          <w:rFonts w:cs="Times New Roman"/>
          <w:noProof/>
          <w:lang w:val="sk-SK"/>
        </w:rPr>
        <w:t xml:space="preserve"> v </w:t>
      </w:r>
      <w:r w:rsidRPr="003F23AC">
        <w:rPr>
          <w:rFonts w:cs="Times New Roman"/>
          <w:noProof/>
          <w:lang w:val="sk-SK"/>
        </w:rPr>
        <w:t>zozname vylúčených subjektov na prijatie</w:t>
      </w:r>
      <w:r w:rsidR="00A75B3C" w:rsidRPr="003F23AC">
        <w:rPr>
          <w:rFonts w:cs="Times New Roman"/>
          <w:noProof/>
          <w:lang w:val="sk-SK"/>
        </w:rPr>
        <w:t xml:space="preserve"> a </w:t>
      </w:r>
      <w:r w:rsidRPr="003F23AC">
        <w:rPr>
          <w:rFonts w:cs="Times New Roman"/>
          <w:noProof/>
          <w:lang w:val="sk-SK"/>
        </w:rPr>
        <w:t>uverejnenie plánov zelenej transformácie.</w:t>
      </w:r>
    </w:p>
    <w:p w14:paraId="5CA9249D" w14:textId="68BF8DAE"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04842B12" w14:textId="264C6AC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RE-C05-i05-RAA: Hospodárske oživenie poľnohospodárstva Azory</w:t>
      </w:r>
    </w:p>
    <w:p w14:paraId="5E285774" w14:textId="1BC13EBF"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investície je podporiť poľnohospodárstvo na Azorách so silným zameraním na udržateľnosť, ako aj podporu miestnej výroby. Poľnohospodárstvo na Azorských ostrovoch má veľký hospodársky, sociálny</w:t>
      </w:r>
      <w:r w:rsidR="00A75B3C" w:rsidRPr="003F23AC">
        <w:rPr>
          <w:rFonts w:cs="Times New Roman"/>
          <w:noProof/>
          <w:lang w:val="sk-SK"/>
        </w:rPr>
        <w:t xml:space="preserve"> a </w:t>
      </w:r>
      <w:r w:rsidRPr="003F23AC">
        <w:rPr>
          <w:rFonts w:cs="Times New Roman"/>
          <w:noProof/>
          <w:lang w:val="sk-SK"/>
        </w:rPr>
        <w:t>územný význam pre regionálnu súdržnosť vzhľadom na fragmentáciu regionálneho územia, ktoré charakterizujú ostrovy</w:t>
      </w:r>
      <w:r w:rsidR="00A75B3C" w:rsidRPr="003F23AC">
        <w:rPr>
          <w:rFonts w:cs="Times New Roman"/>
          <w:noProof/>
          <w:lang w:val="sk-SK"/>
        </w:rPr>
        <w:t xml:space="preserve"> s </w:t>
      </w:r>
      <w:r w:rsidRPr="003F23AC">
        <w:rPr>
          <w:rFonts w:cs="Times New Roman"/>
          <w:noProof/>
          <w:lang w:val="sk-SK"/>
        </w:rPr>
        <w:t>osobitnými charakteristikami. Cieľom týchto investícií je i) prispieť</w:t>
      </w:r>
      <w:r w:rsidR="00A75B3C" w:rsidRPr="003F23AC">
        <w:rPr>
          <w:rFonts w:cs="Times New Roman"/>
          <w:noProof/>
          <w:lang w:val="sk-SK"/>
        </w:rPr>
        <w:t xml:space="preserve"> k </w:t>
      </w:r>
      <w:r w:rsidRPr="003F23AC">
        <w:rPr>
          <w:rFonts w:cs="Times New Roman"/>
          <w:noProof/>
          <w:lang w:val="sk-SK"/>
        </w:rPr>
        <w:t>odolnosti</w:t>
      </w:r>
      <w:r w:rsidR="00A75B3C" w:rsidRPr="003F23AC">
        <w:rPr>
          <w:rFonts w:cs="Times New Roman"/>
          <w:noProof/>
          <w:lang w:val="sk-SK"/>
        </w:rPr>
        <w:t xml:space="preserve"> a </w:t>
      </w:r>
      <w:r w:rsidRPr="003F23AC">
        <w:rPr>
          <w:rFonts w:cs="Times New Roman"/>
          <w:noProof/>
          <w:lang w:val="sk-SK"/>
        </w:rPr>
        <w:t>udržateľnému rastu regionálneho výrobného potenciálu, ii) zmierniť hospodársky</w:t>
      </w:r>
      <w:r w:rsidR="00A75B3C" w:rsidRPr="003F23AC">
        <w:rPr>
          <w:rFonts w:cs="Times New Roman"/>
          <w:noProof/>
          <w:lang w:val="sk-SK"/>
        </w:rPr>
        <w:t xml:space="preserve"> a </w:t>
      </w:r>
      <w:r w:rsidRPr="003F23AC">
        <w:rPr>
          <w:rFonts w:cs="Times New Roman"/>
          <w:noProof/>
          <w:lang w:val="sk-SK"/>
        </w:rPr>
        <w:t>sociálny vplyv krízy na poľnohospodársky</w:t>
      </w:r>
      <w:r w:rsidR="00A75B3C" w:rsidRPr="003F23AC">
        <w:rPr>
          <w:rFonts w:cs="Times New Roman"/>
          <w:noProof/>
          <w:lang w:val="sk-SK"/>
        </w:rPr>
        <w:t xml:space="preserve"> a </w:t>
      </w:r>
      <w:r w:rsidRPr="003F23AC">
        <w:rPr>
          <w:rFonts w:cs="Times New Roman"/>
          <w:noProof/>
          <w:lang w:val="sk-SK"/>
        </w:rPr>
        <w:t>agropotravinársky sektor na Azorských ostrovoch</w:t>
      </w:r>
      <w:r w:rsidR="00A75B3C" w:rsidRPr="003F23AC">
        <w:rPr>
          <w:rFonts w:cs="Times New Roman"/>
          <w:noProof/>
          <w:lang w:val="sk-SK"/>
        </w:rPr>
        <w:t xml:space="preserve"> a </w:t>
      </w:r>
      <w:r w:rsidRPr="003F23AC">
        <w:rPr>
          <w:rFonts w:cs="Times New Roman"/>
          <w:noProof/>
          <w:lang w:val="sk-SK"/>
        </w:rPr>
        <w:t>iii) prispieť</w:t>
      </w:r>
      <w:r w:rsidR="00A75B3C" w:rsidRPr="003F23AC">
        <w:rPr>
          <w:rFonts w:cs="Times New Roman"/>
          <w:noProof/>
          <w:lang w:val="sk-SK"/>
        </w:rPr>
        <w:t xml:space="preserve"> k </w:t>
      </w:r>
      <w:r w:rsidRPr="003F23AC">
        <w:rPr>
          <w:rFonts w:cs="Times New Roman"/>
          <w:noProof/>
          <w:lang w:val="sk-SK"/>
        </w:rPr>
        <w:t>dvojakej klimatickej</w:t>
      </w:r>
      <w:r w:rsidR="00A75B3C" w:rsidRPr="003F23AC">
        <w:rPr>
          <w:rFonts w:cs="Times New Roman"/>
          <w:noProof/>
          <w:lang w:val="sk-SK"/>
        </w:rPr>
        <w:t xml:space="preserve"> a </w:t>
      </w:r>
      <w:r w:rsidRPr="003F23AC">
        <w:rPr>
          <w:rFonts w:cs="Times New Roman"/>
          <w:noProof/>
          <w:lang w:val="sk-SK"/>
        </w:rPr>
        <w:t>digitálnej transformácii</w:t>
      </w:r>
      <w:r w:rsidR="00A75B3C" w:rsidRPr="003F23AC">
        <w:rPr>
          <w:rFonts w:cs="Times New Roman"/>
          <w:noProof/>
          <w:lang w:val="sk-SK"/>
        </w:rPr>
        <w:t xml:space="preserve"> v </w:t>
      </w:r>
      <w:r w:rsidRPr="003F23AC">
        <w:rPr>
          <w:rFonts w:cs="Times New Roman"/>
          <w:noProof/>
          <w:lang w:val="sk-SK"/>
        </w:rPr>
        <w:t>poľnohospodárskom</w:t>
      </w:r>
      <w:r w:rsidR="00A75B3C" w:rsidRPr="003F23AC">
        <w:rPr>
          <w:rFonts w:cs="Times New Roman"/>
          <w:noProof/>
          <w:lang w:val="sk-SK"/>
        </w:rPr>
        <w:t xml:space="preserve"> a </w:t>
      </w:r>
      <w:r w:rsidRPr="003F23AC">
        <w:rPr>
          <w:rFonts w:cs="Times New Roman"/>
          <w:noProof/>
          <w:lang w:val="sk-SK"/>
        </w:rPr>
        <w:t>agropotravinárskom sektore na Azorských ostrovoch</w:t>
      </w:r>
      <w:r w:rsidR="00A75B3C" w:rsidRPr="003F23AC">
        <w:rPr>
          <w:rFonts w:cs="Times New Roman"/>
          <w:noProof/>
          <w:lang w:val="sk-SK"/>
        </w:rPr>
        <w:t>.</w:t>
      </w:r>
    </w:p>
    <w:p w14:paraId="1377CE99" w14:textId="1335F1C0"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i) podpory investičných projektov</w:t>
      </w:r>
      <w:r w:rsidR="00A75B3C" w:rsidRPr="003F23AC">
        <w:rPr>
          <w:rFonts w:cs="Times New Roman"/>
          <w:noProof/>
          <w:lang w:val="sk-SK"/>
        </w:rPr>
        <w:t xml:space="preserve"> v </w:t>
      </w:r>
      <w:r w:rsidRPr="003F23AC">
        <w:rPr>
          <w:rFonts w:cs="Times New Roman"/>
          <w:noProof/>
          <w:lang w:val="sk-SK"/>
        </w:rPr>
        <w:t>oblasti inovácie výrobkov</w:t>
      </w:r>
      <w:r w:rsidR="00A75B3C" w:rsidRPr="003F23AC">
        <w:rPr>
          <w:rFonts w:cs="Times New Roman"/>
          <w:noProof/>
          <w:lang w:val="sk-SK"/>
        </w:rPr>
        <w:t xml:space="preserve"> a </w:t>
      </w:r>
      <w:r w:rsidRPr="003F23AC">
        <w:rPr>
          <w:rFonts w:cs="Times New Roman"/>
          <w:noProof/>
          <w:lang w:val="sk-SK"/>
        </w:rPr>
        <w:t>výrobných procesov pre regionálne poľnohospodárske podniky, ii) verejných investícií do inovácií</w:t>
      </w:r>
      <w:r w:rsidR="00A75B3C" w:rsidRPr="003F23AC">
        <w:rPr>
          <w:rFonts w:cs="Times New Roman"/>
          <w:noProof/>
          <w:lang w:val="sk-SK"/>
        </w:rPr>
        <w:t xml:space="preserve"> a </w:t>
      </w:r>
      <w:r w:rsidRPr="003F23AC">
        <w:rPr>
          <w:rFonts w:cs="Times New Roman"/>
          <w:noProof/>
          <w:lang w:val="sk-SK"/>
        </w:rPr>
        <w:t>dvojakej transformácie (vrátane programu na zlepšenie zručností poľnohospodárov pre dvojakú transformáciu</w:t>
      </w:r>
      <w:r w:rsidR="00A75B3C" w:rsidRPr="003F23AC">
        <w:rPr>
          <w:rFonts w:cs="Times New Roman"/>
          <w:noProof/>
          <w:lang w:val="sk-SK"/>
        </w:rPr>
        <w:t xml:space="preserve"> a </w:t>
      </w:r>
      <w:r w:rsidRPr="003F23AC">
        <w:rPr>
          <w:rFonts w:cs="Times New Roman"/>
          <w:noProof/>
          <w:lang w:val="sk-SK"/>
        </w:rPr>
        <w:t>udržateľnú spotrebu vrátane certifikácie)</w:t>
      </w:r>
      <w:r w:rsidR="00A75B3C" w:rsidRPr="003F23AC">
        <w:rPr>
          <w:rFonts w:cs="Times New Roman"/>
          <w:noProof/>
          <w:lang w:val="sk-SK"/>
        </w:rPr>
        <w:t xml:space="preserve"> a </w:t>
      </w:r>
      <w:r w:rsidRPr="003F23AC">
        <w:rPr>
          <w:rFonts w:cs="Times New Roman"/>
          <w:noProof/>
          <w:lang w:val="sk-SK"/>
        </w:rPr>
        <w:t>iii) verejných investícií do reštrukturalizácie vrátane investícií do inovácií výrobných procesov</w:t>
      </w:r>
      <w:r w:rsidR="00A75B3C" w:rsidRPr="003F23AC">
        <w:rPr>
          <w:rFonts w:cs="Times New Roman"/>
          <w:noProof/>
          <w:lang w:val="sk-SK"/>
        </w:rPr>
        <w:t xml:space="preserve"> a </w:t>
      </w:r>
      <w:r w:rsidRPr="003F23AC">
        <w:rPr>
          <w:rFonts w:cs="Times New Roman"/>
          <w:noProof/>
          <w:lang w:val="sk-SK"/>
        </w:rPr>
        <w:t>zelenej transformácie regionálnej siete zabíjania</w:t>
      </w:r>
      <w:r w:rsidR="00A75B3C" w:rsidRPr="003F23AC">
        <w:rPr>
          <w:rFonts w:cs="Times New Roman"/>
          <w:noProof/>
          <w:lang w:val="sk-SK"/>
        </w:rPr>
        <w:t xml:space="preserve"> a </w:t>
      </w:r>
      <w:r w:rsidRPr="003F23AC">
        <w:rPr>
          <w:rFonts w:cs="Times New Roman"/>
          <w:noProof/>
          <w:lang w:val="sk-SK"/>
        </w:rPr>
        <w:t>certifikácie kvality mlieka</w:t>
      </w:r>
      <w:r w:rsidR="00A75B3C" w:rsidRPr="003F23AC">
        <w:rPr>
          <w:rFonts w:cs="Times New Roman"/>
          <w:noProof/>
          <w:lang w:val="sk-SK"/>
        </w:rPr>
        <w:t>.</w:t>
      </w:r>
    </w:p>
    <w:p w14:paraId="67CFE1ED" w14:textId="1D07A514"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4D89EF43" w14:textId="77777777" w:rsidR="00A75B3C" w:rsidRPr="003F23AC" w:rsidRDefault="000F5AA4" w:rsidP="003F23AC">
      <w:pPr>
        <w:pStyle w:val="P68B1DB1-Normal5"/>
        <w:spacing w:before="240" w:after="0" w:line="259" w:lineRule="auto"/>
        <w:ind w:left="851"/>
        <w:jc w:val="both"/>
        <w:outlineLvl w:val="3"/>
        <w:rPr>
          <w:rFonts w:cs="Times New Roman"/>
          <w:noProof/>
          <w:lang w:val="sk-SK"/>
        </w:rPr>
      </w:pPr>
      <w:bookmarkStart w:id="8" w:name="_Toc137472448"/>
      <w:bookmarkStart w:id="9" w:name="_Hlk144129521"/>
      <w:r w:rsidRPr="003F23AC">
        <w:rPr>
          <w:rFonts w:cs="Times New Roman"/>
          <w:noProof/>
          <w:lang w:val="sk-SK"/>
        </w:rPr>
        <w:t xml:space="preserve">Investície RE-C05-i07-RAM: Kapitalizačné nástroje pre spoločnosti </w:t>
      </w:r>
      <w:bookmarkEnd w:id="8"/>
      <w:r w:rsidRPr="003F23AC">
        <w:rPr>
          <w:rFonts w:cs="Times New Roman"/>
          <w:noProof/>
          <w:lang w:val="sk-SK"/>
        </w:rPr>
        <w:t>na Madeire</w:t>
      </w:r>
    </w:p>
    <w:p w14:paraId="2E32D5F4" w14:textId="5E9D246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tohto opatrenia je podporiť investície</w:t>
      </w:r>
      <w:r w:rsidR="00A75B3C" w:rsidRPr="003F23AC">
        <w:rPr>
          <w:rFonts w:cs="Times New Roman"/>
          <w:noProof/>
          <w:lang w:val="sk-SK"/>
        </w:rPr>
        <w:t xml:space="preserve"> v </w:t>
      </w:r>
      <w:r w:rsidRPr="003F23AC">
        <w:rPr>
          <w:rFonts w:cs="Times New Roman"/>
          <w:noProof/>
          <w:lang w:val="sk-SK"/>
        </w:rPr>
        <w:t>autonómnej oblasti Madeira</w:t>
      </w:r>
      <w:r w:rsidR="00A75B3C" w:rsidRPr="003F23AC">
        <w:rPr>
          <w:rFonts w:cs="Times New Roman"/>
          <w:noProof/>
          <w:lang w:val="sk-SK"/>
        </w:rPr>
        <w:t xml:space="preserve"> s </w:t>
      </w:r>
      <w:r w:rsidRPr="003F23AC">
        <w:rPr>
          <w:rFonts w:cs="Times New Roman"/>
          <w:noProof/>
          <w:lang w:val="sk-SK"/>
        </w:rPr>
        <w:t>cieľom riešiť štrukturálne problémy miestnych podnikov</w:t>
      </w:r>
      <w:r w:rsidR="00A75B3C" w:rsidRPr="003F23AC">
        <w:rPr>
          <w:rFonts w:cs="Times New Roman"/>
          <w:noProof/>
          <w:lang w:val="sk-SK"/>
        </w:rPr>
        <w:t xml:space="preserve"> s </w:t>
      </w:r>
      <w:r w:rsidRPr="003F23AC">
        <w:rPr>
          <w:rFonts w:cs="Times New Roman"/>
          <w:noProof/>
          <w:lang w:val="sk-SK"/>
        </w:rPr>
        <w:t>likviditou, ako aj posilniť konkurencieschopnosť regionálneho hospodárstva</w:t>
      </w:r>
      <w:r w:rsidR="00A75B3C" w:rsidRPr="003F23AC">
        <w:rPr>
          <w:rFonts w:cs="Times New Roman"/>
          <w:noProof/>
          <w:lang w:val="sk-SK"/>
        </w:rPr>
        <w:t>.</w:t>
      </w:r>
    </w:p>
    <w:p w14:paraId="76EBD3EA" w14:textId="21545B8B"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investícia spočíva</w:t>
      </w:r>
      <w:r w:rsidR="00A75B3C" w:rsidRPr="003F23AC">
        <w:rPr>
          <w:rFonts w:cs="Times New Roman"/>
          <w:noProof/>
          <w:lang w:val="sk-SK"/>
        </w:rPr>
        <w:t xml:space="preserve"> v </w:t>
      </w:r>
      <w:r w:rsidRPr="003F23AC">
        <w:rPr>
          <w:rFonts w:cs="Times New Roman"/>
          <w:noProof/>
          <w:lang w:val="sk-SK"/>
        </w:rPr>
        <w:t>posilnení finančnej podpory poskytovanej prostredníctvom úverovej linky (</w:t>
      </w:r>
      <w:r w:rsidRPr="003F23AC">
        <w:rPr>
          <w:rFonts w:cs="Times New Roman"/>
          <w:i/>
          <w:noProof/>
          <w:lang w:val="sk-SK"/>
        </w:rPr>
        <w:t>Investe RAM 2020)</w:t>
      </w:r>
      <w:r w:rsidRPr="003F23AC">
        <w:rPr>
          <w:rFonts w:cs="Times New Roman"/>
          <w:noProof/>
          <w:lang w:val="sk-SK"/>
        </w:rPr>
        <w:t>. Tento nástroj poskytuje spoločnostiam úverové záruky, ktorými sa zaručí celková výška úverov vo výške 15 900 000 EUR. Nástroj dotuje aj úrokové náklady na úvery [pre 100</w:t>
      </w:r>
      <w:r w:rsidR="00A75B3C" w:rsidRPr="003F23AC">
        <w:rPr>
          <w:rFonts w:cs="Times New Roman"/>
          <w:noProof/>
          <w:lang w:val="sk-SK"/>
        </w:rPr>
        <w:t> %</w:t>
      </w:r>
      <w:r w:rsidRPr="003F23AC">
        <w:rPr>
          <w:rFonts w:cs="Times New Roman"/>
          <w:noProof/>
          <w:lang w:val="sk-SK"/>
        </w:rPr>
        <w:t xml:space="preserve"> bezrizikovej (Euribor) úrokovej sadzby plus najmenej 60</w:t>
      </w:r>
      <w:r w:rsidR="00A75B3C" w:rsidRPr="003F23AC">
        <w:rPr>
          <w:rFonts w:cs="Times New Roman"/>
          <w:noProof/>
          <w:lang w:val="sk-SK"/>
        </w:rPr>
        <w:t> %</w:t>
      </w:r>
      <w:r w:rsidRPr="003F23AC">
        <w:rPr>
          <w:rFonts w:cs="Times New Roman"/>
          <w:noProof/>
          <w:lang w:val="sk-SK"/>
        </w:rPr>
        <w:t xml:space="preserve"> rizikovej prirážky do 3,4</w:t>
      </w:r>
      <w:r w:rsidR="00A75B3C" w:rsidRPr="003F23AC">
        <w:rPr>
          <w:rFonts w:cs="Times New Roman"/>
          <w:noProof/>
          <w:lang w:val="sk-SK"/>
        </w:rPr>
        <w:t> %</w:t>
      </w:r>
      <w:r w:rsidRPr="003F23AC">
        <w:rPr>
          <w:rFonts w:cs="Times New Roman"/>
          <w:noProof/>
          <w:lang w:val="sk-SK"/>
        </w:rPr>
        <w:t xml:space="preserve">). Investícia sa uskutoční prostredníctvom protokolu medzi </w:t>
      </w:r>
      <w:r w:rsidRPr="003F23AC">
        <w:rPr>
          <w:rFonts w:cs="Times New Roman"/>
          <w:i/>
          <w:noProof/>
          <w:lang w:val="sk-SK"/>
        </w:rPr>
        <w:t>Banco Português de Fomento, Instituto de Desenvolvimento Empresarial</w:t>
      </w:r>
      <w:r w:rsidR="00A75B3C" w:rsidRPr="003F23AC">
        <w:rPr>
          <w:rFonts w:cs="Times New Roman"/>
          <w:noProof/>
          <w:lang w:val="sk-SK"/>
        </w:rPr>
        <w:t xml:space="preserve"> a </w:t>
      </w:r>
      <w:r w:rsidRPr="003F23AC">
        <w:rPr>
          <w:rFonts w:cs="Times New Roman"/>
          <w:noProof/>
          <w:lang w:val="sk-SK"/>
        </w:rPr>
        <w:t>finančnými sprostredkovateľmi, ktorých si vybrali.</w:t>
      </w:r>
    </w:p>
    <w:p w14:paraId="502DBAE8" w14:textId="0FE7B38A"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S cieľom zabezpečiť, aby opatrenie bolo</w:t>
      </w:r>
      <w:r w:rsidR="00A75B3C" w:rsidRPr="003F23AC">
        <w:rPr>
          <w:rFonts w:cs="Times New Roman"/>
          <w:noProof/>
          <w:lang w:val="sk-SK"/>
        </w:rPr>
        <w:t xml:space="preserve"> v </w:t>
      </w:r>
      <w:r w:rsidRPr="003F23AC">
        <w:rPr>
          <w:rFonts w:cs="Times New Roman"/>
          <w:noProof/>
          <w:lang w:val="sk-SK"/>
        </w:rPr>
        <w:t>súlade so zásadou „nespôsobovať významnú škodu“</w:t>
      </w:r>
      <w:r w:rsidR="00A75B3C" w:rsidRPr="003F23AC">
        <w:rPr>
          <w:rFonts w:cs="Times New Roman"/>
          <w:noProof/>
          <w:lang w:val="sk-SK"/>
        </w:rPr>
        <w:t xml:space="preserve"> v </w:t>
      </w:r>
      <w:r w:rsidRPr="003F23AC">
        <w:rPr>
          <w:rFonts w:cs="Times New Roman"/>
          <w:noProof/>
          <w:lang w:val="sk-SK"/>
        </w:rPr>
        <w:t>rámci Mechanizmu na podporu obnovy</w:t>
      </w:r>
      <w:r w:rsidR="00A75B3C" w:rsidRPr="003F23AC">
        <w:rPr>
          <w:rFonts w:cs="Times New Roman"/>
          <w:noProof/>
          <w:lang w:val="sk-SK"/>
        </w:rPr>
        <w:t xml:space="preserve"> a </w:t>
      </w:r>
      <w:r w:rsidRPr="003F23AC">
        <w:rPr>
          <w:rFonts w:cs="Times New Roman"/>
          <w:noProof/>
          <w:lang w:val="sk-SK"/>
        </w:rPr>
        <w:t>odolnosti, ako sa stanovuje</w:t>
      </w:r>
      <w:r w:rsidR="00A75B3C" w:rsidRPr="003F23AC">
        <w:rPr>
          <w:rFonts w:cs="Times New Roman"/>
          <w:noProof/>
          <w:lang w:val="sk-SK"/>
        </w:rPr>
        <w:t xml:space="preserve"> v </w:t>
      </w:r>
      <w:r w:rsidRPr="003F23AC">
        <w:rPr>
          <w:rFonts w:cs="Times New Roman"/>
          <w:noProof/>
          <w:lang w:val="sk-SK"/>
        </w:rPr>
        <w:t xml:space="preserve">technickom usmernení „nespôsobovať významnú škodu“ (2021/C58/01), právna dohoda (dohody) medzi </w:t>
      </w:r>
      <w:r w:rsidRPr="003F23AC">
        <w:rPr>
          <w:rFonts w:cs="Times New Roman"/>
          <w:i/>
          <w:noProof/>
          <w:lang w:val="sk-SK"/>
        </w:rPr>
        <w:t>Banco Português de Fomento, Instituto de Desenvolvimento Empresarial</w:t>
      </w:r>
      <w:r w:rsidR="00A75B3C" w:rsidRPr="003F23AC">
        <w:rPr>
          <w:rFonts w:cs="Times New Roman"/>
          <w:noProof/>
          <w:lang w:val="sk-SK"/>
        </w:rPr>
        <w:t xml:space="preserve"> a </w:t>
      </w:r>
      <w:r w:rsidRPr="003F23AC">
        <w:rPr>
          <w:rFonts w:cs="Times New Roman"/>
          <w:noProof/>
          <w:lang w:val="sk-SK"/>
        </w:rPr>
        <w:t>finančnými sprostredkovateľmi, ktorých vybrali, ako aj následná vykonávacia dohoda (protokol) finančného nástroja:</w:t>
      </w:r>
    </w:p>
    <w:p w14:paraId="05683CB6" w14:textId="2EF78826" w:rsidR="00387C70" w:rsidRPr="00A26F8D" w:rsidRDefault="000F5AA4" w:rsidP="003F23AC">
      <w:pPr>
        <w:pStyle w:val="ListParagraph"/>
        <w:keepNext w:val="0"/>
        <w:numPr>
          <w:ilvl w:val="0"/>
          <w:numId w:val="74"/>
        </w:numPr>
        <w:spacing w:before="120" w:after="120" w:line="22" w:lineRule="atLeast"/>
        <w:rPr>
          <w:noProof/>
          <w:spacing w:val="-4"/>
          <w:lang w:val="sk-SK"/>
        </w:rPr>
      </w:pPr>
      <w:r w:rsidRPr="00A26F8D">
        <w:rPr>
          <w:noProof/>
          <w:spacing w:val="-4"/>
          <w:lang w:val="sk-SK"/>
        </w:rPr>
        <w:t>Vylúčiť</w:t>
      </w:r>
      <w:r w:rsidR="00A75B3C" w:rsidRPr="00A26F8D">
        <w:rPr>
          <w:noProof/>
          <w:spacing w:val="-4"/>
          <w:lang w:val="sk-SK"/>
        </w:rPr>
        <w:t xml:space="preserve"> z </w:t>
      </w:r>
      <w:r w:rsidRPr="00A26F8D">
        <w:rPr>
          <w:noProof/>
          <w:spacing w:val="-4"/>
          <w:lang w:val="sk-SK"/>
        </w:rPr>
        <w:t>oprávnenosti tento zoznam činností</w:t>
      </w:r>
      <w:r w:rsidR="00A75B3C" w:rsidRPr="00A26F8D">
        <w:rPr>
          <w:noProof/>
          <w:spacing w:val="-4"/>
          <w:lang w:val="sk-SK"/>
        </w:rPr>
        <w:t xml:space="preserve"> a </w:t>
      </w:r>
      <w:r w:rsidRPr="00A26F8D">
        <w:rPr>
          <w:noProof/>
          <w:spacing w:val="-4"/>
          <w:lang w:val="sk-SK"/>
        </w:rPr>
        <w:t>aktív: I) činnosti</w:t>
      </w:r>
      <w:r w:rsidR="00A75B3C" w:rsidRPr="00A26F8D">
        <w:rPr>
          <w:noProof/>
          <w:spacing w:val="-4"/>
          <w:lang w:val="sk-SK"/>
        </w:rPr>
        <w:t xml:space="preserve"> a </w:t>
      </w:r>
      <w:r w:rsidRPr="00A26F8D">
        <w:rPr>
          <w:noProof/>
          <w:spacing w:val="-4"/>
          <w:lang w:val="sk-SK"/>
        </w:rPr>
        <w:t>aktíva súvisiace</w:t>
      </w:r>
      <w:r w:rsidR="00A75B3C" w:rsidRPr="00A26F8D">
        <w:rPr>
          <w:noProof/>
          <w:spacing w:val="-4"/>
          <w:lang w:val="sk-SK"/>
        </w:rPr>
        <w:t xml:space="preserve"> s </w:t>
      </w:r>
      <w:r w:rsidRPr="00A26F8D">
        <w:rPr>
          <w:noProof/>
          <w:spacing w:val="-4"/>
          <w:lang w:val="sk-SK"/>
        </w:rPr>
        <w:t>fosílnymi palivami vrátane následného použitia</w:t>
      </w:r>
      <w:r w:rsidRPr="00A26F8D">
        <w:rPr>
          <w:rStyle w:val="FootnoteReference"/>
          <w:noProof/>
          <w:spacing w:val="-4"/>
          <w:lang w:val="sk-SK"/>
        </w:rPr>
        <w:footnoteReference w:id="31"/>
      </w:r>
      <w:r w:rsidRPr="00A26F8D">
        <w:rPr>
          <w:noProof/>
          <w:spacing w:val="-4"/>
          <w:lang w:val="sk-SK"/>
        </w:rPr>
        <w:t>; II) činnosti</w:t>
      </w:r>
      <w:r w:rsidR="00A75B3C" w:rsidRPr="00A26F8D">
        <w:rPr>
          <w:noProof/>
          <w:spacing w:val="-4"/>
          <w:lang w:val="sk-SK"/>
        </w:rPr>
        <w:t xml:space="preserve"> a </w:t>
      </w:r>
      <w:r w:rsidRPr="00A26F8D">
        <w:rPr>
          <w:noProof/>
          <w:spacing w:val="-4"/>
          <w:lang w:val="sk-SK"/>
        </w:rPr>
        <w:t>aktíva</w:t>
      </w:r>
      <w:r w:rsidR="00A75B3C" w:rsidRPr="00A26F8D">
        <w:rPr>
          <w:noProof/>
          <w:spacing w:val="-4"/>
          <w:lang w:val="sk-SK"/>
        </w:rPr>
        <w:t xml:space="preserve"> v </w:t>
      </w:r>
      <w:r w:rsidRPr="00A26F8D">
        <w:rPr>
          <w:noProof/>
          <w:spacing w:val="-4"/>
          <w:lang w:val="sk-SK"/>
        </w:rPr>
        <w:t>rámci systému EÚ na obchodovanie</w:t>
      </w:r>
      <w:r w:rsidR="00A75B3C" w:rsidRPr="00A26F8D">
        <w:rPr>
          <w:noProof/>
          <w:spacing w:val="-4"/>
          <w:lang w:val="sk-SK"/>
        </w:rPr>
        <w:t xml:space="preserve"> s </w:t>
      </w:r>
      <w:r w:rsidRPr="00A26F8D">
        <w:rPr>
          <w:noProof/>
          <w:spacing w:val="-4"/>
          <w:lang w:val="sk-SK"/>
        </w:rPr>
        <w:t>emisiami (ETS), ktorými sa dosahujú predpokladané emisie skleníkových plynov, ktoré nie sú nižšie ako príslušné referenčné hodnoty</w:t>
      </w:r>
      <w:r w:rsidRPr="00A26F8D">
        <w:rPr>
          <w:rStyle w:val="FootnoteReference"/>
          <w:noProof/>
          <w:spacing w:val="-4"/>
          <w:lang w:val="sk-SK"/>
        </w:rPr>
        <w:footnoteReference w:id="32"/>
      </w:r>
      <w:r w:rsidRPr="00A26F8D">
        <w:rPr>
          <w:noProof/>
          <w:spacing w:val="-4"/>
          <w:lang w:val="sk-SK"/>
        </w:rPr>
        <w:t>; III) činnosti</w:t>
      </w:r>
      <w:r w:rsidR="00A75B3C" w:rsidRPr="00A26F8D">
        <w:rPr>
          <w:noProof/>
          <w:spacing w:val="-4"/>
          <w:lang w:val="sk-SK"/>
        </w:rPr>
        <w:t xml:space="preserve"> a </w:t>
      </w:r>
      <w:r w:rsidRPr="00A26F8D">
        <w:rPr>
          <w:noProof/>
          <w:spacing w:val="-4"/>
          <w:lang w:val="sk-SK"/>
        </w:rPr>
        <w:t>aktíva týkajúce sa skládok odpadu, spaľovní</w:t>
      </w:r>
      <w:r w:rsidRPr="00A26F8D">
        <w:rPr>
          <w:rStyle w:val="FootnoteReference"/>
          <w:noProof/>
          <w:spacing w:val="-4"/>
          <w:lang w:val="sk-SK"/>
        </w:rPr>
        <w:footnoteReference w:id="33"/>
      </w:r>
      <w:r w:rsidR="00A75B3C" w:rsidRPr="00A26F8D">
        <w:rPr>
          <w:noProof/>
          <w:spacing w:val="-4"/>
          <w:lang w:val="sk-SK"/>
        </w:rPr>
        <w:t xml:space="preserve"> a </w:t>
      </w:r>
      <w:r w:rsidRPr="00A26F8D">
        <w:rPr>
          <w:noProof/>
          <w:spacing w:val="-4"/>
          <w:lang w:val="sk-SK"/>
        </w:rPr>
        <w:t>mechanických biologických čistiarní</w:t>
      </w:r>
      <w:r w:rsidRPr="00A26F8D">
        <w:rPr>
          <w:rStyle w:val="FootnoteReference"/>
          <w:noProof/>
          <w:spacing w:val="-4"/>
          <w:lang w:val="sk-SK"/>
        </w:rPr>
        <w:footnoteReference w:id="34"/>
      </w:r>
      <w:r w:rsidRPr="00A26F8D">
        <w:rPr>
          <w:noProof/>
          <w:spacing w:val="-4"/>
          <w:lang w:val="sk-SK"/>
        </w:rPr>
        <w:t>;</w:t>
      </w:r>
      <w:r w:rsidR="00A75B3C" w:rsidRPr="00A26F8D">
        <w:rPr>
          <w:noProof/>
          <w:spacing w:val="-4"/>
          <w:lang w:val="sk-SK"/>
        </w:rPr>
        <w:t xml:space="preserve"> a </w:t>
      </w:r>
      <w:r w:rsidRPr="00A26F8D">
        <w:rPr>
          <w:noProof/>
          <w:spacing w:val="-4"/>
          <w:lang w:val="sk-SK"/>
        </w:rPr>
        <w:t>zároveň</w:t>
      </w:r>
    </w:p>
    <w:p w14:paraId="0AEDD136" w14:textId="467732F2" w:rsidR="00387C70" w:rsidRPr="003F23AC" w:rsidRDefault="000F5AA4" w:rsidP="003F23AC">
      <w:pPr>
        <w:pStyle w:val="ListParagraph"/>
        <w:keepNext w:val="0"/>
        <w:numPr>
          <w:ilvl w:val="0"/>
          <w:numId w:val="74"/>
        </w:numPr>
        <w:spacing w:before="120" w:after="120" w:line="22" w:lineRule="atLeast"/>
        <w:rPr>
          <w:noProof/>
          <w:lang w:val="sk-SK"/>
        </w:rPr>
      </w:pPr>
      <w:r w:rsidRPr="003F23AC">
        <w:rPr>
          <w:noProof/>
          <w:lang w:val="sk-SK"/>
        </w:rPr>
        <w:t>Vyžadovať od príjemcu súlad</w:t>
      </w:r>
      <w:r w:rsidR="00A75B3C" w:rsidRPr="003F23AC">
        <w:rPr>
          <w:noProof/>
          <w:lang w:val="sk-SK"/>
        </w:rPr>
        <w:t xml:space="preserve"> s </w:t>
      </w:r>
      <w:r w:rsidRPr="003F23AC">
        <w:rPr>
          <w:noProof/>
          <w:lang w:val="sk-SK"/>
        </w:rPr>
        <w:t>príslušnými právnymi predpismi EÚ</w:t>
      </w:r>
      <w:r w:rsidR="00A75B3C" w:rsidRPr="003F23AC">
        <w:rPr>
          <w:noProof/>
          <w:lang w:val="sk-SK"/>
        </w:rPr>
        <w:t xml:space="preserve"> a </w:t>
      </w:r>
      <w:r w:rsidRPr="003F23AC">
        <w:rPr>
          <w:noProof/>
          <w:lang w:val="sk-SK"/>
        </w:rPr>
        <w:t>vnútroštátnymi právnymi predpismi</w:t>
      </w:r>
      <w:r w:rsidR="00A75B3C" w:rsidRPr="003F23AC">
        <w:rPr>
          <w:noProof/>
          <w:lang w:val="sk-SK"/>
        </w:rPr>
        <w:t xml:space="preserve"> v </w:t>
      </w:r>
      <w:r w:rsidRPr="003F23AC">
        <w:rPr>
          <w:noProof/>
          <w:lang w:val="sk-SK"/>
        </w:rPr>
        <w:t>oblasti životného prostredia.</w:t>
      </w:r>
    </w:p>
    <w:p w14:paraId="0AB91DA2" w14:textId="4EAA66BD" w:rsidR="00387C70" w:rsidRPr="003F23AC" w:rsidRDefault="000F5AA4" w:rsidP="003F23AC">
      <w:pPr>
        <w:pStyle w:val="P68B1DB1-Normal4"/>
        <w:spacing w:line="22" w:lineRule="atLeast"/>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3868A1A9" w14:textId="37A914CF" w:rsidR="00387C70" w:rsidRPr="003F23AC" w:rsidRDefault="000F5AA4" w:rsidP="003F23AC">
      <w:pPr>
        <w:pStyle w:val="P68B1DB1-Heading214"/>
        <w:keepNext w:val="0"/>
        <w:rPr>
          <w:noProof/>
          <w:lang w:val="sk-SK"/>
        </w:rPr>
      </w:pPr>
      <w:bookmarkStart w:id="10" w:name="_Toc137472449"/>
      <w:bookmarkEnd w:id="9"/>
      <w:r w:rsidRPr="003F23AC">
        <w:rPr>
          <w:noProof/>
          <w:lang w:val="sk-SK"/>
        </w:rPr>
        <w:t>Investície RE-C05-i08: Viac digitálnej vedy</w:t>
      </w:r>
      <w:bookmarkEnd w:id="10"/>
    </w:p>
    <w:p w14:paraId="210E9435" w14:textId="2DA2B7F1" w:rsidR="00387C70" w:rsidRPr="003F23AC" w:rsidRDefault="000F5AA4" w:rsidP="003F23AC">
      <w:pPr>
        <w:pStyle w:val="P68B1DB1-Normal4"/>
        <w:rPr>
          <w:rFonts w:cs="Times New Roman"/>
          <w:noProof/>
          <w:lang w:val="sk-SK"/>
        </w:rPr>
      </w:pPr>
      <w:r w:rsidRPr="003F23AC">
        <w:rPr>
          <w:rFonts w:cs="Times New Roman"/>
          <w:noProof/>
          <w:lang w:val="sk-SK"/>
        </w:rPr>
        <w:t>Cieľom tohto opatrenia je urýchliť proces digitálnej transformácie</w:t>
      </w:r>
      <w:r w:rsidR="00A75B3C" w:rsidRPr="003F23AC">
        <w:rPr>
          <w:rFonts w:cs="Times New Roman"/>
          <w:noProof/>
          <w:lang w:val="sk-SK"/>
        </w:rPr>
        <w:t xml:space="preserve"> a </w:t>
      </w:r>
      <w:r w:rsidRPr="003F23AC">
        <w:rPr>
          <w:rFonts w:cs="Times New Roman"/>
          <w:noProof/>
          <w:lang w:val="sk-SK"/>
        </w:rPr>
        <w:t>digitalizácie vedy</w:t>
      </w:r>
      <w:r w:rsidR="00A75B3C" w:rsidRPr="003F23AC">
        <w:rPr>
          <w:rFonts w:cs="Times New Roman"/>
          <w:noProof/>
          <w:lang w:val="sk-SK"/>
        </w:rPr>
        <w:t xml:space="preserve"> a </w:t>
      </w:r>
      <w:r w:rsidRPr="003F23AC">
        <w:rPr>
          <w:rFonts w:cs="Times New Roman"/>
          <w:noProof/>
          <w:lang w:val="sk-SK"/>
        </w:rPr>
        <w:t>služieb podporujúcich národný systém vedy</w:t>
      </w:r>
      <w:r w:rsidR="00A75B3C" w:rsidRPr="003F23AC">
        <w:rPr>
          <w:rFonts w:cs="Times New Roman"/>
          <w:noProof/>
          <w:lang w:val="sk-SK"/>
        </w:rPr>
        <w:t xml:space="preserve"> a </w:t>
      </w:r>
      <w:r w:rsidRPr="003F23AC">
        <w:rPr>
          <w:rFonts w:cs="Times New Roman"/>
          <w:noProof/>
          <w:lang w:val="sk-SK"/>
        </w:rPr>
        <w:t>techniky.</w:t>
      </w:r>
    </w:p>
    <w:p w14:paraId="27ECE621" w14:textId="77777777" w:rsidR="00387C70" w:rsidRPr="003F23AC" w:rsidRDefault="000F5AA4" w:rsidP="003F23AC">
      <w:pPr>
        <w:pStyle w:val="P68B1DB1-Normal4"/>
        <w:rPr>
          <w:rFonts w:cs="Times New Roman"/>
          <w:noProof/>
          <w:lang w:val="sk-SK"/>
        </w:rPr>
      </w:pPr>
      <w:r w:rsidRPr="003F23AC">
        <w:rPr>
          <w:rFonts w:cs="Times New Roman"/>
          <w:noProof/>
          <w:lang w:val="sk-SK"/>
        </w:rPr>
        <w:t>Na tento účel investícia:</w:t>
      </w:r>
    </w:p>
    <w:p w14:paraId="46455329" w14:textId="3506FC54" w:rsidR="00387C70" w:rsidRPr="003F23AC" w:rsidRDefault="000F5AA4" w:rsidP="003F23AC">
      <w:pPr>
        <w:pStyle w:val="ListParagraph"/>
        <w:keepNext w:val="0"/>
        <w:numPr>
          <w:ilvl w:val="0"/>
          <w:numId w:val="75"/>
        </w:numPr>
        <w:spacing w:before="120" w:after="120" w:line="240" w:lineRule="auto"/>
        <w:rPr>
          <w:noProof/>
          <w:lang w:val="sk-SK"/>
        </w:rPr>
      </w:pPr>
      <w:r w:rsidRPr="003F23AC">
        <w:rPr>
          <w:noProof/>
          <w:lang w:val="sk-SK"/>
        </w:rPr>
        <w:t>Dokončiť „Vedecký areál XXI“</w:t>
      </w:r>
      <w:r w:rsidR="00A75B3C" w:rsidRPr="003F23AC">
        <w:rPr>
          <w:noProof/>
          <w:lang w:val="sk-SK"/>
        </w:rPr>
        <w:t xml:space="preserve"> a </w:t>
      </w:r>
      <w:r w:rsidRPr="003F23AC">
        <w:rPr>
          <w:noProof/>
          <w:lang w:val="sk-SK"/>
        </w:rPr>
        <w:t>„vedecké centrum“ (fyzické</w:t>
      </w:r>
      <w:r w:rsidR="00A75B3C" w:rsidRPr="003F23AC">
        <w:rPr>
          <w:noProof/>
          <w:lang w:val="sk-SK"/>
        </w:rPr>
        <w:t xml:space="preserve"> a </w:t>
      </w:r>
      <w:r w:rsidRPr="003F23AC">
        <w:rPr>
          <w:noProof/>
          <w:lang w:val="sk-SK"/>
        </w:rPr>
        <w:t>online), kde sa majú na jednom mieste sprístupniť služby</w:t>
      </w:r>
      <w:r w:rsidR="00A75B3C" w:rsidRPr="003F23AC">
        <w:rPr>
          <w:noProof/>
          <w:lang w:val="sk-SK"/>
        </w:rPr>
        <w:t xml:space="preserve"> a </w:t>
      </w:r>
      <w:r w:rsidRPr="003F23AC">
        <w:rPr>
          <w:noProof/>
          <w:lang w:val="sk-SK"/>
        </w:rPr>
        <w:t>mechanizmy financovania pre výskumných pracovníkov, subjekty</w:t>
      </w:r>
      <w:r w:rsidR="00A75B3C" w:rsidRPr="003F23AC">
        <w:rPr>
          <w:noProof/>
          <w:lang w:val="sk-SK"/>
        </w:rPr>
        <w:t xml:space="preserve"> v </w:t>
      </w:r>
      <w:r w:rsidRPr="003F23AC">
        <w:rPr>
          <w:noProof/>
          <w:lang w:val="sk-SK"/>
        </w:rPr>
        <w:t>oblasti výskumu</w:t>
      </w:r>
      <w:r w:rsidR="00A75B3C" w:rsidRPr="003F23AC">
        <w:rPr>
          <w:noProof/>
          <w:lang w:val="sk-SK"/>
        </w:rPr>
        <w:t xml:space="preserve"> a </w:t>
      </w:r>
      <w:r w:rsidRPr="003F23AC">
        <w:rPr>
          <w:noProof/>
          <w:lang w:val="sk-SK"/>
        </w:rPr>
        <w:t>vývoja</w:t>
      </w:r>
      <w:r w:rsidR="00A75B3C" w:rsidRPr="003F23AC">
        <w:rPr>
          <w:noProof/>
          <w:lang w:val="sk-SK"/>
        </w:rPr>
        <w:t xml:space="preserve"> a </w:t>
      </w:r>
      <w:r w:rsidRPr="003F23AC">
        <w:rPr>
          <w:noProof/>
          <w:lang w:val="sk-SK"/>
        </w:rPr>
        <w:t>inštitúty vysokoškolského vzdelávania;</w:t>
      </w:r>
    </w:p>
    <w:p w14:paraId="6C941732" w14:textId="22ED98D4" w:rsidR="00387C70" w:rsidRPr="003F23AC" w:rsidRDefault="000F5AA4" w:rsidP="003F23AC">
      <w:pPr>
        <w:pStyle w:val="ListParagraph"/>
        <w:keepNext w:val="0"/>
        <w:numPr>
          <w:ilvl w:val="0"/>
          <w:numId w:val="75"/>
        </w:numPr>
        <w:spacing w:before="120" w:after="120" w:line="240" w:lineRule="auto"/>
        <w:rPr>
          <w:noProof/>
          <w:lang w:val="sk-SK"/>
        </w:rPr>
      </w:pPr>
      <w:r w:rsidRPr="003F23AC">
        <w:rPr>
          <w:noProof/>
          <w:lang w:val="sk-SK"/>
        </w:rPr>
        <w:t>Zriadiť národné stredisko pre pokročilú výpočtovú techniku (CNCA), ktoré bude pokrývať portugalský národný príspevok</w:t>
      </w:r>
      <w:r w:rsidR="00A75B3C" w:rsidRPr="003F23AC">
        <w:rPr>
          <w:noProof/>
          <w:lang w:val="sk-SK"/>
        </w:rPr>
        <w:t xml:space="preserve"> k </w:t>
      </w:r>
      <w:r w:rsidRPr="003F23AC">
        <w:rPr>
          <w:noProof/>
          <w:lang w:val="sk-SK"/>
        </w:rPr>
        <w:t>novému superpočítaču „Deucalion“</w:t>
      </w:r>
      <w:r w:rsidR="00A75B3C" w:rsidRPr="003F23AC">
        <w:rPr>
          <w:noProof/>
          <w:lang w:val="sk-SK"/>
        </w:rPr>
        <w:t xml:space="preserve"> a </w:t>
      </w:r>
      <w:r w:rsidRPr="003F23AC">
        <w:rPr>
          <w:noProof/>
          <w:lang w:val="sk-SK"/>
        </w:rPr>
        <w:t>dokončiť infraštruktúru dátového centra/podpornej infraštruktúry na prevádzku dvoch superpočítačov „Deucalion“</w:t>
      </w:r>
      <w:r w:rsidR="00A75B3C" w:rsidRPr="003F23AC">
        <w:rPr>
          <w:noProof/>
          <w:lang w:val="sk-SK"/>
        </w:rPr>
        <w:t xml:space="preserve"> a </w:t>
      </w:r>
      <w:r w:rsidRPr="003F23AC">
        <w:rPr>
          <w:noProof/>
          <w:lang w:val="sk-SK"/>
        </w:rPr>
        <w:t>„Mare Nostrum 5“;</w:t>
      </w:r>
    </w:p>
    <w:p w14:paraId="084AC810" w14:textId="5CC2D607" w:rsidR="00387C70" w:rsidRPr="003F23AC" w:rsidRDefault="000F5AA4" w:rsidP="003F23AC">
      <w:pPr>
        <w:pStyle w:val="ListParagraph"/>
        <w:keepNext w:val="0"/>
        <w:numPr>
          <w:ilvl w:val="0"/>
          <w:numId w:val="75"/>
        </w:numPr>
        <w:spacing w:before="120" w:after="120" w:line="240" w:lineRule="auto"/>
        <w:rPr>
          <w:noProof/>
          <w:lang w:val="sk-SK"/>
        </w:rPr>
      </w:pPr>
      <w:r w:rsidRPr="003F23AC">
        <w:rPr>
          <w:noProof/>
          <w:lang w:val="sk-SK"/>
        </w:rPr>
        <w:t>Podporovať spustenie projektového programu</w:t>
      </w:r>
      <w:r w:rsidR="00A75B3C" w:rsidRPr="003F23AC">
        <w:rPr>
          <w:noProof/>
          <w:lang w:val="sk-SK"/>
        </w:rPr>
        <w:t xml:space="preserve"> v </w:t>
      </w:r>
      <w:r w:rsidRPr="003F23AC">
        <w:rPr>
          <w:noProof/>
          <w:lang w:val="sk-SK"/>
        </w:rPr>
        <w:t>oblasti výskumu</w:t>
      </w:r>
      <w:r w:rsidR="00A75B3C" w:rsidRPr="003F23AC">
        <w:rPr>
          <w:noProof/>
          <w:lang w:val="sk-SK"/>
        </w:rPr>
        <w:t xml:space="preserve"> a </w:t>
      </w:r>
      <w:r w:rsidRPr="003F23AC">
        <w:rPr>
          <w:noProof/>
          <w:lang w:val="sk-SK"/>
        </w:rPr>
        <w:t>vývoja zameraného na vývoj</w:t>
      </w:r>
      <w:r w:rsidR="00A75B3C" w:rsidRPr="003F23AC">
        <w:rPr>
          <w:noProof/>
          <w:lang w:val="sk-SK"/>
        </w:rPr>
        <w:t xml:space="preserve"> a </w:t>
      </w:r>
      <w:r w:rsidRPr="003F23AC">
        <w:rPr>
          <w:noProof/>
          <w:lang w:val="sk-SK"/>
        </w:rPr>
        <w:t>zavádzanie pokročilých systémov kybernetickej bezpečnosti, umelej inteligencie</w:t>
      </w:r>
      <w:r w:rsidR="00A75B3C" w:rsidRPr="003F23AC">
        <w:rPr>
          <w:noProof/>
          <w:lang w:val="sk-SK"/>
        </w:rPr>
        <w:t xml:space="preserve"> a </w:t>
      </w:r>
      <w:r w:rsidRPr="003F23AC">
        <w:rPr>
          <w:noProof/>
          <w:lang w:val="sk-SK"/>
        </w:rPr>
        <w:t>dátovej vedy vo verejnej správe, ako aj programu posilnenia vedeckého postavenia;</w:t>
      </w:r>
    </w:p>
    <w:p w14:paraId="37E9BAB2" w14:textId="659E6A48" w:rsidR="00387C70" w:rsidRPr="003F23AC" w:rsidRDefault="000F5AA4" w:rsidP="003F23AC">
      <w:pPr>
        <w:pStyle w:val="ListParagraph"/>
        <w:keepNext w:val="0"/>
        <w:numPr>
          <w:ilvl w:val="0"/>
          <w:numId w:val="75"/>
        </w:numPr>
        <w:spacing w:before="120" w:after="120" w:line="240" w:lineRule="auto"/>
        <w:rPr>
          <w:noProof/>
          <w:lang w:val="sk-SK"/>
        </w:rPr>
      </w:pPr>
      <w:r w:rsidRPr="003F23AC">
        <w:rPr>
          <w:noProof/>
          <w:lang w:val="sk-SK"/>
        </w:rPr>
        <w:t>Zvýšiť počet kurzov ponúkaných prostredníctvom národnej platformy pre hromadné online kurzy (NAU);</w:t>
      </w:r>
    </w:p>
    <w:p w14:paraId="1CAC10F0" w14:textId="5632D60C" w:rsidR="00387C70" w:rsidRPr="003F23AC" w:rsidRDefault="000F5AA4" w:rsidP="003F23AC">
      <w:pPr>
        <w:pStyle w:val="ListParagraph"/>
        <w:keepNext w:val="0"/>
        <w:numPr>
          <w:ilvl w:val="0"/>
          <w:numId w:val="75"/>
        </w:numPr>
        <w:spacing w:before="120" w:after="120" w:line="240" w:lineRule="auto"/>
        <w:rPr>
          <w:noProof/>
          <w:lang w:val="sk-SK"/>
        </w:rPr>
      </w:pPr>
      <w:r w:rsidRPr="003F23AC">
        <w:rPr>
          <w:noProof/>
          <w:lang w:val="sk-SK"/>
        </w:rPr>
        <w:t>Implementovať národný program otvorených vedeckých</w:t>
      </w:r>
      <w:r w:rsidR="00A75B3C" w:rsidRPr="003F23AC">
        <w:rPr>
          <w:noProof/>
          <w:lang w:val="sk-SK"/>
        </w:rPr>
        <w:t xml:space="preserve"> a </w:t>
      </w:r>
      <w:r w:rsidRPr="003F23AC">
        <w:rPr>
          <w:noProof/>
          <w:lang w:val="sk-SK"/>
        </w:rPr>
        <w:t>výskumných údajov (PNCADAI).</w:t>
      </w:r>
    </w:p>
    <w:p w14:paraId="32824034" w14:textId="26BB7C81" w:rsidR="00387C70" w:rsidRPr="003F23AC" w:rsidRDefault="000F5AA4" w:rsidP="003F23AC">
      <w:pPr>
        <w:pStyle w:val="P68B1DB1-Normal4"/>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marca</w:t>
      </w:r>
      <w:r w:rsidRPr="003F23AC">
        <w:rPr>
          <w:rFonts w:cs="Times New Roman"/>
          <w:noProof/>
          <w:lang w:val="sk-SK"/>
        </w:rPr>
        <w:t xml:space="preserve"> 2026.</w:t>
      </w:r>
    </w:p>
    <w:p w14:paraId="37E57FD8" w14:textId="6C90134D" w:rsidR="00387C70" w:rsidRPr="003F23AC" w:rsidRDefault="000F5AA4" w:rsidP="003F23AC">
      <w:pPr>
        <w:pStyle w:val="P68B1DB1-Heading214"/>
        <w:keepNext w:val="0"/>
        <w:rPr>
          <w:noProof/>
          <w:lang w:val="sk-SK"/>
        </w:rPr>
      </w:pPr>
      <w:bookmarkStart w:id="11" w:name="_Toc209238830"/>
      <w:bookmarkStart w:id="12" w:name="_Toc137472447"/>
      <w:r w:rsidRPr="003F23AC">
        <w:rPr>
          <w:noProof/>
          <w:lang w:val="sk-SK"/>
        </w:rPr>
        <w:t>Investície RE-C05-i09– Rozšírenie: Mobilizácia programov/Aliancií pre podnikateľské inovácie</w:t>
      </w:r>
      <w:bookmarkEnd w:id="11"/>
      <w:bookmarkEnd w:id="12"/>
    </w:p>
    <w:p w14:paraId="76FE3041" w14:textId="420E656F" w:rsidR="00A75B3C" w:rsidRPr="003F23AC" w:rsidRDefault="000F5AA4" w:rsidP="003F23AC">
      <w:pPr>
        <w:pStyle w:val="P68B1DB1-Normal4"/>
        <w:jc w:val="both"/>
        <w:rPr>
          <w:rFonts w:cs="Times New Roman"/>
          <w:noProof/>
          <w:lang w:val="sk-SK"/>
        </w:rPr>
      </w:pPr>
      <w:r w:rsidRPr="003F23AC">
        <w:rPr>
          <w:rFonts w:cs="Times New Roman"/>
          <w:noProof/>
          <w:lang w:val="sk-SK"/>
        </w:rPr>
        <w:t>Cieľom tejto investície je zvýšiť investície RE-C05-i01.01</w:t>
      </w:r>
      <w:r w:rsidR="00A75B3C" w:rsidRPr="003F23AC">
        <w:rPr>
          <w:rFonts w:cs="Times New Roman"/>
          <w:noProof/>
          <w:lang w:val="sk-SK"/>
        </w:rPr>
        <w:t xml:space="preserve"> v </w:t>
      </w:r>
      <w:r w:rsidRPr="003F23AC">
        <w:rPr>
          <w:rFonts w:cs="Times New Roman"/>
          <w:noProof/>
          <w:lang w:val="sk-SK"/>
        </w:rPr>
        <w:t>rámci zložky 5. Zväčšenou časťou opatrenia sa zvýši počet výrobkov, procesov alebo služieb dokončených</w:t>
      </w:r>
      <w:r w:rsidR="00A75B3C" w:rsidRPr="003F23AC">
        <w:rPr>
          <w:rFonts w:cs="Times New Roman"/>
          <w:noProof/>
          <w:lang w:val="sk-SK"/>
        </w:rPr>
        <w:t xml:space="preserve"> z </w:t>
      </w:r>
      <w:r w:rsidRPr="003F23AC">
        <w:rPr>
          <w:rFonts w:cs="Times New Roman"/>
          <w:noProof/>
          <w:lang w:val="sk-SK"/>
        </w:rPr>
        <w:t>mobilizačných programov/Aliancií pre podnikateľské inovácie</w:t>
      </w:r>
      <w:r w:rsidR="00A75B3C" w:rsidRPr="003F23AC">
        <w:rPr>
          <w:rFonts w:cs="Times New Roman"/>
          <w:noProof/>
          <w:lang w:val="sk-SK"/>
        </w:rPr>
        <w:t>.</w:t>
      </w:r>
    </w:p>
    <w:p w14:paraId="71CB417C" w14:textId="467684FC" w:rsidR="00387C70" w:rsidRPr="003F23AC" w:rsidRDefault="000F5AA4" w:rsidP="003F23AC">
      <w:pPr>
        <w:pStyle w:val="P68B1DB1-Normal4"/>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0EE30DD3" w14:textId="6E416376" w:rsidR="00387C70" w:rsidRPr="003F23AC" w:rsidRDefault="000F5AA4" w:rsidP="003F23AC">
      <w:pPr>
        <w:pStyle w:val="P68B1DB1-Heading214"/>
        <w:keepNext w:val="0"/>
        <w:rPr>
          <w:noProof/>
          <w:lang w:val="sk-SK"/>
        </w:rPr>
      </w:pPr>
      <w:bookmarkStart w:id="13" w:name="_Toc137472485"/>
      <w:r w:rsidRPr="003F23AC">
        <w:rPr>
          <w:noProof/>
          <w:lang w:val="sk-SK"/>
        </w:rPr>
        <w:t>Investície RE-C05-i10– Rozšírenie: Ekologické programy/Aliancia pre podnikateľské inovácie</w:t>
      </w:r>
      <w:bookmarkEnd w:id="13"/>
    </w:p>
    <w:p w14:paraId="150A2213" w14:textId="2FBBC2A9" w:rsidR="00387C70" w:rsidRPr="003F23AC" w:rsidRDefault="000F5AA4" w:rsidP="003F23AC">
      <w:pPr>
        <w:pStyle w:val="P68B1DB1-Normal4"/>
        <w:jc w:val="both"/>
        <w:rPr>
          <w:rFonts w:cs="Times New Roman"/>
          <w:noProof/>
          <w:lang w:val="sk-SK"/>
        </w:rPr>
      </w:pPr>
      <w:r w:rsidRPr="003F23AC">
        <w:rPr>
          <w:rFonts w:cs="Times New Roman"/>
          <w:noProof/>
          <w:lang w:val="sk-SK"/>
        </w:rPr>
        <w:t>Cieľom tejto investície je zvýšiť investície RE-C05-i01.02</w:t>
      </w:r>
      <w:r w:rsidR="00A75B3C" w:rsidRPr="003F23AC">
        <w:rPr>
          <w:rFonts w:cs="Times New Roman"/>
          <w:noProof/>
          <w:lang w:val="sk-SK"/>
        </w:rPr>
        <w:t xml:space="preserve"> v </w:t>
      </w:r>
      <w:r w:rsidRPr="003F23AC">
        <w:rPr>
          <w:rFonts w:cs="Times New Roman"/>
          <w:noProof/>
          <w:lang w:val="sk-SK"/>
        </w:rPr>
        <w:t>rámci zložky 5. Rozšírená časť opatrenia zvýši počet výrobkov, procesov alebo služieb</w:t>
      </w:r>
      <w:r w:rsidR="00A75B3C" w:rsidRPr="003F23AC">
        <w:rPr>
          <w:rFonts w:cs="Times New Roman"/>
          <w:noProof/>
          <w:lang w:val="sk-SK"/>
        </w:rPr>
        <w:t xml:space="preserve"> z </w:t>
      </w:r>
      <w:r w:rsidRPr="003F23AC">
        <w:rPr>
          <w:rFonts w:cs="Times New Roman"/>
          <w:noProof/>
          <w:lang w:val="sk-SK"/>
        </w:rPr>
        <w:t>dodatočných zelených programov.</w:t>
      </w:r>
    </w:p>
    <w:p w14:paraId="3A55331A" w14:textId="506D9C32" w:rsidR="00A75B3C" w:rsidRPr="003F23AC" w:rsidRDefault="000F5AA4" w:rsidP="003F23AC">
      <w:pPr>
        <w:pStyle w:val="P68B1DB1-Normal4"/>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2DD7051F" w14:textId="108E335D" w:rsidR="00387C70" w:rsidRPr="003F23AC" w:rsidRDefault="00387C70" w:rsidP="003F23AC">
      <w:pPr>
        <w:rPr>
          <w:rFonts w:ascii="Times New Roman" w:hAnsi="Times New Roman" w:cs="Times New Roman"/>
          <w:noProof/>
          <w:sz w:val="24"/>
          <w:lang w:val="sk-SK"/>
        </w:rPr>
      </w:pPr>
    </w:p>
    <w:p w14:paraId="528A2C1C" w14:textId="77777777" w:rsidR="00387C70" w:rsidRPr="003F23AC" w:rsidRDefault="00387C70" w:rsidP="003F23AC">
      <w:pPr>
        <w:spacing w:line="22" w:lineRule="atLeast"/>
        <w:jc w:val="both"/>
        <w:rPr>
          <w:rFonts w:ascii="Times New Roman" w:hAnsi="Times New Roman" w:cs="Times New Roman"/>
          <w:noProof/>
          <w:sz w:val="24"/>
          <w:lang w:val="sk-SK"/>
        </w:rPr>
      </w:pPr>
    </w:p>
    <w:p w14:paraId="040D9F53"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E00EDD">
          <w:headerReference w:type="even" r:id="rId96"/>
          <w:headerReference w:type="default" r:id="rId97"/>
          <w:footerReference w:type="even" r:id="rId98"/>
          <w:footerReference w:type="default" r:id="rId99"/>
          <w:headerReference w:type="first" r:id="rId100"/>
          <w:footerReference w:type="first" r:id="rId101"/>
          <w:pgSz w:w="11907" w:h="16839"/>
          <w:pgMar w:top="1134" w:right="1134" w:bottom="1134" w:left="1134" w:header="567" w:footer="567" w:gutter="0"/>
          <w:cols w:space="720"/>
          <w:docGrid w:linePitch="360"/>
        </w:sectPr>
      </w:pPr>
    </w:p>
    <w:p w14:paraId="19A5F577"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0EC6A68F" w14:textId="12C5E45B"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E.2.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p w14:paraId="75F064A2"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65"/>
        <w:gridCol w:w="976"/>
        <w:gridCol w:w="1668"/>
        <w:gridCol w:w="1862"/>
        <w:gridCol w:w="882"/>
        <w:gridCol w:w="1176"/>
        <w:gridCol w:w="700"/>
        <w:gridCol w:w="840"/>
        <w:gridCol w:w="420"/>
        <w:gridCol w:w="3919"/>
      </w:tblGrid>
      <w:tr w:rsidR="00387C70" w:rsidRPr="003F23AC" w14:paraId="1198CA4A" w14:textId="77777777" w:rsidTr="00A26F8D">
        <w:trPr>
          <w:trHeight w:val="300"/>
          <w:tblHeader/>
        </w:trPr>
        <w:tc>
          <w:tcPr>
            <w:tcW w:w="1134" w:type="dxa"/>
            <w:vMerge w:val="restart"/>
            <w:shd w:val="clear" w:color="auto" w:fill="BDD6EE"/>
            <w:tcMar>
              <w:left w:w="28" w:type="dxa"/>
              <w:right w:w="28" w:type="dxa"/>
            </w:tcMar>
            <w:vAlign w:val="center"/>
            <w:hideMark/>
          </w:tcPr>
          <w:p w14:paraId="22518CE5"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165" w:type="dxa"/>
            <w:vMerge w:val="restart"/>
            <w:shd w:val="clear" w:color="auto" w:fill="BDD6EE"/>
            <w:noWrap/>
            <w:tcMar>
              <w:left w:w="28" w:type="dxa"/>
              <w:right w:w="28" w:type="dxa"/>
            </w:tcMar>
            <w:vAlign w:val="center"/>
            <w:hideMark/>
          </w:tcPr>
          <w:p w14:paraId="2D96F25A"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976" w:type="dxa"/>
            <w:vMerge w:val="restart"/>
            <w:shd w:val="clear" w:color="auto" w:fill="BDD6EE"/>
            <w:noWrap/>
            <w:tcMar>
              <w:left w:w="28" w:type="dxa"/>
              <w:right w:w="28" w:type="dxa"/>
            </w:tcMar>
            <w:vAlign w:val="center"/>
            <w:hideMark/>
          </w:tcPr>
          <w:p w14:paraId="3CC706F7" w14:textId="77777777" w:rsidR="00A75B3C" w:rsidRPr="003F23AC" w:rsidRDefault="000F5AA4" w:rsidP="003F23AC">
            <w:pPr>
              <w:pStyle w:val="P68B1DB1-Normal6"/>
              <w:spacing w:after="0" w:line="240" w:lineRule="auto"/>
              <w:jc w:val="center"/>
              <w:rPr>
                <w:rFonts w:cs="Times New Roman"/>
                <w:noProof/>
                <w:lang w:val="sk-SK"/>
              </w:rPr>
            </w:pPr>
            <w:r w:rsidRPr="003F23AC">
              <w:rPr>
                <w:rFonts w:cs="Times New Roman"/>
                <w:noProof/>
                <w:lang w:val="sk-SK"/>
              </w:rPr>
              <w:t>Míľnik/cieľ</w:t>
            </w:r>
          </w:p>
          <w:p w14:paraId="12DC3346" w14:textId="65D1CD8A"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668" w:type="dxa"/>
            <w:vMerge w:val="restart"/>
            <w:shd w:val="clear" w:color="auto" w:fill="BDD6EE"/>
            <w:noWrap/>
            <w:tcMar>
              <w:left w:w="28" w:type="dxa"/>
              <w:right w:w="28" w:type="dxa"/>
            </w:tcMar>
            <w:vAlign w:val="center"/>
            <w:hideMark/>
          </w:tcPr>
          <w:p w14:paraId="24A7D056"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862" w:type="dxa"/>
            <w:vMerge w:val="restart"/>
            <w:shd w:val="clear" w:color="auto" w:fill="BDD6EE"/>
            <w:noWrap/>
            <w:tcMar>
              <w:left w:w="28" w:type="dxa"/>
              <w:right w:w="28" w:type="dxa"/>
            </w:tcMar>
            <w:vAlign w:val="center"/>
            <w:hideMark/>
          </w:tcPr>
          <w:p w14:paraId="54F026CB"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758" w:type="dxa"/>
            <w:gridSpan w:val="3"/>
            <w:shd w:val="clear" w:color="auto" w:fill="BDD6EE"/>
            <w:noWrap/>
            <w:tcMar>
              <w:left w:w="28" w:type="dxa"/>
              <w:right w:w="28" w:type="dxa"/>
            </w:tcMar>
            <w:vAlign w:val="center"/>
            <w:hideMark/>
          </w:tcPr>
          <w:p w14:paraId="1C0D1264"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60" w:type="dxa"/>
            <w:gridSpan w:val="2"/>
            <w:shd w:val="clear" w:color="auto" w:fill="BDD6EE"/>
            <w:noWrap/>
            <w:tcMar>
              <w:left w:w="28" w:type="dxa"/>
              <w:right w:w="28" w:type="dxa"/>
            </w:tcMar>
            <w:vAlign w:val="center"/>
            <w:hideMark/>
          </w:tcPr>
          <w:p w14:paraId="3C87353C"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3919" w:type="dxa"/>
            <w:vMerge w:val="restart"/>
            <w:shd w:val="clear" w:color="auto" w:fill="BDD6EE"/>
            <w:noWrap/>
            <w:tcMar>
              <w:left w:w="28" w:type="dxa"/>
              <w:right w:w="28" w:type="dxa"/>
            </w:tcMar>
            <w:vAlign w:val="center"/>
            <w:hideMark/>
          </w:tcPr>
          <w:p w14:paraId="2A120D66" w14:textId="69051C59"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328E94F7" w14:textId="77777777" w:rsidTr="00A26F8D">
        <w:trPr>
          <w:trHeight w:val="414"/>
          <w:tblHeader/>
        </w:trPr>
        <w:tc>
          <w:tcPr>
            <w:tcW w:w="1134" w:type="dxa"/>
            <w:vMerge/>
            <w:tcMar>
              <w:left w:w="28" w:type="dxa"/>
              <w:right w:w="28" w:type="dxa"/>
            </w:tcMar>
            <w:vAlign w:val="center"/>
            <w:hideMark/>
          </w:tcPr>
          <w:p w14:paraId="2D953042"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65" w:type="dxa"/>
            <w:vMerge/>
            <w:tcMar>
              <w:left w:w="28" w:type="dxa"/>
              <w:right w:w="28" w:type="dxa"/>
            </w:tcMar>
            <w:vAlign w:val="center"/>
            <w:hideMark/>
          </w:tcPr>
          <w:p w14:paraId="4F69105E"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976" w:type="dxa"/>
            <w:vMerge/>
            <w:noWrap/>
            <w:tcMar>
              <w:left w:w="28" w:type="dxa"/>
              <w:right w:w="28" w:type="dxa"/>
            </w:tcMar>
            <w:vAlign w:val="center"/>
            <w:hideMark/>
          </w:tcPr>
          <w:p w14:paraId="0CA5CF6D" w14:textId="53822D8D"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668" w:type="dxa"/>
            <w:vMerge/>
            <w:tcMar>
              <w:left w:w="28" w:type="dxa"/>
              <w:right w:w="28" w:type="dxa"/>
            </w:tcMar>
            <w:vAlign w:val="center"/>
            <w:hideMark/>
          </w:tcPr>
          <w:p w14:paraId="501343F1"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862" w:type="dxa"/>
            <w:vMerge/>
            <w:tcMar>
              <w:left w:w="28" w:type="dxa"/>
              <w:right w:w="28" w:type="dxa"/>
            </w:tcMar>
            <w:vAlign w:val="center"/>
            <w:hideMark/>
          </w:tcPr>
          <w:p w14:paraId="0E224900"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882" w:type="dxa"/>
            <w:tcBorders>
              <w:bottom w:val="single" w:sz="4" w:space="0" w:color="auto"/>
            </w:tcBorders>
            <w:shd w:val="clear" w:color="auto" w:fill="BDD6EE"/>
            <w:noWrap/>
            <w:tcMar>
              <w:left w:w="28" w:type="dxa"/>
              <w:right w:w="28" w:type="dxa"/>
            </w:tcMar>
            <w:vAlign w:val="center"/>
            <w:hideMark/>
          </w:tcPr>
          <w:p w14:paraId="54572D4F"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1176" w:type="dxa"/>
            <w:tcBorders>
              <w:bottom w:val="single" w:sz="4" w:space="0" w:color="auto"/>
            </w:tcBorders>
            <w:shd w:val="clear" w:color="auto" w:fill="BDD6EE"/>
            <w:noWrap/>
            <w:tcMar>
              <w:left w:w="28" w:type="dxa"/>
              <w:right w:w="28" w:type="dxa"/>
            </w:tcMar>
            <w:vAlign w:val="center"/>
            <w:hideMark/>
          </w:tcPr>
          <w:p w14:paraId="2F722543" w14:textId="3CB7D44F"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700" w:type="dxa"/>
            <w:tcBorders>
              <w:bottom w:val="single" w:sz="4" w:space="0" w:color="auto"/>
            </w:tcBorders>
            <w:shd w:val="clear" w:color="auto" w:fill="BDD6EE"/>
            <w:noWrap/>
            <w:tcMar>
              <w:left w:w="28" w:type="dxa"/>
              <w:right w:w="28" w:type="dxa"/>
            </w:tcMar>
            <w:vAlign w:val="center"/>
            <w:hideMark/>
          </w:tcPr>
          <w:p w14:paraId="490C54F4" w14:textId="52B3597A"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840" w:type="dxa"/>
            <w:tcBorders>
              <w:bottom w:val="single" w:sz="4" w:space="0" w:color="auto"/>
            </w:tcBorders>
            <w:shd w:val="clear" w:color="auto" w:fill="BDD6EE"/>
            <w:noWrap/>
            <w:tcMar>
              <w:left w:w="28" w:type="dxa"/>
              <w:right w:w="28" w:type="dxa"/>
            </w:tcMar>
            <w:vAlign w:val="center"/>
            <w:hideMark/>
          </w:tcPr>
          <w:p w14:paraId="7923F7C5" w14:textId="30B5685A"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420" w:type="dxa"/>
            <w:tcBorders>
              <w:bottom w:val="single" w:sz="4" w:space="0" w:color="auto"/>
            </w:tcBorders>
            <w:shd w:val="clear" w:color="auto" w:fill="BDD6EE"/>
            <w:noWrap/>
            <w:tcMar>
              <w:left w:w="28" w:type="dxa"/>
              <w:right w:w="28" w:type="dxa"/>
            </w:tcMar>
            <w:vAlign w:val="center"/>
            <w:hideMark/>
          </w:tcPr>
          <w:p w14:paraId="73E52651"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3919" w:type="dxa"/>
            <w:vMerge/>
            <w:tcMar>
              <w:left w:w="28" w:type="dxa"/>
              <w:right w:w="28" w:type="dxa"/>
            </w:tcMar>
            <w:vAlign w:val="center"/>
            <w:hideMark/>
          </w:tcPr>
          <w:p w14:paraId="38FBE50A"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110D1462" w14:textId="77777777" w:rsidTr="00A26F8D">
        <w:trPr>
          <w:trHeight w:val="1328"/>
        </w:trPr>
        <w:tc>
          <w:tcPr>
            <w:tcW w:w="1134" w:type="dxa"/>
            <w:shd w:val="clear" w:color="auto" w:fill="C4EFCE"/>
            <w:tcMar>
              <w:left w:w="28" w:type="dxa"/>
              <w:right w:w="28" w:type="dxa"/>
            </w:tcMar>
            <w:vAlign w:val="center"/>
            <w:hideMark/>
          </w:tcPr>
          <w:p w14:paraId="6746EC5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5.1</w:t>
            </w:r>
          </w:p>
        </w:tc>
        <w:tc>
          <w:tcPr>
            <w:tcW w:w="1165" w:type="dxa"/>
            <w:shd w:val="clear" w:color="auto" w:fill="C4EFCE"/>
            <w:tcMar>
              <w:left w:w="28" w:type="dxa"/>
              <w:right w:w="28" w:type="dxa"/>
            </w:tcMar>
            <w:vAlign w:val="center"/>
            <w:hideMark/>
          </w:tcPr>
          <w:p w14:paraId="26E5077E" w14:textId="433B8501"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C05-r09</w:t>
            </w:r>
          </w:p>
        </w:tc>
        <w:tc>
          <w:tcPr>
            <w:tcW w:w="976" w:type="dxa"/>
            <w:shd w:val="clear" w:color="auto" w:fill="C4EFCE"/>
            <w:tcMar>
              <w:left w:w="28" w:type="dxa"/>
              <w:right w:w="28" w:type="dxa"/>
            </w:tcMar>
            <w:vAlign w:val="center"/>
            <w:hideMark/>
          </w:tcPr>
          <w:p w14:paraId="3B5D305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68" w:type="dxa"/>
            <w:shd w:val="clear" w:color="auto" w:fill="C4EFCE"/>
            <w:tcMar>
              <w:left w:w="28" w:type="dxa"/>
              <w:right w:w="28" w:type="dxa"/>
            </w:tcMar>
            <w:vAlign w:val="center"/>
            <w:hideMark/>
          </w:tcPr>
          <w:p w14:paraId="01150D1F" w14:textId="7887D19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Aktualizácia usmernení</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stratégii pre technologické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podnikateľské inovácie pre Portugalsko do roku 2030</w:t>
            </w:r>
          </w:p>
        </w:tc>
        <w:tc>
          <w:tcPr>
            <w:tcW w:w="1862" w:type="dxa"/>
            <w:shd w:val="clear" w:color="auto" w:fill="C4EFCE"/>
            <w:tcMar>
              <w:left w:w="28" w:type="dxa"/>
              <w:right w:w="28" w:type="dxa"/>
            </w:tcMar>
            <w:vAlign w:val="center"/>
            <w:hideMark/>
          </w:tcPr>
          <w:p w14:paraId="1FA50D9E" w14:textId="7B31D10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Uverejnenie aktualizovaných usmernení</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stratégii pre technologické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podnikateľské inovácie pre Portugalsko do roku 2030</w:t>
            </w:r>
          </w:p>
        </w:tc>
        <w:tc>
          <w:tcPr>
            <w:tcW w:w="882" w:type="dxa"/>
            <w:shd w:val="clear" w:color="auto" w:fill="C4EFCE"/>
            <w:tcMar>
              <w:left w:w="28" w:type="dxa"/>
              <w:right w:w="28" w:type="dxa"/>
            </w:tcMar>
            <w:vAlign w:val="center"/>
            <w:hideMark/>
          </w:tcPr>
          <w:p w14:paraId="1A08387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76" w:type="dxa"/>
            <w:shd w:val="clear" w:color="auto" w:fill="C4EFCE"/>
            <w:tcMar>
              <w:left w:w="28" w:type="dxa"/>
              <w:right w:w="28" w:type="dxa"/>
            </w:tcMar>
            <w:vAlign w:val="center"/>
            <w:hideMark/>
          </w:tcPr>
          <w:p w14:paraId="486A4EC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0" w:type="dxa"/>
            <w:shd w:val="clear" w:color="auto" w:fill="C4EFCE"/>
            <w:tcMar>
              <w:left w:w="28" w:type="dxa"/>
              <w:right w:w="28" w:type="dxa"/>
            </w:tcMar>
            <w:vAlign w:val="center"/>
            <w:hideMark/>
          </w:tcPr>
          <w:p w14:paraId="315D3D4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61050DF5" w14:textId="43B7599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hideMark/>
          </w:tcPr>
          <w:p w14:paraId="19F5543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3919" w:type="dxa"/>
            <w:shd w:val="clear" w:color="auto" w:fill="C4EFCE"/>
            <w:tcMar>
              <w:left w:w="28" w:type="dxa"/>
              <w:right w:w="28" w:type="dxa"/>
            </w:tcMar>
            <w:vAlign w:val="center"/>
            <w:hideMark/>
          </w:tcPr>
          <w:p w14:paraId="73AB634A" w14:textId="0C6C9A7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Aktualizácia rozhodnutia Rady ministrov, ktorým sa schvaľujú usmernenia pre technologickú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podnikateľskú inovačnú stratégiu pre Portugalsko na roky 2018 – 2030</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prihliadnutím na nedávno prijatú stratégiu Portugalska do roku 2030</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nové výzvy týkajúce sa oživenia hospodárstva.</w:t>
            </w:r>
            <w:r w:rsidR="00A75B3C" w:rsidRPr="003F23AC">
              <w:rPr>
                <w:rFonts w:ascii="Times New Roman" w:hAnsi="Times New Roman" w:cs="Times New Roman"/>
                <w:noProof/>
                <w:lang w:val="sk-SK"/>
              </w:rPr>
              <w:t xml:space="preserve"> </w:t>
            </w:r>
          </w:p>
        </w:tc>
      </w:tr>
      <w:tr w:rsidR="00387C70" w:rsidRPr="003F23AC" w14:paraId="5E5E0ADB" w14:textId="77777777" w:rsidTr="00A26F8D">
        <w:trPr>
          <w:trHeight w:val="1134"/>
        </w:trPr>
        <w:tc>
          <w:tcPr>
            <w:tcW w:w="1134" w:type="dxa"/>
            <w:shd w:val="clear" w:color="auto" w:fill="C4EFCE"/>
            <w:tcMar>
              <w:left w:w="28" w:type="dxa"/>
              <w:right w:w="28" w:type="dxa"/>
            </w:tcMar>
            <w:vAlign w:val="center"/>
            <w:hideMark/>
          </w:tcPr>
          <w:p w14:paraId="3DD3A8E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w:t>
            </w:r>
          </w:p>
        </w:tc>
        <w:tc>
          <w:tcPr>
            <w:tcW w:w="1165" w:type="dxa"/>
            <w:shd w:val="clear" w:color="auto" w:fill="C4EFCE"/>
            <w:tcMar>
              <w:left w:w="28" w:type="dxa"/>
              <w:right w:w="28" w:type="dxa"/>
            </w:tcMar>
            <w:vAlign w:val="center"/>
            <w:hideMark/>
          </w:tcPr>
          <w:p w14:paraId="7C0278D5" w14:textId="5318E54B"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C05-r11</w:t>
            </w:r>
          </w:p>
        </w:tc>
        <w:tc>
          <w:tcPr>
            <w:tcW w:w="976" w:type="dxa"/>
            <w:shd w:val="clear" w:color="auto" w:fill="C4EFCE"/>
            <w:tcMar>
              <w:left w:w="28" w:type="dxa"/>
              <w:right w:w="28" w:type="dxa"/>
            </w:tcMar>
            <w:vAlign w:val="center"/>
            <w:hideMark/>
          </w:tcPr>
          <w:p w14:paraId="05E26CF5" w14:textId="69A74913"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hideMark/>
          </w:tcPr>
          <w:p w14:paraId="5A7AA3E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Rozšírenie siete uznávaných kolaboratívnych laboratórií</w:t>
            </w:r>
          </w:p>
        </w:tc>
        <w:tc>
          <w:tcPr>
            <w:tcW w:w="1862" w:type="dxa"/>
            <w:shd w:val="clear" w:color="auto" w:fill="C4EFCE"/>
            <w:tcMar>
              <w:left w:w="28" w:type="dxa"/>
              <w:right w:w="28" w:type="dxa"/>
            </w:tcMar>
            <w:vAlign w:val="center"/>
            <w:hideMark/>
          </w:tcPr>
          <w:p w14:paraId="2DEFD2C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hideMark/>
          </w:tcPr>
          <w:p w14:paraId="6475022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hideMark/>
          </w:tcPr>
          <w:p w14:paraId="77E0ED1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26</w:t>
            </w:r>
          </w:p>
        </w:tc>
        <w:tc>
          <w:tcPr>
            <w:tcW w:w="700" w:type="dxa"/>
            <w:shd w:val="clear" w:color="auto" w:fill="C4EFCE"/>
            <w:tcMar>
              <w:left w:w="28" w:type="dxa"/>
              <w:right w:w="28" w:type="dxa"/>
            </w:tcMar>
            <w:vAlign w:val="center"/>
            <w:hideMark/>
          </w:tcPr>
          <w:p w14:paraId="0AF51B9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35</w:t>
            </w:r>
          </w:p>
        </w:tc>
        <w:tc>
          <w:tcPr>
            <w:tcW w:w="840" w:type="dxa"/>
            <w:shd w:val="clear" w:color="auto" w:fill="C4EFCE"/>
            <w:tcMar>
              <w:left w:w="28" w:type="dxa"/>
              <w:right w:w="28" w:type="dxa"/>
            </w:tcMar>
            <w:vAlign w:val="center"/>
            <w:hideMark/>
          </w:tcPr>
          <w:p w14:paraId="782F8621" w14:textId="079599D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20" w:type="dxa"/>
            <w:shd w:val="clear" w:color="auto" w:fill="C4EFCE"/>
            <w:tcMar>
              <w:left w:w="28" w:type="dxa"/>
              <w:right w:w="28" w:type="dxa"/>
            </w:tcMar>
            <w:vAlign w:val="center"/>
            <w:hideMark/>
          </w:tcPr>
          <w:p w14:paraId="523994E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3919" w:type="dxa"/>
            <w:shd w:val="clear" w:color="auto" w:fill="C4EFCE"/>
            <w:tcMar>
              <w:left w:w="28" w:type="dxa"/>
              <w:right w:w="28" w:type="dxa"/>
            </w:tcMar>
            <w:vAlign w:val="center"/>
            <w:hideMark/>
          </w:tcPr>
          <w:p w14:paraId="06113D01" w14:textId="27F7D42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Uznávanie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udeľovanie kvalifikácií pre nové kolaboratívne laboratóriá – rozšírenie siete kolaboratívnych laboratórií prostredníctvom uznania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udelenia titulu novým subjektom, ktoré je výsledkom procesu podávania žiadostí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hodnotenia vykonaného nezávislou hodnotiacou komisiou odborníkov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uznávanými medzinárodnými zásluhami vymenovaných správnou radou FCT, I.P (nadácia pre vedu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techniku)</w:t>
            </w:r>
          </w:p>
        </w:tc>
      </w:tr>
      <w:tr w:rsidR="00387C70" w:rsidRPr="003F23AC" w14:paraId="35A3451C" w14:textId="77777777" w:rsidTr="00A26F8D">
        <w:trPr>
          <w:trHeight w:val="832"/>
        </w:trPr>
        <w:tc>
          <w:tcPr>
            <w:tcW w:w="1134" w:type="dxa"/>
            <w:shd w:val="clear" w:color="auto" w:fill="C4EFCE"/>
            <w:tcMar>
              <w:left w:w="28" w:type="dxa"/>
              <w:right w:w="28" w:type="dxa"/>
            </w:tcMar>
            <w:vAlign w:val="center"/>
            <w:hideMark/>
          </w:tcPr>
          <w:p w14:paraId="58D355F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5.3</w:t>
            </w:r>
          </w:p>
        </w:tc>
        <w:tc>
          <w:tcPr>
            <w:tcW w:w="1165" w:type="dxa"/>
            <w:shd w:val="clear" w:color="auto" w:fill="C4EFCE"/>
            <w:tcMar>
              <w:left w:w="28" w:type="dxa"/>
              <w:right w:w="28" w:type="dxa"/>
            </w:tcMar>
            <w:vAlign w:val="center"/>
            <w:hideMark/>
          </w:tcPr>
          <w:p w14:paraId="3E94C4FC" w14:textId="0363C850"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C05-r11</w:t>
            </w:r>
          </w:p>
        </w:tc>
        <w:tc>
          <w:tcPr>
            <w:tcW w:w="976" w:type="dxa"/>
            <w:shd w:val="clear" w:color="auto" w:fill="C4EFCE"/>
            <w:tcMar>
              <w:left w:w="28" w:type="dxa"/>
              <w:right w:w="28" w:type="dxa"/>
            </w:tcMar>
            <w:vAlign w:val="center"/>
            <w:hideMark/>
          </w:tcPr>
          <w:p w14:paraId="6C55C77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68" w:type="dxa"/>
            <w:shd w:val="clear" w:color="auto" w:fill="C4EFCE"/>
            <w:tcMar>
              <w:left w:w="28" w:type="dxa"/>
              <w:right w:w="28" w:type="dxa"/>
            </w:tcMar>
            <w:vAlign w:val="center"/>
            <w:hideMark/>
          </w:tcPr>
          <w:p w14:paraId="31D325B5" w14:textId="3C321E5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právneho režimu pre technologické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inovačné centrá</w:t>
            </w:r>
          </w:p>
        </w:tc>
        <w:tc>
          <w:tcPr>
            <w:tcW w:w="1862" w:type="dxa"/>
            <w:shd w:val="clear" w:color="auto" w:fill="C4EFCE"/>
            <w:tcMar>
              <w:left w:w="28" w:type="dxa"/>
              <w:right w:w="28" w:type="dxa"/>
            </w:tcMar>
            <w:vAlign w:val="center"/>
            <w:hideMark/>
          </w:tcPr>
          <w:p w14:paraId="0C5A7131" w14:textId="6E69A69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právneho režimu pre technologické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inovačné centrá </w:t>
            </w:r>
          </w:p>
        </w:tc>
        <w:tc>
          <w:tcPr>
            <w:tcW w:w="882" w:type="dxa"/>
            <w:shd w:val="clear" w:color="auto" w:fill="C4EFCE"/>
            <w:tcMar>
              <w:left w:w="28" w:type="dxa"/>
              <w:right w:w="28" w:type="dxa"/>
            </w:tcMar>
            <w:vAlign w:val="center"/>
            <w:hideMark/>
          </w:tcPr>
          <w:p w14:paraId="04B50F8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76" w:type="dxa"/>
            <w:shd w:val="clear" w:color="auto" w:fill="C4EFCE"/>
            <w:tcMar>
              <w:left w:w="28" w:type="dxa"/>
              <w:right w:w="28" w:type="dxa"/>
            </w:tcMar>
            <w:vAlign w:val="center"/>
            <w:hideMark/>
          </w:tcPr>
          <w:p w14:paraId="3120DC9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0" w:type="dxa"/>
            <w:shd w:val="clear" w:color="auto" w:fill="C4EFCE"/>
            <w:tcMar>
              <w:left w:w="28" w:type="dxa"/>
              <w:right w:w="28" w:type="dxa"/>
            </w:tcMar>
            <w:vAlign w:val="center"/>
            <w:hideMark/>
          </w:tcPr>
          <w:p w14:paraId="54BBA26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3D528544" w14:textId="32F1A83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hideMark/>
          </w:tcPr>
          <w:p w14:paraId="21CF437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3919" w:type="dxa"/>
            <w:shd w:val="clear" w:color="auto" w:fill="C4EFCE"/>
            <w:tcMar>
              <w:left w:w="28" w:type="dxa"/>
              <w:right w:w="28" w:type="dxa"/>
            </w:tcMar>
            <w:vAlign w:val="center"/>
            <w:hideMark/>
          </w:tcPr>
          <w:p w14:paraId="275CFEAF" w14:textId="6239A3E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Právnymi predpismi sa preskúma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štandardizuje legislatívny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regulačný rámec subjektov, ktoré sú súčasťou vedeckého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technologického systému, pričom sa vymedzí jeho model financovania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hodnotenia.</w:t>
            </w:r>
          </w:p>
        </w:tc>
      </w:tr>
      <w:tr w:rsidR="00387C70" w:rsidRPr="003F23AC" w14:paraId="0A1CA6E0" w14:textId="77777777" w:rsidTr="00A26F8D">
        <w:trPr>
          <w:trHeight w:val="882"/>
        </w:trPr>
        <w:tc>
          <w:tcPr>
            <w:tcW w:w="1134" w:type="dxa"/>
            <w:shd w:val="clear" w:color="auto" w:fill="C4EFCE"/>
            <w:tcMar>
              <w:left w:w="28" w:type="dxa"/>
              <w:right w:w="28" w:type="dxa"/>
            </w:tcMar>
            <w:vAlign w:val="center"/>
            <w:hideMark/>
          </w:tcPr>
          <w:p w14:paraId="539F0C3A"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5.4</w:t>
            </w:r>
          </w:p>
        </w:tc>
        <w:tc>
          <w:tcPr>
            <w:tcW w:w="1165" w:type="dxa"/>
            <w:shd w:val="clear" w:color="auto" w:fill="C4EFCE"/>
            <w:tcMar>
              <w:left w:w="28" w:type="dxa"/>
              <w:right w:w="28" w:type="dxa"/>
            </w:tcMar>
            <w:vAlign w:val="center"/>
            <w:hideMark/>
          </w:tcPr>
          <w:p w14:paraId="17A4EABC" w14:textId="26F4D1EE"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C05-r12</w:t>
            </w:r>
          </w:p>
        </w:tc>
        <w:tc>
          <w:tcPr>
            <w:tcW w:w="976" w:type="dxa"/>
            <w:shd w:val="clear" w:color="auto" w:fill="C4EFCE"/>
            <w:tcMar>
              <w:left w:w="28" w:type="dxa"/>
              <w:right w:w="28" w:type="dxa"/>
            </w:tcMar>
            <w:vAlign w:val="center"/>
            <w:hideMark/>
          </w:tcPr>
          <w:p w14:paraId="2CCDE3B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68" w:type="dxa"/>
            <w:shd w:val="clear" w:color="auto" w:fill="C4EFCE"/>
            <w:tcMar>
              <w:left w:w="28" w:type="dxa"/>
              <w:right w:w="28" w:type="dxa"/>
            </w:tcMar>
            <w:vAlign w:val="center"/>
            <w:hideMark/>
          </w:tcPr>
          <w:p w14:paraId="71A5F73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Schválenie inovačného programu pre poľnohospodárstvo</w:t>
            </w:r>
          </w:p>
        </w:tc>
        <w:tc>
          <w:tcPr>
            <w:tcW w:w="1862" w:type="dxa"/>
            <w:shd w:val="clear" w:color="auto" w:fill="C4EFCE"/>
            <w:tcMar>
              <w:left w:w="28" w:type="dxa"/>
              <w:right w:w="28" w:type="dxa"/>
            </w:tcMar>
            <w:vAlign w:val="center"/>
            <w:hideMark/>
          </w:tcPr>
          <w:p w14:paraId="070AC07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Schválenie inovačného programu pre poľnohospodárstvo</w:t>
            </w:r>
          </w:p>
        </w:tc>
        <w:tc>
          <w:tcPr>
            <w:tcW w:w="882" w:type="dxa"/>
            <w:shd w:val="clear" w:color="auto" w:fill="C4EFCE"/>
            <w:tcMar>
              <w:left w:w="28" w:type="dxa"/>
              <w:right w:w="28" w:type="dxa"/>
            </w:tcMar>
            <w:vAlign w:val="center"/>
            <w:hideMark/>
          </w:tcPr>
          <w:p w14:paraId="428779D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76" w:type="dxa"/>
            <w:shd w:val="clear" w:color="auto" w:fill="C4EFCE"/>
            <w:tcMar>
              <w:left w:w="28" w:type="dxa"/>
              <w:right w:w="28" w:type="dxa"/>
            </w:tcMar>
            <w:vAlign w:val="center"/>
            <w:hideMark/>
          </w:tcPr>
          <w:p w14:paraId="62590AC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0" w:type="dxa"/>
            <w:shd w:val="clear" w:color="auto" w:fill="C4EFCE"/>
            <w:tcMar>
              <w:left w:w="28" w:type="dxa"/>
              <w:right w:w="28" w:type="dxa"/>
            </w:tcMar>
            <w:vAlign w:val="center"/>
            <w:hideMark/>
          </w:tcPr>
          <w:p w14:paraId="0D0096C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6AA4C8CC" w14:textId="354BEECC"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hideMark/>
          </w:tcPr>
          <w:p w14:paraId="4EB8340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2020</w:t>
            </w:r>
          </w:p>
        </w:tc>
        <w:tc>
          <w:tcPr>
            <w:tcW w:w="3919" w:type="dxa"/>
            <w:shd w:val="clear" w:color="auto" w:fill="C4EFCE"/>
            <w:tcMar>
              <w:left w:w="28" w:type="dxa"/>
              <w:right w:w="28" w:type="dxa"/>
            </w:tcMar>
            <w:vAlign w:val="center"/>
            <w:hideMark/>
          </w:tcPr>
          <w:p w14:paraId="0BB06B9A"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Uverejnenie rozhodnutia Rady ministrov, ktorým sa schvaľuje inovačný program pre poľnohospodárstvo. Rozhodnutie Rady ministrov uverejnené 15. 2020</w:t>
            </w:r>
          </w:p>
        </w:tc>
      </w:tr>
      <w:tr w:rsidR="00387C70" w:rsidRPr="003F23AC" w14:paraId="32426B30" w14:textId="77777777" w:rsidTr="00A26F8D">
        <w:trPr>
          <w:trHeight w:val="290"/>
        </w:trPr>
        <w:tc>
          <w:tcPr>
            <w:tcW w:w="1134" w:type="dxa"/>
            <w:shd w:val="clear" w:color="auto" w:fill="C4EFCE"/>
            <w:tcMar>
              <w:left w:w="28" w:type="dxa"/>
              <w:right w:w="28" w:type="dxa"/>
            </w:tcMar>
            <w:vAlign w:val="center"/>
            <w:hideMark/>
          </w:tcPr>
          <w:p w14:paraId="496B6F04" w14:textId="11995258"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5.5</w:t>
            </w:r>
          </w:p>
        </w:tc>
        <w:tc>
          <w:tcPr>
            <w:tcW w:w="1165" w:type="dxa"/>
            <w:shd w:val="clear" w:color="auto" w:fill="C4EFCE"/>
            <w:tcMar>
              <w:left w:w="28" w:type="dxa"/>
              <w:right w:w="28" w:type="dxa"/>
            </w:tcMar>
            <w:vAlign w:val="center"/>
            <w:hideMark/>
          </w:tcPr>
          <w:p w14:paraId="398EBCED" w14:textId="71097D5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C05-i01.01</w:t>
            </w:r>
          </w:p>
        </w:tc>
        <w:tc>
          <w:tcPr>
            <w:tcW w:w="976" w:type="dxa"/>
            <w:shd w:val="clear" w:color="auto" w:fill="C4EFCE"/>
            <w:tcMar>
              <w:left w:w="28" w:type="dxa"/>
              <w:right w:w="28" w:type="dxa"/>
            </w:tcMar>
            <w:vAlign w:val="center"/>
            <w:hideMark/>
          </w:tcPr>
          <w:p w14:paraId="33F2AD16" w14:textId="339CD922"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hideMark/>
          </w:tcPr>
          <w:p w14:paraId="7FE6E86D" w14:textId="11A05ED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Uzatváranie zmlúv na vývoj nových produktov, procesov alebo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príslušných strategických oblastiach (inovačné programy).</w:t>
            </w:r>
          </w:p>
        </w:tc>
        <w:tc>
          <w:tcPr>
            <w:tcW w:w="1862" w:type="dxa"/>
            <w:shd w:val="clear" w:color="auto" w:fill="C4EFCE"/>
            <w:tcMar>
              <w:left w:w="28" w:type="dxa"/>
              <w:right w:w="28" w:type="dxa"/>
            </w:tcMar>
            <w:vAlign w:val="center"/>
            <w:hideMark/>
          </w:tcPr>
          <w:p w14:paraId="586F89B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hideMark/>
          </w:tcPr>
          <w:p w14:paraId="4A0335E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hideMark/>
          </w:tcPr>
          <w:p w14:paraId="7836D10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hideMark/>
          </w:tcPr>
          <w:p w14:paraId="69FCEC2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w:t>
            </w:r>
          </w:p>
        </w:tc>
        <w:tc>
          <w:tcPr>
            <w:tcW w:w="840" w:type="dxa"/>
            <w:shd w:val="clear" w:color="auto" w:fill="C4EFCE"/>
            <w:tcMar>
              <w:left w:w="28" w:type="dxa"/>
              <w:right w:w="28" w:type="dxa"/>
            </w:tcMar>
            <w:vAlign w:val="center"/>
            <w:hideMark/>
          </w:tcPr>
          <w:p w14:paraId="26FC7773" w14:textId="64977FAC"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hideMark/>
          </w:tcPr>
          <w:p w14:paraId="3E7F441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19" w:type="dxa"/>
            <w:shd w:val="clear" w:color="auto" w:fill="C4EFCE"/>
            <w:tcMar>
              <w:left w:w="28" w:type="dxa"/>
              <w:right w:w="28" w:type="dxa"/>
            </w:tcMar>
            <w:vAlign w:val="center"/>
            <w:hideMark/>
          </w:tcPr>
          <w:p w14:paraId="103D1FD4" w14:textId="37D41D20"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Uzavretie šiestich zmlúv (inovačné pakty alebo mobilizačné projekty)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konzorciami, ktoré zahŕňajú: Identifikácia základných subjektov konzorcia</w:t>
            </w:r>
            <w:r w:rsidR="00A75B3C" w:rsidRPr="003F23AC">
              <w:rPr>
                <w:rFonts w:ascii="Times New Roman" w:hAnsi="Times New Roman" w:cs="Times New Roman"/>
                <w:noProof/>
                <w:lang w:val="sk-SK"/>
              </w:rPr>
              <w:t>;</w:t>
            </w:r>
          </w:p>
          <w:p w14:paraId="4551FC29" w14:textId="7D430C5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Podnikateľský plán/investíciu;</w:t>
            </w:r>
          </w:p>
          <w:p w14:paraId="15C0D965"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výšku financovania</w:t>
            </w:r>
            <w:r w:rsidR="00A75B3C" w:rsidRPr="003F23AC">
              <w:rPr>
                <w:rFonts w:ascii="Times New Roman" w:hAnsi="Times New Roman" w:cs="Times New Roman"/>
                <w:noProof/>
                <w:lang w:val="sk-SK"/>
              </w:rPr>
              <w:t>;</w:t>
            </w:r>
          </w:p>
          <w:p w14:paraId="74454340"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Ciele, ktorými je príjemca viazaný</w:t>
            </w:r>
            <w:r w:rsidR="00A75B3C" w:rsidRPr="003F23AC">
              <w:rPr>
                <w:rFonts w:ascii="Times New Roman" w:hAnsi="Times New Roman" w:cs="Times New Roman"/>
                <w:noProof/>
                <w:lang w:val="sk-SK"/>
              </w:rPr>
              <w:t>;</w:t>
            </w:r>
          </w:p>
          <w:p w14:paraId="43E2E9CF" w14:textId="2260BD2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Forma monitorovania</w:t>
            </w:r>
            <w:r w:rsidR="00A75B3C" w:rsidRPr="003F23AC">
              <w:rPr>
                <w:rFonts w:ascii="Times New Roman" w:hAnsi="Times New Roman" w:cs="Times New Roman"/>
                <w:noProof/>
                <w:lang w:val="sk-SK"/>
              </w:rPr>
              <w:t>.</w:t>
            </w:r>
          </w:p>
          <w:p w14:paraId="336484AB" w14:textId="709B34C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Zákazky podporujú celkovo najmenej 60 produktov, procesov alebo služieb. Referenčný rámec zahŕňa kritériá oprávnenosti, ktorými sa zabezpečí, aby vybrané projekty boli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„výrazne nenarušiť“ (2021/C58/01)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r w:rsidR="00387C70" w:rsidRPr="003F23AC" w14:paraId="2A70DAF8" w14:textId="77777777" w:rsidTr="00A26F8D">
        <w:trPr>
          <w:trHeight w:val="1177"/>
        </w:trPr>
        <w:tc>
          <w:tcPr>
            <w:tcW w:w="1134" w:type="dxa"/>
            <w:shd w:val="clear" w:color="auto" w:fill="C4EFCE"/>
            <w:tcMar>
              <w:left w:w="28" w:type="dxa"/>
              <w:right w:w="28" w:type="dxa"/>
            </w:tcMar>
            <w:vAlign w:val="center"/>
            <w:hideMark/>
          </w:tcPr>
          <w:p w14:paraId="509D06FA"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5.6</w:t>
            </w:r>
          </w:p>
        </w:tc>
        <w:tc>
          <w:tcPr>
            <w:tcW w:w="1165" w:type="dxa"/>
            <w:shd w:val="clear" w:color="auto" w:fill="C4EFCE"/>
            <w:tcMar>
              <w:left w:w="28" w:type="dxa"/>
              <w:right w:w="28" w:type="dxa"/>
            </w:tcMar>
            <w:vAlign w:val="center"/>
            <w:hideMark/>
          </w:tcPr>
          <w:p w14:paraId="33218AE0" w14:textId="4B3679BC"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C05-i01.01</w:t>
            </w:r>
          </w:p>
        </w:tc>
        <w:tc>
          <w:tcPr>
            <w:tcW w:w="976" w:type="dxa"/>
            <w:shd w:val="clear" w:color="auto" w:fill="C4EFCE"/>
            <w:tcMar>
              <w:left w:w="28" w:type="dxa"/>
              <w:right w:w="28" w:type="dxa"/>
            </w:tcMar>
            <w:vAlign w:val="center"/>
            <w:hideMark/>
          </w:tcPr>
          <w:p w14:paraId="28D975FD" w14:textId="5516E681"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hideMark/>
          </w:tcPr>
          <w:p w14:paraId="399030BE" w14:textId="296998D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plnenia šiestich zmlúv (inovačné pakty alebo mobilizačné projekty)</w:t>
            </w:r>
            <w:r w:rsidR="00A75B3C" w:rsidRPr="003F23AC">
              <w:rPr>
                <w:rFonts w:ascii="Times New Roman" w:hAnsi="Times New Roman" w:cs="Times New Roman"/>
                <w:noProof/>
                <w:lang w:val="sk-SK"/>
              </w:rPr>
              <w:t xml:space="preserve"> </w:t>
            </w:r>
          </w:p>
        </w:tc>
        <w:tc>
          <w:tcPr>
            <w:tcW w:w="1862" w:type="dxa"/>
            <w:shd w:val="clear" w:color="auto" w:fill="C4EFCE"/>
            <w:tcMar>
              <w:left w:w="28" w:type="dxa"/>
              <w:right w:w="28" w:type="dxa"/>
            </w:tcMar>
            <w:vAlign w:val="center"/>
            <w:hideMark/>
          </w:tcPr>
          <w:p w14:paraId="6BAACDF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hideMark/>
          </w:tcPr>
          <w:p w14:paraId="12ABD6D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hideMark/>
          </w:tcPr>
          <w:p w14:paraId="655CED5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hideMark/>
          </w:tcPr>
          <w:p w14:paraId="390ACFA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w:t>
            </w:r>
          </w:p>
        </w:tc>
        <w:tc>
          <w:tcPr>
            <w:tcW w:w="840" w:type="dxa"/>
            <w:shd w:val="clear" w:color="auto" w:fill="C4EFCE"/>
            <w:tcMar>
              <w:left w:w="28" w:type="dxa"/>
              <w:right w:w="28" w:type="dxa"/>
            </w:tcMar>
            <w:vAlign w:val="center"/>
            <w:hideMark/>
          </w:tcPr>
          <w:p w14:paraId="6ECDA684" w14:textId="4BE432C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hideMark/>
          </w:tcPr>
          <w:p w14:paraId="6279F62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19" w:type="dxa"/>
            <w:shd w:val="clear" w:color="auto" w:fill="C4EFCE"/>
            <w:tcMar>
              <w:left w:w="28" w:type="dxa"/>
              <w:right w:w="28" w:type="dxa"/>
            </w:tcMar>
            <w:vAlign w:val="center"/>
            <w:hideMark/>
          </w:tcPr>
          <w:p w14:paraId="7BE5656C" w14:textId="6F5F8DF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Dokončenie výrobkov, procesov alebo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príslušných strategických oblastiach vyplývajúce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plnenia šiestich zmlúv (inovačných paktov alebo mobilizujúcich projektov) uzavretých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konzorciami. </w:t>
            </w:r>
          </w:p>
        </w:tc>
      </w:tr>
      <w:tr w:rsidR="00387C70" w:rsidRPr="003F23AC" w14:paraId="6643E212" w14:textId="77777777" w:rsidTr="00A26F8D">
        <w:trPr>
          <w:trHeight w:val="3677"/>
        </w:trPr>
        <w:tc>
          <w:tcPr>
            <w:tcW w:w="1134" w:type="dxa"/>
            <w:shd w:val="clear" w:color="auto" w:fill="C4EFCE"/>
            <w:tcMar>
              <w:left w:w="28" w:type="dxa"/>
              <w:right w:w="28" w:type="dxa"/>
            </w:tcMar>
            <w:vAlign w:val="center"/>
            <w:hideMark/>
          </w:tcPr>
          <w:p w14:paraId="468D23F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5.7 </w:t>
            </w:r>
          </w:p>
        </w:tc>
        <w:tc>
          <w:tcPr>
            <w:tcW w:w="1165" w:type="dxa"/>
            <w:shd w:val="clear" w:color="auto" w:fill="C4EFCE"/>
            <w:tcMar>
              <w:left w:w="28" w:type="dxa"/>
              <w:right w:w="28" w:type="dxa"/>
            </w:tcMar>
            <w:vAlign w:val="center"/>
            <w:hideMark/>
          </w:tcPr>
          <w:p w14:paraId="2FA90289" w14:textId="1ED9FE27"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C05-i01.02</w:t>
            </w:r>
          </w:p>
        </w:tc>
        <w:tc>
          <w:tcPr>
            <w:tcW w:w="976" w:type="dxa"/>
            <w:shd w:val="clear" w:color="auto" w:fill="C4EFCE"/>
            <w:tcMar>
              <w:left w:w="28" w:type="dxa"/>
              <w:right w:w="28" w:type="dxa"/>
            </w:tcMar>
            <w:vAlign w:val="center"/>
            <w:hideMark/>
          </w:tcPr>
          <w:p w14:paraId="01D312C5" w14:textId="0FAE3D76"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hideMark/>
          </w:tcPr>
          <w:p w14:paraId="1983D09B" w14:textId="3558833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Uzatváranie zmlúv na vývoj nových produktov, procesov alebo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strategických oblastiach relevantných pre nízkouhlíkové hospodárstvo, 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adaptáciu na zmenu klímy. </w:t>
            </w:r>
          </w:p>
        </w:tc>
        <w:tc>
          <w:tcPr>
            <w:tcW w:w="1862" w:type="dxa"/>
            <w:shd w:val="clear" w:color="auto" w:fill="C4EFCE"/>
            <w:tcMar>
              <w:left w:w="28" w:type="dxa"/>
              <w:right w:w="28" w:type="dxa"/>
            </w:tcMar>
            <w:vAlign w:val="center"/>
            <w:hideMark/>
          </w:tcPr>
          <w:p w14:paraId="70E6974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hideMark/>
          </w:tcPr>
          <w:p w14:paraId="5945C4B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hideMark/>
          </w:tcPr>
          <w:p w14:paraId="6498CFE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hideMark/>
          </w:tcPr>
          <w:p w14:paraId="556C19C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w:t>
            </w:r>
          </w:p>
        </w:tc>
        <w:tc>
          <w:tcPr>
            <w:tcW w:w="840" w:type="dxa"/>
            <w:shd w:val="clear" w:color="auto" w:fill="C4EFCE"/>
            <w:tcMar>
              <w:left w:w="28" w:type="dxa"/>
              <w:right w:w="28" w:type="dxa"/>
            </w:tcMar>
            <w:vAlign w:val="center"/>
            <w:hideMark/>
          </w:tcPr>
          <w:p w14:paraId="2F258065" w14:textId="5103FFD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hideMark/>
          </w:tcPr>
          <w:p w14:paraId="4CBB76C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19" w:type="dxa"/>
            <w:shd w:val="clear" w:color="auto" w:fill="C4EFCE"/>
            <w:tcMar>
              <w:left w:w="28" w:type="dxa"/>
              <w:right w:w="28" w:type="dxa"/>
            </w:tcMar>
            <w:vAlign w:val="center"/>
            <w:hideMark/>
          </w:tcPr>
          <w:p w14:paraId="60F200E4" w14:textId="3B2EC3B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Uzavretie štyroch zmlúv (inovačné pakty alebo mobilizačné projekty)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konzorciami, ktoré zahŕňajú: Identifikácia základných subjektov konzorcia;</w:t>
            </w:r>
          </w:p>
          <w:p w14:paraId="37C65C2E"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Podnikateľský plán/investíciu</w:t>
            </w:r>
            <w:r w:rsidR="00A75B3C" w:rsidRPr="003F23AC">
              <w:rPr>
                <w:rFonts w:ascii="Times New Roman" w:hAnsi="Times New Roman" w:cs="Times New Roman"/>
                <w:noProof/>
                <w:lang w:val="sk-SK"/>
              </w:rPr>
              <w:t>;</w:t>
            </w:r>
          </w:p>
          <w:p w14:paraId="3EED2340"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výšku financovania</w:t>
            </w:r>
            <w:r w:rsidR="00A75B3C" w:rsidRPr="003F23AC">
              <w:rPr>
                <w:rFonts w:ascii="Times New Roman" w:hAnsi="Times New Roman" w:cs="Times New Roman"/>
                <w:noProof/>
                <w:lang w:val="sk-SK"/>
              </w:rPr>
              <w:t>;</w:t>
            </w:r>
          </w:p>
          <w:p w14:paraId="5E8371D8"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Ciele, ktorými je príjemca viazaný</w:t>
            </w:r>
            <w:r w:rsidR="00A75B3C" w:rsidRPr="003F23AC">
              <w:rPr>
                <w:rFonts w:ascii="Times New Roman" w:hAnsi="Times New Roman" w:cs="Times New Roman"/>
                <w:noProof/>
                <w:lang w:val="sk-SK"/>
              </w:rPr>
              <w:t>;</w:t>
            </w:r>
          </w:p>
          <w:p w14:paraId="7918E159" w14:textId="2A6E24B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Forma monitorovania.</w:t>
            </w:r>
          </w:p>
          <w:p w14:paraId="663B5E0B" w14:textId="77777777" w:rsidR="00387C70" w:rsidRPr="003F23AC" w:rsidRDefault="00387C70" w:rsidP="003F23AC">
            <w:pPr>
              <w:spacing w:after="0" w:line="240" w:lineRule="auto"/>
              <w:jc w:val="both"/>
              <w:rPr>
                <w:rFonts w:ascii="Times New Roman" w:eastAsia="Times New Roman" w:hAnsi="Times New Roman" w:cs="Times New Roman"/>
                <w:noProof/>
                <w:sz w:val="16"/>
                <w:lang w:val="sk-SK"/>
              </w:rPr>
            </w:pPr>
          </w:p>
          <w:p w14:paraId="4EC7E909" w14:textId="77ACA8FE" w:rsidR="00387C70" w:rsidRPr="003F23AC" w:rsidRDefault="000F5AA4" w:rsidP="003F23AC">
            <w:pPr>
              <w:pStyle w:val="P68B1DB1-Normal9"/>
              <w:spacing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Zákazky podporujú celkovo najmenej 40 produktov, procesov alebo služieb</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odrážajú zosúladenie</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oblasťou intervencie 022 (Výskumné</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inovačné procesy, transfer technológií</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spolupráca medzi spoločnosťami so zameraním na nízkouhlíkové hospodárstvo</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odolnosť</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adaptáciu na zmenu klímy).</w:t>
            </w:r>
            <w:r w:rsidRPr="003F23AC">
              <w:rPr>
                <w:rFonts w:ascii="Times New Roman" w:hAnsi="Times New Roman" w:cs="Times New Roman"/>
                <w:noProof/>
                <w:lang w:val="sk-SK"/>
              </w:rPr>
              <w:t xml:space="preserve"> </w:t>
            </w:r>
            <w:r w:rsidRPr="003F23AC">
              <w:rPr>
                <w:rFonts w:ascii="Times New Roman" w:hAnsi="Times New Roman" w:cs="Times New Roman"/>
                <w:noProof/>
                <w:sz w:val="16"/>
                <w:lang w:val="sk-SK"/>
              </w:rPr>
              <w:t>Referenčný rámec zahŕňa kritériá oprávnenosti, ktorými sa zabezpečí, aby vybrané projekty boli</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súlade</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technickým usmernením „výrazne nenarušiť“ (2021/C58/01) prostredníctvom použitia zoznamu vylúčených subjektov</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požiadavky súladu</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príslušnými právnymi predpismi EÚ</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vnútroštátnymi právnymi predpismi</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oblasti životného prostredia.</w:t>
            </w:r>
          </w:p>
        </w:tc>
      </w:tr>
      <w:tr w:rsidR="00387C70" w:rsidRPr="003F23AC" w14:paraId="7CCE9FC2" w14:textId="77777777" w:rsidTr="00A26F8D">
        <w:trPr>
          <w:trHeight w:val="1405"/>
        </w:trPr>
        <w:tc>
          <w:tcPr>
            <w:tcW w:w="1134" w:type="dxa"/>
            <w:shd w:val="clear" w:color="auto" w:fill="C4EFCE"/>
            <w:tcMar>
              <w:left w:w="28" w:type="dxa"/>
              <w:right w:w="28" w:type="dxa"/>
            </w:tcMar>
            <w:vAlign w:val="center"/>
            <w:hideMark/>
          </w:tcPr>
          <w:p w14:paraId="42B4F12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5.8</w:t>
            </w:r>
          </w:p>
        </w:tc>
        <w:tc>
          <w:tcPr>
            <w:tcW w:w="1165" w:type="dxa"/>
            <w:shd w:val="clear" w:color="auto" w:fill="C4EFCE"/>
            <w:tcMar>
              <w:left w:w="28" w:type="dxa"/>
              <w:right w:w="28" w:type="dxa"/>
            </w:tcMar>
            <w:vAlign w:val="center"/>
            <w:hideMark/>
          </w:tcPr>
          <w:p w14:paraId="32953778" w14:textId="5F62FF6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C05-i01.02</w:t>
            </w:r>
          </w:p>
        </w:tc>
        <w:tc>
          <w:tcPr>
            <w:tcW w:w="976" w:type="dxa"/>
            <w:shd w:val="clear" w:color="auto" w:fill="C4EFCE"/>
            <w:tcMar>
              <w:left w:w="28" w:type="dxa"/>
              <w:right w:w="28" w:type="dxa"/>
            </w:tcMar>
            <w:vAlign w:val="center"/>
            <w:hideMark/>
          </w:tcPr>
          <w:p w14:paraId="217DD48E" w14:textId="6BE89343"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hideMark/>
          </w:tcPr>
          <w:p w14:paraId="73501CE1" w14:textId="55B2888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Výrobky, procesy alebo služby (PPS) dokončené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súvislosti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nízkouhlíkovým hospodárstvom, odolnosťou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adaptáciou na zmenu klímy </w:t>
            </w:r>
          </w:p>
        </w:tc>
        <w:tc>
          <w:tcPr>
            <w:tcW w:w="1862" w:type="dxa"/>
            <w:shd w:val="clear" w:color="auto" w:fill="C4EFCE"/>
            <w:tcMar>
              <w:left w:w="28" w:type="dxa"/>
              <w:right w:w="28" w:type="dxa"/>
            </w:tcMar>
            <w:vAlign w:val="center"/>
            <w:hideMark/>
          </w:tcPr>
          <w:p w14:paraId="6370E70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hideMark/>
          </w:tcPr>
          <w:p w14:paraId="7D5B40E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hideMark/>
          </w:tcPr>
          <w:p w14:paraId="30D6679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hideMark/>
          </w:tcPr>
          <w:p w14:paraId="2C51CFC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w:t>
            </w:r>
          </w:p>
        </w:tc>
        <w:tc>
          <w:tcPr>
            <w:tcW w:w="840" w:type="dxa"/>
            <w:shd w:val="clear" w:color="auto" w:fill="C4EFCE"/>
            <w:tcMar>
              <w:left w:w="28" w:type="dxa"/>
              <w:right w:w="28" w:type="dxa"/>
            </w:tcMar>
            <w:vAlign w:val="center"/>
            <w:hideMark/>
          </w:tcPr>
          <w:p w14:paraId="599C9B52" w14:textId="73B19356"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hideMark/>
          </w:tcPr>
          <w:p w14:paraId="67FF821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19" w:type="dxa"/>
            <w:shd w:val="clear" w:color="auto" w:fill="C4EFCE"/>
            <w:tcMar>
              <w:left w:w="28" w:type="dxa"/>
              <w:right w:w="28" w:type="dxa"/>
            </w:tcMar>
            <w:vAlign w:val="center"/>
            <w:hideMark/>
          </w:tcPr>
          <w:p w14:paraId="502D8185" w14:textId="3459A5C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Dokončenie výrobkov, procesov alebo služieb vyplývajúcich</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vykonávania štyroch zmlúv (inovačných paktov alebo mobilizačných projektov) uzavretých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konzorciami, čo odráža zosúladenie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oblasťou intervencie 022 (Výskumné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inovačné procesy, prenos technológií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spolupráca medzi spoločnosťami so zameraním na nízkouhlíkové hospodárstvo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adaptáciu na zmenu klímy).</w:t>
            </w:r>
          </w:p>
        </w:tc>
      </w:tr>
      <w:tr w:rsidR="00387C70" w:rsidRPr="003F23AC" w14:paraId="7306DD3C" w14:textId="77777777" w:rsidTr="00A26F8D">
        <w:trPr>
          <w:trHeight w:val="420"/>
        </w:trPr>
        <w:tc>
          <w:tcPr>
            <w:tcW w:w="1134" w:type="dxa"/>
            <w:shd w:val="clear" w:color="auto" w:fill="C4EFCE"/>
            <w:tcMar>
              <w:left w:w="28" w:type="dxa"/>
              <w:right w:w="28" w:type="dxa"/>
            </w:tcMar>
            <w:vAlign w:val="center"/>
            <w:hideMark/>
          </w:tcPr>
          <w:p w14:paraId="1DD3CA8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5.9</w:t>
            </w:r>
          </w:p>
        </w:tc>
        <w:tc>
          <w:tcPr>
            <w:tcW w:w="1165" w:type="dxa"/>
            <w:shd w:val="clear" w:color="auto" w:fill="C4EFCE"/>
            <w:tcMar>
              <w:left w:w="28" w:type="dxa"/>
              <w:right w:w="28" w:type="dxa"/>
            </w:tcMar>
            <w:vAlign w:val="center"/>
            <w:hideMark/>
          </w:tcPr>
          <w:p w14:paraId="610CF94D" w14:textId="57ED535C"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C05-i02</w:t>
            </w:r>
          </w:p>
        </w:tc>
        <w:tc>
          <w:tcPr>
            <w:tcW w:w="976" w:type="dxa"/>
            <w:shd w:val="clear" w:color="auto" w:fill="C4EFCE"/>
            <w:tcMar>
              <w:left w:w="28" w:type="dxa"/>
              <w:right w:w="28" w:type="dxa"/>
            </w:tcMar>
            <w:vAlign w:val="center"/>
            <w:hideMark/>
          </w:tcPr>
          <w:p w14:paraId="49C4E686" w14:textId="75FF9731"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hideMark/>
          </w:tcPr>
          <w:p w14:paraId="21CC7D92" w14:textId="6276579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Uzavreté zmluvy so subjektmi rozhrania vrátane kolaboratívnych laboratórií – Colabs </w:t>
            </w:r>
          </w:p>
        </w:tc>
        <w:tc>
          <w:tcPr>
            <w:tcW w:w="1862" w:type="dxa"/>
            <w:shd w:val="clear" w:color="auto" w:fill="C4EFCE"/>
            <w:tcMar>
              <w:left w:w="28" w:type="dxa"/>
              <w:right w:w="28" w:type="dxa"/>
            </w:tcMar>
            <w:vAlign w:val="center"/>
            <w:hideMark/>
          </w:tcPr>
          <w:p w14:paraId="3CFA0A2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hideMark/>
          </w:tcPr>
          <w:p w14:paraId="5F654CC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hideMark/>
          </w:tcPr>
          <w:p w14:paraId="4C3EF50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hideMark/>
          </w:tcPr>
          <w:p w14:paraId="264B417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w:t>
            </w:r>
          </w:p>
        </w:tc>
        <w:tc>
          <w:tcPr>
            <w:tcW w:w="840" w:type="dxa"/>
            <w:shd w:val="clear" w:color="auto" w:fill="C4EFCE"/>
            <w:tcMar>
              <w:left w:w="28" w:type="dxa"/>
              <w:right w:w="28" w:type="dxa"/>
            </w:tcMar>
            <w:vAlign w:val="center"/>
            <w:hideMark/>
          </w:tcPr>
          <w:p w14:paraId="301A90D3" w14:textId="658467AE"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hideMark/>
          </w:tcPr>
          <w:p w14:paraId="0632C36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19" w:type="dxa"/>
            <w:shd w:val="clear" w:color="auto" w:fill="C4EFCE"/>
            <w:tcMar>
              <w:left w:w="28" w:type="dxa"/>
              <w:right w:w="28" w:type="dxa"/>
            </w:tcMar>
            <w:vAlign w:val="center"/>
            <w:hideMark/>
          </w:tcPr>
          <w:p w14:paraId="282686AF"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Na základe výzvy na predkladanie ponúk výber subjektov, ktoré sa majú podporiť. Táto výzva sa obmedzuje na navrhovateľov uznaných za subjekty „rozhrania“ alebo ako spolupracujúce laboratóriá</w:t>
            </w:r>
            <w:r w:rsidR="00A75B3C" w:rsidRPr="003F23AC">
              <w:rPr>
                <w:rFonts w:ascii="Times New Roman" w:hAnsi="Times New Roman" w:cs="Times New Roman"/>
                <w:noProof/>
                <w:lang w:val="sk-SK"/>
              </w:rPr>
              <w:t>.</w:t>
            </w:r>
          </w:p>
          <w:p w14:paraId="7F724A76" w14:textId="733089E2" w:rsidR="00387C70" w:rsidRPr="003F23AC" w:rsidRDefault="00387C70" w:rsidP="003F23AC">
            <w:pPr>
              <w:spacing w:after="0" w:line="240" w:lineRule="auto"/>
              <w:jc w:val="both"/>
              <w:rPr>
                <w:rFonts w:ascii="Times New Roman" w:eastAsia="Times New Roman" w:hAnsi="Times New Roman" w:cs="Times New Roman"/>
                <w:noProof/>
                <w:sz w:val="16"/>
                <w:lang w:val="sk-SK"/>
              </w:rPr>
            </w:pPr>
          </w:p>
          <w:p w14:paraId="647EE43D" w14:textId="498888FF" w:rsidR="00387C70" w:rsidRPr="003F23AC" w:rsidRDefault="000F5AA4" w:rsidP="003F23AC">
            <w:pPr>
              <w:pStyle w:val="P68B1DB1-Normal9"/>
              <w:spacing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Zmluvy odrážajú zosúladenie</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oblasťami intervencie 021 (prenos technológií</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spolupráca medzi podnikmi, výskumnými centrami</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sektorom vzdelávania) a/alebo 022 (Výskumné</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inovačné procesy, prenos technológií</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spolupráca medzi podnikmi so zameraním na nízkouhlíkové hospodárstvo</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odolnosť</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adaptáciu na zmenu klímy).</w:t>
            </w:r>
            <w:r w:rsidRPr="003F23AC">
              <w:rPr>
                <w:rFonts w:ascii="Times New Roman" w:hAnsi="Times New Roman" w:cs="Times New Roman"/>
                <w:noProof/>
                <w:lang w:val="sk-SK"/>
              </w:rPr>
              <w:t xml:space="preserve"> </w:t>
            </w:r>
            <w:r w:rsidRPr="003F23AC">
              <w:rPr>
                <w:rFonts w:ascii="Times New Roman" w:hAnsi="Times New Roman" w:cs="Times New Roman"/>
                <w:noProof/>
                <w:sz w:val="16"/>
                <w:lang w:val="sk-SK"/>
              </w:rPr>
              <w:t>Referenčný rámec zahŕňa kritériá oprávnenosti, ktorými sa zabezpečí, aby vybrané projekty boli</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súlade</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technickým usmernením „výrazne nenarušiť“ (2021/C58/01) prostredníctvom použitia zoznamu vylúčených subjektov</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požiadavky súladu</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príslušnými právnymi predpismi EÚ</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vnútroštátnymi právnymi predpismi</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oblasti životného prostredia.</w:t>
            </w:r>
          </w:p>
        </w:tc>
      </w:tr>
      <w:tr w:rsidR="00387C70" w:rsidRPr="003F23AC" w14:paraId="5DDFFD35" w14:textId="77777777" w:rsidTr="00A26F8D">
        <w:trPr>
          <w:trHeight w:val="1366"/>
        </w:trPr>
        <w:tc>
          <w:tcPr>
            <w:tcW w:w="1134" w:type="dxa"/>
            <w:shd w:val="clear" w:color="auto" w:fill="C4EFCE"/>
            <w:tcMar>
              <w:left w:w="28" w:type="dxa"/>
              <w:right w:w="28" w:type="dxa"/>
            </w:tcMar>
            <w:vAlign w:val="center"/>
            <w:hideMark/>
          </w:tcPr>
          <w:p w14:paraId="4A7C31C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5.10</w:t>
            </w:r>
          </w:p>
        </w:tc>
        <w:tc>
          <w:tcPr>
            <w:tcW w:w="1165" w:type="dxa"/>
            <w:shd w:val="clear" w:color="auto" w:fill="C4EFCE"/>
            <w:tcMar>
              <w:left w:w="28" w:type="dxa"/>
              <w:right w:w="28" w:type="dxa"/>
            </w:tcMar>
            <w:vAlign w:val="center"/>
            <w:hideMark/>
          </w:tcPr>
          <w:p w14:paraId="198E11A9" w14:textId="18CC0D63"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C05-i02</w:t>
            </w:r>
          </w:p>
        </w:tc>
        <w:tc>
          <w:tcPr>
            <w:tcW w:w="976" w:type="dxa"/>
            <w:shd w:val="clear" w:color="auto" w:fill="C4EFCE"/>
            <w:tcMar>
              <w:left w:w="28" w:type="dxa"/>
              <w:right w:w="28" w:type="dxa"/>
            </w:tcMar>
            <w:vAlign w:val="center"/>
            <w:hideMark/>
          </w:tcPr>
          <w:p w14:paraId="7A48319F" w14:textId="77DA5CD5"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hideMark/>
          </w:tcPr>
          <w:p w14:paraId="3EA4879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Spoločnosti využívajúce služby poskytované sprostredkovateľskými subjektmi vrátane kolaboratívnych laboratórií – Colabs</w:t>
            </w:r>
          </w:p>
        </w:tc>
        <w:tc>
          <w:tcPr>
            <w:tcW w:w="1862" w:type="dxa"/>
            <w:shd w:val="clear" w:color="auto" w:fill="C4EFCE"/>
            <w:tcMar>
              <w:left w:w="28" w:type="dxa"/>
              <w:right w:w="28" w:type="dxa"/>
            </w:tcMar>
            <w:vAlign w:val="center"/>
            <w:hideMark/>
          </w:tcPr>
          <w:p w14:paraId="48F1813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hideMark/>
          </w:tcPr>
          <w:p w14:paraId="73F810D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hideMark/>
          </w:tcPr>
          <w:p w14:paraId="0EAC23B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hideMark/>
          </w:tcPr>
          <w:p w14:paraId="7CE1E75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500</w:t>
            </w:r>
          </w:p>
        </w:tc>
        <w:tc>
          <w:tcPr>
            <w:tcW w:w="840" w:type="dxa"/>
            <w:shd w:val="clear" w:color="auto" w:fill="C4EFCE"/>
            <w:tcMar>
              <w:left w:w="28" w:type="dxa"/>
              <w:right w:w="28" w:type="dxa"/>
            </w:tcMar>
            <w:vAlign w:val="center"/>
            <w:hideMark/>
          </w:tcPr>
          <w:p w14:paraId="0174A444" w14:textId="106319B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hideMark/>
          </w:tcPr>
          <w:p w14:paraId="72CE65E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19" w:type="dxa"/>
            <w:shd w:val="clear" w:color="auto" w:fill="C4EFCE"/>
            <w:tcMar>
              <w:left w:w="28" w:type="dxa"/>
              <w:right w:w="28" w:type="dxa"/>
            </w:tcMar>
            <w:vAlign w:val="center"/>
            <w:hideMark/>
          </w:tcPr>
          <w:p w14:paraId="7327EDF0" w14:textId="3F795FE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Správy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vykonávaní, ktoré majú subjekty poskytujúce rozhranie každoročne predkladať, umožnia merať kvantitatívny pokrok</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porovnaní so špecifickými cieľmi prijatými pri prideľovaní základného financovania, najmä počet podnikov využívajúcich poskytované služby.</w:t>
            </w:r>
          </w:p>
        </w:tc>
      </w:tr>
      <w:tr w:rsidR="00387C70" w:rsidRPr="003F23AC" w14:paraId="296A7EE2" w14:textId="77777777" w:rsidTr="00A26F8D">
        <w:trPr>
          <w:trHeight w:val="420"/>
        </w:trPr>
        <w:tc>
          <w:tcPr>
            <w:tcW w:w="1134" w:type="dxa"/>
            <w:shd w:val="clear" w:color="auto" w:fill="C4EFCE"/>
            <w:tcMar>
              <w:left w:w="28" w:type="dxa"/>
              <w:right w:w="28" w:type="dxa"/>
            </w:tcMar>
            <w:vAlign w:val="center"/>
            <w:hideMark/>
          </w:tcPr>
          <w:p w14:paraId="7501BF2E" w14:textId="0A9B9B12"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5.11</w:t>
            </w:r>
          </w:p>
        </w:tc>
        <w:tc>
          <w:tcPr>
            <w:tcW w:w="1165" w:type="dxa"/>
            <w:shd w:val="clear" w:color="auto" w:fill="C4EFCE"/>
            <w:tcMar>
              <w:left w:w="28" w:type="dxa"/>
              <w:right w:w="28" w:type="dxa"/>
            </w:tcMar>
            <w:vAlign w:val="center"/>
            <w:hideMark/>
          </w:tcPr>
          <w:p w14:paraId="5F103B40" w14:textId="5EB35326"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C05-i03</w:t>
            </w:r>
          </w:p>
        </w:tc>
        <w:tc>
          <w:tcPr>
            <w:tcW w:w="976" w:type="dxa"/>
            <w:shd w:val="clear" w:color="auto" w:fill="C4EFCE"/>
            <w:tcMar>
              <w:left w:w="28" w:type="dxa"/>
              <w:right w:w="28" w:type="dxa"/>
            </w:tcMar>
            <w:vAlign w:val="center"/>
            <w:hideMark/>
          </w:tcPr>
          <w:p w14:paraId="0CBDE3B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68" w:type="dxa"/>
            <w:shd w:val="clear" w:color="auto" w:fill="C4EFCE"/>
            <w:tcMar>
              <w:left w:w="28" w:type="dxa"/>
              <w:right w:w="28" w:type="dxa"/>
            </w:tcMar>
            <w:vAlign w:val="center"/>
            <w:hideMark/>
          </w:tcPr>
          <w:p w14:paraId="6BD49DD1" w14:textId="141955C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Postup verejného obstarávania na výskumné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inovačné projekty </w:t>
            </w:r>
          </w:p>
        </w:tc>
        <w:tc>
          <w:tcPr>
            <w:tcW w:w="1862" w:type="dxa"/>
            <w:shd w:val="clear" w:color="auto" w:fill="C4EFCE"/>
            <w:tcMar>
              <w:left w:w="28" w:type="dxa"/>
              <w:right w:w="28" w:type="dxa"/>
            </w:tcMar>
            <w:vAlign w:val="center"/>
            <w:hideMark/>
          </w:tcPr>
          <w:p w14:paraId="56B754AF" w14:textId="55C5322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Uverejnenie oznámenia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otvorení postupu verejného obstarávania na výskumné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inovačné projekty </w:t>
            </w:r>
          </w:p>
        </w:tc>
        <w:tc>
          <w:tcPr>
            <w:tcW w:w="882" w:type="dxa"/>
            <w:shd w:val="clear" w:color="auto" w:fill="C4EFCE"/>
            <w:tcMar>
              <w:left w:w="28" w:type="dxa"/>
              <w:right w:w="28" w:type="dxa"/>
            </w:tcMar>
            <w:vAlign w:val="center"/>
            <w:hideMark/>
          </w:tcPr>
          <w:p w14:paraId="52389DD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76" w:type="dxa"/>
            <w:shd w:val="clear" w:color="auto" w:fill="C4EFCE"/>
            <w:tcMar>
              <w:left w:w="28" w:type="dxa"/>
              <w:right w:w="28" w:type="dxa"/>
            </w:tcMar>
            <w:vAlign w:val="center"/>
            <w:hideMark/>
          </w:tcPr>
          <w:p w14:paraId="610CC40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0" w:type="dxa"/>
            <w:shd w:val="clear" w:color="auto" w:fill="C4EFCE"/>
            <w:tcMar>
              <w:left w:w="28" w:type="dxa"/>
              <w:right w:w="28" w:type="dxa"/>
            </w:tcMar>
            <w:vAlign w:val="center"/>
            <w:hideMark/>
          </w:tcPr>
          <w:p w14:paraId="41CA43B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0793F21D" w14:textId="4F95264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20" w:type="dxa"/>
            <w:shd w:val="clear" w:color="auto" w:fill="C4EFCE"/>
            <w:tcMar>
              <w:left w:w="28" w:type="dxa"/>
              <w:right w:w="28" w:type="dxa"/>
            </w:tcMar>
            <w:vAlign w:val="center"/>
            <w:hideMark/>
          </w:tcPr>
          <w:p w14:paraId="51BBEBF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3919" w:type="dxa"/>
            <w:shd w:val="clear" w:color="auto" w:fill="C4EFCE"/>
            <w:tcMar>
              <w:left w:w="28" w:type="dxa"/>
              <w:right w:w="28" w:type="dxa"/>
            </w:tcMar>
            <w:vAlign w:val="center"/>
            <w:hideMark/>
          </w:tcPr>
          <w:p w14:paraId="32DE38C1" w14:textId="24920F8E"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Vyhlásenie verejnej súťaže na výskumné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inovačné programy/projekty, ktoré sa majú financovať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iniciatív inovačného programu pre poľnohospodárstvo do roku 2030</w:t>
            </w:r>
            <w:r w:rsidR="00A75B3C" w:rsidRPr="003F23AC">
              <w:rPr>
                <w:rFonts w:ascii="Times New Roman" w:hAnsi="Times New Roman" w:cs="Times New Roman"/>
                <w:noProof/>
                <w:lang w:val="sk-SK"/>
              </w:rPr>
              <w:t>.</w:t>
            </w:r>
          </w:p>
          <w:p w14:paraId="424377D2" w14:textId="6909AA7C" w:rsidR="00387C70" w:rsidRPr="003F23AC" w:rsidRDefault="00387C70" w:rsidP="003F23AC">
            <w:pPr>
              <w:spacing w:after="0" w:line="240" w:lineRule="auto"/>
              <w:jc w:val="both"/>
              <w:rPr>
                <w:rFonts w:ascii="Times New Roman" w:eastAsia="Times New Roman" w:hAnsi="Times New Roman" w:cs="Times New Roman"/>
                <w:noProof/>
                <w:sz w:val="16"/>
                <w:lang w:val="sk-SK"/>
              </w:rPr>
            </w:pPr>
          </w:p>
          <w:p w14:paraId="07AB370C" w14:textId="0DD7B7E4"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Referenčný rámec zahŕňa kritériá oprávnenosti, ktorými sa zabezpečí, aby vybrané projekty boli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„výrazne nenarušiť“ (2021/C58/01)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 Výberové kritériá zabezpečia, aby sa projekty zameriavali buď na</w:t>
            </w:r>
            <w:r w:rsidR="00A75B3C" w:rsidRPr="003F23AC">
              <w:rPr>
                <w:rFonts w:ascii="Times New Roman" w:hAnsi="Times New Roman" w:cs="Times New Roman"/>
                <w:noProof/>
                <w:lang w:val="sk-SK"/>
              </w:rPr>
              <w:t>:</w:t>
            </w:r>
          </w:p>
          <w:p w14:paraId="06943CA2" w14:textId="77777777" w:rsidR="00A75B3C" w:rsidRPr="003F23AC" w:rsidRDefault="000F5AA4" w:rsidP="003F23AC">
            <w:pPr>
              <w:pStyle w:val="P68B1DB1-Normal8"/>
              <w:spacing w:after="0" w:line="240" w:lineRule="auto"/>
              <w:rPr>
                <w:rFonts w:ascii="Times New Roman" w:hAnsi="Times New Roman" w:cs="Times New Roman"/>
                <w:noProof/>
                <w:lang w:val="sk-SK"/>
              </w:rPr>
            </w:pPr>
            <w:r w:rsidRPr="003F23AC">
              <w:rPr>
                <w:rFonts w:ascii="Times New Roman" w:hAnsi="Times New Roman" w:cs="Times New Roman"/>
                <w:noProof/>
                <w:lang w:val="sk-SK"/>
              </w:rPr>
              <w:t>—o nízkouhlíkovom hospodárstve, odolnosti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adaptácii na zmenu klímy prostredníctvom znižovania emisií, zvyšovania sekvestrácie uhlíka alebo posilňovania odolnosti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adaptácie na zmenu klímy, ktoré odrážajú požiadavky oblasti intervencie 022, ako sa uvádza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prílohe VI</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nariadeniu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Mechanizme na podporu obnovy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odolnosti</w:t>
            </w:r>
          </w:p>
          <w:p w14:paraId="31587418" w14:textId="3A6317C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—alebo na projekty digitalizácie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výskumu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vývoja, ako je jednotný poľnohospodársky portál, digitalizácia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projekty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výskumu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inovácií súvisiace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hodnotovými reťazcami, ktoré odrážajú požiadavky oblasti intervencie 009.</w:t>
            </w:r>
          </w:p>
        </w:tc>
      </w:tr>
      <w:tr w:rsidR="00387C70" w:rsidRPr="003F23AC" w14:paraId="00335F0E" w14:textId="77777777" w:rsidTr="00A26F8D">
        <w:trPr>
          <w:trHeight w:val="1347"/>
        </w:trPr>
        <w:tc>
          <w:tcPr>
            <w:tcW w:w="1134" w:type="dxa"/>
            <w:shd w:val="clear" w:color="auto" w:fill="C4EFCE"/>
            <w:tcMar>
              <w:left w:w="28" w:type="dxa"/>
              <w:right w:w="28" w:type="dxa"/>
            </w:tcMar>
            <w:vAlign w:val="center"/>
            <w:hideMark/>
          </w:tcPr>
          <w:p w14:paraId="6928F1B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5.12</w:t>
            </w:r>
          </w:p>
        </w:tc>
        <w:tc>
          <w:tcPr>
            <w:tcW w:w="1165" w:type="dxa"/>
            <w:shd w:val="clear" w:color="auto" w:fill="C4EFCE"/>
            <w:tcMar>
              <w:left w:w="28" w:type="dxa"/>
              <w:right w:w="28" w:type="dxa"/>
            </w:tcMar>
            <w:vAlign w:val="center"/>
            <w:hideMark/>
          </w:tcPr>
          <w:p w14:paraId="62CDCC6D" w14:textId="5E43ADDA"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C05-i03</w:t>
            </w:r>
          </w:p>
        </w:tc>
        <w:tc>
          <w:tcPr>
            <w:tcW w:w="976" w:type="dxa"/>
            <w:shd w:val="clear" w:color="auto" w:fill="C4EFCE"/>
            <w:tcMar>
              <w:left w:w="28" w:type="dxa"/>
              <w:right w:w="28" w:type="dxa"/>
            </w:tcMar>
            <w:vAlign w:val="center"/>
            <w:hideMark/>
          </w:tcPr>
          <w:p w14:paraId="0C284E5D" w14:textId="1AA35638"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hideMark/>
          </w:tcPr>
          <w:p w14:paraId="0152F452" w14:textId="0E25B49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inovačných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výskumných projektov zameraných na ekologické aspekty inovačného programu pre poľnohospodárstvo do roku 2030 </w:t>
            </w:r>
          </w:p>
        </w:tc>
        <w:tc>
          <w:tcPr>
            <w:tcW w:w="1862" w:type="dxa"/>
            <w:shd w:val="clear" w:color="auto" w:fill="C4EFCE"/>
            <w:tcMar>
              <w:left w:w="28" w:type="dxa"/>
              <w:right w:w="28" w:type="dxa"/>
            </w:tcMar>
            <w:vAlign w:val="center"/>
            <w:hideMark/>
          </w:tcPr>
          <w:p w14:paraId="6673998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hideMark/>
          </w:tcPr>
          <w:p w14:paraId="7BD66CB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hideMark/>
          </w:tcPr>
          <w:p w14:paraId="6C14CFF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hideMark/>
          </w:tcPr>
          <w:p w14:paraId="757C095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100</w:t>
            </w:r>
          </w:p>
        </w:tc>
        <w:tc>
          <w:tcPr>
            <w:tcW w:w="840" w:type="dxa"/>
            <w:shd w:val="clear" w:color="auto" w:fill="C4EFCE"/>
            <w:tcMar>
              <w:left w:w="28" w:type="dxa"/>
              <w:right w:w="28" w:type="dxa"/>
            </w:tcMar>
            <w:vAlign w:val="center"/>
            <w:hideMark/>
          </w:tcPr>
          <w:p w14:paraId="327ED56D" w14:textId="6660C99C"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20" w:type="dxa"/>
            <w:shd w:val="clear" w:color="auto" w:fill="C4EFCE"/>
            <w:tcMar>
              <w:left w:w="28" w:type="dxa"/>
              <w:right w:w="28" w:type="dxa"/>
            </w:tcMar>
            <w:vAlign w:val="center"/>
            <w:hideMark/>
          </w:tcPr>
          <w:p w14:paraId="46CE7E7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19" w:type="dxa"/>
            <w:shd w:val="clear" w:color="auto" w:fill="C4EFCE"/>
            <w:tcMar>
              <w:left w:w="28" w:type="dxa"/>
              <w:right w:w="28" w:type="dxa"/>
            </w:tcMar>
            <w:vAlign w:val="center"/>
            <w:hideMark/>
          </w:tcPr>
          <w:p w14:paraId="7AD60965" w14:textId="13939D9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Spolu 100 financovaných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dokončených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výskumu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inovácií. Podpora výskumných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inovačných projektov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programov, ktoré prispievajú</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aspoň jednej</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15 iniciatív inovačného programu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zameriavajú sa na nízkouhlíkové hospodárstvo, 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adaptáciu na zmenu klímy.</w:t>
            </w:r>
          </w:p>
        </w:tc>
      </w:tr>
      <w:tr w:rsidR="00387C70" w:rsidRPr="003F23AC" w14:paraId="58EE858D" w14:textId="77777777" w:rsidTr="00A26F8D">
        <w:trPr>
          <w:trHeight w:val="1406"/>
        </w:trPr>
        <w:tc>
          <w:tcPr>
            <w:tcW w:w="1134" w:type="dxa"/>
            <w:shd w:val="clear" w:color="auto" w:fill="C4EFCE"/>
            <w:tcMar>
              <w:left w:w="28" w:type="dxa"/>
              <w:right w:w="28" w:type="dxa"/>
            </w:tcMar>
            <w:vAlign w:val="center"/>
            <w:hideMark/>
          </w:tcPr>
          <w:p w14:paraId="4DD25D3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5.13</w:t>
            </w:r>
          </w:p>
        </w:tc>
        <w:tc>
          <w:tcPr>
            <w:tcW w:w="1165" w:type="dxa"/>
            <w:shd w:val="clear" w:color="auto" w:fill="C4EFCE"/>
            <w:tcMar>
              <w:left w:w="28" w:type="dxa"/>
              <w:right w:w="28" w:type="dxa"/>
            </w:tcMar>
            <w:vAlign w:val="center"/>
            <w:hideMark/>
          </w:tcPr>
          <w:p w14:paraId="1A4E4173" w14:textId="4C506CFD"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C05-i03</w:t>
            </w:r>
          </w:p>
        </w:tc>
        <w:tc>
          <w:tcPr>
            <w:tcW w:w="976" w:type="dxa"/>
            <w:shd w:val="clear" w:color="auto" w:fill="C4EFCE"/>
            <w:tcMar>
              <w:left w:w="28" w:type="dxa"/>
              <w:right w:w="28" w:type="dxa"/>
            </w:tcMar>
            <w:vAlign w:val="center"/>
            <w:hideMark/>
          </w:tcPr>
          <w:p w14:paraId="4731AB6C" w14:textId="407D2E1F"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hideMark/>
          </w:tcPr>
          <w:p w14:paraId="578A357C" w14:textId="147DED0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piatich štruktúrovaných projektov zameraných na digitálne aspekty inovačného programu pre poľnohospodárstvo do roku 2030</w:t>
            </w:r>
          </w:p>
        </w:tc>
        <w:tc>
          <w:tcPr>
            <w:tcW w:w="1862" w:type="dxa"/>
            <w:shd w:val="clear" w:color="auto" w:fill="C4EFCE"/>
            <w:tcMar>
              <w:left w:w="28" w:type="dxa"/>
              <w:right w:w="28" w:type="dxa"/>
            </w:tcMar>
            <w:vAlign w:val="center"/>
            <w:hideMark/>
          </w:tcPr>
          <w:p w14:paraId="6C32BB6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hideMark/>
          </w:tcPr>
          <w:p w14:paraId="714D153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hideMark/>
          </w:tcPr>
          <w:p w14:paraId="3533F04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hideMark/>
          </w:tcPr>
          <w:p w14:paraId="2495425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w:t>
            </w:r>
          </w:p>
        </w:tc>
        <w:tc>
          <w:tcPr>
            <w:tcW w:w="840" w:type="dxa"/>
            <w:shd w:val="clear" w:color="auto" w:fill="C4EFCE"/>
            <w:tcMar>
              <w:left w:w="28" w:type="dxa"/>
              <w:right w:w="28" w:type="dxa"/>
            </w:tcMar>
            <w:vAlign w:val="center"/>
            <w:hideMark/>
          </w:tcPr>
          <w:p w14:paraId="0D1EAAB9" w14:textId="2A307DBF"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20" w:type="dxa"/>
            <w:shd w:val="clear" w:color="auto" w:fill="C4EFCE"/>
            <w:tcMar>
              <w:left w:w="28" w:type="dxa"/>
              <w:right w:w="28" w:type="dxa"/>
            </w:tcMar>
            <w:vAlign w:val="center"/>
            <w:hideMark/>
          </w:tcPr>
          <w:p w14:paraId="6C8827A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19" w:type="dxa"/>
            <w:shd w:val="clear" w:color="auto" w:fill="C4EFCE"/>
            <w:tcMar>
              <w:left w:w="28" w:type="dxa"/>
              <w:right w:w="28" w:type="dxa"/>
            </w:tcMar>
            <w:vAlign w:val="center"/>
            <w:hideMark/>
          </w:tcPr>
          <w:p w14:paraId="3E658D67" w14:textId="05A9CE6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Spolu bolo financovaných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dokončených 5 projektov zameraných na štruktúrovanie inovácií. Podpora inovačných projektov, ktoré prispievajú</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aspoň jednej</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15 iniciatív inovačného programu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zameriavajú sa na digitalizáciu.</w:t>
            </w:r>
          </w:p>
        </w:tc>
      </w:tr>
      <w:tr w:rsidR="00387C70" w:rsidRPr="003F23AC" w14:paraId="0325433E" w14:textId="77777777" w:rsidTr="00A26F8D">
        <w:trPr>
          <w:trHeight w:val="420"/>
        </w:trPr>
        <w:tc>
          <w:tcPr>
            <w:tcW w:w="1134" w:type="dxa"/>
            <w:shd w:val="clear" w:color="auto" w:fill="C4EFCE"/>
            <w:tcMar>
              <w:left w:w="28" w:type="dxa"/>
              <w:right w:w="28" w:type="dxa"/>
            </w:tcMar>
            <w:vAlign w:val="center"/>
            <w:hideMark/>
          </w:tcPr>
          <w:p w14:paraId="2C9BBFE3" w14:textId="330406B0"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5.14</w:t>
            </w:r>
          </w:p>
        </w:tc>
        <w:tc>
          <w:tcPr>
            <w:tcW w:w="1165" w:type="dxa"/>
            <w:shd w:val="clear" w:color="auto" w:fill="C4EFCE"/>
            <w:tcMar>
              <w:left w:w="28" w:type="dxa"/>
              <w:right w:w="28" w:type="dxa"/>
            </w:tcMar>
            <w:vAlign w:val="center"/>
            <w:hideMark/>
          </w:tcPr>
          <w:p w14:paraId="6E1D1FCF" w14:textId="6525322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C05-i03</w:t>
            </w:r>
          </w:p>
        </w:tc>
        <w:tc>
          <w:tcPr>
            <w:tcW w:w="976" w:type="dxa"/>
            <w:shd w:val="clear" w:color="auto" w:fill="C4EFCE"/>
            <w:tcMar>
              <w:left w:w="28" w:type="dxa"/>
              <w:right w:w="28" w:type="dxa"/>
            </w:tcMar>
            <w:vAlign w:val="center"/>
            <w:hideMark/>
          </w:tcPr>
          <w:p w14:paraId="6E5A38D0" w14:textId="68B5D5EB"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hideMark/>
          </w:tcPr>
          <w:p w14:paraId="1642841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Obnova/modernizácia poľnohospodárskych inovačných centier</w:t>
            </w:r>
          </w:p>
        </w:tc>
        <w:tc>
          <w:tcPr>
            <w:tcW w:w="1862" w:type="dxa"/>
            <w:shd w:val="clear" w:color="auto" w:fill="C4EFCE"/>
            <w:tcMar>
              <w:left w:w="28" w:type="dxa"/>
              <w:right w:w="28" w:type="dxa"/>
            </w:tcMar>
            <w:vAlign w:val="center"/>
            <w:hideMark/>
          </w:tcPr>
          <w:p w14:paraId="10D1477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hideMark/>
          </w:tcPr>
          <w:p w14:paraId="47AE3D3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hideMark/>
          </w:tcPr>
          <w:p w14:paraId="026E992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hideMark/>
          </w:tcPr>
          <w:p w14:paraId="67F56B6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24</w:t>
            </w:r>
          </w:p>
        </w:tc>
        <w:tc>
          <w:tcPr>
            <w:tcW w:w="840" w:type="dxa"/>
            <w:shd w:val="clear" w:color="auto" w:fill="C4EFCE"/>
            <w:tcMar>
              <w:left w:w="28" w:type="dxa"/>
              <w:right w:w="28" w:type="dxa"/>
            </w:tcMar>
            <w:vAlign w:val="center"/>
            <w:hideMark/>
          </w:tcPr>
          <w:p w14:paraId="4D25C474" w14:textId="3F46123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hideMark/>
          </w:tcPr>
          <w:p w14:paraId="3CEE80E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19" w:type="dxa"/>
            <w:shd w:val="clear" w:color="auto" w:fill="C4EFCE"/>
            <w:tcMar>
              <w:left w:w="28" w:type="dxa"/>
              <w:right w:w="28" w:type="dxa"/>
            </w:tcMar>
            <w:vAlign w:val="center"/>
            <w:hideMark/>
          </w:tcPr>
          <w:p w14:paraId="739EF49F" w14:textId="7FEACD52"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Vytvorenie národnej inovačnej siete pre poľnohospodárstvo, potravinárstvo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rozvoj vidieka prostredníctvom modernizácie 24 inovačných centier</w:t>
            </w:r>
            <w:r w:rsidR="00A75B3C" w:rsidRPr="003F23AC">
              <w:rPr>
                <w:rFonts w:ascii="Times New Roman" w:hAnsi="Times New Roman" w:cs="Times New Roman"/>
                <w:noProof/>
                <w:lang w:val="sk-SK"/>
              </w:rPr>
              <w:t>.</w:t>
            </w:r>
          </w:p>
          <w:p w14:paraId="24D464A1" w14:textId="7190092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Tieto investície zahŕňajú najmä obnovu infraštruktúry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nákup laboratórneho vedeckého vybavenia.</w:t>
            </w:r>
          </w:p>
        </w:tc>
      </w:tr>
      <w:tr w:rsidR="00387C70" w:rsidRPr="003F23AC" w14:paraId="60F470C2" w14:textId="77777777" w:rsidTr="00A26F8D">
        <w:trPr>
          <w:trHeight w:val="1050"/>
        </w:trPr>
        <w:tc>
          <w:tcPr>
            <w:tcW w:w="1134" w:type="dxa"/>
            <w:shd w:val="clear" w:color="auto" w:fill="C4EFCE"/>
            <w:tcMar>
              <w:left w:w="28" w:type="dxa"/>
              <w:right w:w="28" w:type="dxa"/>
            </w:tcMar>
            <w:vAlign w:val="center"/>
            <w:hideMark/>
          </w:tcPr>
          <w:p w14:paraId="5E8992DB" w14:textId="470E960C"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5.15</w:t>
            </w:r>
          </w:p>
        </w:tc>
        <w:tc>
          <w:tcPr>
            <w:tcW w:w="1165" w:type="dxa"/>
            <w:shd w:val="clear" w:color="auto" w:fill="C4EFCE"/>
            <w:tcMar>
              <w:left w:w="28" w:type="dxa"/>
              <w:right w:w="28" w:type="dxa"/>
            </w:tcMar>
            <w:vAlign w:val="center"/>
            <w:hideMark/>
          </w:tcPr>
          <w:p w14:paraId="5ED3CA87" w14:textId="5A894753"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C05-i04-RAA</w:t>
            </w:r>
          </w:p>
        </w:tc>
        <w:tc>
          <w:tcPr>
            <w:tcW w:w="976" w:type="dxa"/>
            <w:shd w:val="clear" w:color="auto" w:fill="C4EFCE"/>
            <w:tcMar>
              <w:left w:w="28" w:type="dxa"/>
              <w:right w:w="28" w:type="dxa"/>
            </w:tcMar>
            <w:vAlign w:val="center"/>
            <w:hideMark/>
          </w:tcPr>
          <w:p w14:paraId="7E0D774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68" w:type="dxa"/>
            <w:shd w:val="clear" w:color="auto" w:fill="C4EFCE"/>
            <w:tcMar>
              <w:left w:w="28" w:type="dxa"/>
              <w:right w:w="28" w:type="dxa"/>
            </w:tcMar>
            <w:vAlign w:val="center"/>
            <w:hideMark/>
          </w:tcPr>
          <w:p w14:paraId="65A4ED20" w14:textId="42C7E5D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nástroji rekapitalizácie podnikov na Azorských ostrovoch</w:t>
            </w:r>
          </w:p>
        </w:tc>
        <w:tc>
          <w:tcPr>
            <w:tcW w:w="1862" w:type="dxa"/>
            <w:shd w:val="clear" w:color="auto" w:fill="C4EFCE"/>
            <w:tcMar>
              <w:left w:w="28" w:type="dxa"/>
              <w:right w:w="28" w:type="dxa"/>
            </w:tcMar>
            <w:vAlign w:val="center"/>
            <w:hideMark/>
          </w:tcPr>
          <w:p w14:paraId="0329CFDA" w14:textId="5ACF820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nariadenia, ktorým sa zavádza kapitalizačné opatrenie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ktorým sa </w:t>
            </w:r>
            <w:r w:rsidRPr="003F23AC">
              <w:rPr>
                <w:rFonts w:ascii="Times New Roman" w:hAnsi="Times New Roman" w:cs="Times New Roman"/>
                <w:i/>
                <w:noProof/>
                <w:lang w:val="sk-SK"/>
              </w:rPr>
              <w:t>Banco Portugues de Fomento</w:t>
            </w:r>
            <w:r w:rsidRPr="003F23AC">
              <w:rPr>
                <w:rFonts w:ascii="Times New Roman" w:hAnsi="Times New Roman" w:cs="Times New Roman"/>
                <w:noProof/>
                <w:lang w:val="sk-SK"/>
              </w:rPr>
              <w:t xml:space="preserve"> poveruje prijatím investičnej politiky regionálnou vládou Azorských ostrovov</w:t>
            </w:r>
          </w:p>
        </w:tc>
        <w:tc>
          <w:tcPr>
            <w:tcW w:w="882" w:type="dxa"/>
            <w:shd w:val="clear" w:color="auto" w:fill="C4EFCE"/>
            <w:tcMar>
              <w:left w:w="28" w:type="dxa"/>
              <w:right w:w="28" w:type="dxa"/>
            </w:tcMar>
            <w:vAlign w:val="center"/>
            <w:hideMark/>
          </w:tcPr>
          <w:p w14:paraId="76178EE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76" w:type="dxa"/>
            <w:shd w:val="clear" w:color="auto" w:fill="C4EFCE"/>
            <w:tcMar>
              <w:left w:w="28" w:type="dxa"/>
              <w:right w:w="28" w:type="dxa"/>
            </w:tcMar>
            <w:vAlign w:val="center"/>
            <w:hideMark/>
          </w:tcPr>
          <w:p w14:paraId="00D1E9F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0" w:type="dxa"/>
            <w:shd w:val="clear" w:color="auto" w:fill="C4EFCE"/>
            <w:tcMar>
              <w:left w:w="28" w:type="dxa"/>
              <w:right w:w="28" w:type="dxa"/>
            </w:tcMar>
            <w:vAlign w:val="center"/>
            <w:hideMark/>
          </w:tcPr>
          <w:p w14:paraId="1008B1F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38A054C2" w14:textId="50B9B9C4"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20" w:type="dxa"/>
            <w:shd w:val="clear" w:color="auto" w:fill="C4EFCE"/>
            <w:tcMar>
              <w:left w:w="28" w:type="dxa"/>
              <w:right w:w="28" w:type="dxa"/>
            </w:tcMar>
            <w:vAlign w:val="center"/>
            <w:hideMark/>
          </w:tcPr>
          <w:p w14:paraId="79E0576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3919" w:type="dxa"/>
            <w:shd w:val="clear" w:color="auto" w:fill="C4EFCE"/>
            <w:tcMar>
              <w:left w:w="28" w:type="dxa"/>
              <w:right w:w="28" w:type="dxa"/>
            </w:tcMar>
            <w:vAlign w:val="center"/>
            <w:hideMark/>
          </w:tcPr>
          <w:p w14:paraId="0BA4DD4E" w14:textId="7B880771"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Prijatie nariadenia regionálnou vládou Azorských ostrovov, ktorým sa zavádza kapitalizačné opatrenie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ktorým sa </w:t>
            </w:r>
            <w:r w:rsidRPr="003F23AC">
              <w:rPr>
                <w:rFonts w:ascii="Times New Roman" w:hAnsi="Times New Roman" w:cs="Times New Roman"/>
                <w:i/>
                <w:noProof/>
                <w:lang w:val="sk-SK"/>
              </w:rPr>
              <w:t>Banco Portugues de Fomento</w:t>
            </w:r>
            <w:r w:rsidRPr="003F23AC">
              <w:rPr>
                <w:rFonts w:ascii="Times New Roman" w:hAnsi="Times New Roman" w:cs="Times New Roman"/>
                <w:noProof/>
                <w:lang w:val="sk-SK"/>
              </w:rPr>
              <w:t xml:space="preserve"> poveruje prijatím investičnej politiky,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ktorej sa okrem iného vymedzujú kritériá oprávnenosti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výberu spoločností prijímajúcich pomoc pre každý typ finančných nástrojov.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nariadení sa vyžaduje, aby investičná politika obsahovala výberové kritériá/kritériá oprávnenosti na dosiahnutie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týkajúcim sa zásady „výrazne nenarušiť“ (2021/C58/01) podporovaných spoločností,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ktorých sa vyžaduje</w:t>
            </w:r>
            <w:r w:rsidR="00A75B3C" w:rsidRPr="003F23AC">
              <w:rPr>
                <w:rFonts w:ascii="Times New Roman" w:hAnsi="Times New Roman" w:cs="Times New Roman"/>
                <w:noProof/>
                <w:lang w:val="sk-SK"/>
              </w:rPr>
              <w:t>:</w:t>
            </w:r>
          </w:p>
          <w:p w14:paraId="56139680"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—využívanie overovania udržateľnosti,</w:t>
            </w:r>
          </w:p>
          <w:p w14:paraId="5370B569" w14:textId="7FE6D8AE"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—zoznam vylúčených subjektov, ktorý obsahuje tieto prvky</w:t>
            </w:r>
            <w:r w:rsidR="00A75B3C" w:rsidRPr="003F23AC">
              <w:rPr>
                <w:rFonts w:ascii="Times New Roman" w:hAnsi="Times New Roman" w:cs="Times New Roman"/>
                <w:noProof/>
                <w:lang w:val="sk-SK"/>
              </w:rPr>
              <w:t>:</w:t>
            </w:r>
          </w:p>
          <w:p w14:paraId="436922B2" w14:textId="1E5DE513" w:rsidR="00387C70" w:rsidRPr="003F23AC" w:rsidRDefault="000F5AA4" w:rsidP="003F23AC">
            <w:pPr>
              <w:spacing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Investície súvisiace</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fosílnymi palivami (vrátane následného použitia)</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výnimkou tepla/energie na báze zemného plynu</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súlade</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podmienkami stanovenými</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prílohe III</w:t>
            </w:r>
            <w:r w:rsidR="00A75B3C" w:rsidRPr="003F23AC">
              <w:rPr>
                <w:rFonts w:ascii="Times New Roman" w:hAnsi="Times New Roman" w:cs="Times New Roman"/>
                <w:noProof/>
                <w:sz w:val="16"/>
                <w:lang w:val="sk-SK"/>
              </w:rPr>
              <w:t xml:space="preserve"> k </w:t>
            </w:r>
            <w:r w:rsidRPr="003F23AC">
              <w:rPr>
                <w:rFonts w:ascii="Times New Roman" w:hAnsi="Times New Roman" w:cs="Times New Roman"/>
                <w:noProof/>
                <w:sz w:val="16"/>
                <w:lang w:val="sk-SK"/>
              </w:rPr>
              <w:t>usmerneniu „výrazne nenarušiť“</w:t>
            </w:r>
          </w:p>
          <w:p w14:paraId="1B3DE2D8" w14:textId="476F1494" w:rsidR="00A75B3C" w:rsidRPr="003F23AC" w:rsidRDefault="000F5AA4" w:rsidP="003F23AC">
            <w:pPr>
              <w:spacing w:after="0" w:line="240" w:lineRule="auto"/>
              <w:jc w:val="both"/>
              <w:rPr>
                <w:rFonts w:ascii="Times New Roman" w:hAnsi="Times New Roman" w:cs="Times New Roman"/>
                <w:noProof/>
                <w:sz w:val="16"/>
                <w:lang w:val="sk-SK"/>
              </w:rPr>
            </w:pPr>
            <w:r w:rsidRPr="003F23AC">
              <w:rPr>
                <w:rFonts w:ascii="Times New Roman" w:hAnsi="Times New Roman" w:cs="Times New Roman"/>
                <w:noProof/>
                <w:sz w:val="16"/>
                <w:lang w:val="sk-SK"/>
              </w:rPr>
              <w:t>—</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Činnosti</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rámci ETS</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predpokladanými emisiami ekvivalentu CO2, ktoré nie sú nižšie ako príslušné referenčné hodnoty stanovené pre bezodplatné prideľovanie</w:t>
            </w:r>
            <w:r w:rsidR="00A75B3C" w:rsidRPr="003F23AC">
              <w:rPr>
                <w:rFonts w:ascii="Times New Roman" w:hAnsi="Times New Roman" w:cs="Times New Roman"/>
                <w:noProof/>
                <w:sz w:val="16"/>
                <w:lang w:val="sk-SK"/>
              </w:rPr>
              <w:t>.</w:t>
            </w:r>
          </w:p>
          <w:p w14:paraId="5EF67885" w14:textId="09914AFD" w:rsidR="00A75B3C" w:rsidRPr="003F23AC" w:rsidRDefault="000F5AA4" w:rsidP="003F23AC">
            <w:pPr>
              <w:spacing w:after="0" w:line="240" w:lineRule="auto"/>
              <w:jc w:val="both"/>
              <w:rPr>
                <w:rFonts w:ascii="Times New Roman" w:hAnsi="Times New Roman" w:cs="Times New Roman"/>
                <w:noProof/>
                <w:sz w:val="16"/>
                <w:lang w:val="sk-SK"/>
              </w:rPr>
            </w:pPr>
            <w:r w:rsidRPr="003F23AC">
              <w:rPr>
                <w:rFonts w:ascii="Times New Roman" w:hAnsi="Times New Roman" w:cs="Times New Roman"/>
                <w:noProof/>
                <w:sz w:val="16"/>
                <w:lang w:val="sk-SK"/>
              </w:rPr>
              <w:t>—</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Investície do zariadení na zneškodňovanie odpadu na skládkach, do zariadení na mechanickú biologickú úpravu (MBT)</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spaľovní na spracovanie odpadu. Zoznam vylúčených subjektov sa nevzťahuje na zariadenia určené výlučne na spracovanie nerecyklovateľného nebezpečného odpadu; do existujúcich zariadení, kde je investícia určená na zvýšenie energetickej účinnosti, zachytávanie výfukových plynov na skladovanie alebo používanie alebo zhodnocovanie materiálov zo spaľovania popola za predpokladu, že takéto investície nevedú</w:t>
            </w:r>
            <w:r w:rsidR="00A75B3C" w:rsidRPr="003F23AC">
              <w:rPr>
                <w:rFonts w:ascii="Times New Roman" w:hAnsi="Times New Roman" w:cs="Times New Roman"/>
                <w:noProof/>
                <w:sz w:val="16"/>
                <w:lang w:val="sk-SK"/>
              </w:rPr>
              <w:t xml:space="preserve"> k </w:t>
            </w:r>
            <w:r w:rsidRPr="003F23AC">
              <w:rPr>
                <w:rFonts w:ascii="Times New Roman" w:hAnsi="Times New Roman" w:cs="Times New Roman"/>
                <w:noProof/>
                <w:sz w:val="16"/>
                <w:lang w:val="sk-SK"/>
              </w:rPr>
              <w:t>zvýšeniu kapacity zariadení na spracovanie odpadu alebo</w:t>
            </w:r>
            <w:r w:rsidR="00A75B3C" w:rsidRPr="003F23AC">
              <w:rPr>
                <w:rFonts w:ascii="Times New Roman" w:hAnsi="Times New Roman" w:cs="Times New Roman"/>
                <w:noProof/>
                <w:sz w:val="16"/>
                <w:lang w:val="sk-SK"/>
              </w:rPr>
              <w:t xml:space="preserve"> k </w:t>
            </w:r>
            <w:r w:rsidRPr="003F23AC">
              <w:rPr>
                <w:rFonts w:ascii="Times New Roman" w:hAnsi="Times New Roman" w:cs="Times New Roman"/>
                <w:noProof/>
                <w:sz w:val="16"/>
                <w:lang w:val="sk-SK"/>
              </w:rPr>
              <w:t>predĺženiu životnosti zariadenia</w:t>
            </w:r>
            <w:r w:rsidR="00A75B3C" w:rsidRPr="003F23AC">
              <w:rPr>
                <w:rFonts w:ascii="Times New Roman" w:hAnsi="Times New Roman" w:cs="Times New Roman"/>
                <w:noProof/>
                <w:sz w:val="16"/>
                <w:lang w:val="sk-SK"/>
              </w:rPr>
              <w:t>.</w:t>
            </w:r>
          </w:p>
          <w:p w14:paraId="65AD2353" w14:textId="77777777" w:rsidR="00A75B3C" w:rsidRPr="003F23AC" w:rsidRDefault="000F5AA4" w:rsidP="003F23AC">
            <w:pPr>
              <w:spacing w:after="0" w:line="240" w:lineRule="auto"/>
              <w:jc w:val="both"/>
              <w:rPr>
                <w:rFonts w:ascii="Times New Roman" w:hAnsi="Times New Roman" w:cs="Times New Roman"/>
                <w:noProof/>
                <w:sz w:val="16"/>
                <w:lang w:val="sk-SK"/>
              </w:rPr>
            </w:pPr>
            <w:r w:rsidRPr="003F23AC">
              <w:rPr>
                <w:rFonts w:ascii="Times New Roman" w:hAnsi="Times New Roman" w:cs="Times New Roman"/>
                <w:noProof/>
                <w:sz w:val="16"/>
                <w:lang w:val="sk-SK"/>
              </w:rPr>
              <w:t>—</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Činnosti, pri ktorých môže dlhodobé zneškodňovanie odpadu spôsobiť dlhodobé poškodenie životného prostredia (napr. jadrový odpad)</w:t>
            </w:r>
            <w:r w:rsidR="00A75B3C" w:rsidRPr="003F23AC">
              <w:rPr>
                <w:rFonts w:ascii="Times New Roman" w:hAnsi="Times New Roman" w:cs="Times New Roman"/>
                <w:noProof/>
                <w:sz w:val="16"/>
                <w:lang w:val="sk-SK"/>
              </w:rPr>
              <w:t>.</w:t>
            </w:r>
          </w:p>
          <w:p w14:paraId="7D1912BD" w14:textId="15F74533" w:rsidR="00A75B3C" w:rsidRPr="003F23AC" w:rsidRDefault="000F5AA4" w:rsidP="003F23AC">
            <w:pPr>
              <w:spacing w:after="0" w:line="240" w:lineRule="auto"/>
              <w:jc w:val="both"/>
              <w:rPr>
                <w:rFonts w:ascii="Times New Roman" w:hAnsi="Times New Roman" w:cs="Times New Roman"/>
                <w:noProof/>
                <w:sz w:val="16"/>
                <w:lang w:val="sk-SK"/>
              </w:rPr>
            </w:pPr>
            <w:r w:rsidRPr="003F23AC">
              <w:rPr>
                <w:rFonts w:ascii="Times New Roman" w:hAnsi="Times New Roman" w:cs="Times New Roman"/>
                <w:noProof/>
                <w:sz w:val="16"/>
                <w:lang w:val="sk-SK"/>
              </w:rPr>
              <w:t>—</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Výskum, vývoj</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inovácie zamerané na uvedené aktíva</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činnosti</w:t>
            </w:r>
            <w:r w:rsidR="00A75B3C" w:rsidRPr="003F23AC">
              <w:rPr>
                <w:rFonts w:ascii="Times New Roman" w:hAnsi="Times New Roman" w:cs="Times New Roman"/>
                <w:noProof/>
                <w:sz w:val="16"/>
                <w:lang w:val="sk-SK"/>
              </w:rPr>
              <w:t>.</w:t>
            </w:r>
          </w:p>
          <w:p w14:paraId="54498B89" w14:textId="2BFF60B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povinné kontroly dodržiavania právnych predpisov prostredníctvom BPF a/alebo jeho vybraných finančných sprostredkovateľov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transakcií oslobodených od overovania udržateľnosti</w:t>
            </w:r>
          </w:p>
          <w:p w14:paraId="2E85E023" w14:textId="4CA54AF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prijímatelia kapitálovej podpory, ktorí získavajú aspoň 50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svojich príjmov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činností uvedených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zozname vylúčených subjektov na prijatie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uverejnenie plánov zelenej transformácie.</w:t>
            </w:r>
          </w:p>
        </w:tc>
      </w:tr>
      <w:tr w:rsidR="00387C70" w:rsidRPr="003F23AC" w14:paraId="140CEE72" w14:textId="77777777" w:rsidTr="00A26F8D">
        <w:trPr>
          <w:trHeight w:val="1933"/>
        </w:trPr>
        <w:tc>
          <w:tcPr>
            <w:tcW w:w="1134" w:type="dxa"/>
            <w:shd w:val="clear" w:color="auto" w:fill="C4EFCE"/>
            <w:tcMar>
              <w:left w:w="28" w:type="dxa"/>
              <w:right w:w="28" w:type="dxa"/>
            </w:tcMar>
            <w:vAlign w:val="center"/>
            <w:hideMark/>
          </w:tcPr>
          <w:p w14:paraId="5D768A55" w14:textId="58B8B80D"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5.16</w:t>
            </w:r>
          </w:p>
        </w:tc>
        <w:tc>
          <w:tcPr>
            <w:tcW w:w="1165" w:type="dxa"/>
            <w:shd w:val="clear" w:color="auto" w:fill="C4EFCE"/>
            <w:tcMar>
              <w:left w:w="28" w:type="dxa"/>
              <w:right w:w="28" w:type="dxa"/>
            </w:tcMar>
            <w:vAlign w:val="center"/>
            <w:hideMark/>
          </w:tcPr>
          <w:p w14:paraId="27A5C23C" w14:textId="20C773C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C05-i04-RAA</w:t>
            </w:r>
          </w:p>
        </w:tc>
        <w:tc>
          <w:tcPr>
            <w:tcW w:w="976" w:type="dxa"/>
            <w:shd w:val="clear" w:color="auto" w:fill="C4EFCE"/>
            <w:tcMar>
              <w:left w:w="28" w:type="dxa"/>
              <w:right w:w="28" w:type="dxa"/>
            </w:tcMar>
            <w:vAlign w:val="center"/>
            <w:hideMark/>
          </w:tcPr>
          <w:p w14:paraId="1D194C1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68" w:type="dxa"/>
            <w:shd w:val="clear" w:color="auto" w:fill="C4EFCE"/>
            <w:tcMar>
              <w:left w:w="28" w:type="dxa"/>
              <w:right w:w="28" w:type="dxa"/>
            </w:tcMar>
            <w:vAlign w:val="center"/>
            <w:hideMark/>
          </w:tcPr>
          <w:p w14:paraId="6E88F57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investičnej politiky pre nástroj rekapitalizácie podnikov na Azorských ostrovoch</w:t>
            </w:r>
          </w:p>
        </w:tc>
        <w:tc>
          <w:tcPr>
            <w:tcW w:w="1862" w:type="dxa"/>
            <w:shd w:val="clear" w:color="auto" w:fill="C4EFCE"/>
            <w:tcMar>
              <w:left w:w="28" w:type="dxa"/>
              <w:right w:w="28" w:type="dxa"/>
            </w:tcMar>
            <w:vAlign w:val="center"/>
            <w:hideMark/>
          </w:tcPr>
          <w:p w14:paraId="173D60F3" w14:textId="57B6DF3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investičnej politiky týkajúcej sa všetkých finančných nástrojov predpokladaných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opatrení zo strany BPF.</w:t>
            </w:r>
          </w:p>
        </w:tc>
        <w:tc>
          <w:tcPr>
            <w:tcW w:w="882" w:type="dxa"/>
            <w:shd w:val="clear" w:color="auto" w:fill="C4EFCE"/>
            <w:tcMar>
              <w:left w:w="28" w:type="dxa"/>
              <w:right w:w="28" w:type="dxa"/>
            </w:tcMar>
            <w:vAlign w:val="center"/>
            <w:hideMark/>
          </w:tcPr>
          <w:p w14:paraId="28BCFCD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76" w:type="dxa"/>
            <w:shd w:val="clear" w:color="auto" w:fill="C4EFCE"/>
            <w:tcMar>
              <w:left w:w="28" w:type="dxa"/>
              <w:right w:w="28" w:type="dxa"/>
            </w:tcMar>
            <w:vAlign w:val="center"/>
            <w:hideMark/>
          </w:tcPr>
          <w:p w14:paraId="753D285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0" w:type="dxa"/>
            <w:shd w:val="clear" w:color="auto" w:fill="C4EFCE"/>
            <w:tcMar>
              <w:left w:w="28" w:type="dxa"/>
              <w:right w:w="28" w:type="dxa"/>
            </w:tcMar>
            <w:vAlign w:val="center"/>
            <w:hideMark/>
          </w:tcPr>
          <w:p w14:paraId="46414FB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529C3603" w14:textId="473C2B6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20" w:type="dxa"/>
            <w:shd w:val="clear" w:color="auto" w:fill="C4EFCE"/>
            <w:tcMar>
              <w:left w:w="28" w:type="dxa"/>
              <w:right w:w="28" w:type="dxa"/>
            </w:tcMar>
            <w:vAlign w:val="center"/>
            <w:hideMark/>
          </w:tcPr>
          <w:p w14:paraId="4DD0E7B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3919" w:type="dxa"/>
            <w:shd w:val="clear" w:color="auto" w:fill="C4EFCE"/>
            <w:tcMar>
              <w:left w:w="28" w:type="dxa"/>
              <w:right w:w="28" w:type="dxa"/>
            </w:tcMar>
            <w:vAlign w:val="center"/>
            <w:hideMark/>
          </w:tcPr>
          <w:p w14:paraId="6255E3B1" w14:textId="4D3FF53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Prijatie investičnej politiky týkajúcej sa všetkých finančných nástrojov predpokladaných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opatrení zo strany BPF. Investičnú politiku vypracuje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prijme BPF ako riadiaci orgán subjektu, ktorý vlastní podiely vyplývajúce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finančných nástrojov implementovaných na podporu spoločností vybraných ako príjemcovia. Investičná politika odráža kritériá výberu/oprávnenosti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uplatniteľné záväzky/ciele stanovené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nariadení</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nástroji rekapitalizácie podnikov na Azorách.</w:t>
            </w:r>
          </w:p>
        </w:tc>
      </w:tr>
      <w:tr w:rsidR="00387C70" w:rsidRPr="003F23AC" w14:paraId="787BD1C2" w14:textId="77777777" w:rsidTr="00A26F8D">
        <w:trPr>
          <w:trHeight w:val="684"/>
        </w:trPr>
        <w:tc>
          <w:tcPr>
            <w:tcW w:w="1134" w:type="dxa"/>
            <w:shd w:val="clear" w:color="auto" w:fill="C4EFCE"/>
            <w:tcMar>
              <w:left w:w="28" w:type="dxa"/>
              <w:right w:w="28" w:type="dxa"/>
            </w:tcMar>
            <w:vAlign w:val="center"/>
            <w:hideMark/>
          </w:tcPr>
          <w:p w14:paraId="4F244987"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5.17</w:t>
            </w:r>
          </w:p>
        </w:tc>
        <w:tc>
          <w:tcPr>
            <w:tcW w:w="1165" w:type="dxa"/>
            <w:shd w:val="clear" w:color="auto" w:fill="C4EFCE"/>
            <w:tcMar>
              <w:left w:w="28" w:type="dxa"/>
              <w:right w:w="28" w:type="dxa"/>
            </w:tcMar>
            <w:vAlign w:val="center"/>
            <w:hideMark/>
          </w:tcPr>
          <w:p w14:paraId="3E25B023" w14:textId="0921A33D"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C05-i04-RAA</w:t>
            </w:r>
          </w:p>
        </w:tc>
        <w:tc>
          <w:tcPr>
            <w:tcW w:w="976" w:type="dxa"/>
            <w:shd w:val="clear" w:color="auto" w:fill="C4EFCE"/>
            <w:tcMar>
              <w:left w:w="28" w:type="dxa"/>
              <w:right w:w="28" w:type="dxa"/>
            </w:tcMar>
            <w:vAlign w:val="center"/>
            <w:hideMark/>
          </w:tcPr>
          <w:p w14:paraId="46E2FE5D" w14:textId="7F04E88D"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hideMark/>
          </w:tcPr>
          <w:p w14:paraId="0D4512D9" w14:textId="5639E36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Poskytnutie celkovej sumy 125 000 000 EUR nefinančným korporáciám regiónu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kapitálovej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kvázi kapitálovej podpory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investičnou politikou nástroja. Orientačne sa odhaduje, že dokončením plánu sa podporí najmenej 300 podnikov. </w:t>
            </w:r>
          </w:p>
        </w:tc>
        <w:tc>
          <w:tcPr>
            <w:tcW w:w="1862" w:type="dxa"/>
            <w:shd w:val="clear" w:color="auto" w:fill="C4EFCE"/>
            <w:tcMar>
              <w:left w:w="28" w:type="dxa"/>
              <w:right w:w="28" w:type="dxa"/>
            </w:tcMar>
            <w:vAlign w:val="center"/>
            <w:hideMark/>
          </w:tcPr>
          <w:p w14:paraId="2DF0D93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hideMark/>
          </w:tcPr>
          <w:p w14:paraId="0BCABAC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EUR</w:t>
            </w:r>
          </w:p>
        </w:tc>
        <w:tc>
          <w:tcPr>
            <w:tcW w:w="1176" w:type="dxa"/>
            <w:shd w:val="clear" w:color="auto" w:fill="C4EFCE"/>
            <w:tcMar>
              <w:left w:w="28" w:type="dxa"/>
              <w:right w:w="28" w:type="dxa"/>
            </w:tcMar>
            <w:vAlign w:val="center"/>
            <w:hideMark/>
          </w:tcPr>
          <w:p w14:paraId="7B6D027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hideMark/>
          </w:tcPr>
          <w:p w14:paraId="20039D3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125 000 000 </w:t>
            </w:r>
          </w:p>
        </w:tc>
        <w:tc>
          <w:tcPr>
            <w:tcW w:w="840" w:type="dxa"/>
            <w:shd w:val="clear" w:color="auto" w:fill="C4EFCE"/>
            <w:tcMar>
              <w:left w:w="28" w:type="dxa"/>
              <w:right w:w="28" w:type="dxa"/>
            </w:tcMar>
            <w:vAlign w:val="center"/>
            <w:hideMark/>
          </w:tcPr>
          <w:p w14:paraId="45B22942" w14:textId="4DFD0FF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hideMark/>
          </w:tcPr>
          <w:p w14:paraId="5EE5954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19" w:type="dxa"/>
            <w:shd w:val="clear" w:color="auto" w:fill="C4EFCE"/>
            <w:tcMar>
              <w:left w:w="28" w:type="dxa"/>
              <w:right w:w="28" w:type="dxa"/>
            </w:tcMar>
            <w:vAlign w:val="center"/>
            <w:hideMark/>
          </w:tcPr>
          <w:p w14:paraId="289BB502" w14:textId="18A6E24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Poskytnutie celkovej sumy 125 000 000 EUR nefinančným korporáciám regiónu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kapitálovej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kvázi kapitálovej podpory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investičnou politikou prijatou pre nástroj rekapitalizácie podnikov na Azorách. </w:t>
            </w:r>
            <w:r w:rsidRPr="003F23AC">
              <w:rPr>
                <w:rFonts w:ascii="Times New Roman" w:hAnsi="Times New Roman" w:cs="Times New Roman"/>
                <w:i/>
                <w:noProof/>
                <w:lang w:val="sk-SK"/>
              </w:rPr>
              <w:t>Banco Portugues de Fomento</w:t>
            </w:r>
            <w:r w:rsidRPr="003F23AC">
              <w:rPr>
                <w:rFonts w:ascii="Times New Roman" w:hAnsi="Times New Roman" w:cs="Times New Roman"/>
                <w:noProof/>
                <w:lang w:val="sk-SK"/>
              </w:rPr>
              <w:t xml:space="preserve"> je zodpovedná za podávanie správ</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vykonaných operáciách.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tejto správe sa okrem finančných pohybov uverejní zoznam prijímajúcich spoločností, ich DIČ</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CAE, dátum uzavretia zmluvy, pridelené financovanie, druh použitého finančného nástroja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prípadne príslušný finančný subjekt.</w:t>
            </w:r>
          </w:p>
        </w:tc>
      </w:tr>
      <w:tr w:rsidR="00387C70" w:rsidRPr="003F23AC" w14:paraId="22040B4A" w14:textId="77777777" w:rsidTr="00A26F8D">
        <w:trPr>
          <w:trHeight w:val="1480"/>
        </w:trPr>
        <w:tc>
          <w:tcPr>
            <w:tcW w:w="1134" w:type="dxa"/>
            <w:shd w:val="clear" w:color="auto" w:fill="C4EFCE"/>
            <w:tcMar>
              <w:left w:w="28" w:type="dxa"/>
              <w:right w:w="28" w:type="dxa"/>
            </w:tcMar>
            <w:vAlign w:val="center"/>
            <w:hideMark/>
          </w:tcPr>
          <w:p w14:paraId="412AFCFB"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5.18</w:t>
            </w:r>
          </w:p>
        </w:tc>
        <w:tc>
          <w:tcPr>
            <w:tcW w:w="1165" w:type="dxa"/>
            <w:shd w:val="clear" w:color="auto" w:fill="C4EFCE"/>
            <w:tcMar>
              <w:left w:w="28" w:type="dxa"/>
              <w:right w:w="28" w:type="dxa"/>
            </w:tcMar>
            <w:vAlign w:val="center"/>
            <w:hideMark/>
          </w:tcPr>
          <w:p w14:paraId="29380C9D" w14:textId="4DD553DA"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C05-i05-RAA</w:t>
            </w:r>
          </w:p>
        </w:tc>
        <w:tc>
          <w:tcPr>
            <w:tcW w:w="976" w:type="dxa"/>
            <w:shd w:val="clear" w:color="auto" w:fill="C4EFCE"/>
            <w:tcMar>
              <w:left w:w="28" w:type="dxa"/>
              <w:right w:w="28" w:type="dxa"/>
            </w:tcMar>
            <w:vAlign w:val="center"/>
            <w:hideMark/>
          </w:tcPr>
          <w:p w14:paraId="6648BE4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68" w:type="dxa"/>
            <w:shd w:val="clear" w:color="auto" w:fill="C4EFCE"/>
            <w:tcMar>
              <w:left w:w="28" w:type="dxa"/>
              <w:right w:w="28" w:type="dxa"/>
            </w:tcMar>
            <w:vAlign w:val="center"/>
            <w:hideMark/>
          </w:tcPr>
          <w:p w14:paraId="0FB94C98" w14:textId="44C88A9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Uverejnenie programu Azorských poľnohospodárskych inovácií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digitalizácie</w:t>
            </w:r>
          </w:p>
        </w:tc>
        <w:tc>
          <w:tcPr>
            <w:tcW w:w="1862" w:type="dxa"/>
            <w:shd w:val="clear" w:color="auto" w:fill="C4EFCE"/>
            <w:tcMar>
              <w:left w:w="28" w:type="dxa"/>
              <w:right w:w="28" w:type="dxa"/>
            </w:tcMar>
            <w:vAlign w:val="center"/>
            <w:hideMark/>
          </w:tcPr>
          <w:p w14:paraId="52BC14AC" w14:textId="65AA9E2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Uverejnenie programu Azorských poľnohospodárskych inovácií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digitalizácie</w:t>
            </w:r>
          </w:p>
        </w:tc>
        <w:tc>
          <w:tcPr>
            <w:tcW w:w="882" w:type="dxa"/>
            <w:shd w:val="clear" w:color="auto" w:fill="C4EFCE"/>
            <w:tcMar>
              <w:left w:w="28" w:type="dxa"/>
              <w:right w:w="28" w:type="dxa"/>
            </w:tcMar>
            <w:vAlign w:val="center"/>
            <w:hideMark/>
          </w:tcPr>
          <w:p w14:paraId="1471DFD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76" w:type="dxa"/>
            <w:shd w:val="clear" w:color="auto" w:fill="C4EFCE"/>
            <w:tcMar>
              <w:left w:w="28" w:type="dxa"/>
              <w:right w:w="28" w:type="dxa"/>
            </w:tcMar>
            <w:vAlign w:val="center"/>
            <w:hideMark/>
          </w:tcPr>
          <w:p w14:paraId="6FA49D9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0" w:type="dxa"/>
            <w:shd w:val="clear" w:color="auto" w:fill="C4EFCE"/>
            <w:tcMar>
              <w:left w:w="28" w:type="dxa"/>
              <w:right w:w="28" w:type="dxa"/>
            </w:tcMar>
            <w:vAlign w:val="center"/>
            <w:hideMark/>
          </w:tcPr>
          <w:p w14:paraId="193E479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054DBD22" w14:textId="3D40FA6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20" w:type="dxa"/>
            <w:shd w:val="clear" w:color="auto" w:fill="C4EFCE"/>
            <w:tcMar>
              <w:left w:w="28" w:type="dxa"/>
              <w:right w:w="28" w:type="dxa"/>
            </w:tcMar>
            <w:vAlign w:val="center"/>
            <w:hideMark/>
          </w:tcPr>
          <w:p w14:paraId="125D813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19" w:type="dxa"/>
            <w:shd w:val="clear" w:color="auto" w:fill="C4EFCE"/>
            <w:tcMar>
              <w:left w:w="28" w:type="dxa"/>
              <w:right w:w="28" w:type="dxa"/>
            </w:tcMar>
            <w:vAlign w:val="center"/>
            <w:hideMark/>
          </w:tcPr>
          <w:p w14:paraId="2832055A" w14:textId="22027A6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Uverejnenie inovačného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digitalizačného programu pre poľnohospodárstvo na Azorách vrátane plánu rozvoja monitorovacej siete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poľnohospodárskych oznamov na úrovni ostrovov, ako aj plánu prechodu na digitálnu realitu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presné poľnohospodárstvo.</w:t>
            </w:r>
          </w:p>
        </w:tc>
      </w:tr>
      <w:tr w:rsidR="00387C70" w:rsidRPr="003F23AC" w14:paraId="66C0B1D9" w14:textId="77777777" w:rsidTr="00A26F8D">
        <w:trPr>
          <w:trHeight w:val="1446"/>
        </w:trPr>
        <w:tc>
          <w:tcPr>
            <w:tcW w:w="1134" w:type="dxa"/>
            <w:shd w:val="clear" w:color="auto" w:fill="C4EFCE"/>
            <w:tcMar>
              <w:left w:w="28" w:type="dxa"/>
              <w:right w:w="28" w:type="dxa"/>
            </w:tcMar>
            <w:vAlign w:val="center"/>
            <w:hideMark/>
          </w:tcPr>
          <w:p w14:paraId="1031D53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5.19</w:t>
            </w:r>
          </w:p>
        </w:tc>
        <w:tc>
          <w:tcPr>
            <w:tcW w:w="1165" w:type="dxa"/>
            <w:shd w:val="clear" w:color="auto" w:fill="C4EFCE"/>
            <w:tcMar>
              <w:left w:w="28" w:type="dxa"/>
              <w:right w:w="28" w:type="dxa"/>
            </w:tcMar>
            <w:vAlign w:val="center"/>
            <w:hideMark/>
          </w:tcPr>
          <w:p w14:paraId="62CCCBA9" w14:textId="44D85E68"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C05-i05-RAA</w:t>
            </w:r>
          </w:p>
        </w:tc>
        <w:tc>
          <w:tcPr>
            <w:tcW w:w="976" w:type="dxa"/>
            <w:shd w:val="clear" w:color="auto" w:fill="C4EFCE"/>
            <w:tcMar>
              <w:left w:w="28" w:type="dxa"/>
              <w:right w:w="28" w:type="dxa"/>
            </w:tcMar>
            <w:vAlign w:val="center"/>
            <w:hideMark/>
          </w:tcPr>
          <w:p w14:paraId="65ADECD5" w14:textId="79F5A77B"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hideMark/>
          </w:tcPr>
          <w:p w14:paraId="5C638A6F" w14:textId="3F53088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Nové (nahradenie zastaraných štruktúr) alebo nové štruktúry zodpovedné za porážku zvierat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certifikáciu kvality mlieka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bezpečnosti potravín</w:t>
            </w:r>
          </w:p>
        </w:tc>
        <w:tc>
          <w:tcPr>
            <w:tcW w:w="1862" w:type="dxa"/>
            <w:shd w:val="clear" w:color="auto" w:fill="C4EFCE"/>
            <w:tcMar>
              <w:left w:w="28" w:type="dxa"/>
              <w:right w:w="28" w:type="dxa"/>
            </w:tcMar>
            <w:vAlign w:val="center"/>
            <w:hideMark/>
          </w:tcPr>
          <w:p w14:paraId="71C2A31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hideMark/>
          </w:tcPr>
          <w:p w14:paraId="52F83A6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hideMark/>
          </w:tcPr>
          <w:p w14:paraId="17E50AA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hideMark/>
          </w:tcPr>
          <w:p w14:paraId="48D5CFC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w:t>
            </w:r>
          </w:p>
        </w:tc>
        <w:tc>
          <w:tcPr>
            <w:tcW w:w="840" w:type="dxa"/>
            <w:shd w:val="clear" w:color="auto" w:fill="C4EFCE"/>
            <w:tcMar>
              <w:left w:w="28" w:type="dxa"/>
              <w:right w:w="28" w:type="dxa"/>
            </w:tcMar>
            <w:vAlign w:val="center"/>
            <w:hideMark/>
          </w:tcPr>
          <w:p w14:paraId="4D91DB57" w14:textId="2564309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hideMark/>
          </w:tcPr>
          <w:p w14:paraId="6F9879B6" w14:textId="3DB5DF0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19" w:type="dxa"/>
            <w:shd w:val="clear" w:color="auto" w:fill="C4EFCE"/>
            <w:tcMar>
              <w:left w:w="28" w:type="dxa"/>
              <w:right w:w="28" w:type="dxa"/>
            </w:tcMar>
            <w:vAlign w:val="center"/>
            <w:hideMark/>
          </w:tcPr>
          <w:p w14:paraId="4782248B" w14:textId="29EBB60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Dokončenie prác na nových (nahradenie zastaraných štruktúr) alebo rekvalifikovaných štruktúrach zodpovedných za zabíjanie zvierat, certifikáciu kvality mlieka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bezpečnosť potravín</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reagovať na vývoj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rastúci dopyt trhov, pričom sa zahrnú investície do inovácií výrobných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organizačných procesov, zelenej transformácie, digitálnej transformácie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dobrých životných podmienok zvierat.</w:t>
            </w:r>
          </w:p>
        </w:tc>
      </w:tr>
      <w:tr w:rsidR="00387C70" w:rsidRPr="003F23AC" w14:paraId="0FE8C46B" w14:textId="77777777" w:rsidTr="00A26F8D">
        <w:trPr>
          <w:trHeight w:val="1550"/>
        </w:trPr>
        <w:tc>
          <w:tcPr>
            <w:tcW w:w="1134" w:type="dxa"/>
            <w:shd w:val="clear" w:color="auto" w:fill="C4EFCE"/>
            <w:tcMar>
              <w:left w:w="28" w:type="dxa"/>
              <w:right w:w="28" w:type="dxa"/>
            </w:tcMar>
            <w:vAlign w:val="center"/>
            <w:hideMark/>
          </w:tcPr>
          <w:p w14:paraId="0973CB5F"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5.20</w:t>
            </w:r>
          </w:p>
        </w:tc>
        <w:tc>
          <w:tcPr>
            <w:tcW w:w="1165" w:type="dxa"/>
            <w:shd w:val="clear" w:color="auto" w:fill="C4EFCE"/>
            <w:tcMar>
              <w:left w:w="28" w:type="dxa"/>
              <w:right w:w="28" w:type="dxa"/>
            </w:tcMar>
            <w:vAlign w:val="center"/>
            <w:hideMark/>
          </w:tcPr>
          <w:p w14:paraId="3A4DA074" w14:textId="19A54D2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C05-i05-RAA</w:t>
            </w:r>
          </w:p>
        </w:tc>
        <w:tc>
          <w:tcPr>
            <w:tcW w:w="976" w:type="dxa"/>
            <w:shd w:val="clear" w:color="auto" w:fill="C4EFCE"/>
            <w:tcMar>
              <w:left w:w="28" w:type="dxa"/>
              <w:right w:w="28" w:type="dxa"/>
            </w:tcMar>
            <w:vAlign w:val="center"/>
            <w:hideMark/>
          </w:tcPr>
          <w:p w14:paraId="4F114AAC" w14:textId="572FEA2D"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hideMark/>
          </w:tcPr>
          <w:p w14:paraId="656A7BBA" w14:textId="16F29A6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Projekty podporované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podporných schém na reštrukturalizáciu podnikov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spracovateľskom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marketingovom sektore</w:t>
            </w:r>
          </w:p>
        </w:tc>
        <w:tc>
          <w:tcPr>
            <w:tcW w:w="1862" w:type="dxa"/>
            <w:shd w:val="clear" w:color="auto" w:fill="C4EFCE"/>
            <w:tcMar>
              <w:left w:w="28" w:type="dxa"/>
              <w:right w:w="28" w:type="dxa"/>
            </w:tcMar>
            <w:vAlign w:val="center"/>
            <w:hideMark/>
          </w:tcPr>
          <w:p w14:paraId="4119873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hideMark/>
          </w:tcPr>
          <w:p w14:paraId="0B64C0A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hideMark/>
          </w:tcPr>
          <w:p w14:paraId="33400D6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hideMark/>
          </w:tcPr>
          <w:p w14:paraId="3B4E10F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w:t>
            </w:r>
          </w:p>
        </w:tc>
        <w:tc>
          <w:tcPr>
            <w:tcW w:w="840" w:type="dxa"/>
            <w:shd w:val="clear" w:color="auto" w:fill="C4EFCE"/>
            <w:tcMar>
              <w:left w:w="28" w:type="dxa"/>
              <w:right w:w="28" w:type="dxa"/>
            </w:tcMar>
            <w:vAlign w:val="center"/>
            <w:hideMark/>
          </w:tcPr>
          <w:p w14:paraId="3CEE9014" w14:textId="74F4C93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hideMark/>
          </w:tcPr>
          <w:p w14:paraId="271A24C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19" w:type="dxa"/>
            <w:shd w:val="clear" w:color="auto" w:fill="C4EFCE"/>
            <w:tcMar>
              <w:left w:w="28" w:type="dxa"/>
              <w:right w:w="28" w:type="dxa"/>
            </w:tcMar>
            <w:vAlign w:val="center"/>
            <w:hideMark/>
          </w:tcPr>
          <w:p w14:paraId="310109FC" w14:textId="67523CD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Projekty schválené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zmluvne dohodnuté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podporných schém pre inovácie vo výrobkoch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výrobných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organizačných procesoch, zelenú transformáciu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digitálnu transformáciu zamerané na reštrukturalizáciu podnikov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odvetví spracovania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uvádzania na trh poľnohospodárskych výrobkov.</w:t>
            </w:r>
          </w:p>
        </w:tc>
      </w:tr>
      <w:tr w:rsidR="00387C70" w:rsidRPr="003F23AC" w14:paraId="0924F5C3" w14:textId="77777777" w:rsidTr="00A26F8D">
        <w:trPr>
          <w:trHeight w:val="971"/>
        </w:trPr>
        <w:tc>
          <w:tcPr>
            <w:tcW w:w="1134" w:type="dxa"/>
            <w:shd w:val="clear" w:color="auto" w:fill="C4EFCE"/>
            <w:tcMar>
              <w:left w:w="28" w:type="dxa"/>
              <w:right w:w="28" w:type="dxa"/>
            </w:tcMar>
            <w:vAlign w:val="center"/>
            <w:hideMark/>
          </w:tcPr>
          <w:p w14:paraId="6FC3F55D"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5.21</w:t>
            </w:r>
          </w:p>
        </w:tc>
        <w:tc>
          <w:tcPr>
            <w:tcW w:w="1165" w:type="dxa"/>
            <w:shd w:val="clear" w:color="auto" w:fill="C4EFCE"/>
            <w:tcMar>
              <w:left w:w="28" w:type="dxa"/>
              <w:right w:w="28" w:type="dxa"/>
            </w:tcMar>
            <w:vAlign w:val="center"/>
            <w:hideMark/>
          </w:tcPr>
          <w:p w14:paraId="4BA8EF57" w14:textId="5FF3152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C05-i05-RAA</w:t>
            </w:r>
          </w:p>
        </w:tc>
        <w:tc>
          <w:tcPr>
            <w:tcW w:w="976" w:type="dxa"/>
            <w:shd w:val="clear" w:color="auto" w:fill="C4EFCE"/>
            <w:tcMar>
              <w:left w:w="28" w:type="dxa"/>
              <w:right w:w="28" w:type="dxa"/>
            </w:tcMar>
            <w:vAlign w:val="center"/>
            <w:hideMark/>
          </w:tcPr>
          <w:p w14:paraId="2AF2AE81" w14:textId="45EC008C"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hideMark/>
          </w:tcPr>
          <w:p w14:paraId="3B1D52CC" w14:textId="5005889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Projekty podporované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režimov podpory na reštrukturalizáciu poľnohospodárskych podnikov</w:t>
            </w:r>
          </w:p>
        </w:tc>
        <w:tc>
          <w:tcPr>
            <w:tcW w:w="1862" w:type="dxa"/>
            <w:shd w:val="clear" w:color="auto" w:fill="C4EFCE"/>
            <w:tcMar>
              <w:left w:w="28" w:type="dxa"/>
              <w:right w:w="28" w:type="dxa"/>
            </w:tcMar>
            <w:vAlign w:val="center"/>
            <w:hideMark/>
          </w:tcPr>
          <w:p w14:paraId="6EFE1DF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hideMark/>
          </w:tcPr>
          <w:p w14:paraId="25D0A65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hideMark/>
          </w:tcPr>
          <w:p w14:paraId="5089F2C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hideMark/>
          </w:tcPr>
          <w:p w14:paraId="5734A034" w14:textId="30F54B9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178</w:t>
            </w:r>
          </w:p>
        </w:tc>
        <w:tc>
          <w:tcPr>
            <w:tcW w:w="840" w:type="dxa"/>
            <w:shd w:val="clear" w:color="auto" w:fill="C4EFCE"/>
            <w:tcMar>
              <w:left w:w="28" w:type="dxa"/>
              <w:right w:w="28" w:type="dxa"/>
            </w:tcMar>
            <w:vAlign w:val="center"/>
            <w:hideMark/>
          </w:tcPr>
          <w:p w14:paraId="18F2BCCA" w14:textId="261BC62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hideMark/>
          </w:tcPr>
          <w:p w14:paraId="3341595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19" w:type="dxa"/>
            <w:shd w:val="clear" w:color="auto" w:fill="C4EFCE"/>
            <w:tcMar>
              <w:left w:w="28" w:type="dxa"/>
              <w:right w:w="28" w:type="dxa"/>
            </w:tcMar>
            <w:vAlign w:val="center"/>
            <w:hideMark/>
          </w:tcPr>
          <w:p w14:paraId="6D0C3A49" w14:textId="6804B84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Projekty schválené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zmluvne dohodnuté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systémov podpory inovácií vo výrobkoch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výrobných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organizačných procesoch, zelenej transformácie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digitálnej transformácie zamerané na reštrukturalizáciu poľnohospodárskych podnikov.</w:t>
            </w:r>
          </w:p>
        </w:tc>
      </w:tr>
      <w:tr w:rsidR="00387C70" w:rsidRPr="003F23AC" w14:paraId="7B64C750" w14:textId="77777777" w:rsidTr="00A26F8D">
        <w:trPr>
          <w:trHeight w:val="67"/>
        </w:trPr>
        <w:tc>
          <w:tcPr>
            <w:tcW w:w="1134" w:type="dxa"/>
            <w:shd w:val="clear" w:color="auto" w:fill="C4EFCE"/>
            <w:tcMar>
              <w:left w:w="28" w:type="dxa"/>
              <w:right w:w="28" w:type="dxa"/>
            </w:tcMar>
            <w:vAlign w:val="center"/>
            <w:hideMark/>
          </w:tcPr>
          <w:p w14:paraId="69F4FB6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5.22</w:t>
            </w:r>
          </w:p>
        </w:tc>
        <w:tc>
          <w:tcPr>
            <w:tcW w:w="1165" w:type="dxa"/>
            <w:shd w:val="clear" w:color="auto" w:fill="C4EFCE"/>
            <w:tcMar>
              <w:left w:w="28" w:type="dxa"/>
              <w:right w:w="28" w:type="dxa"/>
            </w:tcMar>
            <w:vAlign w:val="center"/>
            <w:hideMark/>
          </w:tcPr>
          <w:p w14:paraId="765D75C8" w14:textId="3C75A612"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C05-i05-RAA</w:t>
            </w:r>
          </w:p>
        </w:tc>
        <w:tc>
          <w:tcPr>
            <w:tcW w:w="976" w:type="dxa"/>
            <w:shd w:val="clear" w:color="auto" w:fill="C4EFCE"/>
            <w:tcMar>
              <w:left w:w="28" w:type="dxa"/>
              <w:right w:w="28" w:type="dxa"/>
            </w:tcMar>
            <w:vAlign w:val="center"/>
            <w:hideMark/>
          </w:tcPr>
          <w:p w14:paraId="7A7C71EA" w14:textId="1DAE8EC8"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hideMark/>
          </w:tcPr>
          <w:p w14:paraId="132B0C61" w14:textId="41F706A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Poľnohospodárske podniky využívajúce špecializovanú technickú podporu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posilnenia postavenia poľnohospodárov</w:t>
            </w:r>
          </w:p>
        </w:tc>
        <w:tc>
          <w:tcPr>
            <w:tcW w:w="1862" w:type="dxa"/>
            <w:shd w:val="clear" w:color="auto" w:fill="C4EFCE"/>
            <w:tcMar>
              <w:left w:w="28" w:type="dxa"/>
              <w:right w:w="28" w:type="dxa"/>
            </w:tcMar>
            <w:vAlign w:val="center"/>
            <w:hideMark/>
          </w:tcPr>
          <w:p w14:paraId="7586AE2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hideMark/>
          </w:tcPr>
          <w:p w14:paraId="4AD3912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hideMark/>
          </w:tcPr>
          <w:p w14:paraId="3174DC4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hideMark/>
          </w:tcPr>
          <w:p w14:paraId="6B33C92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2 000</w:t>
            </w:r>
          </w:p>
        </w:tc>
        <w:tc>
          <w:tcPr>
            <w:tcW w:w="840" w:type="dxa"/>
            <w:shd w:val="clear" w:color="auto" w:fill="C4EFCE"/>
            <w:tcMar>
              <w:left w:w="28" w:type="dxa"/>
              <w:right w:w="28" w:type="dxa"/>
            </w:tcMar>
            <w:vAlign w:val="center"/>
            <w:hideMark/>
          </w:tcPr>
          <w:p w14:paraId="3CB938A2" w14:textId="5EB3393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hideMark/>
          </w:tcPr>
          <w:p w14:paraId="28BE79B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19" w:type="dxa"/>
            <w:shd w:val="clear" w:color="auto" w:fill="C4EFCE"/>
            <w:tcMar>
              <w:left w:w="28" w:type="dxa"/>
              <w:right w:w="28" w:type="dxa"/>
            </w:tcMar>
            <w:vAlign w:val="center"/>
            <w:hideMark/>
          </w:tcPr>
          <w:p w14:paraId="2E512E2A" w14:textId="5E72F09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Poľnohospodárske podniky, ktoré využívajú špecializovanú technickú podporu ako súčasť akcií, ktoré sa majú vykonávať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posilnenia postavenia poľnohospodárov.</w:t>
            </w:r>
          </w:p>
        </w:tc>
      </w:tr>
      <w:tr w:rsidR="00387C70" w:rsidRPr="003F23AC" w14:paraId="6B3FA3FC" w14:textId="77777777" w:rsidTr="00A26F8D">
        <w:trPr>
          <w:trHeight w:val="2709"/>
        </w:trPr>
        <w:tc>
          <w:tcPr>
            <w:tcW w:w="1134" w:type="dxa"/>
            <w:shd w:val="clear" w:color="auto" w:fill="C4EFCE"/>
            <w:tcMar>
              <w:left w:w="28" w:type="dxa"/>
              <w:right w:w="28" w:type="dxa"/>
            </w:tcMar>
            <w:vAlign w:val="center"/>
          </w:tcPr>
          <w:p w14:paraId="54E7BC25" w14:textId="62E6C5C0"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5.33</w:t>
            </w:r>
          </w:p>
        </w:tc>
        <w:tc>
          <w:tcPr>
            <w:tcW w:w="1165" w:type="dxa"/>
            <w:shd w:val="clear" w:color="auto" w:fill="C4EFCE"/>
            <w:tcMar>
              <w:left w:w="28" w:type="dxa"/>
              <w:right w:w="28" w:type="dxa"/>
            </w:tcMar>
            <w:vAlign w:val="center"/>
          </w:tcPr>
          <w:p w14:paraId="5929BA6C" w14:textId="6A6B6472" w:rsidR="00387C70" w:rsidRPr="003F23AC" w:rsidRDefault="00F218FC"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C05-i07-RAM</w:t>
            </w:r>
          </w:p>
        </w:tc>
        <w:tc>
          <w:tcPr>
            <w:tcW w:w="976" w:type="dxa"/>
            <w:shd w:val="clear" w:color="auto" w:fill="C4EFCE"/>
            <w:tcMar>
              <w:left w:w="28" w:type="dxa"/>
              <w:right w:w="28" w:type="dxa"/>
            </w:tcMar>
            <w:vAlign w:val="center"/>
          </w:tcPr>
          <w:p w14:paraId="30E1990D" w14:textId="582BDEE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68" w:type="dxa"/>
            <w:shd w:val="clear" w:color="auto" w:fill="C4EFCE"/>
            <w:tcMar>
              <w:left w:w="28" w:type="dxa"/>
              <w:right w:w="28" w:type="dxa"/>
            </w:tcMar>
            <w:vAlign w:val="center"/>
          </w:tcPr>
          <w:p w14:paraId="59B95D11" w14:textId="00915463" w:rsidR="00387C70" w:rsidRPr="003F23AC" w:rsidRDefault="000F5AA4" w:rsidP="003F23AC">
            <w:pPr>
              <w:pStyle w:val="P68B1DB1-Bodytext1013"/>
              <w:jc w:val="center"/>
              <w:rPr>
                <w:rFonts w:ascii="Times New Roman" w:hAnsi="Times New Roman" w:cs="Times New Roman"/>
                <w:noProof/>
                <w:lang w:val="sk-SK"/>
              </w:rPr>
            </w:pPr>
            <w:r w:rsidRPr="003F23AC">
              <w:rPr>
                <w:rFonts w:ascii="Times New Roman" w:hAnsi="Times New Roman" w:cs="Times New Roman"/>
                <w:noProof/>
                <w:lang w:val="sk-SK"/>
              </w:rPr>
              <w:t>Podpísanie vykonávacej dohody (protokol) medzi Banco Português de Fomento, Instituto de Desenvolvimento Empresarial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vybranými finančnými sprostredkovateľmi</w:t>
            </w:r>
          </w:p>
        </w:tc>
        <w:tc>
          <w:tcPr>
            <w:tcW w:w="1862" w:type="dxa"/>
            <w:shd w:val="clear" w:color="auto" w:fill="C4EFCE"/>
            <w:tcMar>
              <w:left w:w="28" w:type="dxa"/>
              <w:right w:w="28" w:type="dxa"/>
            </w:tcMar>
            <w:vAlign w:val="center"/>
          </w:tcPr>
          <w:p w14:paraId="37342ABF" w14:textId="722C29E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vykonávacej dohody (protokolu) medzi Banco Português de Fomento, Instituto de Desenvolvimento Empresarial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vybranými finančnými sprostredkovateľmi, ktorá sa vzťahuje na všetky finančné nástroje plánované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opatrení</w:t>
            </w:r>
          </w:p>
        </w:tc>
        <w:tc>
          <w:tcPr>
            <w:tcW w:w="882" w:type="dxa"/>
            <w:shd w:val="clear" w:color="auto" w:fill="C4EFCE"/>
            <w:tcMar>
              <w:left w:w="28" w:type="dxa"/>
              <w:right w:w="28" w:type="dxa"/>
            </w:tcMar>
            <w:vAlign w:val="center"/>
          </w:tcPr>
          <w:p w14:paraId="6758A57F"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1176" w:type="dxa"/>
            <w:shd w:val="clear" w:color="auto" w:fill="C4EFCE"/>
            <w:tcMar>
              <w:left w:w="28" w:type="dxa"/>
              <w:right w:w="28" w:type="dxa"/>
            </w:tcMar>
            <w:vAlign w:val="center"/>
          </w:tcPr>
          <w:p w14:paraId="4ED1D73F"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0" w:type="dxa"/>
            <w:shd w:val="clear" w:color="auto" w:fill="C4EFCE"/>
            <w:tcMar>
              <w:left w:w="28" w:type="dxa"/>
              <w:right w:w="28" w:type="dxa"/>
            </w:tcMar>
            <w:vAlign w:val="center"/>
          </w:tcPr>
          <w:p w14:paraId="633B6B1E"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40" w:type="dxa"/>
            <w:shd w:val="clear" w:color="auto" w:fill="C4EFCE"/>
            <w:tcMar>
              <w:left w:w="28" w:type="dxa"/>
              <w:right w:w="28" w:type="dxa"/>
            </w:tcMar>
            <w:vAlign w:val="center"/>
          </w:tcPr>
          <w:p w14:paraId="798958ED" w14:textId="5DD5538D"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20" w:type="dxa"/>
            <w:shd w:val="clear" w:color="auto" w:fill="C4EFCE"/>
            <w:tcMar>
              <w:left w:w="28" w:type="dxa"/>
              <w:right w:w="28" w:type="dxa"/>
            </w:tcMar>
            <w:vAlign w:val="center"/>
          </w:tcPr>
          <w:p w14:paraId="2525860B" w14:textId="3ECA8FE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19" w:type="dxa"/>
            <w:shd w:val="clear" w:color="auto" w:fill="C4EFCE"/>
            <w:tcMar>
              <w:left w:w="28" w:type="dxa"/>
              <w:right w:w="28" w:type="dxa"/>
            </w:tcMar>
          </w:tcPr>
          <w:p w14:paraId="43110AB9" w14:textId="4A2069C0" w:rsidR="00A75B3C" w:rsidRPr="003F23AC" w:rsidRDefault="000F5AA4" w:rsidP="003F23AC">
            <w:pPr>
              <w:pStyle w:val="P68B1DB1-Bodytext1013"/>
              <w:rPr>
                <w:rFonts w:ascii="Times New Roman" w:hAnsi="Times New Roman" w:cs="Times New Roman"/>
                <w:noProof/>
                <w:lang w:val="sk-SK"/>
              </w:rPr>
            </w:pPr>
            <w:r w:rsidRPr="003F23AC">
              <w:rPr>
                <w:rFonts w:ascii="Times New Roman" w:hAnsi="Times New Roman" w:cs="Times New Roman"/>
                <w:noProof/>
                <w:lang w:val="sk-SK"/>
              </w:rPr>
              <w:t>Podpísanie vykonávacej dohody (protokolu) medzi Banco Português de Fomento, Instituto de Desenvolvimento Empresarial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vybranými finančnými sprostredkovateľmi, ktorá sa vzťahuje na všetky finančné nástroje plánované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opatrení</w:t>
            </w:r>
            <w:r w:rsidR="00A75B3C" w:rsidRPr="003F23AC">
              <w:rPr>
                <w:rFonts w:ascii="Times New Roman" w:hAnsi="Times New Roman" w:cs="Times New Roman"/>
                <w:noProof/>
                <w:lang w:val="sk-SK"/>
              </w:rPr>
              <w:t>.</w:t>
            </w:r>
          </w:p>
          <w:p w14:paraId="2B9416E9" w14:textId="4D3E3ED0"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Vykonávacia dohoda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následné právne dokumenty finančného nástroja si vyžadujú uplatňovanie zoznamu vylúčených subjektov (ako sa uvádza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opise opatrenia)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kontrolu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oblasti životného prostredia. </w:t>
            </w:r>
          </w:p>
        </w:tc>
      </w:tr>
      <w:tr w:rsidR="00387C70" w:rsidRPr="003F23AC" w14:paraId="4CBE3D8A" w14:textId="77777777" w:rsidTr="00A26F8D">
        <w:trPr>
          <w:trHeight w:val="67"/>
        </w:trPr>
        <w:tc>
          <w:tcPr>
            <w:tcW w:w="1134" w:type="dxa"/>
            <w:shd w:val="clear" w:color="auto" w:fill="C4EFCE"/>
            <w:tcMar>
              <w:left w:w="28" w:type="dxa"/>
              <w:right w:w="28" w:type="dxa"/>
            </w:tcMar>
            <w:vAlign w:val="center"/>
          </w:tcPr>
          <w:p w14:paraId="7BB0CA82" w14:textId="09AAED9B"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5.34</w:t>
            </w:r>
          </w:p>
        </w:tc>
        <w:tc>
          <w:tcPr>
            <w:tcW w:w="1165" w:type="dxa"/>
            <w:shd w:val="clear" w:color="auto" w:fill="C4EFCE"/>
            <w:tcMar>
              <w:left w:w="28" w:type="dxa"/>
              <w:right w:w="28" w:type="dxa"/>
            </w:tcMar>
            <w:vAlign w:val="center"/>
          </w:tcPr>
          <w:p w14:paraId="4855C77A" w14:textId="5CAF4297" w:rsidR="00387C70" w:rsidRPr="003F23AC" w:rsidRDefault="00F218FC"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C05-i07-RAM</w:t>
            </w:r>
          </w:p>
        </w:tc>
        <w:tc>
          <w:tcPr>
            <w:tcW w:w="976" w:type="dxa"/>
            <w:shd w:val="clear" w:color="auto" w:fill="C4EFCE"/>
            <w:tcMar>
              <w:left w:w="28" w:type="dxa"/>
              <w:right w:w="28" w:type="dxa"/>
            </w:tcMar>
            <w:vAlign w:val="center"/>
          </w:tcPr>
          <w:p w14:paraId="1DD25CAD" w14:textId="6E348190"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tcPr>
          <w:p w14:paraId="2A3A2C05" w14:textId="671BE97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Záruky za úvery na podporu projektov regionálnych podnikov.</w:t>
            </w:r>
          </w:p>
        </w:tc>
        <w:tc>
          <w:tcPr>
            <w:tcW w:w="1862" w:type="dxa"/>
            <w:shd w:val="clear" w:color="auto" w:fill="C4EFCE"/>
            <w:tcMar>
              <w:left w:w="28" w:type="dxa"/>
              <w:right w:w="28" w:type="dxa"/>
            </w:tcMar>
            <w:vAlign w:val="center"/>
          </w:tcPr>
          <w:p w14:paraId="14B7871F" w14:textId="4EB3B0C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w:t>
            </w:r>
          </w:p>
        </w:tc>
        <w:tc>
          <w:tcPr>
            <w:tcW w:w="882" w:type="dxa"/>
            <w:shd w:val="clear" w:color="auto" w:fill="C4EFCE"/>
            <w:tcMar>
              <w:left w:w="28" w:type="dxa"/>
              <w:right w:w="28" w:type="dxa"/>
            </w:tcMar>
            <w:vAlign w:val="center"/>
          </w:tcPr>
          <w:p w14:paraId="5FC778CA" w14:textId="5E913AC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EUR</w:t>
            </w:r>
          </w:p>
        </w:tc>
        <w:tc>
          <w:tcPr>
            <w:tcW w:w="1176" w:type="dxa"/>
            <w:shd w:val="clear" w:color="auto" w:fill="C4EFCE"/>
            <w:tcMar>
              <w:left w:w="28" w:type="dxa"/>
              <w:right w:w="28" w:type="dxa"/>
            </w:tcMar>
            <w:vAlign w:val="center"/>
          </w:tcPr>
          <w:p w14:paraId="0271D6FF" w14:textId="04899E0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tcPr>
          <w:p w14:paraId="6451A08B" w14:textId="2E7FED9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15 900 000</w:t>
            </w:r>
          </w:p>
        </w:tc>
        <w:tc>
          <w:tcPr>
            <w:tcW w:w="840" w:type="dxa"/>
            <w:shd w:val="clear" w:color="auto" w:fill="C4EFCE"/>
            <w:tcMar>
              <w:left w:w="28" w:type="dxa"/>
              <w:right w:w="28" w:type="dxa"/>
            </w:tcMar>
            <w:vAlign w:val="center"/>
          </w:tcPr>
          <w:p w14:paraId="2A88DF46" w14:textId="558573C0"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tcPr>
          <w:p w14:paraId="5FEA44B0" w14:textId="0E21A02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19" w:type="dxa"/>
            <w:shd w:val="clear" w:color="auto" w:fill="C4EFCE"/>
            <w:tcMar>
              <w:left w:w="28" w:type="dxa"/>
              <w:right w:w="28" w:type="dxa"/>
            </w:tcMar>
          </w:tcPr>
          <w:p w14:paraId="3959FFFC" w14:textId="0DB39826"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Poskytnutie záruk na úvery vo výške 15 900 000 EUR spolu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podporou úrokových výdavkov na úvery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rámci národného systému vzájomných záruk, ktoré podporujú najmenej 10 regionálnych projektov. </w:t>
            </w:r>
          </w:p>
        </w:tc>
      </w:tr>
      <w:tr w:rsidR="00387C70" w:rsidRPr="003F23AC" w14:paraId="2C5CFDE1" w14:textId="77777777" w:rsidTr="00A26F8D">
        <w:trPr>
          <w:trHeight w:val="67"/>
        </w:trPr>
        <w:tc>
          <w:tcPr>
            <w:tcW w:w="1134" w:type="dxa"/>
            <w:shd w:val="clear" w:color="auto" w:fill="C4EFCE"/>
            <w:tcMar>
              <w:left w:w="28" w:type="dxa"/>
              <w:right w:w="28" w:type="dxa"/>
            </w:tcMar>
            <w:vAlign w:val="center"/>
          </w:tcPr>
          <w:p w14:paraId="0773CFB1" w14:textId="6033DE37"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5.35</w:t>
            </w:r>
          </w:p>
        </w:tc>
        <w:tc>
          <w:tcPr>
            <w:tcW w:w="1165" w:type="dxa"/>
            <w:shd w:val="clear" w:color="auto" w:fill="C4EFCE"/>
            <w:tcMar>
              <w:left w:w="28" w:type="dxa"/>
              <w:right w:w="28" w:type="dxa"/>
            </w:tcMar>
            <w:vAlign w:val="center"/>
          </w:tcPr>
          <w:p w14:paraId="00F378C5" w14:textId="246FCBD6"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C05-i08</w:t>
            </w:r>
          </w:p>
        </w:tc>
        <w:tc>
          <w:tcPr>
            <w:tcW w:w="976" w:type="dxa"/>
            <w:shd w:val="clear" w:color="auto" w:fill="C4EFCE"/>
            <w:tcMar>
              <w:left w:w="28" w:type="dxa"/>
              <w:right w:w="28" w:type="dxa"/>
            </w:tcMar>
            <w:vAlign w:val="center"/>
          </w:tcPr>
          <w:p w14:paraId="176CCB47" w14:textId="21D10A1E" w:rsidR="00387C70" w:rsidRPr="003F23AC" w:rsidRDefault="00C32C63"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tcPr>
          <w:p w14:paraId="43BF0EA1" w14:textId="02354F41"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Ukončenie „vedeckého areálu XXI“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„vedeckej kancelárie“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poskytovania služieb prostredníctvom národného programu otvorených vedeckých údajov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otvorených výskumných údajov (PNCADAI)</w:t>
            </w:r>
          </w:p>
        </w:tc>
        <w:tc>
          <w:tcPr>
            <w:tcW w:w="1862" w:type="dxa"/>
            <w:shd w:val="clear" w:color="auto" w:fill="C4EFCE"/>
            <w:tcMar>
              <w:left w:w="28" w:type="dxa"/>
              <w:right w:w="28" w:type="dxa"/>
            </w:tcMar>
            <w:vAlign w:val="center"/>
          </w:tcPr>
          <w:p w14:paraId="13A0FF6F"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882" w:type="dxa"/>
            <w:shd w:val="clear" w:color="auto" w:fill="C4EFCE"/>
            <w:tcMar>
              <w:left w:w="28" w:type="dxa"/>
              <w:right w:w="28" w:type="dxa"/>
            </w:tcMar>
            <w:vAlign w:val="center"/>
          </w:tcPr>
          <w:p w14:paraId="22740551" w14:textId="1CB75FCC"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tcPr>
          <w:p w14:paraId="57FCAC8C" w14:textId="6C811F49"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tcPr>
          <w:p w14:paraId="13745293" w14:textId="3C59DC12" w:rsidR="00387C70" w:rsidRPr="003F23AC" w:rsidRDefault="000F5AA4" w:rsidP="003F23AC">
            <w:pPr>
              <w:pStyle w:val="P68B1DB1-Normal12"/>
              <w:spacing w:after="0" w:line="240" w:lineRule="auto"/>
              <w:jc w:val="center"/>
              <w:rPr>
                <w:rFonts w:ascii="Times New Roman" w:hAnsi="Times New Roman" w:cs="Times New Roman"/>
                <w:noProof/>
                <w:highlight w:val="cyan"/>
                <w:lang w:val="sk-SK"/>
              </w:rPr>
            </w:pPr>
            <w:r w:rsidRPr="003F23AC">
              <w:rPr>
                <w:rFonts w:ascii="Times New Roman" w:hAnsi="Times New Roman" w:cs="Times New Roman"/>
                <w:noProof/>
                <w:lang w:val="sk-SK"/>
              </w:rPr>
              <w:t>9</w:t>
            </w:r>
          </w:p>
        </w:tc>
        <w:tc>
          <w:tcPr>
            <w:tcW w:w="840" w:type="dxa"/>
            <w:shd w:val="clear" w:color="auto" w:fill="C4EFCE"/>
            <w:tcMar>
              <w:left w:w="28" w:type="dxa"/>
              <w:right w:w="28" w:type="dxa"/>
            </w:tcMar>
            <w:vAlign w:val="center"/>
          </w:tcPr>
          <w:p w14:paraId="70909177" w14:textId="1F51031E"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tcPr>
          <w:p w14:paraId="752967AE" w14:textId="0BF8F3C5"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2025 </w:t>
            </w:r>
          </w:p>
        </w:tc>
        <w:tc>
          <w:tcPr>
            <w:tcW w:w="3919" w:type="dxa"/>
            <w:shd w:val="clear" w:color="auto" w:fill="C4EFCE"/>
            <w:tcMar>
              <w:left w:w="28" w:type="dxa"/>
              <w:right w:w="28" w:type="dxa"/>
            </w:tcMar>
            <w:vAlign w:val="center"/>
          </w:tcPr>
          <w:p w14:paraId="2E72A0C9" w14:textId="0EE59920" w:rsidR="00A75B3C"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Dokončenie dvoch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digitálnych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fyzikálnych vied</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technológií: „Campus Science XXI“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„Science Desk“</w:t>
            </w:r>
            <w:r w:rsidR="00A75B3C" w:rsidRPr="003F23AC">
              <w:rPr>
                <w:rFonts w:ascii="Times New Roman" w:hAnsi="Times New Roman" w:cs="Times New Roman"/>
                <w:noProof/>
                <w:lang w:val="sk-SK"/>
              </w:rPr>
              <w:t>.</w:t>
            </w:r>
          </w:p>
          <w:p w14:paraId="00F0CA38" w14:textId="7FD5217C" w:rsidR="00387C70" w:rsidRPr="003F23AC" w:rsidRDefault="00387C70" w:rsidP="003F23AC">
            <w:pPr>
              <w:spacing w:after="0" w:line="240" w:lineRule="auto"/>
              <w:jc w:val="both"/>
              <w:rPr>
                <w:rFonts w:ascii="Times New Roman" w:hAnsi="Times New Roman" w:cs="Times New Roman"/>
                <w:noProof/>
                <w:sz w:val="16"/>
                <w:lang w:val="sk-SK"/>
              </w:rPr>
            </w:pPr>
          </w:p>
          <w:p w14:paraId="507B7C51" w14:textId="638BA61C" w:rsidR="00387C70"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Poskytovanie siedmich online elektronických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národného programu pre otvorenú vedu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otvorené výskumné údaje (PNCADAI). Program zahŕňa infraštruktúru dátového centra, ako aj službu správy údajov.</w:t>
            </w:r>
          </w:p>
        </w:tc>
      </w:tr>
      <w:tr w:rsidR="00387C70" w:rsidRPr="003F23AC" w14:paraId="7FB7AC29" w14:textId="77777777" w:rsidTr="00A26F8D">
        <w:trPr>
          <w:trHeight w:val="67"/>
        </w:trPr>
        <w:tc>
          <w:tcPr>
            <w:tcW w:w="1134" w:type="dxa"/>
            <w:shd w:val="clear" w:color="auto" w:fill="C4EFCE"/>
            <w:tcMar>
              <w:left w:w="28" w:type="dxa"/>
              <w:right w:w="28" w:type="dxa"/>
            </w:tcMar>
            <w:vAlign w:val="center"/>
          </w:tcPr>
          <w:p w14:paraId="4B3A8873" w14:textId="179ED554"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5.36</w:t>
            </w:r>
          </w:p>
        </w:tc>
        <w:tc>
          <w:tcPr>
            <w:tcW w:w="1165" w:type="dxa"/>
            <w:shd w:val="clear" w:color="auto" w:fill="C4EFCE"/>
            <w:tcMar>
              <w:left w:w="28" w:type="dxa"/>
              <w:right w:w="28" w:type="dxa"/>
            </w:tcMar>
            <w:vAlign w:val="center"/>
          </w:tcPr>
          <w:p w14:paraId="1F9177C6" w14:textId="3AF1165C"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C05-i08</w:t>
            </w:r>
          </w:p>
        </w:tc>
        <w:tc>
          <w:tcPr>
            <w:tcW w:w="976" w:type="dxa"/>
            <w:shd w:val="clear" w:color="auto" w:fill="C4EFCE"/>
            <w:tcMar>
              <w:left w:w="28" w:type="dxa"/>
              <w:right w:w="28" w:type="dxa"/>
            </w:tcMar>
            <w:vAlign w:val="center"/>
          </w:tcPr>
          <w:p w14:paraId="2AACB229" w14:textId="5A67FD93" w:rsidR="00387C70" w:rsidRPr="003F23AC" w:rsidRDefault="00C32C63"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tcPr>
          <w:p w14:paraId="3E3B9075" w14:textId="375C51E6"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Ukončenie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výskumu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vývoja vo verejnej správe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nové kurzy na národnej platforme pre hromadné online kurzy (NAU)</w:t>
            </w:r>
          </w:p>
        </w:tc>
        <w:tc>
          <w:tcPr>
            <w:tcW w:w="1862" w:type="dxa"/>
            <w:shd w:val="clear" w:color="auto" w:fill="C4EFCE"/>
            <w:tcMar>
              <w:left w:w="28" w:type="dxa"/>
              <w:right w:w="28" w:type="dxa"/>
            </w:tcMar>
            <w:vAlign w:val="center"/>
          </w:tcPr>
          <w:p w14:paraId="0E21AFE0" w14:textId="774900D8"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tcPr>
          <w:p w14:paraId="3D64CFE9" w14:textId="46B248A4"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tcPr>
          <w:p w14:paraId="5F88E593" w14:textId="4099A441"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0</w:t>
            </w:r>
          </w:p>
        </w:tc>
        <w:tc>
          <w:tcPr>
            <w:tcW w:w="700" w:type="dxa"/>
            <w:shd w:val="clear" w:color="auto" w:fill="C4EFCE"/>
            <w:tcMar>
              <w:left w:w="28" w:type="dxa"/>
              <w:right w:w="28" w:type="dxa"/>
            </w:tcMar>
            <w:vAlign w:val="center"/>
          </w:tcPr>
          <w:p w14:paraId="21DC20A1" w14:textId="13A50267" w:rsidR="00387C70" w:rsidRPr="003F23AC" w:rsidRDefault="000F5AA4" w:rsidP="003F23AC">
            <w:pPr>
              <w:pStyle w:val="P68B1DB1-Normal12"/>
              <w:spacing w:after="0" w:line="240" w:lineRule="auto"/>
              <w:jc w:val="center"/>
              <w:rPr>
                <w:rFonts w:ascii="Times New Roman" w:hAnsi="Times New Roman" w:cs="Times New Roman"/>
                <w:noProof/>
                <w:highlight w:val="cyan"/>
                <w:lang w:val="sk-SK"/>
              </w:rPr>
            </w:pPr>
            <w:r w:rsidRPr="003F23AC">
              <w:rPr>
                <w:rFonts w:ascii="Times New Roman" w:hAnsi="Times New Roman" w:cs="Times New Roman"/>
                <w:noProof/>
                <w:lang w:val="sk-SK"/>
              </w:rPr>
              <w:t>144</w:t>
            </w:r>
          </w:p>
        </w:tc>
        <w:tc>
          <w:tcPr>
            <w:tcW w:w="840" w:type="dxa"/>
            <w:shd w:val="clear" w:color="auto" w:fill="C4EFCE"/>
            <w:tcMar>
              <w:left w:w="28" w:type="dxa"/>
              <w:right w:w="28" w:type="dxa"/>
            </w:tcMar>
            <w:vAlign w:val="center"/>
          </w:tcPr>
          <w:p w14:paraId="14DC8D5E" w14:textId="55D491C9"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 štvrťrok</w:t>
            </w:r>
          </w:p>
        </w:tc>
        <w:tc>
          <w:tcPr>
            <w:tcW w:w="420" w:type="dxa"/>
            <w:shd w:val="clear" w:color="auto" w:fill="C4EFCE"/>
            <w:tcMar>
              <w:left w:w="28" w:type="dxa"/>
              <w:right w:w="28" w:type="dxa"/>
            </w:tcMar>
            <w:vAlign w:val="center"/>
          </w:tcPr>
          <w:p w14:paraId="6C28108F" w14:textId="341BEB1E"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2026</w:t>
            </w:r>
          </w:p>
        </w:tc>
        <w:tc>
          <w:tcPr>
            <w:tcW w:w="3919" w:type="dxa"/>
            <w:shd w:val="clear" w:color="auto" w:fill="C4EFCE"/>
            <w:tcMar>
              <w:left w:w="28" w:type="dxa"/>
              <w:right w:w="28" w:type="dxa"/>
            </w:tcMar>
            <w:vAlign w:val="center"/>
          </w:tcPr>
          <w:p w14:paraId="52E1BFC8" w14:textId="2190F3DF" w:rsidR="00A75B3C"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Dokončenie 94 projektov financovaných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výskumu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vývoja vo verejnej správe (vrátane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umelej inteligencie, kybernetickej bezpečnosti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dátovej vedy)</w:t>
            </w:r>
            <w:r w:rsidR="00A75B3C" w:rsidRPr="003F23AC">
              <w:rPr>
                <w:rFonts w:ascii="Times New Roman" w:hAnsi="Times New Roman" w:cs="Times New Roman"/>
                <w:noProof/>
                <w:lang w:val="sk-SK"/>
              </w:rPr>
              <w:t>.</w:t>
            </w:r>
          </w:p>
          <w:p w14:paraId="222B1DF4" w14:textId="7E8F19E7" w:rsidR="00387C70" w:rsidRPr="003F23AC" w:rsidRDefault="00387C70" w:rsidP="003F23AC">
            <w:pPr>
              <w:spacing w:after="0" w:line="240" w:lineRule="auto"/>
              <w:jc w:val="both"/>
              <w:rPr>
                <w:rFonts w:ascii="Times New Roman" w:hAnsi="Times New Roman" w:cs="Times New Roman"/>
                <w:noProof/>
                <w:sz w:val="16"/>
                <w:lang w:val="sk-SK"/>
              </w:rPr>
            </w:pPr>
          </w:p>
          <w:p w14:paraId="58102DBE" w14:textId="173B1D60" w:rsidR="00387C70"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50 nových kurzov ponúkaných prostredníctvom Národnej platformy pre hromadné online kurzy (NAU), ktoré využívajú novovytvorenú technologickú infraštruktúru.</w:t>
            </w:r>
          </w:p>
        </w:tc>
      </w:tr>
      <w:tr w:rsidR="00387C70" w:rsidRPr="003F23AC" w14:paraId="3CFFEAB5" w14:textId="77777777" w:rsidTr="00A26F8D">
        <w:trPr>
          <w:trHeight w:val="67"/>
        </w:trPr>
        <w:tc>
          <w:tcPr>
            <w:tcW w:w="1134" w:type="dxa"/>
            <w:shd w:val="clear" w:color="auto" w:fill="C4EFCE"/>
            <w:tcMar>
              <w:left w:w="28" w:type="dxa"/>
              <w:right w:w="28" w:type="dxa"/>
            </w:tcMar>
            <w:vAlign w:val="center"/>
          </w:tcPr>
          <w:p w14:paraId="02998C93" w14:textId="7BC372D7"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5.37</w:t>
            </w:r>
          </w:p>
        </w:tc>
        <w:tc>
          <w:tcPr>
            <w:tcW w:w="1165" w:type="dxa"/>
            <w:shd w:val="clear" w:color="auto" w:fill="C4EFCE"/>
            <w:tcMar>
              <w:left w:w="28" w:type="dxa"/>
              <w:right w:w="28" w:type="dxa"/>
            </w:tcMar>
            <w:vAlign w:val="center"/>
          </w:tcPr>
          <w:p w14:paraId="57B2A843" w14:textId="148FEF42"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C05-i08</w:t>
            </w:r>
          </w:p>
        </w:tc>
        <w:tc>
          <w:tcPr>
            <w:tcW w:w="976" w:type="dxa"/>
            <w:shd w:val="clear" w:color="auto" w:fill="C4EFCE"/>
            <w:tcMar>
              <w:left w:w="28" w:type="dxa"/>
              <w:right w:w="28" w:type="dxa"/>
            </w:tcMar>
            <w:vAlign w:val="center"/>
          </w:tcPr>
          <w:p w14:paraId="7BEDE968" w14:textId="63C0C0AF"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1668" w:type="dxa"/>
            <w:shd w:val="clear" w:color="auto" w:fill="C4EFCE"/>
            <w:tcMar>
              <w:left w:w="28" w:type="dxa"/>
              <w:right w:w="28" w:type="dxa"/>
            </w:tcMar>
            <w:vAlign w:val="center"/>
          </w:tcPr>
          <w:p w14:paraId="71202E2B" w14:textId="74ACF820"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Zriadenie Národného strediska pre pokročilú výpočtovú techniku (CNCA).</w:t>
            </w:r>
          </w:p>
        </w:tc>
        <w:tc>
          <w:tcPr>
            <w:tcW w:w="1862" w:type="dxa"/>
            <w:shd w:val="clear" w:color="auto" w:fill="C4EFCE"/>
            <w:tcMar>
              <w:left w:w="28" w:type="dxa"/>
              <w:right w:w="28" w:type="dxa"/>
            </w:tcMar>
            <w:vAlign w:val="center"/>
          </w:tcPr>
          <w:p w14:paraId="7A981D55" w14:textId="2AB7DBD0"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Zriadenie národného strediska pre pokročilú výpočtovú techniku</w:t>
            </w:r>
          </w:p>
        </w:tc>
        <w:tc>
          <w:tcPr>
            <w:tcW w:w="882" w:type="dxa"/>
            <w:shd w:val="clear" w:color="auto" w:fill="C4EFCE"/>
            <w:tcMar>
              <w:left w:w="28" w:type="dxa"/>
              <w:right w:w="28" w:type="dxa"/>
            </w:tcMar>
            <w:vAlign w:val="center"/>
          </w:tcPr>
          <w:p w14:paraId="38AA2D81"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1176" w:type="dxa"/>
            <w:shd w:val="clear" w:color="auto" w:fill="C4EFCE"/>
            <w:tcMar>
              <w:left w:w="28" w:type="dxa"/>
              <w:right w:w="28" w:type="dxa"/>
            </w:tcMar>
            <w:vAlign w:val="center"/>
          </w:tcPr>
          <w:p w14:paraId="73A08FCB"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700" w:type="dxa"/>
            <w:shd w:val="clear" w:color="auto" w:fill="C4EFCE"/>
            <w:tcMar>
              <w:left w:w="28" w:type="dxa"/>
              <w:right w:w="28" w:type="dxa"/>
            </w:tcMar>
            <w:vAlign w:val="center"/>
          </w:tcPr>
          <w:p w14:paraId="71B94818" w14:textId="77777777" w:rsidR="00387C70" w:rsidRPr="003F23AC" w:rsidRDefault="00387C70" w:rsidP="003F23AC">
            <w:pPr>
              <w:spacing w:after="0" w:line="240" w:lineRule="auto"/>
              <w:jc w:val="center"/>
              <w:rPr>
                <w:rFonts w:ascii="Times New Roman" w:hAnsi="Times New Roman" w:cs="Times New Roman"/>
                <w:noProof/>
                <w:sz w:val="16"/>
                <w:highlight w:val="cyan"/>
                <w:lang w:val="sk-SK"/>
              </w:rPr>
            </w:pPr>
          </w:p>
        </w:tc>
        <w:tc>
          <w:tcPr>
            <w:tcW w:w="840" w:type="dxa"/>
            <w:shd w:val="clear" w:color="auto" w:fill="C4EFCE"/>
            <w:tcMar>
              <w:left w:w="28" w:type="dxa"/>
              <w:right w:w="28" w:type="dxa"/>
            </w:tcMar>
            <w:vAlign w:val="center"/>
          </w:tcPr>
          <w:p w14:paraId="6C0FA98B" w14:textId="2167B03D"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tcPr>
          <w:p w14:paraId="2FE817D5" w14:textId="2B27B00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2024 </w:t>
            </w:r>
          </w:p>
        </w:tc>
        <w:tc>
          <w:tcPr>
            <w:tcW w:w="3919" w:type="dxa"/>
            <w:shd w:val="clear" w:color="auto" w:fill="C4EFCE"/>
            <w:tcMar>
              <w:left w:w="28" w:type="dxa"/>
              <w:right w:w="28" w:type="dxa"/>
            </w:tcMar>
            <w:vAlign w:val="center"/>
          </w:tcPr>
          <w:p w14:paraId="75E7143A" w14:textId="48834BB0" w:rsidR="00387C70"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Zriadenie národného strediska pre pokročilú výpočtovú techniku, ktoré reorganizuje existujúce portugalské počítačové siete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centrá do jedného subjektu; podpora prevádzky dvoch superpočítačov (Deucalion</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Mare Nostrum 5).</w:t>
            </w:r>
          </w:p>
        </w:tc>
      </w:tr>
      <w:tr w:rsidR="00387C70" w:rsidRPr="003F23AC" w14:paraId="1168D75D" w14:textId="77777777" w:rsidTr="00A26F8D">
        <w:trPr>
          <w:trHeight w:val="67"/>
        </w:trPr>
        <w:tc>
          <w:tcPr>
            <w:tcW w:w="1134" w:type="dxa"/>
            <w:shd w:val="clear" w:color="auto" w:fill="C4EFCE"/>
            <w:tcMar>
              <w:left w:w="28" w:type="dxa"/>
              <w:right w:w="28" w:type="dxa"/>
            </w:tcMar>
            <w:vAlign w:val="center"/>
          </w:tcPr>
          <w:p w14:paraId="6355B752" w14:textId="337B4A60"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5.38</w:t>
            </w:r>
          </w:p>
        </w:tc>
        <w:tc>
          <w:tcPr>
            <w:tcW w:w="1165" w:type="dxa"/>
            <w:shd w:val="clear" w:color="auto" w:fill="C4EFCE"/>
            <w:tcMar>
              <w:left w:w="28" w:type="dxa"/>
              <w:right w:w="28" w:type="dxa"/>
            </w:tcMar>
            <w:vAlign w:val="center"/>
          </w:tcPr>
          <w:p w14:paraId="6A66A585" w14:textId="08DED709"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C05-i08</w:t>
            </w:r>
          </w:p>
        </w:tc>
        <w:tc>
          <w:tcPr>
            <w:tcW w:w="976" w:type="dxa"/>
            <w:shd w:val="clear" w:color="auto" w:fill="C4EFCE"/>
            <w:tcMar>
              <w:left w:w="28" w:type="dxa"/>
              <w:right w:w="28" w:type="dxa"/>
            </w:tcMar>
            <w:vAlign w:val="center"/>
          </w:tcPr>
          <w:p w14:paraId="7EE8CC42" w14:textId="655C9C80"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1668" w:type="dxa"/>
            <w:shd w:val="clear" w:color="auto" w:fill="C4EFCE"/>
            <w:tcMar>
              <w:left w:w="28" w:type="dxa"/>
              <w:right w:w="28" w:type="dxa"/>
            </w:tcMar>
            <w:vAlign w:val="center"/>
          </w:tcPr>
          <w:p w14:paraId="43F1043A" w14:textId="1E0A53D2"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Dokončenie podpornej infraštruktúry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dátového centra pre národné stredisko pre pokročilú výpočtovú techniku</w:t>
            </w:r>
          </w:p>
        </w:tc>
        <w:tc>
          <w:tcPr>
            <w:tcW w:w="1862" w:type="dxa"/>
            <w:shd w:val="clear" w:color="auto" w:fill="C4EFCE"/>
            <w:tcMar>
              <w:left w:w="28" w:type="dxa"/>
              <w:right w:w="28" w:type="dxa"/>
            </w:tcMar>
            <w:vAlign w:val="center"/>
          </w:tcPr>
          <w:p w14:paraId="103BEF7A" w14:textId="2C41AC22"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xml:space="preserve"> Dokončenie podpornej infraštruktúry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dátového centra pre národné stredisko pre pokročilú výpočtovú techniku</w:t>
            </w:r>
          </w:p>
        </w:tc>
        <w:tc>
          <w:tcPr>
            <w:tcW w:w="882" w:type="dxa"/>
            <w:shd w:val="clear" w:color="auto" w:fill="C4EFCE"/>
            <w:tcMar>
              <w:left w:w="28" w:type="dxa"/>
              <w:right w:w="28" w:type="dxa"/>
            </w:tcMar>
            <w:vAlign w:val="center"/>
          </w:tcPr>
          <w:p w14:paraId="665EDCF5"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1176" w:type="dxa"/>
            <w:shd w:val="clear" w:color="auto" w:fill="C4EFCE"/>
            <w:tcMar>
              <w:left w:w="28" w:type="dxa"/>
              <w:right w:w="28" w:type="dxa"/>
            </w:tcMar>
            <w:vAlign w:val="center"/>
          </w:tcPr>
          <w:p w14:paraId="604F8156"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700" w:type="dxa"/>
            <w:shd w:val="clear" w:color="auto" w:fill="C4EFCE"/>
            <w:tcMar>
              <w:left w:w="28" w:type="dxa"/>
              <w:right w:w="28" w:type="dxa"/>
            </w:tcMar>
            <w:vAlign w:val="center"/>
          </w:tcPr>
          <w:p w14:paraId="6521B461" w14:textId="77777777" w:rsidR="00387C70" w:rsidRPr="003F23AC" w:rsidRDefault="00387C70" w:rsidP="003F23AC">
            <w:pPr>
              <w:spacing w:after="0" w:line="240" w:lineRule="auto"/>
              <w:jc w:val="center"/>
              <w:rPr>
                <w:rFonts w:ascii="Times New Roman" w:hAnsi="Times New Roman" w:cs="Times New Roman"/>
                <w:noProof/>
                <w:sz w:val="16"/>
                <w:highlight w:val="cyan"/>
                <w:lang w:val="sk-SK"/>
              </w:rPr>
            </w:pPr>
          </w:p>
        </w:tc>
        <w:tc>
          <w:tcPr>
            <w:tcW w:w="840" w:type="dxa"/>
            <w:shd w:val="clear" w:color="auto" w:fill="C4EFCE"/>
            <w:tcMar>
              <w:left w:w="28" w:type="dxa"/>
              <w:right w:w="28" w:type="dxa"/>
            </w:tcMar>
            <w:vAlign w:val="center"/>
          </w:tcPr>
          <w:p w14:paraId="5911DBE8" w14:textId="5EDCDFF3"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 štvrťrok</w:t>
            </w:r>
          </w:p>
        </w:tc>
        <w:tc>
          <w:tcPr>
            <w:tcW w:w="420" w:type="dxa"/>
            <w:shd w:val="clear" w:color="auto" w:fill="C4EFCE"/>
            <w:tcMar>
              <w:left w:w="28" w:type="dxa"/>
              <w:right w:w="28" w:type="dxa"/>
            </w:tcMar>
            <w:vAlign w:val="center"/>
          </w:tcPr>
          <w:p w14:paraId="1D2E37FD" w14:textId="5C75696B"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2026</w:t>
            </w:r>
          </w:p>
        </w:tc>
        <w:tc>
          <w:tcPr>
            <w:tcW w:w="3919" w:type="dxa"/>
            <w:shd w:val="clear" w:color="auto" w:fill="C4EFCE"/>
            <w:tcMar>
              <w:left w:w="28" w:type="dxa"/>
              <w:right w:w="28" w:type="dxa"/>
            </w:tcMar>
            <w:vAlign w:val="center"/>
          </w:tcPr>
          <w:p w14:paraId="11269D2F" w14:textId="2895B08C" w:rsidR="00387C70" w:rsidRPr="003F23AC" w:rsidRDefault="000F5AA4" w:rsidP="003F23AC">
            <w:pPr>
              <w:pStyle w:val="P68B1DB1-Bodytext1013"/>
              <w:spacing w:line="256" w:lineRule="auto"/>
              <w:rPr>
                <w:rFonts w:ascii="Times New Roman" w:hAnsi="Times New Roman" w:cs="Times New Roman"/>
                <w:noProof/>
                <w:lang w:val="sk-SK"/>
              </w:rPr>
            </w:pPr>
            <w:r w:rsidRPr="003F23AC">
              <w:rPr>
                <w:rFonts w:ascii="Times New Roman" w:hAnsi="Times New Roman" w:cs="Times New Roman"/>
                <w:noProof/>
                <w:lang w:val="sk-SK"/>
              </w:rPr>
              <w:t>Dokončenie podpornej infraštruktúry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dátového centra pre národné stredisko pre pokročilú výpočtovú techniku </w:t>
            </w:r>
          </w:p>
        </w:tc>
      </w:tr>
      <w:tr w:rsidR="00387C70" w:rsidRPr="003F23AC" w14:paraId="3AE6E34A" w14:textId="77777777" w:rsidTr="00A26F8D">
        <w:trPr>
          <w:trHeight w:val="67"/>
        </w:trPr>
        <w:tc>
          <w:tcPr>
            <w:tcW w:w="1134" w:type="dxa"/>
            <w:shd w:val="clear" w:color="auto" w:fill="C4EFCE"/>
            <w:tcMar>
              <w:left w:w="28" w:type="dxa"/>
              <w:right w:w="28" w:type="dxa"/>
            </w:tcMar>
            <w:vAlign w:val="center"/>
          </w:tcPr>
          <w:p w14:paraId="55867E7C" w14:textId="373DE81E"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5.39</w:t>
            </w:r>
          </w:p>
        </w:tc>
        <w:tc>
          <w:tcPr>
            <w:tcW w:w="1165" w:type="dxa"/>
            <w:shd w:val="clear" w:color="auto" w:fill="C4EFCE"/>
            <w:tcMar>
              <w:left w:w="28" w:type="dxa"/>
              <w:right w:w="28" w:type="dxa"/>
            </w:tcMar>
            <w:vAlign w:val="center"/>
          </w:tcPr>
          <w:p w14:paraId="23AF3018" w14:textId="6C2A801F"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C05-i09</w:t>
            </w:r>
          </w:p>
        </w:tc>
        <w:tc>
          <w:tcPr>
            <w:tcW w:w="976" w:type="dxa"/>
            <w:shd w:val="clear" w:color="auto" w:fill="C4EFCE"/>
            <w:tcMar>
              <w:left w:w="28" w:type="dxa"/>
              <w:right w:w="28" w:type="dxa"/>
            </w:tcMar>
            <w:vAlign w:val="center"/>
          </w:tcPr>
          <w:p w14:paraId="12D4C26B" w14:textId="28A1FDAE" w:rsidR="00387C70" w:rsidRPr="003F23AC" w:rsidRDefault="00C32C63"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tcPr>
          <w:p w14:paraId="0733311B" w14:textId="25B70ECE" w:rsidR="00387C70" w:rsidRPr="003F23AC" w:rsidRDefault="000F5AA4" w:rsidP="003F23AC">
            <w:pPr>
              <w:pStyle w:val="P68B1DB1-Bodytext1013"/>
              <w:spacing w:line="256" w:lineRule="auto"/>
              <w:jc w:val="center"/>
              <w:rPr>
                <w:rFonts w:ascii="Times New Roman" w:hAnsi="Times New Roman" w:cs="Times New Roman"/>
                <w:noProof/>
                <w:lang w:val="sk-SK"/>
              </w:rPr>
            </w:pPr>
            <w:r w:rsidRPr="003F23AC">
              <w:rPr>
                <w:rFonts w:ascii="Times New Roman" w:hAnsi="Times New Roman" w:cs="Times New Roman"/>
                <w:noProof/>
                <w:lang w:val="sk-SK"/>
              </w:rPr>
              <w:t>Uzatváranie zmlúv na vývoj nových produktov, procesov alebo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príslušných strategických oblastiach (inovačné programy).</w:t>
            </w:r>
          </w:p>
        </w:tc>
        <w:tc>
          <w:tcPr>
            <w:tcW w:w="1862" w:type="dxa"/>
            <w:shd w:val="clear" w:color="auto" w:fill="C4EFCE"/>
            <w:tcMar>
              <w:left w:w="28" w:type="dxa"/>
              <w:right w:w="28" w:type="dxa"/>
            </w:tcMar>
            <w:vAlign w:val="center"/>
          </w:tcPr>
          <w:p w14:paraId="51EF8F0E" w14:textId="406D3CE7" w:rsidR="00387C70" w:rsidRPr="003F23AC" w:rsidRDefault="00387C70" w:rsidP="003F23AC">
            <w:pPr>
              <w:spacing w:after="0" w:line="240" w:lineRule="auto"/>
              <w:jc w:val="center"/>
              <w:rPr>
                <w:rFonts w:ascii="Times New Roman" w:hAnsi="Times New Roman" w:cs="Times New Roman"/>
                <w:noProof/>
                <w:sz w:val="16"/>
                <w:lang w:val="sk-SK"/>
              </w:rPr>
            </w:pPr>
          </w:p>
        </w:tc>
        <w:tc>
          <w:tcPr>
            <w:tcW w:w="882" w:type="dxa"/>
            <w:shd w:val="clear" w:color="auto" w:fill="C4EFCE"/>
            <w:tcMar>
              <w:left w:w="28" w:type="dxa"/>
              <w:right w:w="28" w:type="dxa"/>
            </w:tcMar>
            <w:vAlign w:val="center"/>
          </w:tcPr>
          <w:p w14:paraId="6E4FF967" w14:textId="04C05558"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tcPr>
          <w:p w14:paraId="0D1FE526" w14:textId="0994B876"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6</w:t>
            </w:r>
          </w:p>
        </w:tc>
        <w:tc>
          <w:tcPr>
            <w:tcW w:w="700" w:type="dxa"/>
            <w:shd w:val="clear" w:color="auto" w:fill="C4EFCE"/>
            <w:tcMar>
              <w:left w:w="28" w:type="dxa"/>
              <w:right w:w="28" w:type="dxa"/>
            </w:tcMar>
            <w:vAlign w:val="center"/>
          </w:tcPr>
          <w:p w14:paraId="1BA698AE" w14:textId="4F2BA1A9"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12</w:t>
            </w:r>
          </w:p>
        </w:tc>
        <w:tc>
          <w:tcPr>
            <w:tcW w:w="840" w:type="dxa"/>
            <w:shd w:val="clear" w:color="auto" w:fill="C4EFCE"/>
            <w:tcMar>
              <w:left w:w="28" w:type="dxa"/>
              <w:right w:w="28" w:type="dxa"/>
            </w:tcMar>
            <w:vAlign w:val="center"/>
          </w:tcPr>
          <w:p w14:paraId="613C15B0" w14:textId="1BC4820D"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 štvrťrok</w:t>
            </w:r>
          </w:p>
        </w:tc>
        <w:tc>
          <w:tcPr>
            <w:tcW w:w="420" w:type="dxa"/>
            <w:shd w:val="clear" w:color="auto" w:fill="C4EFCE"/>
            <w:tcMar>
              <w:left w:w="28" w:type="dxa"/>
              <w:right w:w="28" w:type="dxa"/>
            </w:tcMar>
            <w:vAlign w:val="center"/>
          </w:tcPr>
          <w:p w14:paraId="5918EFE8" w14:textId="585FC784"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2023</w:t>
            </w:r>
          </w:p>
        </w:tc>
        <w:tc>
          <w:tcPr>
            <w:tcW w:w="3919" w:type="dxa"/>
            <w:shd w:val="clear" w:color="auto" w:fill="C4EFCE"/>
            <w:tcMar>
              <w:left w:w="28" w:type="dxa"/>
              <w:right w:w="28" w:type="dxa"/>
            </w:tcMar>
            <w:vAlign w:val="center"/>
          </w:tcPr>
          <w:p w14:paraId="6D75FE2C" w14:textId="2C2526D9" w:rsidR="00387C70" w:rsidRPr="003F23AC" w:rsidRDefault="000F5AA4" w:rsidP="003F23AC">
            <w:pPr>
              <w:pStyle w:val="P68B1DB1-Bodytext1013"/>
              <w:spacing w:after="0" w:line="256" w:lineRule="auto"/>
              <w:rPr>
                <w:rFonts w:ascii="Times New Roman" w:hAnsi="Times New Roman" w:cs="Times New Roman"/>
                <w:noProof/>
                <w:lang w:val="sk-SK"/>
              </w:rPr>
            </w:pPr>
            <w:r w:rsidRPr="003F23AC">
              <w:rPr>
                <w:rFonts w:ascii="Times New Roman" w:hAnsi="Times New Roman" w:cs="Times New Roman"/>
                <w:noProof/>
                <w:lang w:val="sk-SK"/>
              </w:rPr>
              <w:t>Uzavretie šiestich dodatočných zmlúv (inovačné pakty alebo mobilizačné projekty)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konzorciami, ktoré zahŕňajú:</w:t>
            </w:r>
          </w:p>
          <w:p w14:paraId="62A4DB6A" w14:textId="77777777" w:rsidR="00387C70" w:rsidRPr="003F23AC" w:rsidRDefault="000F5AA4" w:rsidP="003F23AC">
            <w:pPr>
              <w:pStyle w:val="P68B1DB1-Bodytext1013"/>
              <w:spacing w:after="0" w:line="256" w:lineRule="auto"/>
              <w:rPr>
                <w:rFonts w:ascii="Times New Roman" w:hAnsi="Times New Roman" w:cs="Times New Roman"/>
                <w:noProof/>
                <w:lang w:val="sk-SK"/>
              </w:rPr>
            </w:pPr>
            <w:r w:rsidRPr="003F23AC">
              <w:rPr>
                <w:rFonts w:ascii="Times New Roman" w:hAnsi="Times New Roman" w:cs="Times New Roman"/>
                <w:noProof/>
                <w:lang w:val="sk-SK"/>
              </w:rPr>
              <w:t>• Identifikácia subjektov tvoriacich konzorcium;</w:t>
            </w:r>
          </w:p>
          <w:p w14:paraId="69824E0B" w14:textId="77777777" w:rsidR="00387C70" w:rsidRPr="003F23AC" w:rsidRDefault="000F5AA4" w:rsidP="003F23AC">
            <w:pPr>
              <w:pStyle w:val="P68B1DB1-Bodytext1013"/>
              <w:spacing w:after="0" w:line="256" w:lineRule="auto"/>
              <w:rPr>
                <w:rFonts w:ascii="Times New Roman" w:hAnsi="Times New Roman" w:cs="Times New Roman"/>
                <w:noProof/>
                <w:lang w:val="sk-SK"/>
              </w:rPr>
            </w:pPr>
            <w:r w:rsidRPr="003F23AC">
              <w:rPr>
                <w:rFonts w:ascii="Times New Roman" w:hAnsi="Times New Roman" w:cs="Times New Roman"/>
                <w:noProof/>
                <w:lang w:val="sk-SK"/>
              </w:rPr>
              <w:t>• Podnikateľský plán/investíciu;</w:t>
            </w:r>
          </w:p>
          <w:p w14:paraId="46F8E259" w14:textId="77777777" w:rsidR="00387C70" w:rsidRPr="003F23AC" w:rsidRDefault="000F5AA4" w:rsidP="003F23AC">
            <w:pPr>
              <w:pStyle w:val="P68B1DB1-Bodytext1013"/>
              <w:spacing w:after="0" w:line="256" w:lineRule="auto"/>
              <w:rPr>
                <w:rFonts w:ascii="Times New Roman" w:hAnsi="Times New Roman" w:cs="Times New Roman"/>
                <w:noProof/>
                <w:lang w:val="sk-SK"/>
              </w:rPr>
            </w:pPr>
            <w:r w:rsidRPr="003F23AC">
              <w:rPr>
                <w:rFonts w:ascii="Times New Roman" w:hAnsi="Times New Roman" w:cs="Times New Roman"/>
                <w:noProof/>
                <w:lang w:val="sk-SK"/>
              </w:rPr>
              <w:t>• Výšku finančných prostriedkov;</w:t>
            </w:r>
          </w:p>
          <w:p w14:paraId="55104ED1" w14:textId="77777777" w:rsidR="00387C70" w:rsidRPr="003F23AC" w:rsidRDefault="000F5AA4" w:rsidP="003F23AC">
            <w:pPr>
              <w:pStyle w:val="P68B1DB1-Bodytext1013"/>
              <w:spacing w:after="0" w:line="256" w:lineRule="auto"/>
              <w:rPr>
                <w:rFonts w:ascii="Times New Roman" w:hAnsi="Times New Roman" w:cs="Times New Roman"/>
                <w:noProof/>
                <w:lang w:val="sk-SK"/>
              </w:rPr>
            </w:pPr>
            <w:r w:rsidRPr="003F23AC">
              <w:rPr>
                <w:rFonts w:ascii="Times New Roman" w:hAnsi="Times New Roman" w:cs="Times New Roman"/>
                <w:noProof/>
                <w:lang w:val="sk-SK"/>
              </w:rPr>
              <w:t>• Ciele, ktorými je príjemca viazaný;</w:t>
            </w:r>
          </w:p>
          <w:p w14:paraId="15E4FABD" w14:textId="77777777" w:rsidR="00A75B3C" w:rsidRPr="003F23AC" w:rsidRDefault="000F5AA4" w:rsidP="003F23AC">
            <w:pPr>
              <w:pStyle w:val="P68B1DB1-Bodytext1013"/>
              <w:spacing w:after="0" w:line="256" w:lineRule="auto"/>
              <w:rPr>
                <w:rFonts w:ascii="Times New Roman" w:hAnsi="Times New Roman" w:cs="Times New Roman"/>
                <w:noProof/>
                <w:lang w:val="sk-SK"/>
              </w:rPr>
            </w:pPr>
            <w:r w:rsidRPr="003F23AC">
              <w:rPr>
                <w:rFonts w:ascii="Times New Roman" w:hAnsi="Times New Roman" w:cs="Times New Roman"/>
                <w:noProof/>
                <w:lang w:val="sk-SK"/>
              </w:rPr>
              <w:t>• Forma monitorovania</w:t>
            </w:r>
            <w:r w:rsidR="00A75B3C" w:rsidRPr="003F23AC">
              <w:rPr>
                <w:rFonts w:ascii="Times New Roman" w:hAnsi="Times New Roman" w:cs="Times New Roman"/>
                <w:noProof/>
                <w:lang w:val="sk-SK"/>
              </w:rPr>
              <w:t>.</w:t>
            </w:r>
          </w:p>
          <w:p w14:paraId="5CFD5ACF" w14:textId="39874814" w:rsidR="00387C70" w:rsidRPr="003F23AC" w:rsidRDefault="00387C70" w:rsidP="003F23AC">
            <w:pPr>
              <w:pStyle w:val="Bodytext10"/>
              <w:spacing w:after="0" w:line="256" w:lineRule="auto"/>
              <w:rPr>
                <w:rFonts w:ascii="Times New Roman" w:hAnsi="Times New Roman" w:cs="Times New Roman"/>
                <w:noProof/>
                <w:sz w:val="16"/>
                <w:lang w:val="sk-SK"/>
              </w:rPr>
            </w:pPr>
          </w:p>
          <w:p w14:paraId="0E42EAA5" w14:textId="74CAB263" w:rsidR="00387C70" w:rsidRPr="003F23AC" w:rsidRDefault="000F5AA4" w:rsidP="003F23AC">
            <w:pPr>
              <w:pStyle w:val="P68B1DB1-Bodytext1013"/>
              <w:spacing w:after="0" w:line="256" w:lineRule="auto"/>
              <w:rPr>
                <w:rFonts w:ascii="Times New Roman" w:hAnsi="Times New Roman" w:cs="Times New Roman"/>
                <w:noProof/>
                <w:lang w:val="sk-SK"/>
              </w:rPr>
            </w:pPr>
            <w:r w:rsidRPr="003F23AC">
              <w:rPr>
                <w:rFonts w:ascii="Times New Roman" w:hAnsi="Times New Roman" w:cs="Times New Roman"/>
                <w:noProof/>
                <w:lang w:val="sk-SK"/>
              </w:rPr>
              <w:t>Zákazky podporujú celkovo najmenej 168 výrobkov, procesov alebo služieb. Referenčný rámec zahŕňa kritériá oprávnenosti, ktorými sa zabezpečí, aby vybrané projekty boli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„výrazne nenarušiť“ (2021/C58/01),</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to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p w14:paraId="2CB8717F" w14:textId="6CA8FC23" w:rsidR="00387C70"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Zmluvy dopĺňajú zmluvy vykonávané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RE-C05-i01.01.</w:t>
            </w:r>
          </w:p>
        </w:tc>
      </w:tr>
      <w:tr w:rsidR="00387C70" w:rsidRPr="003F23AC" w14:paraId="79996882" w14:textId="77777777" w:rsidTr="00A26F8D">
        <w:trPr>
          <w:trHeight w:val="67"/>
        </w:trPr>
        <w:tc>
          <w:tcPr>
            <w:tcW w:w="1134" w:type="dxa"/>
            <w:shd w:val="clear" w:color="auto" w:fill="C4EFCE"/>
            <w:tcMar>
              <w:left w:w="28" w:type="dxa"/>
              <w:right w:w="28" w:type="dxa"/>
            </w:tcMar>
            <w:vAlign w:val="center"/>
          </w:tcPr>
          <w:p w14:paraId="1F809E62" w14:textId="68C8C255"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5.40</w:t>
            </w:r>
          </w:p>
        </w:tc>
        <w:tc>
          <w:tcPr>
            <w:tcW w:w="1165" w:type="dxa"/>
            <w:shd w:val="clear" w:color="auto" w:fill="C4EFCE"/>
            <w:tcMar>
              <w:left w:w="28" w:type="dxa"/>
              <w:right w:w="28" w:type="dxa"/>
            </w:tcMar>
            <w:vAlign w:val="center"/>
          </w:tcPr>
          <w:p w14:paraId="2448D13F" w14:textId="5BA7E634"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C05-i09</w:t>
            </w:r>
          </w:p>
        </w:tc>
        <w:tc>
          <w:tcPr>
            <w:tcW w:w="976" w:type="dxa"/>
            <w:shd w:val="clear" w:color="auto" w:fill="C4EFCE"/>
            <w:tcMar>
              <w:left w:w="28" w:type="dxa"/>
              <w:right w:w="28" w:type="dxa"/>
            </w:tcMar>
            <w:vAlign w:val="center"/>
          </w:tcPr>
          <w:p w14:paraId="189027D8" w14:textId="7ECFDF9E" w:rsidR="00387C70" w:rsidRPr="003F23AC" w:rsidRDefault="00C32C63"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tcPr>
          <w:p w14:paraId="6D5547A8" w14:textId="78903CE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Dokončenie 168 výrobkov, procesov alebo služieb.</w:t>
            </w:r>
            <w:r w:rsidR="00A75B3C" w:rsidRPr="003F23AC">
              <w:rPr>
                <w:rFonts w:ascii="Times New Roman" w:hAnsi="Times New Roman" w:cs="Times New Roman"/>
                <w:noProof/>
                <w:lang w:val="sk-SK"/>
              </w:rPr>
              <w:t xml:space="preserve"> </w:t>
            </w:r>
          </w:p>
        </w:tc>
        <w:tc>
          <w:tcPr>
            <w:tcW w:w="1862" w:type="dxa"/>
            <w:shd w:val="clear" w:color="auto" w:fill="C4EFCE"/>
            <w:tcMar>
              <w:left w:w="28" w:type="dxa"/>
              <w:right w:w="28" w:type="dxa"/>
            </w:tcMar>
            <w:vAlign w:val="center"/>
          </w:tcPr>
          <w:p w14:paraId="7BAAEF17" w14:textId="54FC47FA"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tcPr>
          <w:p w14:paraId="67A33752" w14:textId="6D621BE2"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tcPr>
          <w:p w14:paraId="7B8E2944" w14:textId="7F3E3842"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60</w:t>
            </w:r>
          </w:p>
        </w:tc>
        <w:tc>
          <w:tcPr>
            <w:tcW w:w="700" w:type="dxa"/>
            <w:shd w:val="clear" w:color="auto" w:fill="C4EFCE"/>
            <w:tcMar>
              <w:left w:w="28" w:type="dxa"/>
              <w:right w:w="28" w:type="dxa"/>
            </w:tcMar>
            <w:vAlign w:val="center"/>
          </w:tcPr>
          <w:p w14:paraId="17D205CC" w14:textId="6F573DC8"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xml:space="preserve"> 228</w:t>
            </w:r>
          </w:p>
        </w:tc>
        <w:tc>
          <w:tcPr>
            <w:tcW w:w="840" w:type="dxa"/>
            <w:shd w:val="clear" w:color="auto" w:fill="C4EFCE"/>
            <w:tcMar>
              <w:left w:w="28" w:type="dxa"/>
              <w:right w:w="28" w:type="dxa"/>
            </w:tcMar>
            <w:vAlign w:val="center"/>
          </w:tcPr>
          <w:p w14:paraId="6F3532C1" w14:textId="48CD5014"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tcPr>
          <w:p w14:paraId="66E91989" w14:textId="59013342"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2025</w:t>
            </w:r>
          </w:p>
        </w:tc>
        <w:tc>
          <w:tcPr>
            <w:tcW w:w="3919" w:type="dxa"/>
            <w:shd w:val="clear" w:color="auto" w:fill="C4EFCE"/>
            <w:tcMar>
              <w:left w:w="28" w:type="dxa"/>
              <w:right w:w="28" w:type="dxa"/>
            </w:tcMar>
            <w:vAlign w:val="center"/>
          </w:tcPr>
          <w:p w14:paraId="5537315E" w14:textId="28AD0A43" w:rsidR="00A75B3C"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Dokončenie 168 výrobkov, procesov alebo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príslušných strategických oblastiach vyplývajúcich</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plnenia zmlúv (inovačných paktov alebo mobilizujúcich projektov) uzavretých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konzorciami</w:t>
            </w:r>
            <w:r w:rsidR="00A75B3C" w:rsidRPr="003F23AC">
              <w:rPr>
                <w:rFonts w:ascii="Times New Roman" w:hAnsi="Times New Roman" w:cs="Times New Roman"/>
                <w:noProof/>
                <w:lang w:val="sk-SK"/>
              </w:rPr>
              <w:t>.</w:t>
            </w:r>
          </w:p>
          <w:p w14:paraId="17858DB0" w14:textId="149677CC" w:rsidR="00387C70"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PPS dopĺňa PPS zavedený</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RE-C05-i01.01.</w:t>
            </w:r>
          </w:p>
        </w:tc>
      </w:tr>
      <w:tr w:rsidR="00387C70" w:rsidRPr="003F23AC" w14:paraId="54F09D51" w14:textId="77777777" w:rsidTr="00A26F8D">
        <w:trPr>
          <w:trHeight w:val="67"/>
        </w:trPr>
        <w:tc>
          <w:tcPr>
            <w:tcW w:w="1134" w:type="dxa"/>
            <w:shd w:val="clear" w:color="auto" w:fill="C4EFCE"/>
            <w:tcMar>
              <w:left w:w="28" w:type="dxa"/>
              <w:right w:w="28" w:type="dxa"/>
            </w:tcMar>
            <w:vAlign w:val="center"/>
          </w:tcPr>
          <w:p w14:paraId="4437149E" w14:textId="3BA835D1"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5.41</w:t>
            </w:r>
          </w:p>
        </w:tc>
        <w:tc>
          <w:tcPr>
            <w:tcW w:w="1165" w:type="dxa"/>
            <w:shd w:val="clear" w:color="auto" w:fill="C4EFCE"/>
            <w:tcMar>
              <w:left w:w="28" w:type="dxa"/>
              <w:right w:w="28" w:type="dxa"/>
            </w:tcMar>
            <w:vAlign w:val="center"/>
          </w:tcPr>
          <w:p w14:paraId="101EC2D9" w14:textId="078DE284"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C05-i10</w:t>
            </w:r>
          </w:p>
        </w:tc>
        <w:tc>
          <w:tcPr>
            <w:tcW w:w="976" w:type="dxa"/>
            <w:shd w:val="clear" w:color="auto" w:fill="C4EFCE"/>
            <w:tcMar>
              <w:left w:w="28" w:type="dxa"/>
              <w:right w:w="28" w:type="dxa"/>
            </w:tcMar>
            <w:vAlign w:val="center"/>
          </w:tcPr>
          <w:p w14:paraId="0725C352" w14:textId="5484C41A" w:rsidR="00387C70" w:rsidRPr="003F23AC" w:rsidRDefault="00C32C63"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tcPr>
          <w:p w14:paraId="4EC2D503" w14:textId="398725C5"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Uzatváranie zmlúv na vývoj nových produktov, procesov alebo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strategických oblastiach relevantných pre nízkouhlíkové hospodárstvo, 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adaptáciu na zmenu klímy.</w:t>
            </w:r>
          </w:p>
        </w:tc>
        <w:tc>
          <w:tcPr>
            <w:tcW w:w="1862" w:type="dxa"/>
            <w:shd w:val="clear" w:color="auto" w:fill="C4EFCE"/>
            <w:tcMar>
              <w:left w:w="28" w:type="dxa"/>
              <w:right w:w="28" w:type="dxa"/>
            </w:tcMar>
            <w:vAlign w:val="center"/>
          </w:tcPr>
          <w:p w14:paraId="2372C515" w14:textId="07E910F9"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tcPr>
          <w:p w14:paraId="04FF8D2D" w14:textId="133CE3BF"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tcPr>
          <w:p w14:paraId="5AD7A2F4" w14:textId="21F9CE36"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4</w:t>
            </w:r>
          </w:p>
        </w:tc>
        <w:tc>
          <w:tcPr>
            <w:tcW w:w="700" w:type="dxa"/>
            <w:shd w:val="clear" w:color="auto" w:fill="C4EFCE"/>
            <w:tcMar>
              <w:left w:w="28" w:type="dxa"/>
              <w:right w:w="28" w:type="dxa"/>
            </w:tcMar>
            <w:vAlign w:val="center"/>
          </w:tcPr>
          <w:p w14:paraId="1D935FE8" w14:textId="05F0796F"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10</w:t>
            </w:r>
          </w:p>
        </w:tc>
        <w:tc>
          <w:tcPr>
            <w:tcW w:w="840" w:type="dxa"/>
            <w:shd w:val="clear" w:color="auto" w:fill="C4EFCE"/>
            <w:tcMar>
              <w:left w:w="28" w:type="dxa"/>
              <w:right w:w="28" w:type="dxa"/>
            </w:tcMar>
            <w:vAlign w:val="center"/>
          </w:tcPr>
          <w:p w14:paraId="39D30506" w14:textId="7DCFD95B"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 štvrťrok</w:t>
            </w:r>
          </w:p>
        </w:tc>
        <w:tc>
          <w:tcPr>
            <w:tcW w:w="420" w:type="dxa"/>
            <w:shd w:val="clear" w:color="auto" w:fill="C4EFCE"/>
            <w:tcMar>
              <w:left w:w="28" w:type="dxa"/>
              <w:right w:w="28" w:type="dxa"/>
            </w:tcMar>
            <w:vAlign w:val="center"/>
          </w:tcPr>
          <w:p w14:paraId="6F74846E" w14:textId="4FBFD7C9"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2023</w:t>
            </w:r>
          </w:p>
        </w:tc>
        <w:tc>
          <w:tcPr>
            <w:tcW w:w="3919" w:type="dxa"/>
            <w:shd w:val="clear" w:color="auto" w:fill="C4EFCE"/>
            <w:tcMar>
              <w:left w:w="28" w:type="dxa"/>
              <w:right w:w="28" w:type="dxa"/>
            </w:tcMar>
            <w:vAlign w:val="center"/>
          </w:tcPr>
          <w:p w14:paraId="0DC61D27" w14:textId="5F32DC21" w:rsidR="00387C70" w:rsidRPr="003F23AC" w:rsidRDefault="000F5AA4" w:rsidP="003F23AC">
            <w:pPr>
              <w:pStyle w:val="P68B1DB1-Bodytext1013"/>
              <w:spacing w:after="0" w:line="256" w:lineRule="auto"/>
              <w:rPr>
                <w:rFonts w:ascii="Times New Roman" w:eastAsiaTheme="minorEastAsia" w:hAnsi="Times New Roman" w:cs="Times New Roman"/>
                <w:noProof/>
                <w:lang w:val="sk-SK"/>
              </w:rPr>
            </w:pPr>
            <w:r w:rsidRPr="003F23AC">
              <w:rPr>
                <w:rFonts w:ascii="Times New Roman" w:hAnsi="Times New Roman" w:cs="Times New Roman"/>
                <w:noProof/>
                <w:lang w:val="sk-SK"/>
              </w:rPr>
              <w:t xml:space="preserve"> Uzavretie šiestich dodatočných zmlúv (inovačné pakty alebo mobilizačné projekty)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konzorciami, ktoré zahŕňajú:</w:t>
            </w:r>
          </w:p>
          <w:p w14:paraId="04592090" w14:textId="77777777" w:rsidR="00387C70" w:rsidRPr="003F23AC" w:rsidRDefault="000F5AA4" w:rsidP="003F23AC">
            <w:pPr>
              <w:pStyle w:val="P68B1DB1-Bodytext1013"/>
              <w:spacing w:after="0" w:line="256" w:lineRule="auto"/>
              <w:rPr>
                <w:rFonts w:ascii="Times New Roman" w:hAnsi="Times New Roman" w:cs="Times New Roman"/>
                <w:noProof/>
                <w:lang w:val="sk-SK"/>
              </w:rPr>
            </w:pPr>
            <w:r w:rsidRPr="003F23AC">
              <w:rPr>
                <w:rFonts w:ascii="Times New Roman" w:hAnsi="Times New Roman" w:cs="Times New Roman"/>
                <w:noProof/>
                <w:lang w:val="sk-SK"/>
              </w:rPr>
              <w:t>• Identifikácia subjektov tvoriacich konzorcium;</w:t>
            </w:r>
          </w:p>
          <w:p w14:paraId="6A42DB0C" w14:textId="77777777" w:rsidR="00387C70" w:rsidRPr="003F23AC" w:rsidRDefault="000F5AA4" w:rsidP="003F23AC">
            <w:pPr>
              <w:pStyle w:val="P68B1DB1-Bodytext1013"/>
              <w:spacing w:after="0" w:line="256" w:lineRule="auto"/>
              <w:rPr>
                <w:rFonts w:ascii="Times New Roman" w:hAnsi="Times New Roman" w:cs="Times New Roman"/>
                <w:noProof/>
                <w:lang w:val="sk-SK"/>
              </w:rPr>
            </w:pPr>
            <w:r w:rsidRPr="003F23AC">
              <w:rPr>
                <w:rFonts w:ascii="Times New Roman" w:hAnsi="Times New Roman" w:cs="Times New Roman"/>
                <w:noProof/>
                <w:lang w:val="sk-SK"/>
              </w:rPr>
              <w:t>• Podnikateľský plán/investíciu;</w:t>
            </w:r>
          </w:p>
          <w:p w14:paraId="21DA580B" w14:textId="77777777" w:rsidR="00387C70" w:rsidRPr="003F23AC" w:rsidRDefault="000F5AA4" w:rsidP="003F23AC">
            <w:pPr>
              <w:pStyle w:val="P68B1DB1-Bodytext1013"/>
              <w:spacing w:after="0" w:line="256" w:lineRule="auto"/>
              <w:rPr>
                <w:rFonts w:ascii="Times New Roman" w:hAnsi="Times New Roman" w:cs="Times New Roman"/>
                <w:noProof/>
                <w:lang w:val="sk-SK"/>
              </w:rPr>
            </w:pPr>
            <w:r w:rsidRPr="003F23AC">
              <w:rPr>
                <w:rFonts w:ascii="Times New Roman" w:hAnsi="Times New Roman" w:cs="Times New Roman"/>
                <w:noProof/>
                <w:lang w:val="sk-SK"/>
              </w:rPr>
              <w:t>• Výšku finančných prostriedkov;</w:t>
            </w:r>
          </w:p>
          <w:p w14:paraId="50705B10" w14:textId="77777777" w:rsidR="00387C70" w:rsidRPr="003F23AC" w:rsidRDefault="000F5AA4" w:rsidP="003F23AC">
            <w:pPr>
              <w:pStyle w:val="P68B1DB1-Bodytext1013"/>
              <w:spacing w:after="0" w:line="256" w:lineRule="auto"/>
              <w:rPr>
                <w:rFonts w:ascii="Times New Roman" w:hAnsi="Times New Roman" w:cs="Times New Roman"/>
                <w:noProof/>
                <w:lang w:val="sk-SK"/>
              </w:rPr>
            </w:pPr>
            <w:r w:rsidRPr="003F23AC">
              <w:rPr>
                <w:rFonts w:ascii="Times New Roman" w:hAnsi="Times New Roman" w:cs="Times New Roman"/>
                <w:noProof/>
                <w:lang w:val="sk-SK"/>
              </w:rPr>
              <w:t>• Ciele, ktorými je príjemca viazaný;</w:t>
            </w:r>
          </w:p>
          <w:p w14:paraId="29349061" w14:textId="77777777" w:rsidR="00A75B3C" w:rsidRPr="003F23AC" w:rsidRDefault="000F5AA4" w:rsidP="003F23AC">
            <w:pPr>
              <w:pStyle w:val="P68B1DB1-Bodytext1013"/>
              <w:spacing w:after="0" w:line="256" w:lineRule="auto"/>
              <w:rPr>
                <w:rFonts w:ascii="Times New Roman" w:hAnsi="Times New Roman" w:cs="Times New Roman"/>
                <w:noProof/>
                <w:lang w:val="sk-SK"/>
              </w:rPr>
            </w:pPr>
            <w:r w:rsidRPr="003F23AC">
              <w:rPr>
                <w:rFonts w:ascii="Times New Roman" w:hAnsi="Times New Roman" w:cs="Times New Roman"/>
                <w:noProof/>
                <w:lang w:val="sk-SK"/>
              </w:rPr>
              <w:t>• Forma monitorovania</w:t>
            </w:r>
            <w:r w:rsidR="00A75B3C" w:rsidRPr="003F23AC">
              <w:rPr>
                <w:rFonts w:ascii="Times New Roman" w:hAnsi="Times New Roman" w:cs="Times New Roman"/>
                <w:noProof/>
                <w:lang w:val="sk-SK"/>
              </w:rPr>
              <w:t>.</w:t>
            </w:r>
          </w:p>
          <w:p w14:paraId="4B9F41BD" w14:textId="416DB7E4" w:rsidR="00387C70" w:rsidRPr="003F23AC" w:rsidRDefault="00387C70" w:rsidP="003F23AC">
            <w:pPr>
              <w:pStyle w:val="Bodytext10"/>
              <w:spacing w:after="0" w:line="256" w:lineRule="auto"/>
              <w:rPr>
                <w:rFonts w:ascii="Times New Roman" w:hAnsi="Times New Roman" w:cs="Times New Roman"/>
                <w:noProof/>
                <w:sz w:val="16"/>
                <w:lang w:val="sk-SK"/>
              </w:rPr>
            </w:pPr>
          </w:p>
          <w:p w14:paraId="20E874EC" w14:textId="1FEDF879" w:rsidR="00387C70" w:rsidRPr="003F23AC" w:rsidRDefault="000F5AA4" w:rsidP="003F23AC">
            <w:pPr>
              <w:pStyle w:val="P68B1DB1-Bodytext1013"/>
              <w:spacing w:after="0" w:line="256" w:lineRule="auto"/>
              <w:rPr>
                <w:rFonts w:ascii="Times New Roman" w:hAnsi="Times New Roman" w:cs="Times New Roman"/>
                <w:noProof/>
                <w:lang w:val="sk-SK"/>
              </w:rPr>
            </w:pPr>
            <w:r w:rsidRPr="003F23AC">
              <w:rPr>
                <w:rFonts w:ascii="Times New Roman" w:hAnsi="Times New Roman" w:cs="Times New Roman"/>
                <w:noProof/>
                <w:lang w:val="sk-SK"/>
              </w:rPr>
              <w:t>Zákazky podporujú celkovo najmenej 98 produktov, procesov alebo služieb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sú</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oblasťou intervencie 022 (Výskumné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inovačné procesy, transfer technológií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spolupráca medzi spoločnosťami so zameraním na nízkouhlíkové hospodárstvo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adaptáciu na zmenu klímy). Referenčný rámec zahŕňa kritériá oprávnenosti, ktorými sa zabezpečí, aby vybrané projekty boli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„výrazne nenarušiť“ (2021/C58/01)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p w14:paraId="64095437" w14:textId="31664951" w:rsidR="00387C70"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Zmluvy dopĺňajú zmluvy vykonávané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RE-C05-i01.02.</w:t>
            </w:r>
          </w:p>
        </w:tc>
      </w:tr>
      <w:tr w:rsidR="00387C70" w:rsidRPr="003F23AC" w14:paraId="2CFB1DE4" w14:textId="77777777" w:rsidTr="00A26F8D">
        <w:trPr>
          <w:trHeight w:val="67"/>
        </w:trPr>
        <w:tc>
          <w:tcPr>
            <w:tcW w:w="1134" w:type="dxa"/>
            <w:shd w:val="clear" w:color="auto" w:fill="C4EFCE"/>
            <w:tcMar>
              <w:left w:w="28" w:type="dxa"/>
              <w:right w:w="28" w:type="dxa"/>
            </w:tcMar>
            <w:vAlign w:val="center"/>
          </w:tcPr>
          <w:p w14:paraId="0F626A07" w14:textId="1AAA4C66"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5.42</w:t>
            </w:r>
          </w:p>
        </w:tc>
        <w:tc>
          <w:tcPr>
            <w:tcW w:w="1165" w:type="dxa"/>
            <w:shd w:val="clear" w:color="auto" w:fill="C4EFCE"/>
            <w:tcMar>
              <w:left w:w="28" w:type="dxa"/>
              <w:right w:w="28" w:type="dxa"/>
            </w:tcMar>
            <w:vAlign w:val="center"/>
          </w:tcPr>
          <w:p w14:paraId="4D8A4205" w14:textId="12EE1FD6"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C05-i10</w:t>
            </w:r>
          </w:p>
        </w:tc>
        <w:tc>
          <w:tcPr>
            <w:tcW w:w="976" w:type="dxa"/>
            <w:shd w:val="clear" w:color="auto" w:fill="C4EFCE"/>
            <w:tcMar>
              <w:left w:w="28" w:type="dxa"/>
              <w:right w:w="28" w:type="dxa"/>
            </w:tcMar>
            <w:vAlign w:val="center"/>
          </w:tcPr>
          <w:p w14:paraId="4C138B7D" w14:textId="0CB20414" w:rsidR="00387C70" w:rsidRPr="003F23AC" w:rsidRDefault="00C32C63"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1668" w:type="dxa"/>
            <w:shd w:val="clear" w:color="auto" w:fill="C4EFCE"/>
            <w:tcMar>
              <w:left w:w="28" w:type="dxa"/>
              <w:right w:w="28" w:type="dxa"/>
            </w:tcMar>
            <w:vAlign w:val="center"/>
          </w:tcPr>
          <w:p w14:paraId="24DB13CD" w14:textId="57D233F6"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Dokončenie výrobkov, procesov alebo služieb relevantných pre nízkouhlíkové hospodárstvo, 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adaptáciu na zmenu klímy.</w:t>
            </w:r>
          </w:p>
        </w:tc>
        <w:tc>
          <w:tcPr>
            <w:tcW w:w="1862" w:type="dxa"/>
            <w:shd w:val="clear" w:color="auto" w:fill="C4EFCE"/>
            <w:tcMar>
              <w:left w:w="28" w:type="dxa"/>
              <w:right w:w="28" w:type="dxa"/>
            </w:tcMar>
            <w:vAlign w:val="center"/>
          </w:tcPr>
          <w:p w14:paraId="03936DB4" w14:textId="5D309DC9"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w:t>
            </w:r>
          </w:p>
        </w:tc>
        <w:tc>
          <w:tcPr>
            <w:tcW w:w="882" w:type="dxa"/>
            <w:shd w:val="clear" w:color="auto" w:fill="C4EFCE"/>
            <w:tcMar>
              <w:left w:w="28" w:type="dxa"/>
              <w:right w:w="28" w:type="dxa"/>
            </w:tcMar>
            <w:vAlign w:val="center"/>
          </w:tcPr>
          <w:p w14:paraId="49E437C8" w14:textId="2D221C76"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Počet</w:t>
            </w:r>
          </w:p>
        </w:tc>
        <w:tc>
          <w:tcPr>
            <w:tcW w:w="1176" w:type="dxa"/>
            <w:shd w:val="clear" w:color="auto" w:fill="C4EFCE"/>
            <w:tcMar>
              <w:left w:w="28" w:type="dxa"/>
              <w:right w:w="28" w:type="dxa"/>
            </w:tcMar>
            <w:vAlign w:val="center"/>
          </w:tcPr>
          <w:p w14:paraId="533CBFA2" w14:textId="10AA98B0"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40</w:t>
            </w:r>
          </w:p>
        </w:tc>
        <w:tc>
          <w:tcPr>
            <w:tcW w:w="700" w:type="dxa"/>
            <w:shd w:val="clear" w:color="auto" w:fill="C4EFCE"/>
            <w:tcMar>
              <w:left w:w="28" w:type="dxa"/>
              <w:right w:w="28" w:type="dxa"/>
            </w:tcMar>
            <w:vAlign w:val="center"/>
          </w:tcPr>
          <w:p w14:paraId="5C908ABC" w14:textId="0CD01BA3"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138</w:t>
            </w:r>
          </w:p>
        </w:tc>
        <w:tc>
          <w:tcPr>
            <w:tcW w:w="840" w:type="dxa"/>
            <w:shd w:val="clear" w:color="auto" w:fill="C4EFCE"/>
            <w:tcMar>
              <w:left w:w="28" w:type="dxa"/>
              <w:right w:w="28" w:type="dxa"/>
            </w:tcMar>
            <w:vAlign w:val="center"/>
          </w:tcPr>
          <w:p w14:paraId="302722D1" w14:textId="36133094"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4. štvrťrok</w:t>
            </w:r>
          </w:p>
        </w:tc>
        <w:tc>
          <w:tcPr>
            <w:tcW w:w="420" w:type="dxa"/>
            <w:shd w:val="clear" w:color="auto" w:fill="C4EFCE"/>
            <w:tcMar>
              <w:left w:w="28" w:type="dxa"/>
              <w:right w:w="28" w:type="dxa"/>
            </w:tcMar>
            <w:vAlign w:val="center"/>
          </w:tcPr>
          <w:p w14:paraId="686F8191" w14:textId="1900D775"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2025</w:t>
            </w:r>
          </w:p>
        </w:tc>
        <w:tc>
          <w:tcPr>
            <w:tcW w:w="3919" w:type="dxa"/>
            <w:shd w:val="clear" w:color="auto" w:fill="C4EFCE"/>
            <w:tcMar>
              <w:left w:w="28" w:type="dxa"/>
              <w:right w:w="28" w:type="dxa"/>
            </w:tcMar>
            <w:vAlign w:val="center"/>
          </w:tcPr>
          <w:p w14:paraId="3637E13E" w14:textId="31916988" w:rsidR="00387C70"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Dokončenie 98 výrobkov, procesov alebo služieb (PPS) vyplývajúcich</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vykonávania zmlúv (akty inovácií alebo mobilizačné projekty) uzavretých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konzorciami, ktoré sa zosúladia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oblasťou intervencie 022 (Výskumné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inovačné procesy, transfer technológií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spolupráca medzi spoločnosťami so zameraním na nízkouhlíkové hospodárstvo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adaptáciu na zmenu klímy).</w:t>
            </w:r>
          </w:p>
          <w:p w14:paraId="18CA891F" w14:textId="6852B165" w:rsidR="00387C70"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PPS je doplnkovým PPS zavedeným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RE-C05-i01.02.</w:t>
            </w:r>
          </w:p>
        </w:tc>
      </w:tr>
    </w:tbl>
    <w:p w14:paraId="1934ED30" w14:textId="77777777" w:rsidR="00387C70" w:rsidRPr="003F23AC" w:rsidRDefault="00387C70" w:rsidP="003F23AC">
      <w:pPr>
        <w:spacing w:before="40" w:after="0" w:line="259" w:lineRule="auto"/>
        <w:ind w:left="130" w:firstLine="720"/>
        <w:jc w:val="both"/>
        <w:outlineLvl w:val="2"/>
        <w:rPr>
          <w:rFonts w:ascii="Times New Roman" w:eastAsiaTheme="minorEastAsia" w:hAnsi="Times New Roman" w:cs="Times New Roman"/>
          <w:b/>
          <w:noProof/>
          <w:sz w:val="24"/>
          <w:u w:val="single"/>
          <w:lang w:val="sk-SK"/>
        </w:rPr>
        <w:sectPr w:rsidR="00387C70" w:rsidRPr="003F23AC" w:rsidSect="00E00EDD">
          <w:headerReference w:type="even" r:id="rId102"/>
          <w:headerReference w:type="default" r:id="rId103"/>
          <w:footerReference w:type="even" r:id="rId104"/>
          <w:footerReference w:type="default" r:id="rId105"/>
          <w:headerReference w:type="first" r:id="rId106"/>
          <w:footerReference w:type="first" r:id="rId107"/>
          <w:pgSz w:w="16839" w:h="11907" w:orient="landscape"/>
          <w:pgMar w:top="1134" w:right="1134" w:bottom="1134" w:left="1134" w:header="567" w:footer="567" w:gutter="0"/>
          <w:cols w:space="720"/>
          <w:docGrid w:linePitch="360"/>
        </w:sectPr>
      </w:pPr>
    </w:p>
    <w:p w14:paraId="2DE9990D" w14:textId="77777777" w:rsidR="00A75B3C" w:rsidRPr="003F23AC" w:rsidRDefault="000F5AA4" w:rsidP="003F23AC">
      <w:pPr>
        <w:pStyle w:val="P68B1DB1-Normal3"/>
        <w:spacing w:before="40" w:after="0" w:line="259" w:lineRule="auto"/>
        <w:ind w:left="130" w:firstLine="720"/>
        <w:jc w:val="both"/>
        <w:outlineLvl w:val="2"/>
        <w:rPr>
          <w:rFonts w:cs="Times New Roman"/>
          <w:noProof/>
          <w:lang w:val="sk-SK"/>
        </w:rPr>
      </w:pPr>
      <w:r w:rsidRPr="003F23AC">
        <w:rPr>
          <w:rFonts w:cs="Times New Roman"/>
          <w:noProof/>
          <w:lang w:val="sk-SK"/>
        </w:rPr>
        <w:t>E.3.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úverového financovania</w:t>
      </w:r>
    </w:p>
    <w:p w14:paraId="189A4B39" w14:textId="003C8C93"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Reforma RE-r10: Vytvorenie</w:t>
      </w:r>
      <w:r w:rsidR="00A75B3C" w:rsidRPr="003F23AC">
        <w:rPr>
          <w:rFonts w:cs="Times New Roman"/>
          <w:noProof/>
          <w:lang w:val="sk-SK"/>
        </w:rPr>
        <w:t xml:space="preserve"> a </w:t>
      </w:r>
      <w:r w:rsidRPr="003F23AC">
        <w:rPr>
          <w:rFonts w:cs="Times New Roman"/>
          <w:noProof/>
          <w:lang w:val="sk-SK"/>
        </w:rPr>
        <w:t>rozvoj Banco Português de Fomento.</w:t>
      </w:r>
    </w:p>
    <w:p w14:paraId="7C89F196" w14:textId="09AD60C9"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opatrenia je uľahčiť portugalským firmám prístup</w:t>
      </w:r>
      <w:r w:rsidR="00A75B3C" w:rsidRPr="003F23AC">
        <w:rPr>
          <w:rFonts w:cs="Times New Roman"/>
          <w:noProof/>
          <w:lang w:val="sk-SK"/>
        </w:rPr>
        <w:t xml:space="preserve"> k </w:t>
      </w:r>
      <w:r w:rsidRPr="003F23AC">
        <w:rPr>
          <w:rFonts w:cs="Times New Roman"/>
          <w:noProof/>
          <w:lang w:val="sk-SK"/>
        </w:rPr>
        <w:t>financovaniu znížením zložitosti verejne podporovaných podnikových finančných produktov</w:t>
      </w:r>
      <w:r w:rsidR="00A75B3C" w:rsidRPr="003F23AC">
        <w:rPr>
          <w:rFonts w:cs="Times New Roman"/>
          <w:noProof/>
          <w:lang w:val="sk-SK"/>
        </w:rPr>
        <w:t xml:space="preserve"> a </w:t>
      </w:r>
      <w:r w:rsidRPr="003F23AC">
        <w:rPr>
          <w:rFonts w:cs="Times New Roman"/>
          <w:noProof/>
          <w:lang w:val="sk-SK"/>
        </w:rPr>
        <w:t>umožnením projektov národného strategického záujmu. Na tento účel bola 7</w:t>
      </w:r>
      <w:r w:rsidR="00A75B3C" w:rsidRPr="003F23AC">
        <w:rPr>
          <w:rFonts w:cs="Times New Roman"/>
          <w:noProof/>
          <w:lang w:val="sk-SK"/>
        </w:rPr>
        <w:t>. septembra</w:t>
      </w:r>
      <w:r w:rsidRPr="003F23AC">
        <w:rPr>
          <w:rFonts w:cs="Times New Roman"/>
          <w:noProof/>
          <w:lang w:val="sk-SK"/>
        </w:rPr>
        <w:t xml:space="preserve"> 2020 zriadená </w:t>
      </w:r>
      <w:r w:rsidRPr="003F23AC">
        <w:rPr>
          <w:rFonts w:cs="Times New Roman"/>
          <w:i/>
          <w:noProof/>
          <w:lang w:val="sk-SK"/>
        </w:rPr>
        <w:t>Banco Português de Fomento</w:t>
      </w:r>
      <w:r w:rsidRPr="003F23AC">
        <w:rPr>
          <w:rFonts w:cs="Times New Roman"/>
          <w:noProof/>
          <w:lang w:val="sk-SK"/>
        </w:rPr>
        <w:t>, ktorá začala fungovať</w:t>
      </w:r>
      <w:r w:rsidR="00A75B3C" w:rsidRPr="003F23AC">
        <w:rPr>
          <w:rFonts w:cs="Times New Roman"/>
          <w:noProof/>
          <w:lang w:val="sk-SK"/>
        </w:rPr>
        <w:t xml:space="preserve"> v </w:t>
      </w:r>
      <w:r w:rsidRPr="003F23AC">
        <w:rPr>
          <w:rFonts w:cs="Times New Roman"/>
          <w:noProof/>
          <w:lang w:val="sk-SK"/>
        </w:rPr>
        <w:t>novembri 2020 ako štátna národná podporná banka. Okrem svojho hlavného</w:t>
      </w:r>
      <w:r w:rsidR="00A75B3C" w:rsidRPr="003F23AC">
        <w:rPr>
          <w:rFonts w:cs="Times New Roman"/>
          <w:noProof/>
          <w:lang w:val="sk-SK"/>
        </w:rPr>
        <w:t xml:space="preserve"> a </w:t>
      </w:r>
      <w:r w:rsidRPr="003F23AC">
        <w:rPr>
          <w:rFonts w:cs="Times New Roman"/>
          <w:noProof/>
          <w:lang w:val="sk-SK"/>
        </w:rPr>
        <w:t>trvalého poslania je banka kľúčovým subjektom</w:t>
      </w:r>
      <w:r w:rsidR="00A75B3C" w:rsidRPr="003F23AC">
        <w:rPr>
          <w:rFonts w:cs="Times New Roman"/>
          <w:noProof/>
          <w:lang w:val="sk-SK"/>
        </w:rPr>
        <w:t xml:space="preserve"> v </w:t>
      </w:r>
      <w:r w:rsidRPr="003F23AC">
        <w:rPr>
          <w:rFonts w:cs="Times New Roman"/>
          <w:noProof/>
          <w:lang w:val="sk-SK"/>
        </w:rPr>
        <w:t>procese obnovenia hospodárskej činnosti po pandémii COVID-19, najmä tým, že portugalským firmám umožňuje využívať vnútroštátne</w:t>
      </w:r>
      <w:r w:rsidR="00A75B3C" w:rsidRPr="003F23AC">
        <w:rPr>
          <w:rFonts w:cs="Times New Roman"/>
          <w:noProof/>
          <w:lang w:val="sk-SK"/>
        </w:rPr>
        <w:t xml:space="preserve"> a </w:t>
      </w:r>
      <w:r w:rsidRPr="003F23AC">
        <w:rPr>
          <w:rFonts w:cs="Times New Roman"/>
          <w:noProof/>
          <w:lang w:val="sk-SK"/>
        </w:rPr>
        <w:t>európske strategické opatrenia na obnovu</w:t>
      </w:r>
      <w:r w:rsidR="00A75B3C" w:rsidRPr="003F23AC">
        <w:rPr>
          <w:rFonts w:cs="Times New Roman"/>
          <w:noProof/>
          <w:lang w:val="sk-SK"/>
        </w:rPr>
        <w:t>.</w:t>
      </w:r>
    </w:p>
    <w:p w14:paraId="2898D277" w14:textId="65D4B72C"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Reforma spočíva</w:t>
      </w:r>
      <w:r w:rsidR="00A75B3C" w:rsidRPr="003F23AC">
        <w:rPr>
          <w:rFonts w:cs="Times New Roman"/>
          <w:noProof/>
          <w:lang w:val="sk-SK"/>
        </w:rPr>
        <w:t xml:space="preserve"> v </w:t>
      </w:r>
      <w:r w:rsidRPr="003F23AC">
        <w:rPr>
          <w:rFonts w:cs="Times New Roman"/>
          <w:noProof/>
          <w:lang w:val="sk-SK"/>
        </w:rPr>
        <w:t xml:space="preserve">právnom zriadení </w:t>
      </w:r>
      <w:r w:rsidRPr="003F23AC">
        <w:rPr>
          <w:rFonts w:cs="Times New Roman"/>
          <w:i/>
          <w:noProof/>
          <w:lang w:val="sk-SK"/>
        </w:rPr>
        <w:t>Banco Português de Fomento</w:t>
      </w:r>
      <w:r w:rsidR="00A75B3C" w:rsidRPr="003F23AC">
        <w:rPr>
          <w:rFonts w:cs="Times New Roman"/>
          <w:noProof/>
          <w:lang w:val="sk-SK"/>
        </w:rPr>
        <w:t>.</w:t>
      </w:r>
    </w:p>
    <w:p w14:paraId="08AAEA6F" w14:textId="5EA451FE"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reformy bola dokončená do 31</w:t>
      </w:r>
      <w:r w:rsidR="00A75B3C" w:rsidRPr="003F23AC">
        <w:rPr>
          <w:rFonts w:cs="Times New Roman"/>
          <w:noProof/>
          <w:lang w:val="sk-SK"/>
        </w:rPr>
        <w:t>. decembra</w:t>
      </w:r>
      <w:r w:rsidRPr="003F23AC">
        <w:rPr>
          <w:rFonts w:cs="Times New Roman"/>
          <w:noProof/>
          <w:lang w:val="sk-SK"/>
        </w:rPr>
        <w:t xml:space="preserve"> 2020.</w:t>
      </w:r>
    </w:p>
    <w:p w14:paraId="4B792DC0" w14:textId="77777777" w:rsidR="00A75B3C" w:rsidRPr="003F23AC" w:rsidRDefault="000F5AA4" w:rsidP="003F23AC">
      <w:pPr>
        <w:pStyle w:val="P68B1DB1-Normal5"/>
        <w:spacing w:before="240" w:after="0" w:line="259" w:lineRule="auto"/>
        <w:ind w:left="851"/>
        <w:jc w:val="both"/>
        <w:outlineLvl w:val="3"/>
        <w:rPr>
          <w:rFonts w:cs="Times New Roman"/>
          <w:noProof/>
          <w:lang w:val="sk-SK"/>
        </w:rPr>
      </w:pPr>
      <w:r w:rsidRPr="003F23AC">
        <w:rPr>
          <w:rFonts w:cs="Times New Roman"/>
          <w:noProof/>
          <w:lang w:val="sk-SK"/>
        </w:rPr>
        <w:t>Reforma RE-r13: Rozvoj kapitálového trhu</w:t>
      </w:r>
      <w:r w:rsidR="00A75B3C" w:rsidRPr="003F23AC">
        <w:rPr>
          <w:rFonts w:cs="Times New Roman"/>
          <w:noProof/>
          <w:lang w:val="sk-SK"/>
        </w:rPr>
        <w:t xml:space="preserve"> a </w:t>
      </w:r>
      <w:r w:rsidRPr="003F23AC">
        <w:rPr>
          <w:rFonts w:cs="Times New Roman"/>
          <w:noProof/>
          <w:lang w:val="sk-SK"/>
        </w:rPr>
        <w:t>podpora kapitalizácie nefinančných spoločností</w:t>
      </w:r>
    </w:p>
    <w:p w14:paraId="626CEDC6" w14:textId="75A163A8"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opatrenia je posilniť portugalský kapitálový trh</w:t>
      </w:r>
      <w:r w:rsidR="00A75B3C" w:rsidRPr="003F23AC">
        <w:rPr>
          <w:rFonts w:cs="Times New Roman"/>
          <w:noProof/>
          <w:lang w:val="sk-SK"/>
        </w:rPr>
        <w:t xml:space="preserve"> a </w:t>
      </w:r>
      <w:r w:rsidRPr="003F23AC">
        <w:rPr>
          <w:rFonts w:cs="Times New Roman"/>
          <w:noProof/>
          <w:lang w:val="sk-SK"/>
        </w:rPr>
        <w:t>podporiť kapitalizáciu spoločností</w:t>
      </w:r>
      <w:r w:rsidR="00A75B3C" w:rsidRPr="003F23AC">
        <w:rPr>
          <w:rFonts w:cs="Times New Roman"/>
          <w:noProof/>
          <w:lang w:val="sk-SK"/>
        </w:rPr>
        <w:t xml:space="preserve"> s </w:t>
      </w:r>
      <w:r w:rsidRPr="003F23AC">
        <w:rPr>
          <w:rFonts w:cs="Times New Roman"/>
          <w:noProof/>
          <w:lang w:val="sk-SK"/>
        </w:rPr>
        <w:t>osobitným dôrazom na spoločnosti investujúce do cenných papierov</w:t>
      </w:r>
      <w:r w:rsidR="00A75B3C" w:rsidRPr="003F23AC">
        <w:rPr>
          <w:rFonts w:cs="Times New Roman"/>
          <w:noProof/>
          <w:lang w:val="sk-SK"/>
        </w:rPr>
        <w:t xml:space="preserve"> v </w:t>
      </w:r>
      <w:r w:rsidRPr="003F23AC">
        <w:rPr>
          <w:rFonts w:cs="Times New Roman"/>
          <w:noProof/>
          <w:lang w:val="sk-SK"/>
        </w:rPr>
        <w:t>záujme rozvoja hospodárstva (SIMFE), podnikov kolektívneho investovania</w:t>
      </w:r>
      <w:r w:rsidR="00A75B3C" w:rsidRPr="003F23AC">
        <w:rPr>
          <w:rFonts w:cs="Times New Roman"/>
          <w:noProof/>
          <w:lang w:val="sk-SK"/>
        </w:rPr>
        <w:t xml:space="preserve"> a </w:t>
      </w:r>
      <w:r w:rsidRPr="003F23AC">
        <w:rPr>
          <w:rFonts w:cs="Times New Roman"/>
          <w:noProof/>
          <w:lang w:val="sk-SK"/>
        </w:rPr>
        <w:t>revízie zákona</w:t>
      </w:r>
      <w:r w:rsidR="00A75B3C" w:rsidRPr="003F23AC">
        <w:rPr>
          <w:rFonts w:cs="Times New Roman"/>
          <w:noProof/>
          <w:lang w:val="sk-SK"/>
        </w:rPr>
        <w:t xml:space="preserve"> o </w:t>
      </w:r>
      <w:r w:rsidRPr="003F23AC">
        <w:rPr>
          <w:rFonts w:cs="Times New Roman"/>
          <w:noProof/>
          <w:lang w:val="sk-SK"/>
        </w:rPr>
        <w:t>cenných papieroch</w:t>
      </w:r>
      <w:r w:rsidR="00A75B3C" w:rsidRPr="003F23AC">
        <w:rPr>
          <w:rFonts w:cs="Times New Roman"/>
          <w:noProof/>
          <w:lang w:val="sk-SK"/>
        </w:rPr>
        <w:t>.</w:t>
      </w:r>
    </w:p>
    <w:p w14:paraId="41ED16A7" w14:textId="0E6E769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reforma bude pozostávať</w:t>
      </w:r>
      <w:r w:rsidR="00A75B3C" w:rsidRPr="003F23AC">
        <w:rPr>
          <w:rFonts w:cs="Times New Roman"/>
          <w:noProof/>
          <w:lang w:val="sk-SK"/>
        </w:rPr>
        <w:t xml:space="preserve"> z </w:t>
      </w:r>
      <w:r w:rsidRPr="003F23AC">
        <w:rPr>
          <w:rFonts w:cs="Times New Roman"/>
          <w:noProof/>
          <w:lang w:val="sk-SK"/>
        </w:rPr>
        <w:t>revízie existujúceho právneho rámca</w:t>
      </w:r>
      <w:r w:rsidR="00A75B3C" w:rsidRPr="003F23AC">
        <w:rPr>
          <w:rFonts w:cs="Times New Roman"/>
          <w:noProof/>
          <w:lang w:val="sk-SK"/>
        </w:rPr>
        <w:t xml:space="preserve"> a </w:t>
      </w:r>
      <w:r w:rsidRPr="003F23AC">
        <w:rPr>
          <w:rFonts w:cs="Times New Roman"/>
          <w:noProof/>
          <w:lang w:val="sk-SK"/>
        </w:rPr>
        <w:t>prijatia nových zákonov, ktoré budú súčasťou názorového prístupu vlády</w:t>
      </w:r>
      <w:r w:rsidR="00A75B3C" w:rsidRPr="003F23AC">
        <w:rPr>
          <w:rFonts w:cs="Times New Roman"/>
          <w:noProof/>
          <w:lang w:val="sk-SK"/>
        </w:rPr>
        <w:t xml:space="preserve"> s </w:t>
      </w:r>
      <w:r w:rsidRPr="003F23AC">
        <w:rPr>
          <w:rFonts w:cs="Times New Roman"/>
          <w:noProof/>
          <w:lang w:val="sk-SK"/>
        </w:rPr>
        <w:t>cieľom vytvoriť priaznivejšie podnikateľské prostredie</w:t>
      </w:r>
      <w:r w:rsidR="00A75B3C" w:rsidRPr="003F23AC">
        <w:rPr>
          <w:rFonts w:cs="Times New Roman"/>
          <w:noProof/>
          <w:lang w:val="sk-SK"/>
        </w:rPr>
        <w:t xml:space="preserve"> a </w:t>
      </w:r>
      <w:r w:rsidRPr="003F23AC">
        <w:rPr>
          <w:rFonts w:cs="Times New Roman"/>
          <w:noProof/>
          <w:lang w:val="sk-SK"/>
        </w:rPr>
        <w:t>poskytnúť reálne stimuly pre investície, kapitalizáciu podnikov</w:t>
      </w:r>
      <w:r w:rsidR="00A75B3C" w:rsidRPr="003F23AC">
        <w:rPr>
          <w:rFonts w:cs="Times New Roman"/>
          <w:noProof/>
          <w:lang w:val="sk-SK"/>
        </w:rPr>
        <w:t xml:space="preserve"> a </w:t>
      </w:r>
      <w:r w:rsidRPr="003F23AC">
        <w:rPr>
          <w:rFonts w:cs="Times New Roman"/>
          <w:noProof/>
          <w:lang w:val="sk-SK"/>
        </w:rPr>
        <w:t>odvetvovú konsolidáciu. Vykonávanie tejto reformy pozostáva</w:t>
      </w:r>
      <w:r w:rsidR="00A75B3C" w:rsidRPr="003F23AC">
        <w:rPr>
          <w:rFonts w:cs="Times New Roman"/>
          <w:noProof/>
          <w:lang w:val="sk-SK"/>
        </w:rPr>
        <w:t xml:space="preserve"> z </w:t>
      </w:r>
      <w:r w:rsidRPr="003F23AC">
        <w:rPr>
          <w:rFonts w:cs="Times New Roman"/>
          <w:noProof/>
          <w:lang w:val="sk-SK"/>
        </w:rPr>
        <w:t>týchto opatrení</w:t>
      </w:r>
      <w:r w:rsidR="00A75B3C" w:rsidRPr="003F23AC">
        <w:rPr>
          <w:rFonts w:cs="Times New Roman"/>
          <w:noProof/>
          <w:lang w:val="sk-SK"/>
        </w:rPr>
        <w:t>:</w:t>
      </w:r>
    </w:p>
    <w:p w14:paraId="67731360" w14:textId="2D5C1DB9" w:rsidR="00A75B3C" w:rsidRPr="003F23AC" w:rsidRDefault="000F5AA4" w:rsidP="003F23AC">
      <w:pPr>
        <w:pStyle w:val="P68B1DB1-Normal4"/>
        <w:numPr>
          <w:ilvl w:val="0"/>
          <w:numId w:val="41"/>
        </w:numPr>
        <w:spacing w:before="40" w:after="160" w:line="259" w:lineRule="auto"/>
        <w:contextualSpacing/>
        <w:jc w:val="both"/>
        <w:rPr>
          <w:rFonts w:cs="Times New Roman"/>
          <w:noProof/>
          <w:lang w:val="sk-SK"/>
        </w:rPr>
      </w:pPr>
      <w:r w:rsidRPr="003F23AC">
        <w:rPr>
          <w:rFonts w:cs="Times New Roman"/>
          <w:noProof/>
          <w:lang w:val="sk-SK"/>
        </w:rPr>
        <w:t>rozvoj kapitálového trhu</w:t>
      </w:r>
      <w:r w:rsidR="00A75B3C" w:rsidRPr="003F23AC">
        <w:rPr>
          <w:rFonts w:cs="Times New Roman"/>
          <w:noProof/>
          <w:lang w:val="sk-SK"/>
        </w:rPr>
        <w:t>;</w:t>
      </w:r>
    </w:p>
    <w:p w14:paraId="5F637AF4" w14:textId="7339E462" w:rsidR="00A75B3C" w:rsidRPr="003F23AC" w:rsidRDefault="000F5AA4" w:rsidP="003F23AC">
      <w:pPr>
        <w:pStyle w:val="P68B1DB1-Normal4"/>
        <w:numPr>
          <w:ilvl w:val="0"/>
          <w:numId w:val="41"/>
        </w:numPr>
        <w:spacing w:before="40" w:after="160" w:line="259" w:lineRule="auto"/>
        <w:contextualSpacing/>
        <w:jc w:val="both"/>
        <w:rPr>
          <w:rFonts w:cs="Times New Roman"/>
          <w:noProof/>
          <w:lang w:val="sk-SK"/>
        </w:rPr>
      </w:pPr>
      <w:r w:rsidRPr="003F23AC">
        <w:rPr>
          <w:rFonts w:cs="Times New Roman"/>
          <w:noProof/>
          <w:lang w:val="sk-SK"/>
        </w:rPr>
        <w:t>podpora spoločností investujúcich do cenných papierov</w:t>
      </w:r>
      <w:r w:rsidR="00A75B3C" w:rsidRPr="003F23AC">
        <w:rPr>
          <w:rFonts w:cs="Times New Roman"/>
          <w:noProof/>
          <w:lang w:val="sk-SK"/>
        </w:rPr>
        <w:t xml:space="preserve"> v </w:t>
      </w:r>
      <w:r w:rsidRPr="003F23AC">
        <w:rPr>
          <w:rFonts w:cs="Times New Roman"/>
          <w:noProof/>
          <w:lang w:val="sk-SK"/>
        </w:rPr>
        <w:t>záujme rozvoja hospodárstva (SIMFE)</w:t>
      </w:r>
      <w:r w:rsidR="00A75B3C" w:rsidRPr="003F23AC">
        <w:rPr>
          <w:rFonts w:cs="Times New Roman"/>
          <w:noProof/>
          <w:lang w:val="sk-SK"/>
        </w:rPr>
        <w:t>;</w:t>
      </w:r>
    </w:p>
    <w:p w14:paraId="02E09283" w14:textId="1FE3E834" w:rsidR="00387C70" w:rsidRPr="003F23AC" w:rsidRDefault="000F5AA4" w:rsidP="003F23AC">
      <w:pPr>
        <w:pStyle w:val="P68B1DB1-Normal4"/>
        <w:numPr>
          <w:ilvl w:val="0"/>
          <w:numId w:val="41"/>
        </w:numPr>
        <w:spacing w:before="40" w:after="160" w:line="259" w:lineRule="auto"/>
        <w:contextualSpacing/>
        <w:jc w:val="both"/>
        <w:rPr>
          <w:rFonts w:eastAsiaTheme="minorEastAsia" w:cs="Times New Roman"/>
          <w:noProof/>
          <w:lang w:val="sk-SK"/>
        </w:rPr>
      </w:pPr>
      <w:r w:rsidRPr="003F23AC">
        <w:rPr>
          <w:rFonts w:cs="Times New Roman"/>
          <w:noProof/>
          <w:lang w:val="sk-SK"/>
        </w:rPr>
        <w:t>regulačné</w:t>
      </w:r>
      <w:r w:rsidR="00A75B3C" w:rsidRPr="003F23AC">
        <w:rPr>
          <w:rFonts w:cs="Times New Roman"/>
          <w:noProof/>
          <w:lang w:val="sk-SK"/>
        </w:rPr>
        <w:t xml:space="preserve"> a </w:t>
      </w:r>
      <w:r w:rsidRPr="003F23AC">
        <w:rPr>
          <w:rFonts w:cs="Times New Roman"/>
          <w:noProof/>
          <w:lang w:val="sk-SK"/>
        </w:rPr>
        <w:t>administratívne zjednodušenie;</w:t>
      </w:r>
    </w:p>
    <w:p w14:paraId="716A93D6" w14:textId="77777777" w:rsidR="00A75B3C" w:rsidRPr="003F23AC" w:rsidRDefault="000F5AA4" w:rsidP="003F23AC">
      <w:pPr>
        <w:pStyle w:val="P68B1DB1-Normal4"/>
        <w:numPr>
          <w:ilvl w:val="0"/>
          <w:numId w:val="41"/>
        </w:numPr>
        <w:spacing w:before="40" w:after="160" w:line="259" w:lineRule="auto"/>
        <w:contextualSpacing/>
        <w:jc w:val="both"/>
        <w:rPr>
          <w:rFonts w:cs="Times New Roman"/>
          <w:noProof/>
          <w:lang w:val="sk-SK"/>
        </w:rPr>
      </w:pPr>
      <w:r w:rsidRPr="003F23AC">
        <w:rPr>
          <w:rFonts w:cs="Times New Roman"/>
          <w:noProof/>
          <w:lang w:val="sk-SK"/>
        </w:rPr>
        <w:t>preskúmanie právneho rámca pre podniky kolektívneho investovania;</w:t>
      </w:r>
      <w:r w:rsidR="00A75B3C" w:rsidRPr="003F23AC">
        <w:rPr>
          <w:rFonts w:cs="Times New Roman"/>
          <w:noProof/>
          <w:lang w:val="sk-SK"/>
        </w:rPr>
        <w:t xml:space="preserve"> a </w:t>
      </w:r>
      <w:r w:rsidRPr="003F23AC">
        <w:rPr>
          <w:rFonts w:cs="Times New Roman"/>
          <w:noProof/>
          <w:lang w:val="sk-SK"/>
        </w:rPr>
        <w:t>zároveň</w:t>
      </w:r>
    </w:p>
    <w:p w14:paraId="4F3E58B6" w14:textId="02DCF333" w:rsidR="00A75B3C" w:rsidRPr="003F23AC" w:rsidRDefault="000F5AA4" w:rsidP="003F23AC">
      <w:pPr>
        <w:pStyle w:val="P68B1DB1-Normal4"/>
        <w:numPr>
          <w:ilvl w:val="0"/>
          <w:numId w:val="41"/>
        </w:numPr>
        <w:spacing w:before="40" w:after="160" w:line="259" w:lineRule="auto"/>
        <w:contextualSpacing/>
        <w:jc w:val="both"/>
        <w:rPr>
          <w:rFonts w:cs="Times New Roman"/>
          <w:noProof/>
          <w:lang w:val="sk-SK"/>
        </w:rPr>
      </w:pPr>
      <w:r w:rsidRPr="003F23AC">
        <w:rPr>
          <w:rFonts w:cs="Times New Roman"/>
          <w:noProof/>
          <w:lang w:val="sk-SK"/>
        </w:rPr>
        <w:t>stimuly na kapitalizáciu (odpočítanie</w:t>
      </w:r>
      <w:r w:rsidR="00A75B3C" w:rsidRPr="003F23AC">
        <w:rPr>
          <w:rFonts w:cs="Times New Roman"/>
          <w:noProof/>
          <w:lang w:val="sk-SK"/>
        </w:rPr>
        <w:t xml:space="preserve"> z </w:t>
      </w:r>
      <w:r w:rsidRPr="003F23AC">
        <w:rPr>
          <w:rFonts w:cs="Times New Roman"/>
          <w:noProof/>
          <w:lang w:val="sk-SK"/>
        </w:rPr>
        <w:t>nerozdeleného</w:t>
      </w:r>
      <w:r w:rsidR="00A75B3C" w:rsidRPr="003F23AC">
        <w:rPr>
          <w:rFonts w:cs="Times New Roman"/>
          <w:noProof/>
          <w:lang w:val="sk-SK"/>
        </w:rPr>
        <w:t xml:space="preserve"> a </w:t>
      </w:r>
      <w:r w:rsidRPr="003F23AC">
        <w:rPr>
          <w:rFonts w:cs="Times New Roman"/>
          <w:noProof/>
          <w:lang w:val="sk-SK"/>
        </w:rPr>
        <w:t>reinvestovaného zisku)</w:t>
      </w:r>
      <w:r w:rsidR="00A75B3C" w:rsidRPr="003F23AC">
        <w:rPr>
          <w:rFonts w:cs="Times New Roman"/>
          <w:noProof/>
          <w:lang w:val="sk-SK"/>
        </w:rPr>
        <w:t>.</w:t>
      </w:r>
    </w:p>
    <w:p w14:paraId="559A348B" w14:textId="1AF70FDF"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reformy sa dokončí do 31</w:t>
      </w:r>
      <w:r w:rsidR="00A75B3C" w:rsidRPr="003F23AC">
        <w:rPr>
          <w:rFonts w:cs="Times New Roman"/>
          <w:noProof/>
          <w:lang w:val="sk-SK"/>
        </w:rPr>
        <w:t>. decembra</w:t>
      </w:r>
      <w:r w:rsidRPr="003F23AC">
        <w:rPr>
          <w:rFonts w:cs="Times New Roman"/>
          <w:noProof/>
          <w:lang w:val="sk-SK"/>
        </w:rPr>
        <w:t xml:space="preserve"> 2023</w:t>
      </w:r>
      <w:r w:rsidR="00A75B3C" w:rsidRPr="003F23AC">
        <w:rPr>
          <w:rFonts w:cs="Times New Roman"/>
          <w:noProof/>
          <w:lang w:val="sk-SK"/>
        </w:rPr>
        <w:t>.</w:t>
      </w:r>
    </w:p>
    <w:p w14:paraId="11B296F5" w14:textId="77777777" w:rsidR="00A75B3C" w:rsidRPr="003F23AC" w:rsidRDefault="000F5AA4" w:rsidP="003F23AC">
      <w:pPr>
        <w:pStyle w:val="P68B1DB1-Normal5"/>
        <w:spacing w:before="240" w:after="0" w:line="259" w:lineRule="auto"/>
        <w:ind w:left="851"/>
        <w:jc w:val="both"/>
        <w:outlineLvl w:val="3"/>
        <w:rPr>
          <w:rFonts w:cs="Times New Roman"/>
          <w:noProof/>
          <w:lang w:val="sk-SK"/>
        </w:rPr>
      </w:pPr>
      <w:r w:rsidRPr="003F23AC">
        <w:rPr>
          <w:rFonts w:cs="Times New Roman"/>
          <w:noProof/>
          <w:lang w:val="sk-SK"/>
        </w:rPr>
        <w:t>Investície RE-C05-i06: Kapitalizácia spoločností</w:t>
      </w:r>
      <w:r w:rsidR="00A75B3C" w:rsidRPr="003F23AC">
        <w:rPr>
          <w:rFonts w:cs="Times New Roman"/>
          <w:noProof/>
          <w:lang w:val="sk-SK"/>
        </w:rPr>
        <w:t xml:space="preserve"> a </w:t>
      </w:r>
      <w:r w:rsidRPr="003F23AC">
        <w:rPr>
          <w:rFonts w:cs="Times New Roman"/>
          <w:noProof/>
          <w:lang w:val="sk-SK"/>
        </w:rPr>
        <w:t>finančná odolnosť/Banco Português de Fomento</w:t>
      </w:r>
    </w:p>
    <w:p w14:paraId="530AC31C" w14:textId="20B66E4F"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 xml:space="preserve">Cieľom opatrenia je riešiť štrukturálny problém nedostatočnej kapitalizácie podnikov. Investícia poskytne </w:t>
      </w:r>
      <w:r w:rsidRPr="003F23AC">
        <w:rPr>
          <w:rFonts w:cs="Times New Roman"/>
          <w:i/>
          <w:noProof/>
          <w:lang w:val="sk-SK"/>
        </w:rPr>
        <w:t>Banco Português de Fomento</w:t>
      </w:r>
      <w:r w:rsidRPr="003F23AC">
        <w:rPr>
          <w:rFonts w:cs="Times New Roman"/>
          <w:noProof/>
          <w:lang w:val="sk-SK"/>
        </w:rPr>
        <w:t>, ktorej cieľom je stať sa implementujúcim partnerom Programu InvestEU, kapitálovú rezervu vo výške 250 000 000 EUR. Okrem toho sa vytvorí účelovo vytvorený subjekt, ktorý následne investuje 1 300 000 000 EUR do životaschopných portugalských firiem vo forme vlastného kapitálu</w:t>
      </w:r>
      <w:r w:rsidR="00A75B3C" w:rsidRPr="003F23AC">
        <w:rPr>
          <w:rFonts w:cs="Times New Roman"/>
          <w:noProof/>
          <w:lang w:val="sk-SK"/>
        </w:rPr>
        <w:t xml:space="preserve"> a </w:t>
      </w:r>
      <w:r w:rsidRPr="003F23AC">
        <w:rPr>
          <w:rFonts w:cs="Times New Roman"/>
          <w:noProof/>
          <w:lang w:val="sk-SK"/>
        </w:rPr>
        <w:t>kvázi vlastného kapitálu</w:t>
      </w:r>
      <w:r w:rsidR="00A75B3C" w:rsidRPr="003F23AC">
        <w:rPr>
          <w:rFonts w:cs="Times New Roman"/>
          <w:noProof/>
          <w:lang w:val="sk-SK"/>
        </w:rPr>
        <w:t>.</w:t>
      </w:r>
    </w:p>
    <w:p w14:paraId="4BDAA62B" w14:textId="211A2214" w:rsidR="00A75B3C" w:rsidRPr="00A26F8D" w:rsidRDefault="000F5AA4" w:rsidP="003F23AC">
      <w:pPr>
        <w:pStyle w:val="P68B1DB1-Normal4"/>
        <w:spacing w:before="40" w:after="0" w:line="259" w:lineRule="auto"/>
        <w:jc w:val="both"/>
        <w:rPr>
          <w:rFonts w:cs="Times New Roman"/>
          <w:noProof/>
          <w:spacing w:val="-4"/>
          <w:lang w:val="sk-SK"/>
        </w:rPr>
      </w:pPr>
      <w:r w:rsidRPr="00A26F8D">
        <w:rPr>
          <w:rFonts w:cs="Times New Roman"/>
          <w:noProof/>
          <w:spacing w:val="-4"/>
          <w:lang w:val="sk-SK"/>
        </w:rPr>
        <w:t>Portugalsko sa zaviazalo, že</w:t>
      </w:r>
      <w:r w:rsidR="00A75B3C" w:rsidRPr="00A26F8D">
        <w:rPr>
          <w:rFonts w:cs="Times New Roman"/>
          <w:noProof/>
          <w:spacing w:val="-4"/>
          <w:lang w:val="sk-SK"/>
        </w:rPr>
        <w:t xml:space="preserve"> v </w:t>
      </w:r>
      <w:r w:rsidRPr="00A26F8D">
        <w:rPr>
          <w:rFonts w:cs="Times New Roman"/>
          <w:noProof/>
          <w:spacing w:val="-4"/>
          <w:lang w:val="sk-SK"/>
        </w:rPr>
        <w:t xml:space="preserve">dokumente investičnej politiky týkajúcom sa nástroja 1 300 000 000 EUR, ktorý prijme Banco Português de </w:t>
      </w:r>
      <w:r w:rsidRPr="00A26F8D">
        <w:rPr>
          <w:rFonts w:cs="Times New Roman"/>
          <w:i/>
          <w:noProof/>
          <w:spacing w:val="-4"/>
          <w:lang w:val="sk-SK"/>
        </w:rPr>
        <w:t>Fomento ako riadiaci</w:t>
      </w:r>
      <w:r w:rsidRPr="00A26F8D">
        <w:rPr>
          <w:rFonts w:cs="Times New Roman"/>
          <w:noProof/>
          <w:spacing w:val="-4"/>
          <w:lang w:val="sk-SK"/>
        </w:rPr>
        <w:t xml:space="preserve"> orgán účelovo vytvoreného subjektu, sa podrobne uvedú kritériá výberu/oprávnenosti pre podporované spoločnosti, pričom sa zabezpečí dodržiavanie klimatických</w:t>
      </w:r>
      <w:r w:rsidR="00A75B3C" w:rsidRPr="00A26F8D">
        <w:rPr>
          <w:rFonts w:cs="Times New Roman"/>
          <w:noProof/>
          <w:spacing w:val="-4"/>
          <w:lang w:val="sk-SK"/>
        </w:rPr>
        <w:t xml:space="preserve"> a </w:t>
      </w:r>
      <w:r w:rsidRPr="00A26F8D">
        <w:rPr>
          <w:rFonts w:cs="Times New Roman"/>
          <w:noProof/>
          <w:spacing w:val="-4"/>
          <w:lang w:val="sk-SK"/>
        </w:rPr>
        <w:t>environmentálnych požiadaviek Mechanizmu na podporu obnovy</w:t>
      </w:r>
      <w:r w:rsidR="00A75B3C" w:rsidRPr="00A26F8D">
        <w:rPr>
          <w:rFonts w:cs="Times New Roman"/>
          <w:noProof/>
          <w:spacing w:val="-4"/>
          <w:lang w:val="sk-SK"/>
        </w:rPr>
        <w:t xml:space="preserve"> a </w:t>
      </w:r>
      <w:r w:rsidRPr="00A26F8D">
        <w:rPr>
          <w:rFonts w:cs="Times New Roman"/>
          <w:noProof/>
          <w:spacing w:val="-4"/>
          <w:lang w:val="sk-SK"/>
        </w:rPr>
        <w:t>odolnosti vrátane súladu</w:t>
      </w:r>
      <w:r w:rsidR="00A75B3C" w:rsidRPr="00A26F8D">
        <w:rPr>
          <w:rFonts w:cs="Times New Roman"/>
          <w:noProof/>
          <w:spacing w:val="-4"/>
          <w:lang w:val="sk-SK"/>
        </w:rPr>
        <w:t xml:space="preserve"> s </w:t>
      </w:r>
      <w:r w:rsidRPr="00A26F8D">
        <w:rPr>
          <w:rFonts w:cs="Times New Roman"/>
          <w:noProof/>
          <w:spacing w:val="-4"/>
          <w:lang w:val="sk-SK"/>
        </w:rPr>
        <w:t>technickým usmernením týkajúcim sa zásady „výrazne nenarušiť“ (2021/C58/01) podporovaných aktív/činností a/alebo spoločností</w:t>
      </w:r>
      <w:r w:rsidR="00A75B3C" w:rsidRPr="00A26F8D">
        <w:rPr>
          <w:rFonts w:cs="Times New Roman"/>
          <w:noProof/>
          <w:spacing w:val="-4"/>
          <w:lang w:val="sk-SK"/>
        </w:rPr>
        <w:t xml:space="preserve"> a </w:t>
      </w:r>
      <w:r w:rsidRPr="00A26F8D">
        <w:rPr>
          <w:rFonts w:cs="Times New Roman"/>
          <w:noProof/>
          <w:spacing w:val="-4"/>
          <w:lang w:val="sk-SK"/>
        </w:rPr>
        <w:t>špecifikujú sa investičné ciele</w:t>
      </w:r>
      <w:r w:rsidR="00A75B3C" w:rsidRPr="00A26F8D">
        <w:rPr>
          <w:rFonts w:cs="Times New Roman"/>
          <w:noProof/>
          <w:spacing w:val="-4"/>
          <w:lang w:val="sk-SK"/>
        </w:rPr>
        <w:t xml:space="preserve"> a </w:t>
      </w:r>
      <w:r w:rsidRPr="00A26F8D">
        <w:rPr>
          <w:rFonts w:cs="Times New Roman"/>
          <w:noProof/>
          <w:spacing w:val="-4"/>
          <w:lang w:val="sk-SK"/>
        </w:rPr>
        <w:t>cielené výnosy. Na dosiahnutie súladu</w:t>
      </w:r>
      <w:r w:rsidR="00A75B3C" w:rsidRPr="00A26F8D">
        <w:rPr>
          <w:rFonts w:cs="Times New Roman"/>
          <w:noProof/>
          <w:spacing w:val="-4"/>
          <w:lang w:val="sk-SK"/>
        </w:rPr>
        <w:t xml:space="preserve"> s </w:t>
      </w:r>
      <w:r w:rsidRPr="00A26F8D">
        <w:rPr>
          <w:rFonts w:cs="Times New Roman"/>
          <w:noProof/>
          <w:spacing w:val="-4"/>
          <w:lang w:val="sk-SK"/>
        </w:rPr>
        <w:t>technickým usmernením týkajúcim sa zásady „výrazne nenarušiť“ (2021/C58/01) podporovaných spoločností sa</w:t>
      </w:r>
      <w:r w:rsidR="00A75B3C" w:rsidRPr="00A26F8D">
        <w:rPr>
          <w:rFonts w:cs="Times New Roman"/>
          <w:noProof/>
          <w:spacing w:val="-4"/>
          <w:lang w:val="sk-SK"/>
        </w:rPr>
        <w:t xml:space="preserve"> v </w:t>
      </w:r>
      <w:r w:rsidRPr="00A26F8D">
        <w:rPr>
          <w:rFonts w:cs="Times New Roman"/>
          <w:noProof/>
          <w:spacing w:val="-4"/>
          <w:lang w:val="sk-SK"/>
        </w:rPr>
        <w:t>investičnej politike vyžaduje</w:t>
      </w:r>
      <w:r w:rsidR="00A75B3C" w:rsidRPr="00A26F8D">
        <w:rPr>
          <w:rFonts w:cs="Times New Roman"/>
          <w:noProof/>
          <w:spacing w:val="-4"/>
          <w:lang w:val="sk-SK"/>
        </w:rPr>
        <w:t>:</w:t>
      </w:r>
    </w:p>
    <w:p w14:paraId="79CD27F7" w14:textId="77777777" w:rsidR="00A75B3C" w:rsidRPr="003F23AC" w:rsidRDefault="000F5AA4" w:rsidP="003F23AC">
      <w:pPr>
        <w:pStyle w:val="P68B1DB1-Normal4"/>
        <w:numPr>
          <w:ilvl w:val="0"/>
          <w:numId w:val="58"/>
        </w:numPr>
        <w:spacing w:before="40" w:after="160" w:line="259" w:lineRule="auto"/>
        <w:contextualSpacing/>
        <w:jc w:val="both"/>
        <w:rPr>
          <w:rFonts w:cs="Times New Roman"/>
          <w:noProof/>
          <w:lang w:val="sk-SK"/>
        </w:rPr>
      </w:pPr>
      <w:r w:rsidRPr="003F23AC">
        <w:rPr>
          <w:rFonts w:cs="Times New Roman"/>
          <w:noProof/>
          <w:lang w:val="sk-SK"/>
        </w:rPr>
        <w:t>používanie overovania udržateľnosti,</w:t>
      </w:r>
    </w:p>
    <w:p w14:paraId="3BC45CD3" w14:textId="0B55E8B5" w:rsidR="00387C70" w:rsidRPr="003F23AC" w:rsidRDefault="000F5AA4" w:rsidP="003F23AC">
      <w:pPr>
        <w:pStyle w:val="P68B1DB1-Normal4"/>
        <w:numPr>
          <w:ilvl w:val="0"/>
          <w:numId w:val="58"/>
        </w:numPr>
        <w:spacing w:before="40" w:after="160" w:line="259" w:lineRule="auto"/>
        <w:contextualSpacing/>
        <w:jc w:val="both"/>
        <w:rPr>
          <w:rFonts w:eastAsiaTheme="minorEastAsia" w:cs="Times New Roman"/>
          <w:noProof/>
          <w:lang w:val="sk-SK"/>
        </w:rPr>
      </w:pPr>
      <w:r w:rsidRPr="003F23AC">
        <w:rPr>
          <w:rFonts w:cs="Times New Roman"/>
          <w:noProof/>
          <w:lang w:val="sk-SK"/>
        </w:rPr>
        <w:t>zoznam vylúčených subjektov, ktorý obsahuje tieto prvky:</w:t>
      </w:r>
    </w:p>
    <w:p w14:paraId="31B5E16C" w14:textId="06CA7B7E" w:rsidR="00A75B3C" w:rsidRPr="003F23AC" w:rsidRDefault="000F5AA4" w:rsidP="003F23AC">
      <w:pPr>
        <w:pStyle w:val="P68B1DB1-Normal4"/>
        <w:numPr>
          <w:ilvl w:val="0"/>
          <w:numId w:val="65"/>
        </w:numPr>
        <w:spacing w:before="40" w:after="160" w:line="259" w:lineRule="auto"/>
        <w:contextualSpacing/>
        <w:jc w:val="both"/>
        <w:rPr>
          <w:rFonts w:cs="Times New Roman"/>
          <w:noProof/>
          <w:lang w:val="sk-SK"/>
        </w:rPr>
      </w:pPr>
      <w:r w:rsidRPr="003F23AC">
        <w:rPr>
          <w:rFonts w:cs="Times New Roman"/>
          <w:noProof/>
          <w:lang w:val="sk-SK"/>
        </w:rPr>
        <w:t>Činnosti súvisiace</w:t>
      </w:r>
      <w:r w:rsidR="00A75B3C" w:rsidRPr="003F23AC">
        <w:rPr>
          <w:rFonts w:cs="Times New Roman"/>
          <w:noProof/>
          <w:lang w:val="sk-SK"/>
        </w:rPr>
        <w:t xml:space="preserve"> s </w:t>
      </w:r>
      <w:r w:rsidRPr="003F23AC">
        <w:rPr>
          <w:rFonts w:cs="Times New Roman"/>
          <w:noProof/>
          <w:lang w:val="sk-SK"/>
        </w:rPr>
        <w:t>fosílnymi palivami vrátane následného použitia</w:t>
      </w:r>
      <w:r w:rsidRPr="003F23AC">
        <w:rPr>
          <w:rFonts w:cs="Times New Roman"/>
          <w:noProof/>
          <w:lang w:val="sk-SK"/>
        </w:rPr>
        <w:footnoteReference w:id="35"/>
      </w:r>
      <w:r w:rsidR="00A75B3C" w:rsidRPr="003F23AC">
        <w:rPr>
          <w:rFonts w:cs="Times New Roman"/>
          <w:noProof/>
          <w:lang w:val="sk-SK"/>
        </w:rPr>
        <w:t>;</w:t>
      </w:r>
    </w:p>
    <w:p w14:paraId="6DFA0552" w14:textId="2A27C92C" w:rsidR="00A75B3C" w:rsidRPr="00A26F8D" w:rsidRDefault="000F5AA4" w:rsidP="003F23AC">
      <w:pPr>
        <w:pStyle w:val="P68B1DB1-Normal4"/>
        <w:numPr>
          <w:ilvl w:val="0"/>
          <w:numId w:val="65"/>
        </w:numPr>
        <w:spacing w:before="40" w:after="160" w:line="259" w:lineRule="auto"/>
        <w:contextualSpacing/>
        <w:jc w:val="both"/>
        <w:rPr>
          <w:rFonts w:cs="Times New Roman"/>
          <w:noProof/>
          <w:spacing w:val="-4"/>
          <w:lang w:val="sk-SK"/>
        </w:rPr>
      </w:pPr>
      <w:r w:rsidRPr="00A26F8D">
        <w:rPr>
          <w:rFonts w:cs="Times New Roman"/>
          <w:noProof/>
          <w:spacing w:val="-4"/>
          <w:lang w:val="sk-SK"/>
        </w:rPr>
        <w:t>Činnosti</w:t>
      </w:r>
      <w:r w:rsidR="00A75B3C" w:rsidRPr="00A26F8D">
        <w:rPr>
          <w:rFonts w:cs="Times New Roman"/>
          <w:noProof/>
          <w:spacing w:val="-4"/>
          <w:lang w:val="sk-SK"/>
        </w:rPr>
        <w:t xml:space="preserve"> v </w:t>
      </w:r>
      <w:r w:rsidRPr="00A26F8D">
        <w:rPr>
          <w:rFonts w:cs="Times New Roman"/>
          <w:noProof/>
          <w:spacing w:val="-4"/>
          <w:lang w:val="sk-SK"/>
        </w:rPr>
        <w:t>rámci systému EÚ na obchodovanie</w:t>
      </w:r>
      <w:r w:rsidR="00A75B3C" w:rsidRPr="00A26F8D">
        <w:rPr>
          <w:rFonts w:cs="Times New Roman"/>
          <w:noProof/>
          <w:spacing w:val="-4"/>
          <w:lang w:val="sk-SK"/>
        </w:rPr>
        <w:t xml:space="preserve"> s </w:t>
      </w:r>
      <w:r w:rsidRPr="00A26F8D">
        <w:rPr>
          <w:rFonts w:cs="Times New Roman"/>
          <w:noProof/>
          <w:spacing w:val="-4"/>
          <w:lang w:val="sk-SK"/>
        </w:rPr>
        <w:t>emisiami (ETS), ktorými sa dosahujú plánované emisie skleníkových plynov, ktoré nie sú nižšie ako príslušné referenčné hodnoty</w:t>
      </w:r>
      <w:r w:rsidRPr="00A26F8D">
        <w:rPr>
          <w:rFonts w:cs="Times New Roman"/>
          <w:noProof/>
          <w:spacing w:val="-4"/>
          <w:lang w:val="sk-SK"/>
        </w:rPr>
        <w:footnoteReference w:id="36"/>
      </w:r>
      <w:r w:rsidR="00A75B3C" w:rsidRPr="00A26F8D">
        <w:rPr>
          <w:rFonts w:cs="Times New Roman"/>
          <w:noProof/>
          <w:spacing w:val="-4"/>
          <w:lang w:val="sk-SK"/>
        </w:rPr>
        <w:t>;</w:t>
      </w:r>
    </w:p>
    <w:p w14:paraId="595D8BE3" w14:textId="6C6035C0" w:rsidR="00A75B3C" w:rsidRPr="00A26F8D" w:rsidRDefault="000F5AA4" w:rsidP="003F23AC">
      <w:pPr>
        <w:pStyle w:val="P68B1DB1-Normal4"/>
        <w:numPr>
          <w:ilvl w:val="0"/>
          <w:numId w:val="65"/>
        </w:numPr>
        <w:spacing w:before="40" w:after="160" w:line="259" w:lineRule="auto"/>
        <w:contextualSpacing/>
        <w:jc w:val="both"/>
        <w:rPr>
          <w:rFonts w:cs="Times New Roman"/>
          <w:noProof/>
          <w:spacing w:val="-4"/>
          <w:lang w:val="sk-SK"/>
        </w:rPr>
      </w:pPr>
      <w:r w:rsidRPr="00A26F8D">
        <w:rPr>
          <w:rFonts w:cs="Times New Roman"/>
          <w:noProof/>
          <w:spacing w:val="-4"/>
          <w:lang w:val="sk-SK"/>
        </w:rPr>
        <w:t>Činnosti týkajúce sa skládok odpadu, spaľovní</w:t>
      </w:r>
      <w:r w:rsidRPr="00A26F8D">
        <w:rPr>
          <w:rFonts w:cs="Times New Roman"/>
          <w:noProof/>
          <w:spacing w:val="-4"/>
          <w:lang w:val="sk-SK"/>
        </w:rPr>
        <w:footnoteReference w:id="37"/>
      </w:r>
      <w:r w:rsidR="00A75B3C" w:rsidRPr="00A26F8D">
        <w:rPr>
          <w:rFonts w:cs="Times New Roman"/>
          <w:noProof/>
          <w:spacing w:val="-4"/>
          <w:lang w:val="sk-SK"/>
        </w:rPr>
        <w:t xml:space="preserve"> a </w:t>
      </w:r>
      <w:r w:rsidRPr="00A26F8D">
        <w:rPr>
          <w:rFonts w:cs="Times New Roman"/>
          <w:noProof/>
          <w:spacing w:val="-4"/>
          <w:lang w:val="sk-SK"/>
        </w:rPr>
        <w:t>mechanických biologických čistiarní</w:t>
      </w:r>
      <w:r w:rsidRPr="00A26F8D">
        <w:rPr>
          <w:rFonts w:cs="Times New Roman"/>
          <w:noProof/>
          <w:spacing w:val="-4"/>
          <w:lang w:val="sk-SK"/>
        </w:rPr>
        <w:footnoteReference w:id="38"/>
      </w:r>
      <w:r w:rsidR="00A75B3C" w:rsidRPr="00A26F8D">
        <w:rPr>
          <w:rFonts w:cs="Times New Roman"/>
          <w:noProof/>
          <w:spacing w:val="-4"/>
          <w:lang w:val="sk-SK"/>
        </w:rPr>
        <w:t>;</w:t>
      </w:r>
    </w:p>
    <w:p w14:paraId="17C0CE9D" w14:textId="77777777" w:rsidR="00A75B3C" w:rsidRPr="003F23AC" w:rsidRDefault="000F5AA4" w:rsidP="003F23AC">
      <w:pPr>
        <w:pStyle w:val="P68B1DB1-Normal4"/>
        <w:numPr>
          <w:ilvl w:val="0"/>
          <w:numId w:val="65"/>
        </w:numPr>
        <w:spacing w:before="40" w:after="160" w:line="259" w:lineRule="auto"/>
        <w:contextualSpacing/>
        <w:jc w:val="both"/>
        <w:rPr>
          <w:rFonts w:cs="Times New Roman"/>
          <w:noProof/>
          <w:lang w:val="sk-SK"/>
        </w:rPr>
      </w:pPr>
      <w:r w:rsidRPr="003F23AC">
        <w:rPr>
          <w:rFonts w:cs="Times New Roman"/>
          <w:noProof/>
          <w:lang w:val="sk-SK"/>
        </w:rPr>
        <w:t>Činnosti, pri ktorých môže dlhodobé zneškodňovanie odpadu spôsobiť dlhodobé poškodenie životného prostredia, ako napríklad jadrový odpad;</w:t>
      </w:r>
      <w:r w:rsidR="00A75B3C" w:rsidRPr="003F23AC">
        <w:rPr>
          <w:rFonts w:cs="Times New Roman"/>
          <w:noProof/>
          <w:lang w:val="sk-SK"/>
        </w:rPr>
        <w:t xml:space="preserve"> a </w:t>
      </w:r>
      <w:r w:rsidRPr="003F23AC">
        <w:rPr>
          <w:rFonts w:cs="Times New Roman"/>
          <w:noProof/>
          <w:lang w:val="sk-SK"/>
        </w:rPr>
        <w:t>zároveň</w:t>
      </w:r>
    </w:p>
    <w:p w14:paraId="19D2A2E1" w14:textId="4E83221F" w:rsidR="00A75B3C" w:rsidRPr="003F23AC" w:rsidRDefault="000F5AA4" w:rsidP="003F23AC">
      <w:pPr>
        <w:pStyle w:val="P68B1DB1-Normal4"/>
        <w:numPr>
          <w:ilvl w:val="0"/>
          <w:numId w:val="65"/>
        </w:numPr>
        <w:spacing w:before="40" w:after="160" w:line="259" w:lineRule="auto"/>
        <w:contextualSpacing/>
        <w:jc w:val="both"/>
        <w:rPr>
          <w:rFonts w:cs="Times New Roman"/>
          <w:noProof/>
          <w:lang w:val="sk-SK"/>
        </w:rPr>
      </w:pPr>
      <w:r w:rsidRPr="003F23AC">
        <w:rPr>
          <w:rFonts w:cs="Times New Roman"/>
          <w:noProof/>
          <w:lang w:val="sk-SK"/>
        </w:rPr>
        <w:t>Výskum, vývoj</w:t>
      </w:r>
      <w:r w:rsidR="00A75B3C" w:rsidRPr="003F23AC">
        <w:rPr>
          <w:rFonts w:cs="Times New Roman"/>
          <w:noProof/>
          <w:lang w:val="sk-SK"/>
        </w:rPr>
        <w:t xml:space="preserve"> a </w:t>
      </w:r>
      <w:r w:rsidRPr="003F23AC">
        <w:rPr>
          <w:rFonts w:cs="Times New Roman"/>
          <w:noProof/>
          <w:lang w:val="sk-SK"/>
        </w:rPr>
        <w:t>inovácie zamerané na uvedené aktíva</w:t>
      </w:r>
      <w:r w:rsidR="00A75B3C" w:rsidRPr="003F23AC">
        <w:rPr>
          <w:rFonts w:cs="Times New Roman"/>
          <w:noProof/>
          <w:lang w:val="sk-SK"/>
        </w:rPr>
        <w:t xml:space="preserve"> a </w:t>
      </w:r>
      <w:r w:rsidRPr="003F23AC">
        <w:rPr>
          <w:rFonts w:cs="Times New Roman"/>
          <w:noProof/>
          <w:lang w:val="sk-SK"/>
        </w:rPr>
        <w:t>činnosti</w:t>
      </w:r>
      <w:r w:rsidR="00A75B3C" w:rsidRPr="003F23AC">
        <w:rPr>
          <w:rFonts w:cs="Times New Roman"/>
          <w:noProof/>
          <w:lang w:val="sk-SK"/>
        </w:rPr>
        <w:t>.</w:t>
      </w:r>
    </w:p>
    <w:p w14:paraId="0A6B4B99" w14:textId="77777777" w:rsidR="00A75B3C" w:rsidRPr="003F23AC" w:rsidRDefault="000F5AA4" w:rsidP="003F23AC">
      <w:pPr>
        <w:pStyle w:val="P68B1DB1-Normal4"/>
        <w:numPr>
          <w:ilvl w:val="0"/>
          <w:numId w:val="58"/>
        </w:numPr>
        <w:spacing w:before="40" w:after="160" w:line="259" w:lineRule="auto"/>
        <w:contextualSpacing/>
        <w:jc w:val="both"/>
        <w:rPr>
          <w:rFonts w:cs="Times New Roman"/>
          <w:noProof/>
          <w:lang w:val="sk-SK"/>
        </w:rPr>
      </w:pPr>
      <w:r w:rsidRPr="003F23AC">
        <w:rPr>
          <w:rFonts w:cs="Times New Roman"/>
          <w:noProof/>
          <w:lang w:val="sk-SK"/>
        </w:rPr>
        <w:t xml:space="preserve">povinné kontroly dodržiavania právnych predpisov prostredníctvom </w:t>
      </w:r>
      <w:r w:rsidRPr="003F23AC">
        <w:rPr>
          <w:rFonts w:cs="Times New Roman"/>
          <w:i/>
          <w:noProof/>
          <w:lang w:val="sk-SK"/>
        </w:rPr>
        <w:t>Banco Português de Fomento</w:t>
      </w:r>
      <w:r w:rsidRPr="003F23AC">
        <w:rPr>
          <w:rFonts w:cs="Times New Roman"/>
          <w:noProof/>
          <w:lang w:val="sk-SK"/>
        </w:rPr>
        <w:t xml:space="preserve"> a/alebo jej vybraných finančných sprostredkovateľov</w:t>
      </w:r>
      <w:r w:rsidR="00A75B3C" w:rsidRPr="003F23AC">
        <w:rPr>
          <w:rFonts w:cs="Times New Roman"/>
          <w:noProof/>
          <w:lang w:val="sk-SK"/>
        </w:rPr>
        <w:t xml:space="preserve"> v </w:t>
      </w:r>
      <w:r w:rsidRPr="003F23AC">
        <w:rPr>
          <w:rFonts w:cs="Times New Roman"/>
          <w:noProof/>
          <w:lang w:val="sk-SK"/>
        </w:rPr>
        <w:t>prípade transakcií oslobodených od overovania udržateľnosti;</w:t>
      </w:r>
      <w:r w:rsidR="00A75B3C" w:rsidRPr="003F23AC">
        <w:rPr>
          <w:rFonts w:cs="Times New Roman"/>
          <w:noProof/>
          <w:lang w:val="sk-SK"/>
        </w:rPr>
        <w:t xml:space="preserve"> a </w:t>
      </w:r>
      <w:r w:rsidRPr="003F23AC">
        <w:rPr>
          <w:rFonts w:cs="Times New Roman"/>
          <w:noProof/>
          <w:lang w:val="sk-SK"/>
        </w:rPr>
        <w:t>zároveň</w:t>
      </w:r>
    </w:p>
    <w:p w14:paraId="3BDD89EA" w14:textId="5D1432AA" w:rsidR="00387C70" w:rsidRPr="003F23AC" w:rsidRDefault="000F5AA4" w:rsidP="003F23AC">
      <w:pPr>
        <w:pStyle w:val="P68B1DB1-Normal4"/>
        <w:numPr>
          <w:ilvl w:val="0"/>
          <w:numId w:val="58"/>
        </w:numPr>
        <w:spacing w:before="40" w:after="160" w:line="259" w:lineRule="auto"/>
        <w:contextualSpacing/>
        <w:jc w:val="both"/>
        <w:rPr>
          <w:rFonts w:eastAsiaTheme="minorEastAsia" w:cs="Times New Roman"/>
          <w:noProof/>
          <w:lang w:val="sk-SK"/>
        </w:rPr>
      </w:pPr>
      <w:r w:rsidRPr="003F23AC">
        <w:rPr>
          <w:rFonts w:cs="Times New Roman"/>
          <w:noProof/>
          <w:lang w:val="sk-SK"/>
        </w:rPr>
        <w:t>prijímatelia kapitálovej podpory, ktorí získavajú aspoň 50</w:t>
      </w:r>
      <w:r w:rsidR="00A75B3C" w:rsidRPr="003F23AC">
        <w:rPr>
          <w:rFonts w:cs="Times New Roman"/>
          <w:noProof/>
          <w:lang w:val="sk-SK"/>
        </w:rPr>
        <w:t> %</w:t>
      </w:r>
      <w:r w:rsidRPr="003F23AC">
        <w:rPr>
          <w:rFonts w:cs="Times New Roman"/>
          <w:noProof/>
          <w:lang w:val="sk-SK"/>
        </w:rPr>
        <w:t xml:space="preserve"> svojich príjmov</w:t>
      </w:r>
      <w:r w:rsidR="00A75B3C" w:rsidRPr="003F23AC">
        <w:rPr>
          <w:rFonts w:cs="Times New Roman"/>
          <w:noProof/>
          <w:lang w:val="sk-SK"/>
        </w:rPr>
        <w:t xml:space="preserve"> z </w:t>
      </w:r>
      <w:r w:rsidRPr="003F23AC">
        <w:rPr>
          <w:rFonts w:cs="Times New Roman"/>
          <w:noProof/>
          <w:lang w:val="sk-SK"/>
        </w:rPr>
        <w:t>činností uvedených</w:t>
      </w:r>
      <w:r w:rsidR="00A75B3C" w:rsidRPr="003F23AC">
        <w:rPr>
          <w:rFonts w:cs="Times New Roman"/>
          <w:noProof/>
          <w:lang w:val="sk-SK"/>
        </w:rPr>
        <w:t xml:space="preserve"> v </w:t>
      </w:r>
      <w:r w:rsidRPr="003F23AC">
        <w:rPr>
          <w:rFonts w:cs="Times New Roman"/>
          <w:noProof/>
          <w:lang w:val="sk-SK"/>
        </w:rPr>
        <w:t>zozname vylúčených subjektov na prijatie</w:t>
      </w:r>
      <w:r w:rsidR="00A75B3C" w:rsidRPr="003F23AC">
        <w:rPr>
          <w:rFonts w:cs="Times New Roman"/>
          <w:noProof/>
          <w:lang w:val="sk-SK"/>
        </w:rPr>
        <w:t xml:space="preserve"> a </w:t>
      </w:r>
      <w:r w:rsidRPr="003F23AC">
        <w:rPr>
          <w:rFonts w:cs="Times New Roman"/>
          <w:noProof/>
          <w:lang w:val="sk-SK"/>
        </w:rPr>
        <w:t>uverejnenie plánov zelenej transformácie.</w:t>
      </w:r>
    </w:p>
    <w:p w14:paraId="0436C783" w14:textId="17E648A0"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29F83CA1" w14:textId="40BF413E"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bookmarkStart w:id="14" w:name="_Toc137472450"/>
      <w:r w:rsidRPr="003F23AC">
        <w:rPr>
          <w:rFonts w:cs="Times New Roman"/>
          <w:noProof/>
          <w:lang w:val="sk-SK"/>
        </w:rPr>
        <w:t>Investícia RE-C05-i11 – Rozšírenie: Mobilizácia programov/Aliancií pre podnikateľské inovácie</w:t>
      </w:r>
      <w:bookmarkEnd w:id="14"/>
      <w:r w:rsidRPr="003F23AC">
        <w:rPr>
          <w:rFonts w:cs="Times New Roman"/>
          <w:noProof/>
          <w:lang w:val="sk-SK"/>
        </w:rPr>
        <w:t xml:space="preserve"> (úvery)</w:t>
      </w:r>
    </w:p>
    <w:p w14:paraId="2D0E934C" w14:textId="1DE42F71" w:rsidR="00A75B3C" w:rsidRPr="003F23AC" w:rsidRDefault="000F5AA4" w:rsidP="003F23AC">
      <w:pPr>
        <w:pStyle w:val="P68B1DB1-Normal4"/>
        <w:spacing w:after="0"/>
        <w:jc w:val="both"/>
        <w:rPr>
          <w:rFonts w:cs="Times New Roman"/>
          <w:noProof/>
          <w:lang w:val="sk-SK"/>
        </w:rPr>
      </w:pPr>
      <w:r w:rsidRPr="003F23AC">
        <w:rPr>
          <w:rFonts w:cs="Times New Roman"/>
          <w:noProof/>
          <w:lang w:val="sk-SK"/>
        </w:rPr>
        <w:t>Cieľom tejto investície je zvýšiť investície RE-C05-i01.01</w:t>
      </w:r>
      <w:r w:rsidR="00A75B3C" w:rsidRPr="003F23AC">
        <w:rPr>
          <w:rFonts w:cs="Times New Roman"/>
          <w:noProof/>
          <w:lang w:val="sk-SK"/>
        </w:rPr>
        <w:t xml:space="preserve"> v </w:t>
      </w:r>
      <w:r w:rsidRPr="003F23AC">
        <w:rPr>
          <w:rFonts w:cs="Times New Roman"/>
          <w:noProof/>
          <w:lang w:val="sk-SK"/>
        </w:rPr>
        <w:t>rámci zložky 5. Zväčšenou časťou opatrenia sa zvýši počet výrobkov, procesov alebo služieb</w:t>
      </w:r>
      <w:r w:rsidR="00A75B3C" w:rsidRPr="003F23AC">
        <w:rPr>
          <w:rFonts w:cs="Times New Roman"/>
          <w:noProof/>
          <w:lang w:val="sk-SK"/>
        </w:rPr>
        <w:t xml:space="preserve"> z </w:t>
      </w:r>
      <w:r w:rsidRPr="003F23AC">
        <w:rPr>
          <w:rFonts w:cs="Times New Roman"/>
          <w:noProof/>
          <w:lang w:val="sk-SK"/>
        </w:rPr>
        <w:t>mobilizačných programov/Aliancií pre podnikateľské inovácie</w:t>
      </w:r>
      <w:r w:rsidR="00A75B3C" w:rsidRPr="003F23AC">
        <w:rPr>
          <w:rFonts w:cs="Times New Roman"/>
          <w:noProof/>
          <w:lang w:val="sk-SK"/>
        </w:rPr>
        <w:t>.</w:t>
      </w:r>
    </w:p>
    <w:p w14:paraId="6E30F4B5" w14:textId="180F5DDE" w:rsidR="00387C70" w:rsidRPr="00A26F8D" w:rsidRDefault="000F5AA4" w:rsidP="003F23AC">
      <w:pPr>
        <w:pStyle w:val="P68B1DB1-Normal4"/>
        <w:spacing w:after="0"/>
        <w:jc w:val="both"/>
        <w:rPr>
          <w:rFonts w:cs="Times New Roman"/>
          <w:noProof/>
          <w:spacing w:val="-4"/>
          <w:lang w:val="sk-SK"/>
        </w:rPr>
      </w:pPr>
      <w:r w:rsidRPr="00A26F8D">
        <w:rPr>
          <w:rFonts w:cs="Times New Roman"/>
          <w:noProof/>
          <w:spacing w:val="-4"/>
          <w:lang w:val="sk-SK"/>
        </w:rPr>
        <w:t>Aspoň 366 produktov, procesov alebo služieb implementovaných</w:t>
      </w:r>
      <w:r w:rsidR="00A75B3C" w:rsidRPr="00A26F8D">
        <w:rPr>
          <w:rFonts w:cs="Times New Roman"/>
          <w:noProof/>
          <w:spacing w:val="-4"/>
          <w:lang w:val="sk-SK"/>
        </w:rPr>
        <w:t xml:space="preserve"> v </w:t>
      </w:r>
      <w:r w:rsidRPr="00A26F8D">
        <w:rPr>
          <w:rFonts w:cs="Times New Roman"/>
          <w:noProof/>
          <w:spacing w:val="-4"/>
          <w:lang w:val="sk-SK"/>
        </w:rPr>
        <w:t>rámci tejto investície musí byť</w:t>
      </w:r>
      <w:r w:rsidR="00A75B3C" w:rsidRPr="00A26F8D">
        <w:rPr>
          <w:rFonts w:cs="Times New Roman"/>
          <w:noProof/>
          <w:spacing w:val="-4"/>
          <w:lang w:val="sk-SK"/>
        </w:rPr>
        <w:t xml:space="preserve"> v </w:t>
      </w:r>
      <w:r w:rsidRPr="00A26F8D">
        <w:rPr>
          <w:rFonts w:cs="Times New Roman"/>
          <w:noProof/>
          <w:spacing w:val="-4"/>
          <w:lang w:val="sk-SK"/>
        </w:rPr>
        <w:t>súlade</w:t>
      </w:r>
      <w:r w:rsidR="00A75B3C" w:rsidRPr="00A26F8D">
        <w:rPr>
          <w:rFonts w:cs="Times New Roman"/>
          <w:noProof/>
          <w:spacing w:val="-4"/>
          <w:lang w:val="sk-SK"/>
        </w:rPr>
        <w:t xml:space="preserve"> s </w:t>
      </w:r>
      <w:r w:rsidRPr="00A26F8D">
        <w:rPr>
          <w:rFonts w:cs="Times New Roman"/>
          <w:noProof/>
          <w:spacing w:val="-4"/>
          <w:lang w:val="sk-SK"/>
        </w:rPr>
        <w:t>oblasťou intervencie 021 prílohy</w:t>
      </w:r>
      <w:r w:rsidR="00A75B3C" w:rsidRPr="00A26F8D">
        <w:rPr>
          <w:rFonts w:cs="Times New Roman"/>
          <w:noProof/>
          <w:spacing w:val="-4"/>
          <w:lang w:val="sk-SK"/>
        </w:rPr>
        <w:t xml:space="preserve"> k </w:t>
      </w:r>
      <w:r w:rsidRPr="00A26F8D">
        <w:rPr>
          <w:rFonts w:cs="Times New Roman"/>
          <w:noProof/>
          <w:spacing w:val="-4"/>
          <w:lang w:val="sk-SK"/>
        </w:rPr>
        <w:t>nariadeniu</w:t>
      </w:r>
      <w:r w:rsidR="00A75B3C" w:rsidRPr="00A26F8D">
        <w:rPr>
          <w:rFonts w:cs="Times New Roman"/>
          <w:noProof/>
          <w:spacing w:val="-4"/>
          <w:lang w:val="sk-SK"/>
        </w:rPr>
        <w:t xml:space="preserve"> o </w:t>
      </w:r>
      <w:r w:rsidRPr="00A26F8D">
        <w:rPr>
          <w:rFonts w:cs="Times New Roman"/>
          <w:noProof/>
          <w:spacing w:val="-4"/>
          <w:lang w:val="sk-SK"/>
        </w:rPr>
        <w:t>Mechanizme na podporu obnovy</w:t>
      </w:r>
      <w:r w:rsidR="00A75B3C" w:rsidRPr="00A26F8D">
        <w:rPr>
          <w:rFonts w:cs="Times New Roman"/>
          <w:noProof/>
          <w:spacing w:val="-4"/>
          <w:lang w:val="sk-SK"/>
        </w:rPr>
        <w:t xml:space="preserve"> a </w:t>
      </w:r>
      <w:r w:rsidRPr="00A26F8D">
        <w:rPr>
          <w:rFonts w:cs="Times New Roman"/>
          <w:noProof/>
          <w:spacing w:val="-4"/>
          <w:lang w:val="sk-SK"/>
        </w:rPr>
        <w:t>odolnosti.</w:t>
      </w:r>
    </w:p>
    <w:p w14:paraId="6728AAA1" w14:textId="6AE7066A" w:rsidR="00387C70" w:rsidRPr="003F23AC" w:rsidRDefault="000F5AA4" w:rsidP="003F23AC">
      <w:pPr>
        <w:pStyle w:val="P68B1DB1-Normal4"/>
        <w:spacing w:after="0"/>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6840A33A" w14:textId="77777777" w:rsidR="00387C70" w:rsidRPr="003F23AC" w:rsidRDefault="00387C70" w:rsidP="003F23AC">
      <w:pPr>
        <w:spacing w:after="0"/>
        <w:jc w:val="both"/>
        <w:rPr>
          <w:rFonts w:ascii="Times New Roman" w:eastAsiaTheme="minorEastAsia" w:hAnsi="Times New Roman" w:cs="Times New Roman"/>
          <w:noProof/>
          <w:sz w:val="24"/>
          <w:lang w:val="sk-SK"/>
        </w:rPr>
      </w:pPr>
    </w:p>
    <w:p w14:paraId="1E26CB77" w14:textId="3501F04A" w:rsidR="00387C70" w:rsidRPr="003F23AC" w:rsidRDefault="000F5AA4" w:rsidP="003F23AC">
      <w:pPr>
        <w:pStyle w:val="P68B1DB1-Heading214"/>
        <w:keepNext w:val="0"/>
        <w:rPr>
          <w:noProof/>
          <w:lang w:val="sk-SK"/>
        </w:rPr>
      </w:pPr>
      <w:bookmarkStart w:id="15" w:name="_Toc137472486"/>
      <w:r w:rsidRPr="003F23AC">
        <w:rPr>
          <w:noProof/>
          <w:lang w:val="sk-SK"/>
        </w:rPr>
        <w:t>Investície RP-C05-i12– Rozšírenie: Ekologické programy/Aliancia pre podnikateľské inovácie (úvery</w:t>
      </w:r>
      <w:bookmarkEnd w:id="15"/>
      <w:r w:rsidRPr="003F23AC">
        <w:rPr>
          <w:noProof/>
          <w:lang w:val="sk-SK"/>
        </w:rPr>
        <w:t>)</w:t>
      </w:r>
    </w:p>
    <w:p w14:paraId="51585A10" w14:textId="4A9CA615" w:rsidR="00387C70" w:rsidRPr="003F23AC" w:rsidRDefault="000F5AA4" w:rsidP="003F23AC">
      <w:pPr>
        <w:pStyle w:val="P68B1DB1-Normal4"/>
        <w:spacing w:after="0"/>
        <w:jc w:val="both"/>
        <w:rPr>
          <w:rFonts w:cs="Times New Roman"/>
          <w:noProof/>
          <w:lang w:val="sk-SK"/>
        </w:rPr>
      </w:pPr>
      <w:r w:rsidRPr="003F23AC">
        <w:rPr>
          <w:rFonts w:cs="Times New Roman"/>
          <w:noProof/>
          <w:lang w:val="sk-SK"/>
        </w:rPr>
        <w:t>Cieľom tejto investície je zvýšiť investície RE-C05-i01.02</w:t>
      </w:r>
      <w:r w:rsidR="00A75B3C" w:rsidRPr="003F23AC">
        <w:rPr>
          <w:rFonts w:cs="Times New Roman"/>
          <w:noProof/>
          <w:lang w:val="sk-SK"/>
        </w:rPr>
        <w:t xml:space="preserve"> v </w:t>
      </w:r>
      <w:r w:rsidRPr="003F23AC">
        <w:rPr>
          <w:rFonts w:cs="Times New Roman"/>
          <w:noProof/>
          <w:lang w:val="sk-SK"/>
        </w:rPr>
        <w:t>rámci zložky 5. Rozšírením opatrenia sa zvýši počet výrobkov, procesov alebo služieb zo zelených programov.</w:t>
      </w:r>
    </w:p>
    <w:p w14:paraId="5B742723" w14:textId="32A89A0B" w:rsidR="00A75B3C" w:rsidRPr="003F23AC" w:rsidRDefault="000F5AA4" w:rsidP="003F23AC">
      <w:pPr>
        <w:pStyle w:val="P68B1DB1-Normal4"/>
        <w:spacing w:after="0"/>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4B8C6875" w14:textId="2335A127" w:rsidR="00387C70" w:rsidRPr="003F23AC" w:rsidRDefault="00387C70" w:rsidP="003F23AC">
      <w:pPr>
        <w:spacing w:before="40" w:after="0" w:line="259" w:lineRule="auto"/>
        <w:ind w:left="130" w:firstLine="720"/>
        <w:jc w:val="both"/>
        <w:outlineLvl w:val="2"/>
        <w:rPr>
          <w:rFonts w:ascii="Times New Roman" w:eastAsiaTheme="minorEastAsia" w:hAnsi="Times New Roman" w:cs="Times New Roman"/>
          <w:b/>
          <w:noProof/>
          <w:sz w:val="24"/>
          <w:u w:val="single"/>
          <w:lang w:val="sk-SK"/>
        </w:rPr>
        <w:sectPr w:rsidR="00387C70" w:rsidRPr="003F23AC" w:rsidSect="00E00EDD">
          <w:headerReference w:type="even" r:id="rId108"/>
          <w:headerReference w:type="default" r:id="rId109"/>
          <w:footerReference w:type="even" r:id="rId110"/>
          <w:footerReference w:type="default" r:id="rId111"/>
          <w:headerReference w:type="first" r:id="rId112"/>
          <w:footerReference w:type="first" r:id="rId113"/>
          <w:pgSz w:w="11907" w:h="16839"/>
          <w:pgMar w:top="1134" w:right="1134" w:bottom="1134" w:left="1134" w:header="567" w:footer="567" w:gutter="0"/>
          <w:cols w:space="720"/>
          <w:docGrid w:linePitch="360"/>
        </w:sectPr>
      </w:pPr>
    </w:p>
    <w:p w14:paraId="6490240C" w14:textId="6825787E" w:rsidR="00387C70" w:rsidRPr="003F23AC" w:rsidRDefault="000F5AA4" w:rsidP="003F23AC">
      <w:pPr>
        <w:spacing w:before="40" w:after="0" w:line="259" w:lineRule="auto"/>
        <w:ind w:left="130" w:firstLine="720"/>
        <w:jc w:val="both"/>
        <w:outlineLvl w:val="2"/>
        <w:rPr>
          <w:rFonts w:ascii="Times New Roman" w:eastAsiaTheme="minorEastAsia" w:hAnsi="Times New Roman" w:cs="Times New Roman"/>
          <w:b/>
          <w:noProof/>
          <w:sz w:val="24"/>
          <w:u w:val="single"/>
          <w:lang w:val="sk-SK"/>
        </w:rPr>
      </w:pPr>
      <w:r w:rsidRPr="003F23AC">
        <w:rPr>
          <w:rFonts w:ascii="Times New Roman" w:hAnsi="Times New Roman" w:cs="Times New Roman"/>
          <w:b/>
          <w:noProof/>
          <w:sz w:val="24"/>
          <w:u w:val="single"/>
          <w:lang w:val="sk-SK"/>
        </w:rPr>
        <w:t xml:space="preserve">E.4. </w:t>
      </w:r>
      <w:r w:rsidRPr="003F23AC">
        <w:rPr>
          <w:rFonts w:ascii="Times New Roman" w:hAnsi="Times New Roman" w:cs="Times New Roman"/>
          <w:noProof/>
          <w:lang w:val="sk-SK"/>
        </w:rPr>
        <w:tab/>
      </w:r>
      <w:r w:rsidRPr="003F23AC">
        <w:rPr>
          <w:rFonts w:ascii="Times New Roman" w:hAnsi="Times New Roman" w:cs="Times New Roman"/>
          <w:b/>
          <w:noProof/>
          <w:sz w:val="24"/>
          <w:u w:val="single"/>
          <w:lang w:val="sk-SK"/>
        </w:rPr>
        <w:t>Míľniky, ciele, ukazovatele</w:t>
      </w:r>
      <w:r w:rsidR="00A75B3C" w:rsidRPr="003F23AC">
        <w:rPr>
          <w:rFonts w:ascii="Times New Roman" w:hAnsi="Times New Roman" w:cs="Times New Roman"/>
          <w:b/>
          <w:noProof/>
          <w:sz w:val="24"/>
          <w:u w:val="single"/>
          <w:lang w:val="sk-SK"/>
        </w:rPr>
        <w:t xml:space="preserve"> a </w:t>
      </w:r>
      <w:r w:rsidRPr="003F23AC">
        <w:rPr>
          <w:rFonts w:ascii="Times New Roman" w:hAnsi="Times New Roman" w:cs="Times New Roman"/>
          <w:b/>
          <w:noProof/>
          <w:sz w:val="24"/>
          <w:u w:val="single"/>
          <w:lang w:val="sk-SK"/>
        </w:rPr>
        <w:t>harmonogram monitorovania</w:t>
      </w:r>
      <w:r w:rsidR="00A75B3C" w:rsidRPr="003F23AC">
        <w:rPr>
          <w:rFonts w:ascii="Times New Roman" w:hAnsi="Times New Roman" w:cs="Times New Roman"/>
          <w:b/>
          <w:noProof/>
          <w:sz w:val="24"/>
          <w:u w:val="single"/>
          <w:lang w:val="sk-SK"/>
        </w:rPr>
        <w:t xml:space="preserve"> a </w:t>
      </w:r>
      <w:r w:rsidRPr="003F23AC">
        <w:rPr>
          <w:rFonts w:ascii="Times New Roman" w:hAnsi="Times New Roman" w:cs="Times New Roman"/>
          <w:b/>
          <w:noProof/>
          <w:sz w:val="24"/>
          <w:u w:val="single"/>
          <w:lang w:val="sk-SK"/>
        </w:rPr>
        <w:t>realizácie</w:t>
      </w:r>
      <w:r w:rsidR="00A75B3C" w:rsidRPr="003F23AC">
        <w:rPr>
          <w:rFonts w:ascii="Times New Roman" w:hAnsi="Times New Roman" w:cs="Times New Roman"/>
          <w:b/>
          <w:noProof/>
          <w:sz w:val="24"/>
          <w:u w:val="single"/>
          <w:lang w:val="sk-SK"/>
        </w:rPr>
        <w:t xml:space="preserve"> v </w:t>
      </w:r>
      <w:r w:rsidRPr="003F23AC">
        <w:rPr>
          <w:rFonts w:ascii="Times New Roman" w:hAnsi="Times New Roman" w:cs="Times New Roman"/>
          <w:b/>
          <w:noProof/>
          <w:sz w:val="24"/>
          <w:u w:val="single"/>
          <w:lang w:val="sk-SK"/>
        </w:rPr>
        <w:t>súvislosti</w:t>
      </w:r>
      <w:r w:rsidR="00A75B3C" w:rsidRPr="003F23AC">
        <w:rPr>
          <w:rFonts w:ascii="Times New Roman" w:hAnsi="Times New Roman" w:cs="Times New Roman"/>
          <w:b/>
          <w:noProof/>
          <w:sz w:val="24"/>
          <w:u w:val="single"/>
          <w:lang w:val="sk-SK"/>
        </w:rPr>
        <w:t xml:space="preserve"> s </w:t>
      </w:r>
      <w:r w:rsidRPr="003F23AC">
        <w:rPr>
          <w:rFonts w:ascii="Times New Roman" w:hAnsi="Times New Roman" w:cs="Times New Roman"/>
          <w:b/>
          <w:noProof/>
          <w:sz w:val="24"/>
          <w:u w:val="single"/>
          <w:lang w:val="sk-SK"/>
        </w:rPr>
        <w:t>úverom</w:t>
      </w:r>
    </w:p>
    <w:p w14:paraId="08C3CE82" w14:textId="77777777" w:rsidR="00387C70" w:rsidRPr="003F23AC" w:rsidRDefault="00387C70" w:rsidP="003F23AC">
      <w:pPr>
        <w:spacing w:before="40" w:after="0" w:line="259" w:lineRule="auto"/>
        <w:jc w:val="both"/>
        <w:rPr>
          <w:rFonts w:ascii="Times New Roman" w:hAnsi="Times New Roman" w:cs="Times New Roman"/>
          <w:noProof/>
          <w:sz w:val="24"/>
          <w:lang w:val="sk-SK"/>
        </w:rPr>
      </w:pP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1246"/>
        <w:gridCol w:w="1108"/>
        <w:gridCol w:w="1659"/>
        <w:gridCol w:w="1245"/>
        <w:gridCol w:w="776"/>
        <w:gridCol w:w="1167"/>
        <w:gridCol w:w="695"/>
        <w:gridCol w:w="840"/>
        <w:gridCol w:w="411"/>
        <w:gridCol w:w="4908"/>
      </w:tblGrid>
      <w:tr w:rsidR="00387C70" w:rsidRPr="003F23AC" w14:paraId="235CFC6B" w14:textId="77777777" w:rsidTr="00A26F8D">
        <w:trPr>
          <w:trHeight w:val="300"/>
          <w:tblHeader/>
        </w:trPr>
        <w:tc>
          <w:tcPr>
            <w:tcW w:w="1113" w:type="dxa"/>
            <w:vMerge w:val="restart"/>
            <w:shd w:val="clear" w:color="auto" w:fill="BDD6EE"/>
            <w:tcMar>
              <w:left w:w="28" w:type="dxa"/>
              <w:right w:w="28" w:type="dxa"/>
            </w:tcMar>
            <w:vAlign w:val="center"/>
            <w:hideMark/>
          </w:tcPr>
          <w:p w14:paraId="5AD60527"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46" w:type="dxa"/>
            <w:vMerge w:val="restart"/>
            <w:shd w:val="clear" w:color="auto" w:fill="BDD6EE"/>
            <w:noWrap/>
            <w:tcMar>
              <w:left w:w="28" w:type="dxa"/>
              <w:right w:w="28" w:type="dxa"/>
            </w:tcMar>
            <w:vAlign w:val="center"/>
            <w:hideMark/>
          </w:tcPr>
          <w:p w14:paraId="5F907E49"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08" w:type="dxa"/>
            <w:vMerge w:val="restart"/>
            <w:shd w:val="clear" w:color="auto" w:fill="BDD6EE"/>
            <w:noWrap/>
            <w:tcMar>
              <w:left w:w="28" w:type="dxa"/>
              <w:right w:w="28" w:type="dxa"/>
            </w:tcMar>
            <w:vAlign w:val="center"/>
            <w:hideMark/>
          </w:tcPr>
          <w:p w14:paraId="0F0CD791"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p w14:paraId="45499D8C" w14:textId="7AB69549" w:rsidR="00387C70" w:rsidRPr="003F23AC" w:rsidRDefault="000F5AA4" w:rsidP="003F23AC">
            <w:pPr>
              <w:pStyle w:val="P68B1DB1-Normal9"/>
              <w:spacing w:after="0" w:line="240" w:lineRule="auto"/>
              <w:rPr>
                <w:rFonts w:ascii="Times New Roman" w:eastAsia="Times New Roman" w:hAnsi="Times New Roman" w:cs="Times New Roman"/>
                <w:b/>
                <w:noProof/>
                <w:sz w:val="18"/>
                <w:lang w:val="sk-SK"/>
              </w:rPr>
            </w:pPr>
            <w:r w:rsidRPr="003F23AC">
              <w:rPr>
                <w:rFonts w:ascii="Times New Roman" w:hAnsi="Times New Roman" w:cs="Times New Roman"/>
                <w:noProof/>
                <w:lang w:val="sk-SK"/>
              </w:rPr>
              <w:t> </w:t>
            </w:r>
          </w:p>
        </w:tc>
        <w:tc>
          <w:tcPr>
            <w:tcW w:w="1659" w:type="dxa"/>
            <w:vMerge w:val="restart"/>
            <w:shd w:val="clear" w:color="auto" w:fill="BDD6EE"/>
            <w:noWrap/>
            <w:tcMar>
              <w:left w:w="28" w:type="dxa"/>
              <w:right w:w="28" w:type="dxa"/>
            </w:tcMar>
            <w:vAlign w:val="center"/>
            <w:hideMark/>
          </w:tcPr>
          <w:p w14:paraId="342DD455"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245" w:type="dxa"/>
            <w:vMerge w:val="restart"/>
            <w:shd w:val="clear" w:color="auto" w:fill="BDD6EE"/>
            <w:noWrap/>
            <w:tcMar>
              <w:left w:w="28" w:type="dxa"/>
              <w:right w:w="28" w:type="dxa"/>
            </w:tcMar>
            <w:vAlign w:val="center"/>
            <w:hideMark/>
          </w:tcPr>
          <w:p w14:paraId="5D379DDD"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638" w:type="dxa"/>
            <w:gridSpan w:val="3"/>
            <w:shd w:val="clear" w:color="auto" w:fill="BDD6EE"/>
            <w:noWrap/>
            <w:tcMar>
              <w:left w:w="28" w:type="dxa"/>
              <w:right w:w="28" w:type="dxa"/>
            </w:tcMar>
            <w:vAlign w:val="center"/>
            <w:hideMark/>
          </w:tcPr>
          <w:p w14:paraId="39B01116"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51" w:type="dxa"/>
            <w:gridSpan w:val="2"/>
            <w:shd w:val="clear" w:color="auto" w:fill="BDD6EE"/>
            <w:noWrap/>
            <w:tcMar>
              <w:left w:w="28" w:type="dxa"/>
              <w:right w:w="28" w:type="dxa"/>
            </w:tcMar>
            <w:vAlign w:val="center"/>
            <w:hideMark/>
          </w:tcPr>
          <w:p w14:paraId="328C3EC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4908" w:type="dxa"/>
            <w:vMerge w:val="restart"/>
            <w:shd w:val="clear" w:color="auto" w:fill="BDD6EE"/>
            <w:noWrap/>
            <w:tcMar>
              <w:left w:w="28" w:type="dxa"/>
              <w:right w:w="28" w:type="dxa"/>
            </w:tcMar>
            <w:vAlign w:val="center"/>
            <w:hideMark/>
          </w:tcPr>
          <w:p w14:paraId="495029B6" w14:textId="0ED56CCE"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77B89938" w14:textId="77777777" w:rsidTr="00A26F8D">
        <w:trPr>
          <w:trHeight w:val="600"/>
          <w:tblHeader/>
        </w:trPr>
        <w:tc>
          <w:tcPr>
            <w:tcW w:w="1113" w:type="dxa"/>
            <w:vMerge/>
            <w:tcMar>
              <w:left w:w="28" w:type="dxa"/>
              <w:right w:w="28" w:type="dxa"/>
            </w:tcMar>
            <w:vAlign w:val="center"/>
            <w:hideMark/>
          </w:tcPr>
          <w:p w14:paraId="414C4B6B"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46" w:type="dxa"/>
            <w:vMerge/>
            <w:tcMar>
              <w:left w:w="28" w:type="dxa"/>
              <w:right w:w="28" w:type="dxa"/>
            </w:tcMar>
            <w:vAlign w:val="center"/>
            <w:hideMark/>
          </w:tcPr>
          <w:p w14:paraId="26F62AB4"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08" w:type="dxa"/>
            <w:vMerge/>
            <w:noWrap/>
            <w:tcMar>
              <w:left w:w="28" w:type="dxa"/>
              <w:right w:w="28" w:type="dxa"/>
            </w:tcMar>
            <w:vAlign w:val="center"/>
            <w:hideMark/>
          </w:tcPr>
          <w:p w14:paraId="4CD10545" w14:textId="36059408"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659" w:type="dxa"/>
            <w:vMerge/>
            <w:tcMar>
              <w:left w:w="28" w:type="dxa"/>
              <w:right w:w="28" w:type="dxa"/>
            </w:tcMar>
            <w:vAlign w:val="center"/>
            <w:hideMark/>
          </w:tcPr>
          <w:p w14:paraId="09C405A8"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45" w:type="dxa"/>
            <w:vMerge/>
            <w:tcMar>
              <w:left w:w="28" w:type="dxa"/>
              <w:right w:w="28" w:type="dxa"/>
            </w:tcMar>
            <w:vAlign w:val="center"/>
            <w:hideMark/>
          </w:tcPr>
          <w:p w14:paraId="4019AC7D"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776" w:type="dxa"/>
            <w:tcBorders>
              <w:bottom w:val="single" w:sz="4" w:space="0" w:color="auto"/>
            </w:tcBorders>
            <w:shd w:val="clear" w:color="auto" w:fill="BDD6EE"/>
            <w:noWrap/>
            <w:tcMar>
              <w:left w:w="28" w:type="dxa"/>
              <w:right w:w="28" w:type="dxa"/>
            </w:tcMar>
            <w:vAlign w:val="center"/>
            <w:hideMark/>
          </w:tcPr>
          <w:p w14:paraId="33FB029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1167" w:type="dxa"/>
            <w:tcBorders>
              <w:bottom w:val="single" w:sz="4" w:space="0" w:color="auto"/>
            </w:tcBorders>
            <w:shd w:val="clear" w:color="auto" w:fill="BDD6EE"/>
            <w:noWrap/>
            <w:tcMar>
              <w:left w:w="28" w:type="dxa"/>
              <w:right w:w="28" w:type="dxa"/>
            </w:tcMar>
            <w:vAlign w:val="center"/>
            <w:hideMark/>
          </w:tcPr>
          <w:p w14:paraId="3F9E2F45" w14:textId="2D943DFD"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695" w:type="dxa"/>
            <w:tcBorders>
              <w:bottom w:val="single" w:sz="4" w:space="0" w:color="auto"/>
            </w:tcBorders>
            <w:shd w:val="clear" w:color="auto" w:fill="BDD6EE"/>
            <w:noWrap/>
            <w:tcMar>
              <w:left w:w="28" w:type="dxa"/>
              <w:right w:w="28" w:type="dxa"/>
            </w:tcMar>
            <w:vAlign w:val="center"/>
            <w:hideMark/>
          </w:tcPr>
          <w:p w14:paraId="3288458E" w14:textId="53DA2738"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840" w:type="dxa"/>
            <w:tcBorders>
              <w:bottom w:val="single" w:sz="4" w:space="0" w:color="auto"/>
            </w:tcBorders>
            <w:shd w:val="clear" w:color="auto" w:fill="BDD6EE"/>
            <w:noWrap/>
            <w:tcMar>
              <w:left w:w="28" w:type="dxa"/>
              <w:right w:w="28" w:type="dxa"/>
            </w:tcMar>
            <w:vAlign w:val="center"/>
            <w:hideMark/>
          </w:tcPr>
          <w:p w14:paraId="30E12A1C" w14:textId="1F7F6D06"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411" w:type="dxa"/>
            <w:tcBorders>
              <w:bottom w:val="single" w:sz="4" w:space="0" w:color="auto"/>
            </w:tcBorders>
            <w:shd w:val="clear" w:color="auto" w:fill="BDD6EE"/>
            <w:noWrap/>
            <w:tcMar>
              <w:left w:w="28" w:type="dxa"/>
              <w:right w:w="28" w:type="dxa"/>
            </w:tcMar>
            <w:vAlign w:val="center"/>
            <w:hideMark/>
          </w:tcPr>
          <w:p w14:paraId="49193FA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4908" w:type="dxa"/>
            <w:vMerge/>
            <w:tcMar>
              <w:left w:w="28" w:type="dxa"/>
              <w:right w:w="28" w:type="dxa"/>
            </w:tcMar>
            <w:vAlign w:val="center"/>
            <w:hideMark/>
          </w:tcPr>
          <w:p w14:paraId="68AAB397"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62E78A68" w14:textId="77777777" w:rsidTr="00A26F8D">
        <w:trPr>
          <w:trHeight w:val="509"/>
        </w:trPr>
        <w:tc>
          <w:tcPr>
            <w:tcW w:w="1113" w:type="dxa"/>
            <w:shd w:val="clear" w:color="auto" w:fill="C4EFCE"/>
            <w:tcMar>
              <w:left w:w="28" w:type="dxa"/>
              <w:right w:w="28" w:type="dxa"/>
            </w:tcMar>
            <w:vAlign w:val="center"/>
            <w:hideMark/>
          </w:tcPr>
          <w:p w14:paraId="1CD6A05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5.23</w:t>
            </w:r>
          </w:p>
        </w:tc>
        <w:tc>
          <w:tcPr>
            <w:tcW w:w="1246" w:type="dxa"/>
            <w:shd w:val="clear" w:color="auto" w:fill="C4EFCE"/>
            <w:tcMar>
              <w:left w:w="28" w:type="dxa"/>
              <w:right w:w="28" w:type="dxa"/>
            </w:tcMar>
            <w:vAlign w:val="center"/>
            <w:hideMark/>
          </w:tcPr>
          <w:p w14:paraId="70D1D549" w14:textId="55045E96"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C05-r10</w:t>
            </w:r>
          </w:p>
        </w:tc>
        <w:tc>
          <w:tcPr>
            <w:tcW w:w="1108" w:type="dxa"/>
            <w:shd w:val="clear" w:color="auto" w:fill="C4EFCE"/>
            <w:tcMar>
              <w:left w:w="28" w:type="dxa"/>
              <w:right w:w="28" w:type="dxa"/>
            </w:tcMar>
            <w:vAlign w:val="center"/>
            <w:hideMark/>
          </w:tcPr>
          <w:p w14:paraId="3CF04DC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59" w:type="dxa"/>
            <w:shd w:val="clear" w:color="auto" w:fill="C4EFCE"/>
            <w:tcMar>
              <w:left w:w="28" w:type="dxa"/>
              <w:right w:w="28" w:type="dxa"/>
            </w:tcMar>
            <w:vAlign w:val="center"/>
            <w:hideMark/>
          </w:tcPr>
          <w:p w14:paraId="69E39EE1" w14:textId="3A9EF37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nariadenia, ktorým sa stanovujú činnosti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stanovy </w:t>
            </w:r>
            <w:r w:rsidRPr="003F23AC">
              <w:rPr>
                <w:rFonts w:ascii="Times New Roman" w:hAnsi="Times New Roman" w:cs="Times New Roman"/>
                <w:i/>
                <w:noProof/>
                <w:lang w:val="sk-SK"/>
              </w:rPr>
              <w:t>Banco Português de Fomento</w:t>
            </w:r>
            <w:r w:rsidRPr="003F23AC">
              <w:rPr>
                <w:rFonts w:ascii="Times New Roman" w:hAnsi="Times New Roman" w:cs="Times New Roman"/>
                <w:noProof/>
                <w:lang w:val="sk-SK"/>
              </w:rPr>
              <w:t xml:space="preserve"> (BPF)</w:t>
            </w:r>
          </w:p>
        </w:tc>
        <w:tc>
          <w:tcPr>
            <w:tcW w:w="1245" w:type="dxa"/>
            <w:shd w:val="clear" w:color="auto" w:fill="C4EFCE"/>
            <w:tcMar>
              <w:left w:w="28" w:type="dxa"/>
              <w:right w:w="28" w:type="dxa"/>
            </w:tcMar>
            <w:vAlign w:val="center"/>
            <w:hideMark/>
          </w:tcPr>
          <w:p w14:paraId="5C531FAA" w14:textId="7CF00F5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Nadobudnutie účinnosti zákonného dekrétu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63/2020, ktorým sa stanovujú činnosti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stanovy BPF</w:t>
            </w:r>
          </w:p>
        </w:tc>
        <w:tc>
          <w:tcPr>
            <w:tcW w:w="776" w:type="dxa"/>
            <w:shd w:val="clear" w:color="auto" w:fill="C4EFCE"/>
            <w:tcMar>
              <w:left w:w="28" w:type="dxa"/>
              <w:right w:w="28" w:type="dxa"/>
            </w:tcMar>
            <w:vAlign w:val="center"/>
            <w:hideMark/>
          </w:tcPr>
          <w:p w14:paraId="7BF2953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7" w:type="dxa"/>
            <w:shd w:val="clear" w:color="auto" w:fill="C4EFCE"/>
            <w:tcMar>
              <w:left w:w="28" w:type="dxa"/>
              <w:right w:w="28" w:type="dxa"/>
            </w:tcMar>
            <w:vAlign w:val="center"/>
            <w:hideMark/>
          </w:tcPr>
          <w:p w14:paraId="24547F9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695" w:type="dxa"/>
            <w:shd w:val="clear" w:color="auto" w:fill="C4EFCE"/>
            <w:tcMar>
              <w:left w:w="28" w:type="dxa"/>
              <w:right w:w="28" w:type="dxa"/>
            </w:tcMar>
            <w:vAlign w:val="center"/>
            <w:hideMark/>
          </w:tcPr>
          <w:p w14:paraId="58AF4DF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584F10F0" w14:textId="35AF010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11" w:type="dxa"/>
            <w:shd w:val="clear" w:color="auto" w:fill="C4EFCE"/>
            <w:tcMar>
              <w:left w:w="28" w:type="dxa"/>
              <w:right w:w="28" w:type="dxa"/>
            </w:tcMar>
            <w:vAlign w:val="center"/>
            <w:hideMark/>
          </w:tcPr>
          <w:p w14:paraId="6C49ABF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2020</w:t>
            </w:r>
          </w:p>
        </w:tc>
        <w:tc>
          <w:tcPr>
            <w:tcW w:w="4908" w:type="dxa"/>
            <w:shd w:val="clear" w:color="auto" w:fill="C4EFCE"/>
            <w:tcMar>
              <w:left w:w="28" w:type="dxa"/>
              <w:right w:w="28" w:type="dxa"/>
            </w:tcMar>
            <w:vAlign w:val="center"/>
            <w:hideMark/>
          </w:tcPr>
          <w:p w14:paraId="61570855" w14:textId="56381AE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Uverejnenie vládou Portugalskej republiky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nadobudnutie účinnosti zákonného dekrétu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63/2020, ktorým sa upravuje činnosť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prevádzka BPF</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schvaľujú sa jej stanovy.</w:t>
            </w:r>
          </w:p>
        </w:tc>
      </w:tr>
      <w:tr w:rsidR="00387C70" w:rsidRPr="003F23AC" w14:paraId="661774E0" w14:textId="77777777" w:rsidTr="00A26F8D">
        <w:trPr>
          <w:trHeight w:val="1220"/>
        </w:trPr>
        <w:tc>
          <w:tcPr>
            <w:tcW w:w="1113" w:type="dxa"/>
            <w:shd w:val="clear" w:color="auto" w:fill="C4EFCE"/>
            <w:tcMar>
              <w:left w:w="28" w:type="dxa"/>
              <w:right w:w="28" w:type="dxa"/>
            </w:tcMar>
            <w:vAlign w:val="center"/>
            <w:hideMark/>
          </w:tcPr>
          <w:p w14:paraId="6619033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5.24</w:t>
            </w:r>
          </w:p>
        </w:tc>
        <w:tc>
          <w:tcPr>
            <w:tcW w:w="1246" w:type="dxa"/>
            <w:shd w:val="clear" w:color="auto" w:fill="C4EFCE"/>
            <w:tcMar>
              <w:left w:w="28" w:type="dxa"/>
              <w:right w:w="28" w:type="dxa"/>
            </w:tcMar>
            <w:vAlign w:val="center"/>
            <w:hideMark/>
          </w:tcPr>
          <w:p w14:paraId="689D69C9" w14:textId="53D5C28C"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C05-r13</w:t>
            </w:r>
          </w:p>
        </w:tc>
        <w:tc>
          <w:tcPr>
            <w:tcW w:w="1108" w:type="dxa"/>
            <w:shd w:val="clear" w:color="auto" w:fill="C4EFCE"/>
            <w:tcMar>
              <w:left w:w="28" w:type="dxa"/>
              <w:right w:w="28" w:type="dxa"/>
            </w:tcMar>
            <w:vAlign w:val="center"/>
            <w:hideMark/>
          </w:tcPr>
          <w:p w14:paraId="79F03A2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59" w:type="dxa"/>
            <w:shd w:val="clear" w:color="auto" w:fill="C4EFCE"/>
            <w:tcMar>
              <w:left w:w="28" w:type="dxa"/>
              <w:right w:w="28" w:type="dxa"/>
            </w:tcMar>
            <w:vAlign w:val="center"/>
            <w:hideMark/>
          </w:tcPr>
          <w:p w14:paraId="0FF4E1B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Nadobudnutie účinnosti revízie právneho rámca pre podniky kolektívneho investovania </w:t>
            </w:r>
          </w:p>
        </w:tc>
        <w:tc>
          <w:tcPr>
            <w:tcW w:w="1245" w:type="dxa"/>
            <w:shd w:val="clear" w:color="auto" w:fill="C4EFCE"/>
            <w:tcMar>
              <w:left w:w="28" w:type="dxa"/>
              <w:right w:w="28" w:type="dxa"/>
            </w:tcMar>
            <w:vAlign w:val="center"/>
            <w:hideMark/>
          </w:tcPr>
          <w:p w14:paraId="4083C54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Nadobudnutie účinnosti revízie právneho rámca pre podniky kolektívneho investovania </w:t>
            </w:r>
          </w:p>
        </w:tc>
        <w:tc>
          <w:tcPr>
            <w:tcW w:w="776" w:type="dxa"/>
            <w:shd w:val="clear" w:color="auto" w:fill="C4EFCE"/>
            <w:tcMar>
              <w:left w:w="28" w:type="dxa"/>
              <w:right w:w="28" w:type="dxa"/>
            </w:tcMar>
            <w:vAlign w:val="center"/>
            <w:hideMark/>
          </w:tcPr>
          <w:p w14:paraId="1A341D8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7" w:type="dxa"/>
            <w:shd w:val="clear" w:color="auto" w:fill="C4EFCE"/>
            <w:tcMar>
              <w:left w:w="28" w:type="dxa"/>
              <w:right w:w="28" w:type="dxa"/>
            </w:tcMar>
            <w:vAlign w:val="center"/>
            <w:hideMark/>
          </w:tcPr>
          <w:p w14:paraId="5C5E34C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695" w:type="dxa"/>
            <w:shd w:val="clear" w:color="auto" w:fill="C4EFCE"/>
            <w:tcMar>
              <w:left w:w="28" w:type="dxa"/>
              <w:right w:w="28" w:type="dxa"/>
            </w:tcMar>
            <w:vAlign w:val="center"/>
            <w:hideMark/>
          </w:tcPr>
          <w:p w14:paraId="251BF45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3C786D1E" w14:textId="17F9B71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11" w:type="dxa"/>
            <w:shd w:val="clear" w:color="auto" w:fill="C4EFCE"/>
            <w:tcMar>
              <w:left w:w="28" w:type="dxa"/>
              <w:right w:w="28" w:type="dxa"/>
            </w:tcMar>
            <w:vAlign w:val="center"/>
            <w:hideMark/>
          </w:tcPr>
          <w:p w14:paraId="72FED96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908" w:type="dxa"/>
            <w:shd w:val="clear" w:color="auto" w:fill="C4EFCE"/>
            <w:tcMar>
              <w:left w:w="28" w:type="dxa"/>
              <w:right w:w="28" w:type="dxa"/>
            </w:tcMar>
            <w:vAlign w:val="center"/>
            <w:hideMark/>
          </w:tcPr>
          <w:p w14:paraId="35E67B5D" w14:textId="3FC0101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zákona po prijatí zákona Zhromaždením republiky. Preskúma právny rámec pre podniky kolektívneho investovania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regulačného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administratívneho zjednodušenia.</w:t>
            </w:r>
          </w:p>
        </w:tc>
      </w:tr>
      <w:tr w:rsidR="00387C70" w:rsidRPr="003F23AC" w14:paraId="7FAB8FF7" w14:textId="77777777" w:rsidTr="00A26F8D">
        <w:trPr>
          <w:trHeight w:val="1060"/>
        </w:trPr>
        <w:tc>
          <w:tcPr>
            <w:tcW w:w="1113" w:type="dxa"/>
            <w:shd w:val="clear" w:color="auto" w:fill="C4EFCE"/>
            <w:tcMar>
              <w:left w:w="28" w:type="dxa"/>
              <w:right w:w="28" w:type="dxa"/>
            </w:tcMar>
            <w:vAlign w:val="center"/>
            <w:hideMark/>
          </w:tcPr>
          <w:p w14:paraId="2CEBAA4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5.25</w:t>
            </w:r>
          </w:p>
        </w:tc>
        <w:tc>
          <w:tcPr>
            <w:tcW w:w="1246" w:type="dxa"/>
            <w:shd w:val="clear" w:color="auto" w:fill="C4EFCE"/>
            <w:tcMar>
              <w:left w:w="28" w:type="dxa"/>
              <w:right w:w="28" w:type="dxa"/>
            </w:tcMar>
            <w:vAlign w:val="center"/>
            <w:hideMark/>
          </w:tcPr>
          <w:p w14:paraId="67EFB3F7" w14:textId="5D5AB64D"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C05-r13</w:t>
            </w:r>
          </w:p>
        </w:tc>
        <w:tc>
          <w:tcPr>
            <w:tcW w:w="1108" w:type="dxa"/>
            <w:shd w:val="clear" w:color="auto" w:fill="C4EFCE"/>
            <w:tcMar>
              <w:left w:w="28" w:type="dxa"/>
              <w:right w:w="28" w:type="dxa"/>
            </w:tcMar>
            <w:vAlign w:val="center"/>
            <w:hideMark/>
          </w:tcPr>
          <w:p w14:paraId="71D7EC9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59" w:type="dxa"/>
            <w:shd w:val="clear" w:color="auto" w:fill="C4EFCE"/>
            <w:tcMar>
              <w:left w:w="28" w:type="dxa"/>
              <w:right w:w="28" w:type="dxa"/>
            </w:tcMar>
            <w:vAlign w:val="center"/>
            <w:hideMark/>
          </w:tcPr>
          <w:p w14:paraId="039C18E1" w14:textId="7E34470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revízie zákona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kódexe cenných papierov</w:t>
            </w:r>
          </w:p>
        </w:tc>
        <w:tc>
          <w:tcPr>
            <w:tcW w:w="1245" w:type="dxa"/>
            <w:shd w:val="clear" w:color="auto" w:fill="C4EFCE"/>
            <w:tcMar>
              <w:left w:w="28" w:type="dxa"/>
              <w:right w:w="28" w:type="dxa"/>
            </w:tcMar>
            <w:vAlign w:val="center"/>
            <w:hideMark/>
          </w:tcPr>
          <w:p w14:paraId="16730FE3" w14:textId="309068F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revízie zákona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kódexe cenných papierov </w:t>
            </w:r>
          </w:p>
        </w:tc>
        <w:tc>
          <w:tcPr>
            <w:tcW w:w="776" w:type="dxa"/>
            <w:shd w:val="clear" w:color="auto" w:fill="C4EFCE"/>
            <w:tcMar>
              <w:left w:w="28" w:type="dxa"/>
              <w:right w:w="28" w:type="dxa"/>
            </w:tcMar>
            <w:vAlign w:val="center"/>
            <w:hideMark/>
          </w:tcPr>
          <w:p w14:paraId="5735280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7" w:type="dxa"/>
            <w:shd w:val="clear" w:color="auto" w:fill="C4EFCE"/>
            <w:tcMar>
              <w:left w:w="28" w:type="dxa"/>
              <w:right w:w="28" w:type="dxa"/>
            </w:tcMar>
            <w:vAlign w:val="center"/>
            <w:hideMark/>
          </w:tcPr>
          <w:p w14:paraId="2D4D164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695" w:type="dxa"/>
            <w:shd w:val="clear" w:color="auto" w:fill="C4EFCE"/>
            <w:tcMar>
              <w:left w:w="28" w:type="dxa"/>
              <w:right w:w="28" w:type="dxa"/>
            </w:tcMar>
            <w:vAlign w:val="center"/>
            <w:hideMark/>
          </w:tcPr>
          <w:p w14:paraId="015C0F5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43C62266" w14:textId="1062DE2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11" w:type="dxa"/>
            <w:shd w:val="clear" w:color="auto" w:fill="C4EFCE"/>
            <w:tcMar>
              <w:left w:w="28" w:type="dxa"/>
              <w:right w:w="28" w:type="dxa"/>
            </w:tcMar>
            <w:vAlign w:val="center"/>
            <w:hideMark/>
          </w:tcPr>
          <w:p w14:paraId="2322851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908" w:type="dxa"/>
            <w:shd w:val="clear" w:color="auto" w:fill="C4EFCE"/>
            <w:tcMar>
              <w:left w:w="28" w:type="dxa"/>
              <w:right w:w="28" w:type="dxa"/>
            </w:tcMar>
            <w:vAlign w:val="center"/>
            <w:hideMark/>
          </w:tcPr>
          <w:p w14:paraId="7E578C3A" w14:textId="4207CC3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zákona po prijatí zákona Zhromaždením republiky. Cieľom revízie kódexu cenných papierov je regulačné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administratívne zjednodušenie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zosúladiť vnútroštátny rámec</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právom Únie, pokiaľ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cieľ zvýšiť konkurencieschopnosť portugalského kapitálového trhu.</w:t>
            </w:r>
          </w:p>
        </w:tc>
      </w:tr>
      <w:tr w:rsidR="00387C70" w:rsidRPr="003F23AC" w14:paraId="71EC5849" w14:textId="77777777" w:rsidTr="00A26F8D">
        <w:trPr>
          <w:trHeight w:val="67"/>
        </w:trPr>
        <w:tc>
          <w:tcPr>
            <w:tcW w:w="1113" w:type="dxa"/>
            <w:shd w:val="clear" w:color="auto" w:fill="C4EFCE"/>
            <w:tcMar>
              <w:left w:w="28" w:type="dxa"/>
              <w:right w:w="28" w:type="dxa"/>
            </w:tcMar>
            <w:vAlign w:val="center"/>
            <w:hideMark/>
          </w:tcPr>
          <w:p w14:paraId="73BF0385"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5.26</w:t>
            </w:r>
          </w:p>
        </w:tc>
        <w:tc>
          <w:tcPr>
            <w:tcW w:w="1246" w:type="dxa"/>
            <w:shd w:val="clear" w:color="auto" w:fill="C4EFCE"/>
            <w:tcMar>
              <w:left w:w="28" w:type="dxa"/>
              <w:right w:w="28" w:type="dxa"/>
            </w:tcMar>
            <w:vAlign w:val="center"/>
            <w:hideMark/>
          </w:tcPr>
          <w:p w14:paraId="01F6EAD9" w14:textId="223F43FE"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C05-r13</w:t>
            </w:r>
          </w:p>
        </w:tc>
        <w:tc>
          <w:tcPr>
            <w:tcW w:w="1108" w:type="dxa"/>
            <w:shd w:val="clear" w:color="auto" w:fill="C4EFCE"/>
            <w:tcMar>
              <w:left w:w="28" w:type="dxa"/>
              <w:right w:w="28" w:type="dxa"/>
            </w:tcMar>
            <w:vAlign w:val="center"/>
            <w:hideMark/>
          </w:tcPr>
          <w:p w14:paraId="789C3F1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59" w:type="dxa"/>
            <w:shd w:val="clear" w:color="auto" w:fill="C4EFCE"/>
            <w:tcMar>
              <w:left w:w="28" w:type="dxa"/>
              <w:right w:w="28" w:type="dxa"/>
            </w:tcMar>
            <w:vAlign w:val="center"/>
            <w:hideMark/>
          </w:tcPr>
          <w:p w14:paraId="1D2DB21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Rozvoj kapitálových trhov – nadobudnutie účinnosti právnych predpisov </w:t>
            </w:r>
          </w:p>
        </w:tc>
        <w:tc>
          <w:tcPr>
            <w:tcW w:w="1245" w:type="dxa"/>
            <w:shd w:val="clear" w:color="auto" w:fill="C4EFCE"/>
            <w:tcMar>
              <w:left w:w="28" w:type="dxa"/>
              <w:right w:w="28" w:type="dxa"/>
            </w:tcMar>
            <w:vAlign w:val="center"/>
            <w:hideMark/>
          </w:tcPr>
          <w:p w14:paraId="7D1637F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právnych predpisov pre rozvoj kapitálového trhu</w:t>
            </w:r>
          </w:p>
        </w:tc>
        <w:tc>
          <w:tcPr>
            <w:tcW w:w="776" w:type="dxa"/>
            <w:shd w:val="clear" w:color="auto" w:fill="C4EFCE"/>
            <w:tcMar>
              <w:left w:w="28" w:type="dxa"/>
              <w:right w:w="28" w:type="dxa"/>
            </w:tcMar>
            <w:vAlign w:val="center"/>
            <w:hideMark/>
          </w:tcPr>
          <w:p w14:paraId="586E7C4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7" w:type="dxa"/>
            <w:shd w:val="clear" w:color="auto" w:fill="C4EFCE"/>
            <w:tcMar>
              <w:left w:w="28" w:type="dxa"/>
              <w:right w:w="28" w:type="dxa"/>
            </w:tcMar>
            <w:vAlign w:val="center"/>
            <w:hideMark/>
          </w:tcPr>
          <w:p w14:paraId="21A2F02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695" w:type="dxa"/>
            <w:shd w:val="clear" w:color="auto" w:fill="C4EFCE"/>
            <w:tcMar>
              <w:left w:w="28" w:type="dxa"/>
              <w:right w:w="28" w:type="dxa"/>
            </w:tcMar>
            <w:vAlign w:val="center"/>
            <w:hideMark/>
          </w:tcPr>
          <w:p w14:paraId="02E32C9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6033117F" w14:textId="73BEFEE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11" w:type="dxa"/>
            <w:shd w:val="clear" w:color="auto" w:fill="C4EFCE"/>
            <w:tcMar>
              <w:left w:w="28" w:type="dxa"/>
              <w:right w:w="28" w:type="dxa"/>
            </w:tcMar>
            <w:vAlign w:val="center"/>
            <w:hideMark/>
          </w:tcPr>
          <w:p w14:paraId="2233112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908" w:type="dxa"/>
            <w:shd w:val="clear" w:color="auto" w:fill="C4EFCE"/>
            <w:tcMar>
              <w:left w:w="28" w:type="dxa"/>
              <w:right w:w="28" w:type="dxa"/>
            </w:tcMar>
            <w:vAlign w:val="center"/>
            <w:hideMark/>
          </w:tcPr>
          <w:p w14:paraId="1C25D1BF" w14:textId="5ABCFDA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 nadväznosti na príspevky účastníkov trhu nadobudnutie účinnosti právnych predpisov pre rozvoj kapitálového trhu. Pri zachovaní slobody práce pracovnej skupiny pre posilnenie kapitálových trhov (vytvorenej ministerstvom hospodárstva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digitálnej transformácie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štátnym tajomníkom pre financie) sa predpokladá, že právne predpisy sa zamerajú na vytváranie stimulov okrem iného pre i) 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vlastnému kapitálu prostredníctvom kapitálového trhu, ii) vytvorenie prostredia priaznivého pre rast podnikania, iii) dlhové financovanie na trhu, iv) účasť investorov.</w:t>
            </w:r>
          </w:p>
        </w:tc>
      </w:tr>
      <w:tr w:rsidR="00387C70" w:rsidRPr="003F23AC" w14:paraId="2E453268" w14:textId="77777777" w:rsidTr="00A26F8D">
        <w:trPr>
          <w:trHeight w:val="1984"/>
        </w:trPr>
        <w:tc>
          <w:tcPr>
            <w:tcW w:w="1113" w:type="dxa"/>
            <w:shd w:val="clear" w:color="auto" w:fill="C4EFCE"/>
            <w:tcMar>
              <w:left w:w="28" w:type="dxa"/>
              <w:right w:w="28" w:type="dxa"/>
            </w:tcMar>
            <w:vAlign w:val="center"/>
            <w:hideMark/>
          </w:tcPr>
          <w:p w14:paraId="1303E8CD"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5.27</w:t>
            </w:r>
          </w:p>
        </w:tc>
        <w:tc>
          <w:tcPr>
            <w:tcW w:w="1246" w:type="dxa"/>
            <w:shd w:val="clear" w:color="auto" w:fill="C4EFCE"/>
            <w:tcMar>
              <w:left w:w="28" w:type="dxa"/>
              <w:right w:w="28" w:type="dxa"/>
            </w:tcMar>
            <w:vAlign w:val="center"/>
            <w:hideMark/>
          </w:tcPr>
          <w:p w14:paraId="1806B2C1" w14:textId="1DA5E748"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C05-i06</w:t>
            </w:r>
          </w:p>
        </w:tc>
        <w:tc>
          <w:tcPr>
            <w:tcW w:w="1108" w:type="dxa"/>
            <w:shd w:val="clear" w:color="auto" w:fill="C4EFCE"/>
            <w:tcMar>
              <w:left w:w="28" w:type="dxa"/>
              <w:right w:w="28" w:type="dxa"/>
            </w:tcMar>
            <w:vAlign w:val="center"/>
            <w:hideMark/>
          </w:tcPr>
          <w:p w14:paraId="5404450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59" w:type="dxa"/>
            <w:shd w:val="clear" w:color="auto" w:fill="C4EFCE"/>
            <w:tcMar>
              <w:left w:w="28" w:type="dxa"/>
              <w:right w:w="28" w:type="dxa"/>
            </w:tcMar>
            <w:vAlign w:val="center"/>
            <w:hideMark/>
          </w:tcPr>
          <w:p w14:paraId="42D89F6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Nadobudnutie účinnosti zákonného dekrétu, ktorým sa upravuje kapitalizačné opatrenie BPF </w:t>
            </w:r>
          </w:p>
        </w:tc>
        <w:tc>
          <w:tcPr>
            <w:tcW w:w="1245" w:type="dxa"/>
            <w:shd w:val="clear" w:color="auto" w:fill="C4EFCE"/>
            <w:tcMar>
              <w:left w:w="28" w:type="dxa"/>
              <w:right w:w="28" w:type="dxa"/>
            </w:tcMar>
            <w:vAlign w:val="center"/>
            <w:hideMark/>
          </w:tcPr>
          <w:p w14:paraId="0B68941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zákonného dekrétu, ktorým sa upravuje kapitalizačné opatrenie BPF</w:t>
            </w:r>
          </w:p>
        </w:tc>
        <w:tc>
          <w:tcPr>
            <w:tcW w:w="776" w:type="dxa"/>
            <w:shd w:val="clear" w:color="auto" w:fill="C4EFCE"/>
            <w:tcMar>
              <w:left w:w="28" w:type="dxa"/>
              <w:right w:w="28" w:type="dxa"/>
            </w:tcMar>
            <w:vAlign w:val="center"/>
            <w:hideMark/>
          </w:tcPr>
          <w:p w14:paraId="4606872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7" w:type="dxa"/>
            <w:shd w:val="clear" w:color="auto" w:fill="C4EFCE"/>
            <w:tcMar>
              <w:left w:w="28" w:type="dxa"/>
              <w:right w:w="28" w:type="dxa"/>
            </w:tcMar>
            <w:vAlign w:val="center"/>
            <w:hideMark/>
          </w:tcPr>
          <w:p w14:paraId="0C13732D" w14:textId="77777777" w:rsidR="00A75B3C" w:rsidRPr="003F23AC" w:rsidRDefault="00A75B3C" w:rsidP="003F23AC">
            <w:pPr>
              <w:pStyle w:val="P68B1DB1-Normal8"/>
              <w:spacing w:after="0" w:line="240" w:lineRule="auto"/>
              <w:jc w:val="center"/>
              <w:rPr>
                <w:rFonts w:ascii="Times New Roman" w:hAnsi="Times New Roman" w:cs="Times New Roman"/>
                <w:noProof/>
                <w:lang w:val="sk-SK"/>
              </w:rPr>
            </w:pPr>
          </w:p>
          <w:p w14:paraId="568C3E8E" w14:textId="77777777" w:rsidR="00387C70" w:rsidRPr="003F23AC" w:rsidRDefault="00387C70" w:rsidP="003F23AC">
            <w:pPr>
              <w:rPr>
                <w:rFonts w:ascii="Times New Roman" w:eastAsia="Times New Roman" w:hAnsi="Times New Roman" w:cs="Times New Roman"/>
                <w:noProof/>
                <w:sz w:val="16"/>
                <w:lang w:val="sk-SK"/>
              </w:rPr>
            </w:pPr>
          </w:p>
          <w:p w14:paraId="4A2BB129" w14:textId="77777777" w:rsidR="00387C70" w:rsidRPr="003F23AC" w:rsidRDefault="00387C70" w:rsidP="003F23AC">
            <w:pPr>
              <w:rPr>
                <w:rFonts w:ascii="Times New Roman" w:eastAsia="Times New Roman" w:hAnsi="Times New Roman" w:cs="Times New Roman"/>
                <w:noProof/>
                <w:sz w:val="16"/>
                <w:lang w:val="sk-SK"/>
              </w:rPr>
            </w:pPr>
          </w:p>
          <w:p w14:paraId="528CDCA3" w14:textId="77777777" w:rsidR="00387C70" w:rsidRPr="003F23AC" w:rsidRDefault="00387C70" w:rsidP="003F23AC">
            <w:pPr>
              <w:rPr>
                <w:rFonts w:ascii="Times New Roman" w:eastAsia="Times New Roman" w:hAnsi="Times New Roman" w:cs="Times New Roman"/>
                <w:noProof/>
                <w:sz w:val="16"/>
                <w:lang w:val="sk-SK"/>
              </w:rPr>
            </w:pPr>
          </w:p>
          <w:p w14:paraId="73EBE8F6" w14:textId="77777777" w:rsidR="00387C70" w:rsidRPr="003F23AC" w:rsidRDefault="00387C70" w:rsidP="003F23AC">
            <w:pPr>
              <w:rPr>
                <w:rFonts w:ascii="Times New Roman" w:eastAsia="Times New Roman" w:hAnsi="Times New Roman" w:cs="Times New Roman"/>
                <w:noProof/>
                <w:sz w:val="16"/>
                <w:lang w:val="sk-SK"/>
              </w:rPr>
            </w:pPr>
          </w:p>
          <w:p w14:paraId="037CD278" w14:textId="00F93827" w:rsidR="00387C70" w:rsidRPr="003F23AC" w:rsidRDefault="00387C70" w:rsidP="003F23AC">
            <w:pPr>
              <w:rPr>
                <w:rFonts w:ascii="Times New Roman" w:eastAsia="Times New Roman" w:hAnsi="Times New Roman" w:cs="Times New Roman"/>
                <w:noProof/>
                <w:sz w:val="16"/>
                <w:lang w:val="sk-SK"/>
              </w:rPr>
            </w:pPr>
          </w:p>
        </w:tc>
        <w:tc>
          <w:tcPr>
            <w:tcW w:w="695" w:type="dxa"/>
            <w:shd w:val="clear" w:color="auto" w:fill="C4EFCE"/>
            <w:tcMar>
              <w:left w:w="28" w:type="dxa"/>
              <w:right w:w="28" w:type="dxa"/>
            </w:tcMar>
            <w:vAlign w:val="center"/>
            <w:hideMark/>
          </w:tcPr>
          <w:p w14:paraId="66A3088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178A1E93" w14:textId="2559A83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11" w:type="dxa"/>
            <w:shd w:val="clear" w:color="auto" w:fill="C4EFCE"/>
            <w:tcMar>
              <w:left w:w="28" w:type="dxa"/>
              <w:right w:w="28" w:type="dxa"/>
            </w:tcMar>
            <w:vAlign w:val="center"/>
            <w:hideMark/>
          </w:tcPr>
          <w:p w14:paraId="28C39B7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4908" w:type="dxa"/>
            <w:shd w:val="clear" w:color="auto" w:fill="C4EFCE"/>
            <w:tcMar>
              <w:left w:w="28" w:type="dxa"/>
              <w:right w:w="28" w:type="dxa"/>
            </w:tcMar>
            <w:vAlign w:val="center"/>
            <w:hideMark/>
          </w:tcPr>
          <w:p w14:paraId="7330B2B8" w14:textId="26869EB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zákonného dekrétu upravujúceho kapitalizačné opatrenie, ktorým sa stanovuje potreba zaviesť investičnú politiku vymedzujúcu okrem iného kritériá oprávnenosti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výberu prijímajúcich podnikov</w:t>
            </w:r>
            <w:r w:rsidR="00A75B3C" w:rsidRPr="003F23AC">
              <w:rPr>
                <w:rFonts w:ascii="Times New Roman" w:hAnsi="Times New Roman" w:cs="Times New Roman"/>
                <w:noProof/>
                <w:lang w:val="sk-SK"/>
              </w:rPr>
              <w:t xml:space="preserve"> </w:t>
            </w:r>
          </w:p>
        </w:tc>
      </w:tr>
      <w:tr w:rsidR="00387C70" w:rsidRPr="003F23AC" w14:paraId="13FEB03E" w14:textId="77777777" w:rsidTr="00A26F8D">
        <w:trPr>
          <w:trHeight w:val="1470"/>
        </w:trPr>
        <w:tc>
          <w:tcPr>
            <w:tcW w:w="1113" w:type="dxa"/>
            <w:shd w:val="clear" w:color="auto" w:fill="C4EFCE"/>
            <w:tcMar>
              <w:left w:w="28" w:type="dxa"/>
              <w:right w:w="28" w:type="dxa"/>
            </w:tcMar>
            <w:vAlign w:val="center"/>
            <w:hideMark/>
          </w:tcPr>
          <w:p w14:paraId="2FAB997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5.28</w:t>
            </w:r>
          </w:p>
        </w:tc>
        <w:tc>
          <w:tcPr>
            <w:tcW w:w="1246" w:type="dxa"/>
            <w:shd w:val="clear" w:color="auto" w:fill="C4EFCE"/>
            <w:tcMar>
              <w:left w:w="28" w:type="dxa"/>
              <w:right w:w="28" w:type="dxa"/>
            </w:tcMar>
            <w:vAlign w:val="center"/>
            <w:hideMark/>
          </w:tcPr>
          <w:p w14:paraId="652B7AB1" w14:textId="0EAC36A0"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C05-i06</w:t>
            </w:r>
          </w:p>
        </w:tc>
        <w:tc>
          <w:tcPr>
            <w:tcW w:w="1108" w:type="dxa"/>
            <w:shd w:val="clear" w:color="auto" w:fill="C4EFCE"/>
            <w:tcMar>
              <w:left w:w="28" w:type="dxa"/>
              <w:right w:w="28" w:type="dxa"/>
            </w:tcMar>
            <w:vAlign w:val="center"/>
            <w:hideMark/>
          </w:tcPr>
          <w:p w14:paraId="500EB9E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59" w:type="dxa"/>
            <w:shd w:val="clear" w:color="auto" w:fill="C4EFCE"/>
            <w:tcMar>
              <w:left w:w="28" w:type="dxa"/>
              <w:right w:w="28" w:type="dxa"/>
            </w:tcMar>
            <w:vAlign w:val="center"/>
            <w:hideMark/>
          </w:tcPr>
          <w:p w14:paraId="61364629" w14:textId="77777777" w:rsidR="00A75B3C" w:rsidRPr="003F23AC" w:rsidRDefault="00A75B3C" w:rsidP="003F23AC">
            <w:pPr>
              <w:pStyle w:val="P68B1DB1-Normal8"/>
              <w:spacing w:after="0" w:line="240" w:lineRule="auto"/>
              <w:jc w:val="center"/>
              <w:rPr>
                <w:rFonts w:ascii="Times New Roman" w:hAnsi="Times New Roman" w:cs="Times New Roman"/>
                <w:noProof/>
                <w:lang w:val="sk-SK"/>
              </w:rPr>
            </w:pPr>
          </w:p>
          <w:p w14:paraId="745A03C4" w14:textId="1F392D8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Rozvoj investičnej politiky (kapitalizácia)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prijatie správcom nástroja</w:t>
            </w:r>
          </w:p>
        </w:tc>
        <w:tc>
          <w:tcPr>
            <w:tcW w:w="1245" w:type="dxa"/>
            <w:shd w:val="clear" w:color="auto" w:fill="C4EFCE"/>
            <w:tcMar>
              <w:left w:w="28" w:type="dxa"/>
              <w:right w:w="28" w:type="dxa"/>
            </w:tcMar>
            <w:vAlign w:val="center"/>
            <w:hideMark/>
          </w:tcPr>
          <w:p w14:paraId="3C4F6B64" w14:textId="1E87073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Investičná politika (kapitalizácia) vypracovaná BPF</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prijatá subjektom zriadeným na riadenie podielov vyplývajúcich</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implementovaných finančných nástrojov</w:t>
            </w:r>
          </w:p>
        </w:tc>
        <w:tc>
          <w:tcPr>
            <w:tcW w:w="776" w:type="dxa"/>
            <w:shd w:val="clear" w:color="auto" w:fill="C4EFCE"/>
            <w:tcMar>
              <w:left w:w="28" w:type="dxa"/>
              <w:right w:w="28" w:type="dxa"/>
            </w:tcMar>
            <w:vAlign w:val="center"/>
            <w:hideMark/>
          </w:tcPr>
          <w:p w14:paraId="4DD7B87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7" w:type="dxa"/>
            <w:shd w:val="clear" w:color="auto" w:fill="C4EFCE"/>
            <w:tcMar>
              <w:left w:w="28" w:type="dxa"/>
              <w:right w:w="28" w:type="dxa"/>
            </w:tcMar>
            <w:vAlign w:val="center"/>
            <w:hideMark/>
          </w:tcPr>
          <w:p w14:paraId="67CC7E9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695" w:type="dxa"/>
            <w:shd w:val="clear" w:color="auto" w:fill="C4EFCE"/>
            <w:tcMar>
              <w:left w:w="28" w:type="dxa"/>
              <w:right w:w="28" w:type="dxa"/>
            </w:tcMar>
            <w:vAlign w:val="center"/>
            <w:hideMark/>
          </w:tcPr>
          <w:p w14:paraId="2B21BDD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487C265D" w14:textId="7968BCD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11" w:type="dxa"/>
            <w:shd w:val="clear" w:color="auto" w:fill="C4EFCE"/>
            <w:tcMar>
              <w:left w:w="28" w:type="dxa"/>
              <w:right w:w="28" w:type="dxa"/>
            </w:tcMar>
            <w:vAlign w:val="center"/>
            <w:hideMark/>
          </w:tcPr>
          <w:p w14:paraId="5DD8880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4908" w:type="dxa"/>
            <w:shd w:val="clear" w:color="auto" w:fill="C4EFCE"/>
            <w:tcMar>
              <w:left w:w="28" w:type="dxa"/>
              <w:right w:w="28" w:type="dxa"/>
            </w:tcMar>
            <w:vAlign w:val="center"/>
            <w:hideMark/>
          </w:tcPr>
          <w:p w14:paraId="62602796" w14:textId="1F5F37EF"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Rozvoj investičnej politiky (kapitalizácia)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prijatie správcom nástroja. BPF vypracuje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prijme investičnú politiku ako riadiaci orgán nástroja zriadeného na riadenie podielov vyplývajúcich</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finančných nástrojov implementovaných na podporu spoločností vybraných ako prijímatelia, pričom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nej podrobne uvedú kritériá výberu/oprávnenosti pre podporované spoločnosti, pričom sa zabezpečí dodržiavanie klimatických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environmentálnych požiadaviek Mechanizmu na podporu obnovy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odolnosti vrátane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týkajúcim sa zásady „výrazne nenarušiť“ (2021/C58/01) podporovaných aktív/činností a/alebo spoločností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špecifikujú sa investičné ciele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cielené výnosy</w:t>
            </w:r>
            <w:r w:rsidR="00A75B3C" w:rsidRPr="003F23AC">
              <w:rPr>
                <w:rFonts w:ascii="Times New Roman" w:hAnsi="Times New Roman" w:cs="Times New Roman"/>
                <w:noProof/>
                <w:lang w:val="sk-SK"/>
              </w:rPr>
              <w:t>.</w:t>
            </w:r>
          </w:p>
          <w:p w14:paraId="472A7A4C" w14:textId="07EA7FEB"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Na dosiahnutie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týkajúcim sa zásady „výrazne nenarušiť“ (2021/C58/01) podporovaných spoločností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investičnej politike vyžaduje</w:t>
            </w:r>
            <w:r w:rsidR="00A75B3C" w:rsidRPr="003F23AC">
              <w:rPr>
                <w:rFonts w:ascii="Times New Roman" w:hAnsi="Times New Roman" w:cs="Times New Roman"/>
                <w:noProof/>
                <w:lang w:val="sk-SK"/>
              </w:rPr>
              <w:t>:</w:t>
            </w:r>
          </w:p>
          <w:p w14:paraId="576E7270" w14:textId="45DCEAD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používanie overovania udržateľnosti</w:t>
            </w:r>
          </w:p>
          <w:p w14:paraId="4DDEE687"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—zoznam vylúčených subjektov, ktorý obsahuje tieto prvky</w:t>
            </w:r>
            <w:r w:rsidR="00A75B3C" w:rsidRPr="003F23AC">
              <w:rPr>
                <w:rFonts w:ascii="Times New Roman" w:hAnsi="Times New Roman" w:cs="Times New Roman"/>
                <w:noProof/>
                <w:lang w:val="sk-SK"/>
              </w:rPr>
              <w:t>:</w:t>
            </w:r>
          </w:p>
          <w:p w14:paraId="4A97B8D7" w14:textId="0A63FD8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Investície súvisiace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fosílnymi palivami (vrátane následného použitia)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výnimkou tepla/energie na báze zemného plynu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podmienkami stanovenými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prílohe III</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usmerneniu „výrazne nenarušiť“</w:t>
            </w:r>
          </w:p>
          <w:p w14:paraId="10F5B1AB" w14:textId="12888B1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Činnosti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ETS</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predpokladanými emisiami ekvivalentu CO2, ktoré nie sú nižšie ako príslušné referenčné hodnoty stanovené pre bezodplatné prideľovanie kvót.</w:t>
            </w:r>
          </w:p>
          <w:p w14:paraId="540A7716" w14:textId="28DAFA0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Investície do zariadení na zneškodňovanie odpadu na skládkach, do zariadení na mechanickú biologickú úpravu (MBT)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spaľovní na spracovanie odpadu. Zoznam vylúčených subjektov sa nevzťahuje na zariadenia určené výlučne na spracovanie nerecyklovateľného nebezpečného odpadu; do existujúcich zariadení, kde je investícia určená na zvýšenie energetickej účinnosti, zachytávanie výfukových plynov na skladovanie alebo používanie alebo zhodnocovanie materiálov zo spaľovania popola za predpokladu, že takéto investície nevedú</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zvýšeniu kapacity zariadenia na spracovanie odpadu alebo</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predĺženiu životnosti zariadenia.</w:t>
            </w:r>
          </w:p>
          <w:p w14:paraId="2D69FDF2"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Činnosti, pri ktorých môže dlhodobé zneškodňovanie odpadu spôsobiť dlhodobé poškodenie životného prostredia (napr. jadrový odpad).</w:t>
            </w:r>
          </w:p>
          <w:p w14:paraId="23225360" w14:textId="2CD031A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Výskum, vývoj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inovácie zamerané na uvedené aktíva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činnosti.</w:t>
            </w:r>
          </w:p>
          <w:p w14:paraId="7D9E0256" w14:textId="7750CDC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povinné kontroly dodržiavania právnych predpisov prostredníctvom BPF a/alebo jeho vybraných finančných sprostredkovateľov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transakcií oslobodených od overovania udržateľnosti</w:t>
            </w:r>
          </w:p>
          <w:p w14:paraId="56E7C1B2" w14:textId="748C023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prijímatelia kapitálovej podpory, ktorí získavajú aspoň 50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svojich príjmov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činností uvedených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zozname vylúčených subjektov na prijatie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uverejnenie plánov zelenej transformácie</w:t>
            </w:r>
          </w:p>
        </w:tc>
      </w:tr>
      <w:tr w:rsidR="00387C70" w:rsidRPr="003F23AC" w14:paraId="58DAC7D8" w14:textId="77777777" w:rsidTr="00A26F8D">
        <w:trPr>
          <w:trHeight w:val="1470"/>
        </w:trPr>
        <w:tc>
          <w:tcPr>
            <w:tcW w:w="1113" w:type="dxa"/>
            <w:shd w:val="clear" w:color="auto" w:fill="C4EFCE"/>
            <w:tcMar>
              <w:left w:w="28" w:type="dxa"/>
              <w:right w:w="28" w:type="dxa"/>
            </w:tcMar>
            <w:vAlign w:val="center"/>
          </w:tcPr>
          <w:p w14:paraId="7AAF1C31" w14:textId="2324AB83"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5.43</w:t>
            </w:r>
          </w:p>
        </w:tc>
        <w:tc>
          <w:tcPr>
            <w:tcW w:w="1246" w:type="dxa"/>
            <w:shd w:val="clear" w:color="auto" w:fill="C4EFCE"/>
            <w:tcMar>
              <w:left w:w="28" w:type="dxa"/>
              <w:right w:w="28" w:type="dxa"/>
            </w:tcMar>
            <w:vAlign w:val="center"/>
          </w:tcPr>
          <w:p w14:paraId="2AD97864" w14:textId="5D4763F6"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C05-i06</w:t>
            </w:r>
          </w:p>
        </w:tc>
        <w:tc>
          <w:tcPr>
            <w:tcW w:w="1108" w:type="dxa"/>
            <w:shd w:val="clear" w:color="auto" w:fill="C4EFCE"/>
            <w:tcMar>
              <w:left w:w="28" w:type="dxa"/>
              <w:right w:w="28" w:type="dxa"/>
            </w:tcMar>
            <w:vAlign w:val="center"/>
          </w:tcPr>
          <w:p w14:paraId="73EC6014" w14:textId="25EAEE39"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9" w:type="dxa"/>
            <w:shd w:val="clear" w:color="auto" w:fill="C4EFCE"/>
            <w:tcMar>
              <w:left w:w="28" w:type="dxa"/>
              <w:right w:w="28" w:type="dxa"/>
            </w:tcMar>
            <w:vAlign w:val="center"/>
          </w:tcPr>
          <w:p w14:paraId="4E2ED19B" w14:textId="2BA82321" w:rsidR="00387C70" w:rsidRPr="003F23AC" w:rsidRDefault="000F5AA4" w:rsidP="003F23AC">
            <w:pPr>
              <w:pStyle w:val="P68B1DB1-Normal9"/>
              <w:spacing w:after="0" w:line="240" w:lineRule="auto"/>
              <w:jc w:val="center"/>
              <w:rPr>
                <w:rFonts w:ascii="Times New Roman" w:eastAsia="Times New Roman" w:hAnsi="Times New Roman" w:cs="Times New Roman"/>
                <w:noProof/>
                <w:sz w:val="16"/>
                <w:lang w:val="sk-SK"/>
              </w:rPr>
            </w:pPr>
            <w:r w:rsidRPr="003F23AC">
              <w:rPr>
                <w:rFonts w:ascii="Times New Roman" w:hAnsi="Times New Roman" w:cs="Times New Roman"/>
                <w:noProof/>
                <w:sz w:val="18"/>
                <w:lang w:val="sk-SK"/>
              </w:rPr>
              <w:t>D Vypustenie prostredníctvom kapitalizačného nástroja</w:t>
            </w:r>
            <w:r w:rsidR="00A75B3C" w:rsidRPr="003F23AC">
              <w:rPr>
                <w:rFonts w:ascii="Times New Roman" w:hAnsi="Times New Roman" w:cs="Times New Roman"/>
                <w:noProof/>
                <w:sz w:val="18"/>
                <w:lang w:val="sk-SK"/>
              </w:rPr>
              <w:t xml:space="preserve"> v </w:t>
            </w:r>
            <w:r w:rsidRPr="003F23AC">
              <w:rPr>
                <w:rFonts w:ascii="Times New Roman" w:hAnsi="Times New Roman" w:cs="Times New Roman"/>
                <w:noProof/>
                <w:sz w:val="18"/>
                <w:lang w:val="sk-SK"/>
              </w:rPr>
              <w:t>celkovej výške 650 000 000 EUR portugalským nefinančným spoločnostiam</w:t>
            </w:r>
            <w:r w:rsidR="00A75B3C" w:rsidRPr="003F23AC">
              <w:rPr>
                <w:rFonts w:ascii="Times New Roman" w:hAnsi="Times New Roman" w:cs="Times New Roman"/>
                <w:noProof/>
                <w:sz w:val="18"/>
                <w:lang w:val="sk-SK"/>
              </w:rPr>
              <w:t xml:space="preserve"> v </w:t>
            </w:r>
            <w:r w:rsidRPr="003F23AC">
              <w:rPr>
                <w:rFonts w:ascii="Times New Roman" w:hAnsi="Times New Roman" w:cs="Times New Roman"/>
                <w:noProof/>
                <w:sz w:val="18"/>
                <w:lang w:val="sk-SK"/>
              </w:rPr>
              <w:t>oblasti podpory vlastného kapitálu</w:t>
            </w:r>
            <w:r w:rsidR="00A75B3C" w:rsidRPr="003F23AC">
              <w:rPr>
                <w:rFonts w:ascii="Times New Roman" w:hAnsi="Times New Roman" w:cs="Times New Roman"/>
                <w:noProof/>
                <w:sz w:val="18"/>
                <w:lang w:val="sk-SK"/>
              </w:rPr>
              <w:t xml:space="preserve"> a </w:t>
            </w:r>
            <w:r w:rsidRPr="003F23AC">
              <w:rPr>
                <w:rFonts w:ascii="Times New Roman" w:hAnsi="Times New Roman" w:cs="Times New Roman"/>
                <w:noProof/>
                <w:sz w:val="18"/>
                <w:lang w:val="sk-SK"/>
              </w:rPr>
              <w:t>kvázi vlastného kapitálu</w:t>
            </w:r>
            <w:r w:rsidR="00A75B3C" w:rsidRPr="003F23AC">
              <w:rPr>
                <w:rFonts w:ascii="Times New Roman" w:hAnsi="Times New Roman" w:cs="Times New Roman"/>
                <w:noProof/>
                <w:sz w:val="18"/>
                <w:lang w:val="sk-SK"/>
              </w:rPr>
              <w:t xml:space="preserve"> v </w:t>
            </w:r>
            <w:r w:rsidRPr="003F23AC">
              <w:rPr>
                <w:rFonts w:ascii="Times New Roman" w:hAnsi="Times New Roman" w:cs="Times New Roman"/>
                <w:noProof/>
                <w:sz w:val="18"/>
                <w:lang w:val="sk-SK"/>
              </w:rPr>
              <w:t>súlade</w:t>
            </w:r>
            <w:r w:rsidR="00A75B3C" w:rsidRPr="003F23AC">
              <w:rPr>
                <w:rFonts w:ascii="Times New Roman" w:hAnsi="Times New Roman" w:cs="Times New Roman"/>
                <w:noProof/>
                <w:sz w:val="18"/>
                <w:lang w:val="sk-SK"/>
              </w:rPr>
              <w:t xml:space="preserve"> s </w:t>
            </w:r>
            <w:r w:rsidRPr="003F23AC">
              <w:rPr>
                <w:rFonts w:ascii="Times New Roman" w:hAnsi="Times New Roman" w:cs="Times New Roman"/>
                <w:noProof/>
                <w:sz w:val="18"/>
                <w:lang w:val="sk-SK"/>
              </w:rPr>
              <w:t>ich investičnou politikou</w:t>
            </w:r>
          </w:p>
        </w:tc>
        <w:tc>
          <w:tcPr>
            <w:tcW w:w="1245" w:type="dxa"/>
            <w:shd w:val="clear" w:color="auto" w:fill="C4EFCE"/>
            <w:tcMar>
              <w:left w:w="28" w:type="dxa"/>
              <w:right w:w="28" w:type="dxa"/>
            </w:tcMar>
            <w:vAlign w:val="center"/>
          </w:tcPr>
          <w:p w14:paraId="752C0856" w14:textId="06A6F4D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6" w:type="dxa"/>
            <w:shd w:val="clear" w:color="auto" w:fill="C4EFCE"/>
            <w:tcMar>
              <w:left w:w="28" w:type="dxa"/>
              <w:right w:w="28" w:type="dxa"/>
            </w:tcMar>
            <w:vAlign w:val="center"/>
          </w:tcPr>
          <w:p w14:paraId="3548D410" w14:textId="4E0B55A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EUR </w:t>
            </w:r>
          </w:p>
        </w:tc>
        <w:tc>
          <w:tcPr>
            <w:tcW w:w="1167" w:type="dxa"/>
            <w:shd w:val="clear" w:color="auto" w:fill="C4EFCE"/>
            <w:tcMar>
              <w:left w:w="28" w:type="dxa"/>
              <w:right w:w="28" w:type="dxa"/>
            </w:tcMar>
            <w:vAlign w:val="center"/>
          </w:tcPr>
          <w:p w14:paraId="45FC375D" w14:textId="23E21CC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695" w:type="dxa"/>
            <w:shd w:val="clear" w:color="auto" w:fill="C4EFCE"/>
            <w:tcMar>
              <w:left w:w="28" w:type="dxa"/>
              <w:right w:w="28" w:type="dxa"/>
            </w:tcMar>
            <w:vAlign w:val="center"/>
          </w:tcPr>
          <w:p w14:paraId="77E4C48C" w14:textId="34768C6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650 000 000</w:t>
            </w:r>
          </w:p>
        </w:tc>
        <w:tc>
          <w:tcPr>
            <w:tcW w:w="840" w:type="dxa"/>
            <w:shd w:val="clear" w:color="auto" w:fill="C4EFCE"/>
            <w:tcMar>
              <w:left w:w="28" w:type="dxa"/>
              <w:right w:w="28" w:type="dxa"/>
            </w:tcMar>
            <w:vAlign w:val="center"/>
          </w:tcPr>
          <w:p w14:paraId="1E551FEE" w14:textId="774C45F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11" w:type="dxa"/>
            <w:shd w:val="clear" w:color="auto" w:fill="C4EFCE"/>
            <w:tcMar>
              <w:left w:w="28" w:type="dxa"/>
              <w:right w:w="28" w:type="dxa"/>
            </w:tcMar>
            <w:vAlign w:val="center"/>
          </w:tcPr>
          <w:p w14:paraId="42B6A4AF" w14:textId="2FFF2A1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908" w:type="dxa"/>
            <w:shd w:val="clear" w:color="auto" w:fill="C4EFCE"/>
            <w:tcMar>
              <w:left w:w="28" w:type="dxa"/>
              <w:right w:w="28" w:type="dxa"/>
            </w:tcMar>
            <w:vAlign w:val="center"/>
          </w:tcPr>
          <w:p w14:paraId="73D8A264" w14:textId="743FEBD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Dodanie celkovej sumy 650 000 000 EUR portugalským nefinančným spoločnostiam na podporu vlastného kapitálu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kvázi vlastného kapitálu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predchádzajúcou vymedzenou investičnou politikou, ktorú vypracovala BPF, vrátane súm vyplatených nefinančným korporáciám ako priame investície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súm pridelených finančným sprostredkovateľom ako nepriame investície. </w:t>
            </w:r>
          </w:p>
        </w:tc>
      </w:tr>
      <w:tr w:rsidR="00387C70" w:rsidRPr="003F23AC" w14:paraId="5D9E6171" w14:textId="77777777" w:rsidTr="00A26F8D">
        <w:trPr>
          <w:trHeight w:val="1960"/>
        </w:trPr>
        <w:tc>
          <w:tcPr>
            <w:tcW w:w="1113" w:type="dxa"/>
            <w:shd w:val="clear" w:color="auto" w:fill="C4EFCE"/>
            <w:tcMar>
              <w:left w:w="28" w:type="dxa"/>
              <w:right w:w="28" w:type="dxa"/>
            </w:tcMar>
            <w:vAlign w:val="center"/>
            <w:hideMark/>
          </w:tcPr>
          <w:p w14:paraId="4495AE8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5.29</w:t>
            </w:r>
          </w:p>
        </w:tc>
        <w:tc>
          <w:tcPr>
            <w:tcW w:w="1246" w:type="dxa"/>
            <w:shd w:val="clear" w:color="auto" w:fill="C4EFCE"/>
            <w:tcMar>
              <w:left w:w="28" w:type="dxa"/>
              <w:right w:w="28" w:type="dxa"/>
            </w:tcMar>
            <w:vAlign w:val="center"/>
            <w:hideMark/>
          </w:tcPr>
          <w:p w14:paraId="3D54CD9A" w14:textId="2D0466D2"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C05-i06</w:t>
            </w:r>
          </w:p>
        </w:tc>
        <w:tc>
          <w:tcPr>
            <w:tcW w:w="1108" w:type="dxa"/>
            <w:shd w:val="clear" w:color="auto" w:fill="C4EFCE"/>
            <w:tcMar>
              <w:left w:w="28" w:type="dxa"/>
              <w:right w:w="28" w:type="dxa"/>
            </w:tcMar>
            <w:vAlign w:val="center"/>
            <w:hideMark/>
          </w:tcPr>
          <w:p w14:paraId="79606A01" w14:textId="63D0CDBC"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9" w:type="dxa"/>
            <w:shd w:val="clear" w:color="auto" w:fill="C4EFCE"/>
            <w:tcMar>
              <w:left w:w="28" w:type="dxa"/>
              <w:right w:w="28" w:type="dxa"/>
            </w:tcMar>
            <w:vAlign w:val="center"/>
            <w:hideMark/>
          </w:tcPr>
          <w:p w14:paraId="02CF9922" w14:textId="78A1F031" w:rsidR="00387C70" w:rsidRPr="003F23AC" w:rsidRDefault="000F5AA4" w:rsidP="003F23AC">
            <w:pPr>
              <w:pStyle w:val="P68B1DB1-Normal9"/>
              <w:spacing w:after="0" w:line="240" w:lineRule="auto"/>
              <w:jc w:val="center"/>
              <w:rPr>
                <w:rFonts w:ascii="Times New Roman" w:eastAsia="Times New Roman" w:hAnsi="Times New Roman" w:cs="Times New Roman"/>
                <w:noProof/>
                <w:sz w:val="18"/>
                <w:lang w:val="sk-SK"/>
              </w:rPr>
            </w:pPr>
            <w:r w:rsidRPr="003F23AC">
              <w:rPr>
                <w:rFonts w:ascii="Times New Roman" w:hAnsi="Times New Roman" w:cs="Times New Roman"/>
                <w:noProof/>
                <w:sz w:val="18"/>
                <w:lang w:val="sk-SK"/>
              </w:rPr>
              <w:t>D Vypustenie prostredníctvom kapitalizačného nástroja</w:t>
            </w:r>
            <w:r w:rsidR="00A75B3C" w:rsidRPr="003F23AC">
              <w:rPr>
                <w:rFonts w:ascii="Times New Roman" w:hAnsi="Times New Roman" w:cs="Times New Roman"/>
                <w:noProof/>
                <w:sz w:val="18"/>
                <w:lang w:val="sk-SK"/>
              </w:rPr>
              <w:t xml:space="preserve"> v </w:t>
            </w:r>
            <w:r w:rsidRPr="003F23AC">
              <w:rPr>
                <w:rFonts w:ascii="Times New Roman" w:hAnsi="Times New Roman" w:cs="Times New Roman"/>
                <w:noProof/>
                <w:sz w:val="18"/>
                <w:lang w:val="sk-SK"/>
              </w:rPr>
              <w:t>celkovej výške 1 300 000 000 EUR portugalským nefinančným spoločnostiam</w:t>
            </w:r>
            <w:r w:rsidR="00A75B3C" w:rsidRPr="003F23AC">
              <w:rPr>
                <w:rFonts w:ascii="Times New Roman" w:hAnsi="Times New Roman" w:cs="Times New Roman"/>
                <w:noProof/>
                <w:sz w:val="18"/>
                <w:lang w:val="sk-SK"/>
              </w:rPr>
              <w:t xml:space="preserve"> v </w:t>
            </w:r>
            <w:r w:rsidRPr="003F23AC">
              <w:rPr>
                <w:rFonts w:ascii="Times New Roman" w:hAnsi="Times New Roman" w:cs="Times New Roman"/>
                <w:noProof/>
                <w:sz w:val="18"/>
                <w:lang w:val="sk-SK"/>
              </w:rPr>
              <w:t>oblasti podpory vlastného kapitálu</w:t>
            </w:r>
            <w:r w:rsidR="00A75B3C" w:rsidRPr="003F23AC">
              <w:rPr>
                <w:rFonts w:ascii="Times New Roman" w:hAnsi="Times New Roman" w:cs="Times New Roman"/>
                <w:noProof/>
                <w:sz w:val="18"/>
                <w:lang w:val="sk-SK"/>
              </w:rPr>
              <w:t xml:space="preserve"> a </w:t>
            </w:r>
            <w:r w:rsidRPr="003F23AC">
              <w:rPr>
                <w:rFonts w:ascii="Times New Roman" w:hAnsi="Times New Roman" w:cs="Times New Roman"/>
                <w:noProof/>
                <w:sz w:val="18"/>
                <w:lang w:val="sk-SK"/>
              </w:rPr>
              <w:t>kvázi vlastného kapitálu</w:t>
            </w:r>
            <w:r w:rsidR="00A75B3C" w:rsidRPr="003F23AC">
              <w:rPr>
                <w:rFonts w:ascii="Times New Roman" w:hAnsi="Times New Roman" w:cs="Times New Roman"/>
                <w:noProof/>
                <w:sz w:val="18"/>
                <w:lang w:val="sk-SK"/>
              </w:rPr>
              <w:t xml:space="preserve"> v </w:t>
            </w:r>
            <w:r w:rsidRPr="003F23AC">
              <w:rPr>
                <w:rFonts w:ascii="Times New Roman" w:hAnsi="Times New Roman" w:cs="Times New Roman"/>
                <w:noProof/>
                <w:sz w:val="18"/>
                <w:lang w:val="sk-SK"/>
              </w:rPr>
              <w:t>súlade</w:t>
            </w:r>
            <w:r w:rsidR="00A75B3C" w:rsidRPr="003F23AC">
              <w:rPr>
                <w:rFonts w:ascii="Times New Roman" w:hAnsi="Times New Roman" w:cs="Times New Roman"/>
                <w:noProof/>
                <w:sz w:val="18"/>
                <w:lang w:val="sk-SK"/>
              </w:rPr>
              <w:t xml:space="preserve"> s </w:t>
            </w:r>
            <w:r w:rsidRPr="003F23AC">
              <w:rPr>
                <w:rFonts w:ascii="Times New Roman" w:hAnsi="Times New Roman" w:cs="Times New Roman"/>
                <w:noProof/>
                <w:sz w:val="18"/>
                <w:lang w:val="sk-SK"/>
              </w:rPr>
              <w:t>ich investičnou politikou</w:t>
            </w:r>
          </w:p>
        </w:tc>
        <w:tc>
          <w:tcPr>
            <w:tcW w:w="1245" w:type="dxa"/>
            <w:shd w:val="clear" w:color="auto" w:fill="C4EFCE"/>
            <w:tcMar>
              <w:left w:w="28" w:type="dxa"/>
              <w:right w:w="28" w:type="dxa"/>
            </w:tcMar>
            <w:vAlign w:val="center"/>
            <w:hideMark/>
          </w:tcPr>
          <w:p w14:paraId="71326F1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6" w:type="dxa"/>
            <w:shd w:val="clear" w:color="auto" w:fill="C4EFCE"/>
            <w:tcMar>
              <w:left w:w="28" w:type="dxa"/>
              <w:right w:w="28" w:type="dxa"/>
            </w:tcMar>
            <w:vAlign w:val="center"/>
            <w:hideMark/>
          </w:tcPr>
          <w:p w14:paraId="36DB9E1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EUR </w:t>
            </w:r>
          </w:p>
        </w:tc>
        <w:tc>
          <w:tcPr>
            <w:tcW w:w="1167" w:type="dxa"/>
            <w:shd w:val="clear" w:color="auto" w:fill="C4EFCE"/>
            <w:tcMar>
              <w:left w:w="28" w:type="dxa"/>
              <w:right w:w="28" w:type="dxa"/>
            </w:tcMar>
            <w:vAlign w:val="center"/>
            <w:hideMark/>
          </w:tcPr>
          <w:p w14:paraId="224DC5A2" w14:textId="05CA90D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650 000 000</w:t>
            </w:r>
          </w:p>
        </w:tc>
        <w:tc>
          <w:tcPr>
            <w:tcW w:w="695" w:type="dxa"/>
            <w:shd w:val="clear" w:color="auto" w:fill="C4EFCE"/>
            <w:tcMar>
              <w:left w:w="28" w:type="dxa"/>
              <w:right w:w="28" w:type="dxa"/>
            </w:tcMar>
            <w:vAlign w:val="center"/>
            <w:hideMark/>
          </w:tcPr>
          <w:p w14:paraId="1CA39E70" w14:textId="25FFDE8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1 300 000 000</w:t>
            </w:r>
          </w:p>
        </w:tc>
        <w:tc>
          <w:tcPr>
            <w:tcW w:w="840" w:type="dxa"/>
            <w:shd w:val="clear" w:color="auto" w:fill="C4EFCE"/>
            <w:tcMar>
              <w:left w:w="28" w:type="dxa"/>
              <w:right w:w="28" w:type="dxa"/>
            </w:tcMar>
            <w:vAlign w:val="center"/>
            <w:hideMark/>
          </w:tcPr>
          <w:p w14:paraId="4C01E635" w14:textId="3FC5A9E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11" w:type="dxa"/>
            <w:shd w:val="clear" w:color="auto" w:fill="C4EFCE"/>
            <w:tcMar>
              <w:left w:w="28" w:type="dxa"/>
              <w:right w:w="28" w:type="dxa"/>
            </w:tcMar>
            <w:vAlign w:val="center"/>
            <w:hideMark/>
          </w:tcPr>
          <w:p w14:paraId="7FE96FF1" w14:textId="4723B11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908" w:type="dxa"/>
            <w:shd w:val="clear" w:color="auto" w:fill="C4EFCE"/>
            <w:tcMar>
              <w:left w:w="28" w:type="dxa"/>
              <w:right w:w="28" w:type="dxa"/>
            </w:tcMar>
            <w:vAlign w:val="center"/>
            <w:hideMark/>
          </w:tcPr>
          <w:p w14:paraId="397877F2" w14:textId="1CE056C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Dodanie celkovej sumy 1 300 000 000 EUR (vrátane cieľovej hodnoty 543 EUR vo výške 650 000 000 EUR) portugalským nefinančným spoločnostiam na podporu vlastného kapitálu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kvázi vlastného kapitálu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predtým vymedzenou investičnou politikou, ktorú vypracovala BPF</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prijala nástroj zriadený na riadenie podielov vyplývajúcich</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implementovaných finančných nástrojov. Orientačne sa odhaduje, že 1300 podnikov by malo byť podporených dokončením plánu.</w:t>
            </w:r>
          </w:p>
        </w:tc>
      </w:tr>
      <w:tr w:rsidR="00387C70" w:rsidRPr="003F23AC" w14:paraId="549D7570" w14:textId="77777777" w:rsidTr="00A26F8D">
        <w:trPr>
          <w:trHeight w:val="1817"/>
        </w:trPr>
        <w:tc>
          <w:tcPr>
            <w:tcW w:w="1113" w:type="dxa"/>
            <w:shd w:val="clear" w:color="auto" w:fill="C4EFCE"/>
            <w:tcMar>
              <w:left w:w="28" w:type="dxa"/>
              <w:right w:w="28" w:type="dxa"/>
            </w:tcMar>
            <w:vAlign w:val="center"/>
            <w:hideMark/>
          </w:tcPr>
          <w:p w14:paraId="200D26C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5.30</w:t>
            </w:r>
          </w:p>
        </w:tc>
        <w:tc>
          <w:tcPr>
            <w:tcW w:w="1246" w:type="dxa"/>
            <w:shd w:val="clear" w:color="auto" w:fill="C4EFCE"/>
            <w:tcMar>
              <w:left w:w="28" w:type="dxa"/>
              <w:right w:w="28" w:type="dxa"/>
            </w:tcMar>
            <w:vAlign w:val="center"/>
            <w:hideMark/>
          </w:tcPr>
          <w:p w14:paraId="3395B4BA" w14:textId="3FCEE706"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C05-i06</w:t>
            </w:r>
          </w:p>
        </w:tc>
        <w:tc>
          <w:tcPr>
            <w:tcW w:w="1108" w:type="dxa"/>
            <w:shd w:val="clear" w:color="auto" w:fill="C4EFCE"/>
            <w:tcMar>
              <w:left w:w="28" w:type="dxa"/>
              <w:right w:w="28" w:type="dxa"/>
            </w:tcMar>
            <w:vAlign w:val="center"/>
            <w:hideMark/>
          </w:tcPr>
          <w:p w14:paraId="114316E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59" w:type="dxa"/>
            <w:shd w:val="clear" w:color="auto" w:fill="C4EFCE"/>
            <w:tcMar>
              <w:left w:w="28" w:type="dxa"/>
              <w:right w:w="28" w:type="dxa"/>
            </w:tcMar>
            <w:vAlign w:val="center"/>
            <w:hideMark/>
          </w:tcPr>
          <w:p w14:paraId="74A62CD3" w14:textId="069EE2C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Oznámenie Európskej komisii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úspešnom absolvovaní posúdenia pilierov pre BPF</w:t>
            </w:r>
          </w:p>
        </w:tc>
        <w:tc>
          <w:tcPr>
            <w:tcW w:w="1245" w:type="dxa"/>
            <w:shd w:val="clear" w:color="auto" w:fill="C4EFCE"/>
            <w:tcMar>
              <w:left w:w="28" w:type="dxa"/>
              <w:right w:w="28" w:type="dxa"/>
            </w:tcMar>
            <w:vAlign w:val="center"/>
            <w:hideMark/>
          </w:tcPr>
          <w:p w14:paraId="31EB5F65" w14:textId="440B4C5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Oznámenie Európskej komisii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úspešnom absolvovaní posúdenia pilierov pre BPF</w:t>
            </w:r>
          </w:p>
        </w:tc>
        <w:tc>
          <w:tcPr>
            <w:tcW w:w="776" w:type="dxa"/>
            <w:shd w:val="clear" w:color="auto" w:fill="C4EFCE"/>
            <w:tcMar>
              <w:left w:w="28" w:type="dxa"/>
              <w:right w:w="28" w:type="dxa"/>
            </w:tcMar>
            <w:vAlign w:val="center"/>
            <w:hideMark/>
          </w:tcPr>
          <w:p w14:paraId="2DB76E3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7" w:type="dxa"/>
            <w:shd w:val="clear" w:color="auto" w:fill="C4EFCE"/>
            <w:tcMar>
              <w:left w:w="28" w:type="dxa"/>
              <w:right w:w="28" w:type="dxa"/>
            </w:tcMar>
            <w:vAlign w:val="center"/>
            <w:hideMark/>
          </w:tcPr>
          <w:p w14:paraId="710C53F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695" w:type="dxa"/>
            <w:shd w:val="clear" w:color="auto" w:fill="C4EFCE"/>
            <w:tcMar>
              <w:left w:w="28" w:type="dxa"/>
              <w:right w:w="28" w:type="dxa"/>
            </w:tcMar>
            <w:vAlign w:val="center"/>
            <w:hideMark/>
          </w:tcPr>
          <w:p w14:paraId="00FD89E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19A09A92" w14:textId="25E6D29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11" w:type="dxa"/>
            <w:shd w:val="clear" w:color="auto" w:fill="C4EFCE"/>
            <w:tcMar>
              <w:left w:w="28" w:type="dxa"/>
              <w:right w:w="28" w:type="dxa"/>
            </w:tcMar>
            <w:vAlign w:val="center"/>
            <w:hideMark/>
          </w:tcPr>
          <w:p w14:paraId="41568E3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908" w:type="dxa"/>
            <w:shd w:val="clear" w:color="auto" w:fill="C4EFCE"/>
            <w:tcMar>
              <w:left w:w="28" w:type="dxa"/>
              <w:right w:w="28" w:type="dxa"/>
            </w:tcMar>
            <w:vAlign w:val="center"/>
            <w:hideMark/>
          </w:tcPr>
          <w:p w14:paraId="309B65CF" w14:textId="1ABD3C0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Oznámenie Európskej komisii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úspešnom absolvovaní posúdenia pilierov pre BPF</w:t>
            </w:r>
          </w:p>
        </w:tc>
      </w:tr>
      <w:tr w:rsidR="00387C70" w:rsidRPr="003F23AC" w14:paraId="56A32DB7" w14:textId="77777777" w:rsidTr="00A26F8D">
        <w:trPr>
          <w:trHeight w:val="290"/>
        </w:trPr>
        <w:tc>
          <w:tcPr>
            <w:tcW w:w="1113" w:type="dxa"/>
            <w:shd w:val="clear" w:color="auto" w:fill="C4EFCE"/>
            <w:tcMar>
              <w:left w:w="28" w:type="dxa"/>
              <w:right w:w="28" w:type="dxa"/>
            </w:tcMar>
            <w:vAlign w:val="center"/>
            <w:hideMark/>
          </w:tcPr>
          <w:p w14:paraId="70D94B9B"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5.31</w:t>
            </w:r>
          </w:p>
        </w:tc>
        <w:tc>
          <w:tcPr>
            <w:tcW w:w="1246" w:type="dxa"/>
            <w:shd w:val="clear" w:color="auto" w:fill="C4EFCE"/>
            <w:tcMar>
              <w:left w:w="28" w:type="dxa"/>
              <w:right w:w="28" w:type="dxa"/>
            </w:tcMar>
            <w:vAlign w:val="center"/>
            <w:hideMark/>
          </w:tcPr>
          <w:p w14:paraId="5B366953" w14:textId="2B48BEF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C05-i06</w:t>
            </w:r>
          </w:p>
        </w:tc>
        <w:tc>
          <w:tcPr>
            <w:tcW w:w="1108" w:type="dxa"/>
            <w:shd w:val="clear" w:color="auto" w:fill="C4EFCE"/>
            <w:tcMar>
              <w:left w:w="28" w:type="dxa"/>
              <w:right w:w="28" w:type="dxa"/>
            </w:tcMar>
            <w:vAlign w:val="center"/>
            <w:hideMark/>
          </w:tcPr>
          <w:p w14:paraId="5173844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59" w:type="dxa"/>
            <w:shd w:val="clear" w:color="auto" w:fill="C4EFCE"/>
            <w:tcMar>
              <w:left w:w="28" w:type="dxa"/>
              <w:right w:w="28" w:type="dxa"/>
            </w:tcMar>
            <w:vAlign w:val="center"/>
            <w:hideMark/>
          </w:tcPr>
          <w:p w14:paraId="57A63337" w14:textId="2038109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Prevod kapitálu vo výške 250 000 000 EUR od portugalskej vlády do BPF</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prijatie investičnej politiky pre BPF</w:t>
            </w:r>
          </w:p>
        </w:tc>
        <w:tc>
          <w:tcPr>
            <w:tcW w:w="1245" w:type="dxa"/>
            <w:shd w:val="clear" w:color="auto" w:fill="C4EFCE"/>
            <w:tcMar>
              <w:left w:w="28" w:type="dxa"/>
              <w:right w:w="28" w:type="dxa"/>
            </w:tcMar>
            <w:vAlign w:val="center"/>
            <w:hideMark/>
          </w:tcPr>
          <w:p w14:paraId="1E07B141" w14:textId="0E20C2B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Zvýšenie kapitálu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rozvoj investičnej politiky pre BPF na vykonávanie Programu InvestEU, ktorým sa stanovuje súbor kritérií oprávnenosti na zabezpečenie splnenia cieľov Mechanizmu na podporu obnovy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odolnosti</w:t>
            </w:r>
          </w:p>
        </w:tc>
        <w:tc>
          <w:tcPr>
            <w:tcW w:w="776" w:type="dxa"/>
            <w:shd w:val="clear" w:color="auto" w:fill="C4EFCE"/>
            <w:tcMar>
              <w:left w:w="28" w:type="dxa"/>
              <w:right w:w="28" w:type="dxa"/>
            </w:tcMar>
            <w:vAlign w:val="center"/>
            <w:hideMark/>
          </w:tcPr>
          <w:p w14:paraId="2827D02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67" w:type="dxa"/>
            <w:shd w:val="clear" w:color="auto" w:fill="C4EFCE"/>
            <w:tcMar>
              <w:left w:w="28" w:type="dxa"/>
              <w:right w:w="28" w:type="dxa"/>
            </w:tcMar>
            <w:vAlign w:val="center"/>
            <w:hideMark/>
          </w:tcPr>
          <w:p w14:paraId="1A690AD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695" w:type="dxa"/>
            <w:shd w:val="clear" w:color="auto" w:fill="C4EFCE"/>
            <w:tcMar>
              <w:left w:w="28" w:type="dxa"/>
              <w:right w:w="28" w:type="dxa"/>
            </w:tcMar>
            <w:vAlign w:val="center"/>
            <w:hideMark/>
          </w:tcPr>
          <w:p w14:paraId="4AD2779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40" w:type="dxa"/>
            <w:shd w:val="clear" w:color="auto" w:fill="C4EFCE"/>
            <w:tcMar>
              <w:left w:w="28" w:type="dxa"/>
              <w:right w:w="28" w:type="dxa"/>
            </w:tcMar>
            <w:vAlign w:val="center"/>
            <w:hideMark/>
          </w:tcPr>
          <w:p w14:paraId="07426AEB" w14:textId="35017B0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11" w:type="dxa"/>
            <w:shd w:val="clear" w:color="auto" w:fill="C4EFCE"/>
            <w:tcMar>
              <w:left w:w="28" w:type="dxa"/>
              <w:right w:w="28" w:type="dxa"/>
            </w:tcMar>
            <w:vAlign w:val="center"/>
            <w:hideMark/>
          </w:tcPr>
          <w:p w14:paraId="1A0C806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908" w:type="dxa"/>
            <w:shd w:val="clear" w:color="auto" w:fill="C4EFCE"/>
            <w:tcMar>
              <w:left w:w="28" w:type="dxa"/>
              <w:right w:w="28" w:type="dxa"/>
            </w:tcMar>
            <w:vAlign w:val="center"/>
            <w:hideMark/>
          </w:tcPr>
          <w:p w14:paraId="6CA6D0BF" w14:textId="353AFDA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Kapitálový presun vo výške 250 000 000 EUR od portugalskej vlády do BPF</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prijatie investičnej politiky pre BPF na vykonávanie Programu InvestEU, pričom sa stanoví súbor kritérií oprávnenosti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cieľmi Mechanizmu na podporu obnovy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odolnosti vrátane zásady „výrazne nenarušiť“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súvislosti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podpísaním „dohody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záruke InvestEU“.</w:t>
            </w:r>
          </w:p>
        </w:tc>
      </w:tr>
      <w:tr w:rsidR="00387C70" w:rsidRPr="003F23AC" w14:paraId="79CBF608" w14:textId="77777777" w:rsidTr="00A26F8D">
        <w:trPr>
          <w:trHeight w:val="687"/>
        </w:trPr>
        <w:tc>
          <w:tcPr>
            <w:tcW w:w="1113" w:type="dxa"/>
            <w:shd w:val="clear" w:color="auto" w:fill="C4EFCE"/>
            <w:tcMar>
              <w:left w:w="28" w:type="dxa"/>
              <w:right w:w="28" w:type="dxa"/>
            </w:tcMar>
            <w:vAlign w:val="center"/>
            <w:hideMark/>
          </w:tcPr>
          <w:p w14:paraId="62505207" w14:textId="4798763F"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5.32</w:t>
            </w:r>
          </w:p>
        </w:tc>
        <w:tc>
          <w:tcPr>
            <w:tcW w:w="1246" w:type="dxa"/>
            <w:shd w:val="clear" w:color="auto" w:fill="C4EFCE"/>
            <w:tcMar>
              <w:left w:w="28" w:type="dxa"/>
              <w:right w:w="28" w:type="dxa"/>
            </w:tcMar>
            <w:vAlign w:val="center"/>
            <w:hideMark/>
          </w:tcPr>
          <w:p w14:paraId="3E67B2B5" w14:textId="611323BA"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C05-i06</w:t>
            </w:r>
          </w:p>
        </w:tc>
        <w:tc>
          <w:tcPr>
            <w:tcW w:w="1108" w:type="dxa"/>
            <w:shd w:val="clear" w:color="auto" w:fill="C4EFCE"/>
            <w:tcMar>
              <w:left w:w="28" w:type="dxa"/>
              <w:right w:w="28" w:type="dxa"/>
            </w:tcMar>
            <w:vAlign w:val="center"/>
            <w:hideMark/>
          </w:tcPr>
          <w:p w14:paraId="2B3F8D44" w14:textId="0A498654"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9" w:type="dxa"/>
            <w:shd w:val="clear" w:color="auto" w:fill="C4EFCE"/>
            <w:tcMar>
              <w:left w:w="28" w:type="dxa"/>
              <w:right w:w="28" w:type="dxa"/>
            </w:tcMar>
            <w:vAlign w:val="center"/>
            <w:hideMark/>
          </w:tcPr>
          <w:p w14:paraId="401B366E" w14:textId="1BFBE40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Podpísalo sa 100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záruk poskytnutých zvýšením kapitálu. </w:t>
            </w:r>
          </w:p>
        </w:tc>
        <w:tc>
          <w:tcPr>
            <w:tcW w:w="1245" w:type="dxa"/>
            <w:shd w:val="clear" w:color="auto" w:fill="C4EFCE"/>
            <w:tcMar>
              <w:left w:w="28" w:type="dxa"/>
              <w:right w:w="28" w:type="dxa"/>
            </w:tcMar>
            <w:vAlign w:val="center"/>
            <w:hideMark/>
          </w:tcPr>
          <w:p w14:paraId="6F03F3C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6" w:type="dxa"/>
            <w:shd w:val="clear" w:color="auto" w:fill="C4EFCE"/>
            <w:tcMar>
              <w:left w:w="28" w:type="dxa"/>
              <w:right w:w="28" w:type="dxa"/>
            </w:tcMar>
            <w:vAlign w:val="center"/>
            <w:hideMark/>
          </w:tcPr>
          <w:p w14:paraId="05ACD12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w:t>
            </w:r>
          </w:p>
        </w:tc>
        <w:tc>
          <w:tcPr>
            <w:tcW w:w="1167" w:type="dxa"/>
            <w:shd w:val="clear" w:color="auto" w:fill="C4EFCE"/>
            <w:tcMar>
              <w:left w:w="28" w:type="dxa"/>
              <w:right w:w="28" w:type="dxa"/>
            </w:tcMar>
            <w:vAlign w:val="center"/>
            <w:hideMark/>
          </w:tcPr>
          <w:p w14:paraId="51E051F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695" w:type="dxa"/>
            <w:shd w:val="clear" w:color="auto" w:fill="C4EFCE"/>
            <w:tcMar>
              <w:left w:w="28" w:type="dxa"/>
              <w:right w:w="28" w:type="dxa"/>
            </w:tcMar>
            <w:vAlign w:val="center"/>
            <w:hideMark/>
          </w:tcPr>
          <w:p w14:paraId="25B5E65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100</w:t>
            </w:r>
          </w:p>
        </w:tc>
        <w:tc>
          <w:tcPr>
            <w:tcW w:w="840" w:type="dxa"/>
            <w:shd w:val="clear" w:color="auto" w:fill="C4EFCE"/>
            <w:tcMar>
              <w:left w:w="28" w:type="dxa"/>
              <w:right w:w="28" w:type="dxa"/>
            </w:tcMar>
            <w:vAlign w:val="center"/>
            <w:hideMark/>
          </w:tcPr>
          <w:p w14:paraId="4E52A7D8" w14:textId="2CF5044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11" w:type="dxa"/>
            <w:shd w:val="clear" w:color="auto" w:fill="C4EFCE"/>
            <w:tcMar>
              <w:left w:w="28" w:type="dxa"/>
              <w:right w:w="28" w:type="dxa"/>
            </w:tcMar>
            <w:vAlign w:val="center"/>
            <w:hideMark/>
          </w:tcPr>
          <w:p w14:paraId="53FDD63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908" w:type="dxa"/>
            <w:shd w:val="clear" w:color="auto" w:fill="C4EFCE"/>
            <w:tcMar>
              <w:left w:w="28" w:type="dxa"/>
              <w:right w:w="28" w:type="dxa"/>
            </w:tcMar>
            <w:vAlign w:val="center"/>
            <w:hideMark/>
          </w:tcPr>
          <w:p w14:paraId="4C0F1601" w14:textId="214E36F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Podpísalo sa 100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záruk poskytnutých zvýšením kapitálu.</w:t>
            </w:r>
          </w:p>
        </w:tc>
      </w:tr>
      <w:tr w:rsidR="00387C70" w:rsidRPr="003F23AC" w14:paraId="05356182" w14:textId="77777777" w:rsidTr="00A26F8D">
        <w:trPr>
          <w:trHeight w:val="687"/>
        </w:trPr>
        <w:tc>
          <w:tcPr>
            <w:tcW w:w="1113" w:type="dxa"/>
            <w:shd w:val="clear" w:color="auto" w:fill="C4EFCE"/>
            <w:tcMar>
              <w:left w:w="28" w:type="dxa"/>
              <w:right w:w="28" w:type="dxa"/>
            </w:tcMar>
            <w:vAlign w:val="center"/>
          </w:tcPr>
          <w:p w14:paraId="3090E32F" w14:textId="6FE74260"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5.44</w:t>
            </w:r>
          </w:p>
        </w:tc>
        <w:tc>
          <w:tcPr>
            <w:tcW w:w="1246" w:type="dxa"/>
            <w:shd w:val="clear" w:color="auto" w:fill="C4EFCE"/>
            <w:tcMar>
              <w:left w:w="28" w:type="dxa"/>
              <w:right w:w="28" w:type="dxa"/>
            </w:tcMar>
            <w:vAlign w:val="center"/>
          </w:tcPr>
          <w:p w14:paraId="41683FBE" w14:textId="7E404F84" w:rsidR="00387C70" w:rsidRPr="003F23AC" w:rsidRDefault="00F218FC"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C05-i11</w:t>
            </w:r>
          </w:p>
        </w:tc>
        <w:tc>
          <w:tcPr>
            <w:tcW w:w="1108" w:type="dxa"/>
            <w:shd w:val="clear" w:color="auto" w:fill="C4EFCE"/>
            <w:tcMar>
              <w:left w:w="28" w:type="dxa"/>
              <w:right w:w="28" w:type="dxa"/>
            </w:tcMar>
            <w:vAlign w:val="center"/>
          </w:tcPr>
          <w:p w14:paraId="5762224E" w14:textId="0AACB3C4"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9" w:type="dxa"/>
            <w:shd w:val="clear" w:color="auto" w:fill="C4EFCE"/>
            <w:tcMar>
              <w:left w:w="28" w:type="dxa"/>
              <w:right w:w="28" w:type="dxa"/>
            </w:tcMar>
            <w:vAlign w:val="center"/>
          </w:tcPr>
          <w:p w14:paraId="6ACAF2B5" w14:textId="47205E7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Uzatváranie zmlúv na vývoj nových produktov, procesov alebo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príslušných strategických oblastiach (inovačné programy).</w:t>
            </w:r>
          </w:p>
        </w:tc>
        <w:tc>
          <w:tcPr>
            <w:tcW w:w="1245" w:type="dxa"/>
            <w:shd w:val="clear" w:color="auto" w:fill="C4EFCE"/>
            <w:tcMar>
              <w:left w:w="28" w:type="dxa"/>
              <w:right w:w="28" w:type="dxa"/>
            </w:tcMar>
            <w:vAlign w:val="center"/>
          </w:tcPr>
          <w:p w14:paraId="06CE0AEF" w14:textId="1878EFC3"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6" w:type="dxa"/>
            <w:shd w:val="clear" w:color="auto" w:fill="C4EFCE"/>
            <w:tcMar>
              <w:left w:w="28" w:type="dxa"/>
              <w:right w:w="28" w:type="dxa"/>
            </w:tcMar>
            <w:vAlign w:val="center"/>
          </w:tcPr>
          <w:p w14:paraId="29862BFF" w14:textId="4B1AB54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67" w:type="dxa"/>
            <w:shd w:val="clear" w:color="auto" w:fill="C4EFCE"/>
            <w:tcMar>
              <w:left w:w="28" w:type="dxa"/>
              <w:right w:w="28" w:type="dxa"/>
            </w:tcMar>
            <w:vAlign w:val="center"/>
          </w:tcPr>
          <w:p w14:paraId="1B529FD1" w14:textId="362CE58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w:t>
            </w:r>
          </w:p>
        </w:tc>
        <w:tc>
          <w:tcPr>
            <w:tcW w:w="695" w:type="dxa"/>
            <w:shd w:val="clear" w:color="auto" w:fill="C4EFCE"/>
            <w:tcMar>
              <w:left w:w="28" w:type="dxa"/>
              <w:right w:w="28" w:type="dxa"/>
            </w:tcMar>
            <w:vAlign w:val="center"/>
          </w:tcPr>
          <w:p w14:paraId="4BC9E805" w14:textId="1863689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28</w:t>
            </w:r>
          </w:p>
        </w:tc>
        <w:tc>
          <w:tcPr>
            <w:tcW w:w="840" w:type="dxa"/>
            <w:shd w:val="clear" w:color="auto" w:fill="C4EFCE"/>
            <w:tcMar>
              <w:left w:w="28" w:type="dxa"/>
              <w:right w:w="28" w:type="dxa"/>
            </w:tcMar>
            <w:vAlign w:val="center"/>
          </w:tcPr>
          <w:p w14:paraId="1BD6F284" w14:textId="34DAF071"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11" w:type="dxa"/>
            <w:shd w:val="clear" w:color="auto" w:fill="C4EFCE"/>
            <w:tcMar>
              <w:left w:w="28" w:type="dxa"/>
              <w:right w:w="28" w:type="dxa"/>
            </w:tcMar>
            <w:vAlign w:val="center"/>
          </w:tcPr>
          <w:p w14:paraId="20227E9B" w14:textId="71A93C0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908" w:type="dxa"/>
            <w:shd w:val="clear" w:color="auto" w:fill="C4EFCE"/>
            <w:tcMar>
              <w:left w:w="28" w:type="dxa"/>
              <w:right w:w="28" w:type="dxa"/>
            </w:tcMar>
            <w:vAlign w:val="center"/>
          </w:tcPr>
          <w:p w14:paraId="0471D376" w14:textId="64D14435" w:rsidR="00387C70" w:rsidRPr="003F23AC" w:rsidRDefault="000F5AA4" w:rsidP="003F23AC">
            <w:pPr>
              <w:pStyle w:val="P68B1DB1-Bodytext1013"/>
              <w:spacing w:after="0"/>
              <w:jc w:val="both"/>
              <w:rPr>
                <w:rFonts w:ascii="Times New Roman" w:hAnsi="Times New Roman" w:cs="Times New Roman"/>
                <w:noProof/>
                <w:lang w:val="sk-SK"/>
              </w:rPr>
            </w:pPr>
            <w:r w:rsidRPr="003F23AC">
              <w:rPr>
                <w:rFonts w:ascii="Times New Roman" w:hAnsi="Times New Roman" w:cs="Times New Roman"/>
                <w:noProof/>
                <w:lang w:val="sk-SK"/>
              </w:rPr>
              <w:t>Uzavretie 16 dodatočných zmlúv (inovačné pakty alebo mobilizačné projekty)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konzorciami, ktoré zahŕňajú:</w:t>
            </w:r>
          </w:p>
          <w:p w14:paraId="1DC9F869" w14:textId="77777777" w:rsidR="00387C70" w:rsidRPr="003F23AC" w:rsidRDefault="000F5AA4" w:rsidP="003F23AC">
            <w:pPr>
              <w:pStyle w:val="P68B1DB1-Bodytext1013"/>
              <w:spacing w:after="0"/>
              <w:jc w:val="both"/>
              <w:rPr>
                <w:rFonts w:ascii="Times New Roman" w:hAnsi="Times New Roman" w:cs="Times New Roman"/>
                <w:noProof/>
                <w:lang w:val="sk-SK"/>
              </w:rPr>
            </w:pPr>
            <w:r w:rsidRPr="003F23AC">
              <w:rPr>
                <w:rFonts w:ascii="Times New Roman" w:hAnsi="Times New Roman" w:cs="Times New Roman"/>
                <w:noProof/>
                <w:lang w:val="sk-SK"/>
              </w:rPr>
              <w:t>• Identifikácia subjektov tvoriacich konzorcium;</w:t>
            </w:r>
          </w:p>
          <w:p w14:paraId="684BA3DE" w14:textId="77777777" w:rsidR="00387C70" w:rsidRPr="003F23AC" w:rsidRDefault="000F5AA4" w:rsidP="003F23AC">
            <w:pPr>
              <w:pStyle w:val="P68B1DB1-Bodytext1013"/>
              <w:spacing w:after="0"/>
              <w:jc w:val="both"/>
              <w:rPr>
                <w:rFonts w:ascii="Times New Roman" w:hAnsi="Times New Roman" w:cs="Times New Roman"/>
                <w:noProof/>
                <w:lang w:val="sk-SK"/>
              </w:rPr>
            </w:pPr>
            <w:r w:rsidRPr="003F23AC">
              <w:rPr>
                <w:rFonts w:ascii="Times New Roman" w:hAnsi="Times New Roman" w:cs="Times New Roman"/>
                <w:noProof/>
                <w:lang w:val="sk-SK"/>
              </w:rPr>
              <w:t>• Podnikateľský plán/investíciu;</w:t>
            </w:r>
          </w:p>
          <w:p w14:paraId="38DA5FAE" w14:textId="77777777" w:rsidR="00387C70" w:rsidRPr="003F23AC" w:rsidRDefault="000F5AA4" w:rsidP="003F23AC">
            <w:pPr>
              <w:pStyle w:val="P68B1DB1-Bodytext1013"/>
              <w:spacing w:after="0"/>
              <w:jc w:val="both"/>
              <w:rPr>
                <w:rFonts w:ascii="Times New Roman" w:hAnsi="Times New Roman" w:cs="Times New Roman"/>
                <w:noProof/>
                <w:lang w:val="sk-SK"/>
              </w:rPr>
            </w:pPr>
            <w:r w:rsidRPr="003F23AC">
              <w:rPr>
                <w:rFonts w:ascii="Times New Roman" w:hAnsi="Times New Roman" w:cs="Times New Roman"/>
                <w:noProof/>
                <w:lang w:val="sk-SK"/>
              </w:rPr>
              <w:t>• výšku finančných prostriedkov;</w:t>
            </w:r>
          </w:p>
          <w:p w14:paraId="2C955C7F" w14:textId="77777777" w:rsidR="00387C70" w:rsidRPr="003F23AC" w:rsidRDefault="000F5AA4" w:rsidP="003F23AC">
            <w:pPr>
              <w:pStyle w:val="P68B1DB1-Bodytext1013"/>
              <w:spacing w:after="0"/>
              <w:jc w:val="both"/>
              <w:rPr>
                <w:rFonts w:ascii="Times New Roman" w:hAnsi="Times New Roman" w:cs="Times New Roman"/>
                <w:noProof/>
                <w:lang w:val="sk-SK"/>
              </w:rPr>
            </w:pPr>
            <w:r w:rsidRPr="003F23AC">
              <w:rPr>
                <w:rFonts w:ascii="Times New Roman" w:hAnsi="Times New Roman" w:cs="Times New Roman"/>
                <w:noProof/>
                <w:lang w:val="sk-SK"/>
              </w:rPr>
              <w:t>• Ciele, ktorými je príjemca viazaný;</w:t>
            </w:r>
          </w:p>
          <w:p w14:paraId="08E46F3A" w14:textId="77777777" w:rsidR="00A75B3C" w:rsidRPr="003F23AC" w:rsidRDefault="000F5AA4" w:rsidP="003F23AC">
            <w:pPr>
              <w:pStyle w:val="P68B1DB1-Bodytext1013"/>
              <w:spacing w:after="0"/>
              <w:jc w:val="both"/>
              <w:rPr>
                <w:rFonts w:ascii="Times New Roman" w:hAnsi="Times New Roman" w:cs="Times New Roman"/>
                <w:noProof/>
                <w:lang w:val="sk-SK"/>
              </w:rPr>
            </w:pPr>
            <w:r w:rsidRPr="003F23AC">
              <w:rPr>
                <w:rFonts w:ascii="Times New Roman" w:hAnsi="Times New Roman" w:cs="Times New Roman"/>
                <w:noProof/>
                <w:lang w:val="sk-SK"/>
              </w:rPr>
              <w:t>• Forma monitorovania</w:t>
            </w:r>
            <w:r w:rsidR="00A75B3C" w:rsidRPr="003F23AC">
              <w:rPr>
                <w:rFonts w:ascii="Times New Roman" w:hAnsi="Times New Roman" w:cs="Times New Roman"/>
                <w:noProof/>
                <w:lang w:val="sk-SK"/>
              </w:rPr>
              <w:t>.</w:t>
            </w:r>
          </w:p>
          <w:p w14:paraId="17CC2A9F" w14:textId="327A4997" w:rsidR="00387C70" w:rsidRPr="003F23AC" w:rsidRDefault="000F5AA4" w:rsidP="003F23AC">
            <w:pPr>
              <w:pStyle w:val="P68B1DB1-Bodytext1013"/>
              <w:spacing w:after="0"/>
              <w:jc w:val="both"/>
              <w:rPr>
                <w:rFonts w:ascii="Times New Roman" w:hAnsi="Times New Roman" w:cs="Times New Roman"/>
                <w:noProof/>
                <w:lang w:val="sk-SK"/>
              </w:rPr>
            </w:pPr>
            <w:r w:rsidRPr="003F23AC">
              <w:rPr>
                <w:rFonts w:ascii="Times New Roman" w:hAnsi="Times New Roman" w:cs="Times New Roman"/>
                <w:noProof/>
                <w:lang w:val="sk-SK"/>
              </w:rPr>
              <w:t>Zákazky podporujú spolu aspoň 446 produktov, procesov alebo služieb (PPS). Referenčný rámec zahŕňa kritériá oprávnenosti, ktorými sa zabezpečí, aby vybrané projekty boli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„výrazne nenarušiť“ (2021/C58/01)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p w14:paraId="0E8BCEEF" w14:textId="1C489EC0" w:rsidR="00387C70" w:rsidRPr="003F23AC" w:rsidRDefault="000F5AA4" w:rsidP="003F23AC">
            <w:pPr>
              <w:pStyle w:val="P68B1DB1-Bodytext1013"/>
              <w:spacing w:after="0"/>
              <w:jc w:val="both"/>
              <w:rPr>
                <w:rFonts w:ascii="Times New Roman" w:hAnsi="Times New Roman" w:cs="Times New Roman"/>
                <w:noProof/>
                <w:lang w:val="sk-SK"/>
              </w:rPr>
            </w:pPr>
            <w:r w:rsidRPr="003F23AC">
              <w:rPr>
                <w:rFonts w:ascii="Times New Roman" w:hAnsi="Times New Roman" w:cs="Times New Roman"/>
                <w:noProof/>
                <w:lang w:val="sk-SK"/>
              </w:rPr>
              <w:t>Zmluvy dopĺňajú zmluvy vykonávané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RE-C05-i01.01</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RE-C05-i09.</w:t>
            </w:r>
          </w:p>
          <w:p w14:paraId="665FD32D" w14:textId="00899EED"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Aspoň 366 PPS musí byť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oblasťou intervencie 021 (prevod technológií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spolupráca medzi podnikmi, výskumnými centrami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sektorom vzdelávania).</w:t>
            </w:r>
          </w:p>
        </w:tc>
      </w:tr>
      <w:tr w:rsidR="00387C70" w:rsidRPr="003F23AC" w14:paraId="400ED1E3" w14:textId="77777777" w:rsidTr="00A26F8D">
        <w:trPr>
          <w:trHeight w:val="687"/>
        </w:trPr>
        <w:tc>
          <w:tcPr>
            <w:tcW w:w="1113" w:type="dxa"/>
            <w:shd w:val="clear" w:color="auto" w:fill="C4EFCE"/>
            <w:tcMar>
              <w:left w:w="28" w:type="dxa"/>
              <w:right w:w="28" w:type="dxa"/>
            </w:tcMar>
            <w:vAlign w:val="center"/>
          </w:tcPr>
          <w:p w14:paraId="44700B14" w14:textId="1C6F6D95"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5.45</w:t>
            </w:r>
          </w:p>
        </w:tc>
        <w:tc>
          <w:tcPr>
            <w:tcW w:w="1246" w:type="dxa"/>
            <w:shd w:val="clear" w:color="auto" w:fill="C4EFCE"/>
            <w:tcMar>
              <w:left w:w="28" w:type="dxa"/>
              <w:right w:w="28" w:type="dxa"/>
            </w:tcMar>
            <w:vAlign w:val="center"/>
          </w:tcPr>
          <w:p w14:paraId="1965DF86" w14:textId="5CCA9E51" w:rsidR="00387C70" w:rsidRPr="003F23AC" w:rsidRDefault="00F218FC"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C05-i11</w:t>
            </w:r>
          </w:p>
        </w:tc>
        <w:tc>
          <w:tcPr>
            <w:tcW w:w="1108" w:type="dxa"/>
            <w:shd w:val="clear" w:color="auto" w:fill="C4EFCE"/>
            <w:tcMar>
              <w:left w:w="28" w:type="dxa"/>
              <w:right w:w="28" w:type="dxa"/>
            </w:tcMar>
            <w:vAlign w:val="center"/>
          </w:tcPr>
          <w:p w14:paraId="743CE8AD" w14:textId="28EEC1F6"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9" w:type="dxa"/>
            <w:shd w:val="clear" w:color="auto" w:fill="C4EFCE"/>
            <w:tcMar>
              <w:left w:w="28" w:type="dxa"/>
              <w:right w:w="28" w:type="dxa"/>
            </w:tcMar>
            <w:vAlign w:val="center"/>
          </w:tcPr>
          <w:p w14:paraId="5FB71C3F" w14:textId="15C82DD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446 výrobkov, procesov alebo služieb.</w:t>
            </w:r>
            <w:r w:rsidR="00A75B3C" w:rsidRPr="003F23AC">
              <w:rPr>
                <w:rFonts w:ascii="Times New Roman" w:hAnsi="Times New Roman" w:cs="Times New Roman"/>
                <w:noProof/>
                <w:lang w:val="sk-SK"/>
              </w:rPr>
              <w:t xml:space="preserve"> </w:t>
            </w:r>
          </w:p>
        </w:tc>
        <w:tc>
          <w:tcPr>
            <w:tcW w:w="1245" w:type="dxa"/>
            <w:shd w:val="clear" w:color="auto" w:fill="C4EFCE"/>
            <w:tcMar>
              <w:left w:w="28" w:type="dxa"/>
              <w:right w:w="28" w:type="dxa"/>
            </w:tcMar>
            <w:vAlign w:val="center"/>
          </w:tcPr>
          <w:p w14:paraId="0EC39034" w14:textId="02271F16"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6" w:type="dxa"/>
            <w:shd w:val="clear" w:color="auto" w:fill="C4EFCE"/>
            <w:tcMar>
              <w:left w:w="28" w:type="dxa"/>
              <w:right w:w="28" w:type="dxa"/>
            </w:tcMar>
            <w:vAlign w:val="center"/>
          </w:tcPr>
          <w:p w14:paraId="7F7FE345" w14:textId="6133707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67" w:type="dxa"/>
            <w:shd w:val="clear" w:color="auto" w:fill="C4EFCE"/>
            <w:tcMar>
              <w:left w:w="28" w:type="dxa"/>
              <w:right w:w="28" w:type="dxa"/>
            </w:tcMar>
            <w:vAlign w:val="center"/>
          </w:tcPr>
          <w:p w14:paraId="683EB9BC" w14:textId="43DAD69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228</w:t>
            </w:r>
          </w:p>
        </w:tc>
        <w:tc>
          <w:tcPr>
            <w:tcW w:w="695" w:type="dxa"/>
            <w:shd w:val="clear" w:color="auto" w:fill="C4EFCE"/>
            <w:tcMar>
              <w:left w:w="28" w:type="dxa"/>
              <w:right w:w="28" w:type="dxa"/>
            </w:tcMar>
            <w:vAlign w:val="center"/>
          </w:tcPr>
          <w:p w14:paraId="49686240" w14:textId="4EF220D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674</w:t>
            </w:r>
          </w:p>
        </w:tc>
        <w:tc>
          <w:tcPr>
            <w:tcW w:w="840" w:type="dxa"/>
            <w:shd w:val="clear" w:color="auto" w:fill="C4EFCE"/>
            <w:tcMar>
              <w:left w:w="28" w:type="dxa"/>
              <w:right w:w="28" w:type="dxa"/>
            </w:tcMar>
            <w:vAlign w:val="center"/>
          </w:tcPr>
          <w:p w14:paraId="448DFBE1" w14:textId="171A78DE"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11" w:type="dxa"/>
            <w:shd w:val="clear" w:color="auto" w:fill="C4EFCE"/>
            <w:tcMar>
              <w:left w:w="28" w:type="dxa"/>
              <w:right w:w="28" w:type="dxa"/>
            </w:tcMar>
            <w:vAlign w:val="center"/>
          </w:tcPr>
          <w:p w14:paraId="1604BD49" w14:textId="0EBDE02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908" w:type="dxa"/>
            <w:shd w:val="clear" w:color="auto" w:fill="C4EFCE"/>
            <w:tcMar>
              <w:left w:w="28" w:type="dxa"/>
              <w:right w:w="28" w:type="dxa"/>
            </w:tcMar>
            <w:vAlign w:val="center"/>
          </w:tcPr>
          <w:p w14:paraId="115DC3EA" w14:textId="7DB52B20" w:rsidR="00A75B3C"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Dokončenie 446 výrobkov, procesov alebo služieb (PPS)</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príslušných strategických oblastiach vyplývajúcich</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plnenia zmlúv (inovačných paktov alebo mobilizujúcich projektov) uzavretých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konzorciami</w:t>
            </w:r>
            <w:r w:rsidR="00A75B3C" w:rsidRPr="003F23AC">
              <w:rPr>
                <w:rFonts w:ascii="Times New Roman" w:hAnsi="Times New Roman" w:cs="Times New Roman"/>
                <w:noProof/>
                <w:lang w:val="sk-SK"/>
              </w:rPr>
              <w:t>.</w:t>
            </w:r>
          </w:p>
          <w:p w14:paraId="5870609D" w14:textId="0C6F9779" w:rsidR="00387C70" w:rsidRPr="003F23AC" w:rsidRDefault="000F5AA4" w:rsidP="003F23AC">
            <w:pPr>
              <w:pStyle w:val="P68B1DB1-Bodytext1013"/>
              <w:spacing w:after="0"/>
              <w:jc w:val="both"/>
              <w:rPr>
                <w:rFonts w:ascii="Times New Roman" w:hAnsi="Times New Roman" w:cs="Times New Roman"/>
                <w:noProof/>
                <w:lang w:val="sk-SK"/>
              </w:rPr>
            </w:pPr>
            <w:r w:rsidRPr="003F23AC">
              <w:rPr>
                <w:rFonts w:ascii="Times New Roman" w:hAnsi="Times New Roman" w:cs="Times New Roman"/>
                <w:noProof/>
                <w:lang w:val="sk-SK"/>
              </w:rPr>
              <w:t>PPS dopĺňa PPS zavedené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RE-C05-i01.01</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RE-C05-i09.</w:t>
            </w:r>
          </w:p>
          <w:p w14:paraId="4EDE4521" w14:textId="2447A0EC" w:rsidR="00387C70" w:rsidRPr="003F23AC" w:rsidRDefault="000F5AA4" w:rsidP="003F23AC">
            <w:pPr>
              <w:pStyle w:val="P68B1DB1-Bodytext1013"/>
              <w:spacing w:after="0"/>
              <w:jc w:val="both"/>
              <w:rPr>
                <w:rFonts w:ascii="Times New Roman" w:hAnsi="Times New Roman" w:cs="Times New Roman"/>
                <w:noProof/>
                <w:lang w:val="sk-SK"/>
              </w:rPr>
            </w:pPr>
            <w:r w:rsidRPr="003F23AC">
              <w:rPr>
                <w:rFonts w:ascii="Times New Roman" w:hAnsi="Times New Roman" w:cs="Times New Roman"/>
                <w:noProof/>
                <w:lang w:val="sk-SK"/>
              </w:rPr>
              <w:t>Aspoň 366 PPS sa zosúladí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oblasťou intervencie 021.</w:t>
            </w:r>
          </w:p>
        </w:tc>
      </w:tr>
      <w:tr w:rsidR="00387C70" w:rsidRPr="003F23AC" w14:paraId="1381D009" w14:textId="77777777" w:rsidTr="00A26F8D">
        <w:trPr>
          <w:trHeight w:val="687"/>
        </w:trPr>
        <w:tc>
          <w:tcPr>
            <w:tcW w:w="1113" w:type="dxa"/>
            <w:shd w:val="clear" w:color="auto" w:fill="C4EFCE"/>
            <w:tcMar>
              <w:left w:w="28" w:type="dxa"/>
              <w:right w:w="28" w:type="dxa"/>
            </w:tcMar>
            <w:vAlign w:val="center"/>
          </w:tcPr>
          <w:p w14:paraId="0CB16054" w14:textId="510C0E6F"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5.46</w:t>
            </w:r>
          </w:p>
        </w:tc>
        <w:tc>
          <w:tcPr>
            <w:tcW w:w="1246" w:type="dxa"/>
            <w:shd w:val="clear" w:color="auto" w:fill="C4EFCE"/>
            <w:tcMar>
              <w:left w:w="28" w:type="dxa"/>
              <w:right w:w="28" w:type="dxa"/>
            </w:tcMar>
            <w:vAlign w:val="center"/>
          </w:tcPr>
          <w:p w14:paraId="0BC93575" w14:textId="7C2D1C9B"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C05-i12</w:t>
            </w:r>
          </w:p>
        </w:tc>
        <w:tc>
          <w:tcPr>
            <w:tcW w:w="1108" w:type="dxa"/>
            <w:shd w:val="clear" w:color="auto" w:fill="C4EFCE"/>
            <w:tcMar>
              <w:left w:w="28" w:type="dxa"/>
              <w:right w:w="28" w:type="dxa"/>
            </w:tcMar>
            <w:vAlign w:val="center"/>
          </w:tcPr>
          <w:p w14:paraId="41149329" w14:textId="3F2AA183" w:rsidR="00387C70" w:rsidRPr="003F23AC" w:rsidRDefault="00C32C63"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1659" w:type="dxa"/>
            <w:shd w:val="clear" w:color="auto" w:fill="C4EFCE"/>
            <w:tcMar>
              <w:left w:w="28" w:type="dxa"/>
              <w:right w:w="28" w:type="dxa"/>
            </w:tcMar>
            <w:vAlign w:val="center"/>
          </w:tcPr>
          <w:p w14:paraId="4D5E5493" w14:textId="5AC7A44F"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Uzatváranie zmlúv na vývoj nových produktov, procesov alebo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strategických oblastiach relevantných pre nízkouhlíkové hospodárstvo, 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adaptáciu na zmenu klímy.</w:t>
            </w:r>
          </w:p>
        </w:tc>
        <w:tc>
          <w:tcPr>
            <w:tcW w:w="1245" w:type="dxa"/>
            <w:shd w:val="clear" w:color="auto" w:fill="C4EFCE"/>
            <w:tcMar>
              <w:left w:w="28" w:type="dxa"/>
              <w:right w:w="28" w:type="dxa"/>
            </w:tcMar>
            <w:vAlign w:val="center"/>
          </w:tcPr>
          <w:p w14:paraId="36DF6C96" w14:textId="790B542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6" w:type="dxa"/>
            <w:shd w:val="clear" w:color="auto" w:fill="C4EFCE"/>
            <w:tcMar>
              <w:left w:w="28" w:type="dxa"/>
              <w:right w:w="28" w:type="dxa"/>
            </w:tcMar>
            <w:vAlign w:val="center"/>
          </w:tcPr>
          <w:p w14:paraId="34558086" w14:textId="42A84CA3"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Počet</w:t>
            </w:r>
          </w:p>
        </w:tc>
        <w:tc>
          <w:tcPr>
            <w:tcW w:w="1167" w:type="dxa"/>
            <w:shd w:val="clear" w:color="auto" w:fill="C4EFCE"/>
            <w:tcMar>
              <w:left w:w="28" w:type="dxa"/>
              <w:right w:w="28" w:type="dxa"/>
            </w:tcMar>
            <w:vAlign w:val="center"/>
          </w:tcPr>
          <w:p w14:paraId="4F3059D7" w14:textId="4D90D56B"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10</w:t>
            </w:r>
          </w:p>
        </w:tc>
        <w:tc>
          <w:tcPr>
            <w:tcW w:w="695" w:type="dxa"/>
            <w:shd w:val="clear" w:color="auto" w:fill="C4EFCE"/>
            <w:tcMar>
              <w:left w:w="28" w:type="dxa"/>
              <w:right w:w="28" w:type="dxa"/>
            </w:tcMar>
            <w:vAlign w:val="center"/>
          </w:tcPr>
          <w:p w14:paraId="0CF359B0" w14:textId="59145B12"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w:t>
            </w:r>
          </w:p>
        </w:tc>
        <w:tc>
          <w:tcPr>
            <w:tcW w:w="840" w:type="dxa"/>
            <w:shd w:val="clear" w:color="auto" w:fill="C4EFCE"/>
            <w:tcMar>
              <w:left w:w="28" w:type="dxa"/>
              <w:right w:w="28" w:type="dxa"/>
            </w:tcMar>
            <w:vAlign w:val="center"/>
          </w:tcPr>
          <w:p w14:paraId="6EC45A79" w14:textId="0E896A73"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3. štvrťrok</w:t>
            </w:r>
          </w:p>
        </w:tc>
        <w:tc>
          <w:tcPr>
            <w:tcW w:w="411" w:type="dxa"/>
            <w:shd w:val="clear" w:color="auto" w:fill="C4EFCE"/>
            <w:tcMar>
              <w:left w:w="28" w:type="dxa"/>
              <w:right w:w="28" w:type="dxa"/>
            </w:tcMar>
            <w:vAlign w:val="center"/>
          </w:tcPr>
          <w:p w14:paraId="7DCFD43B" w14:textId="7189AC2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2023</w:t>
            </w:r>
          </w:p>
        </w:tc>
        <w:tc>
          <w:tcPr>
            <w:tcW w:w="4908" w:type="dxa"/>
            <w:shd w:val="clear" w:color="auto" w:fill="C4EFCE"/>
            <w:tcMar>
              <w:left w:w="28" w:type="dxa"/>
              <w:right w:w="28" w:type="dxa"/>
            </w:tcMar>
            <w:vAlign w:val="center"/>
          </w:tcPr>
          <w:p w14:paraId="499E39FF" w14:textId="5F926691" w:rsidR="00387C70" w:rsidRPr="003F23AC" w:rsidRDefault="000F5AA4" w:rsidP="003F23AC">
            <w:pPr>
              <w:pStyle w:val="P68B1DB1-Bodytext1013"/>
              <w:spacing w:after="0"/>
              <w:rPr>
                <w:rFonts w:ascii="Times New Roman" w:hAnsi="Times New Roman" w:cs="Times New Roman"/>
                <w:noProof/>
                <w:lang w:val="sk-SK"/>
              </w:rPr>
            </w:pPr>
            <w:r w:rsidRPr="003F23AC">
              <w:rPr>
                <w:rFonts w:ascii="Times New Roman" w:hAnsi="Times New Roman" w:cs="Times New Roman"/>
                <w:noProof/>
                <w:lang w:val="sk-SK"/>
              </w:rPr>
              <w:t>Uzavretie desiatich dodatočných zmlúv (inovačné pakty alebo mobilizačné projekty)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konzorciami, ktoré zahŕňajú:</w:t>
            </w:r>
          </w:p>
          <w:p w14:paraId="5623BFC8" w14:textId="77777777" w:rsidR="00387C70" w:rsidRPr="003F23AC" w:rsidRDefault="000F5AA4" w:rsidP="003F23AC">
            <w:pPr>
              <w:pStyle w:val="P68B1DB1-Bodytext1013"/>
              <w:spacing w:after="0"/>
              <w:rPr>
                <w:rFonts w:ascii="Times New Roman" w:hAnsi="Times New Roman" w:cs="Times New Roman"/>
                <w:noProof/>
                <w:lang w:val="sk-SK"/>
              </w:rPr>
            </w:pPr>
            <w:r w:rsidRPr="003F23AC">
              <w:rPr>
                <w:rFonts w:ascii="Times New Roman" w:hAnsi="Times New Roman" w:cs="Times New Roman"/>
                <w:noProof/>
                <w:lang w:val="sk-SK"/>
              </w:rPr>
              <w:t>• Identifikácia subjektov tvoriacich konzorcium;</w:t>
            </w:r>
          </w:p>
          <w:p w14:paraId="348134D2" w14:textId="77777777" w:rsidR="00387C70" w:rsidRPr="003F23AC" w:rsidRDefault="000F5AA4" w:rsidP="003F23AC">
            <w:pPr>
              <w:pStyle w:val="P68B1DB1-Bodytext1013"/>
              <w:spacing w:after="0"/>
              <w:rPr>
                <w:rFonts w:ascii="Times New Roman" w:hAnsi="Times New Roman" w:cs="Times New Roman"/>
                <w:noProof/>
                <w:lang w:val="sk-SK"/>
              </w:rPr>
            </w:pPr>
            <w:r w:rsidRPr="003F23AC">
              <w:rPr>
                <w:rFonts w:ascii="Times New Roman" w:hAnsi="Times New Roman" w:cs="Times New Roman"/>
                <w:noProof/>
                <w:lang w:val="sk-SK"/>
              </w:rPr>
              <w:t>• Podnikateľský plán/investíciu;</w:t>
            </w:r>
          </w:p>
          <w:p w14:paraId="5BD43BF9" w14:textId="77777777" w:rsidR="00387C70" w:rsidRPr="003F23AC" w:rsidRDefault="000F5AA4" w:rsidP="003F23AC">
            <w:pPr>
              <w:pStyle w:val="P68B1DB1-Bodytext1013"/>
              <w:spacing w:after="0"/>
              <w:rPr>
                <w:rFonts w:ascii="Times New Roman" w:hAnsi="Times New Roman" w:cs="Times New Roman"/>
                <w:noProof/>
                <w:lang w:val="sk-SK"/>
              </w:rPr>
            </w:pPr>
            <w:r w:rsidRPr="003F23AC">
              <w:rPr>
                <w:rFonts w:ascii="Times New Roman" w:hAnsi="Times New Roman" w:cs="Times New Roman"/>
                <w:noProof/>
                <w:lang w:val="sk-SK"/>
              </w:rPr>
              <w:t>• Výšku finančných prostriedkov;</w:t>
            </w:r>
          </w:p>
          <w:p w14:paraId="780D9792" w14:textId="77777777" w:rsidR="00387C70" w:rsidRPr="003F23AC" w:rsidRDefault="000F5AA4" w:rsidP="003F23AC">
            <w:pPr>
              <w:pStyle w:val="P68B1DB1-Bodytext1013"/>
              <w:spacing w:after="0"/>
              <w:rPr>
                <w:rFonts w:ascii="Times New Roman" w:hAnsi="Times New Roman" w:cs="Times New Roman"/>
                <w:noProof/>
                <w:lang w:val="sk-SK"/>
              </w:rPr>
            </w:pPr>
            <w:r w:rsidRPr="003F23AC">
              <w:rPr>
                <w:rFonts w:ascii="Times New Roman" w:hAnsi="Times New Roman" w:cs="Times New Roman"/>
                <w:noProof/>
                <w:lang w:val="sk-SK"/>
              </w:rPr>
              <w:t>• Ciele, ktorými je príjemca viazaný;</w:t>
            </w:r>
          </w:p>
          <w:p w14:paraId="6B09F702" w14:textId="77777777" w:rsidR="00A75B3C" w:rsidRPr="003F23AC" w:rsidRDefault="000F5AA4" w:rsidP="003F23AC">
            <w:pPr>
              <w:pStyle w:val="P68B1DB1-Bodytext1013"/>
              <w:spacing w:after="0"/>
              <w:rPr>
                <w:rFonts w:ascii="Times New Roman" w:hAnsi="Times New Roman" w:cs="Times New Roman"/>
                <w:noProof/>
                <w:lang w:val="sk-SK"/>
              </w:rPr>
            </w:pPr>
            <w:r w:rsidRPr="003F23AC">
              <w:rPr>
                <w:rFonts w:ascii="Times New Roman" w:hAnsi="Times New Roman" w:cs="Times New Roman"/>
                <w:noProof/>
                <w:lang w:val="sk-SK"/>
              </w:rPr>
              <w:t>• Forma monitorovania</w:t>
            </w:r>
            <w:r w:rsidR="00A75B3C" w:rsidRPr="003F23AC">
              <w:rPr>
                <w:rFonts w:ascii="Times New Roman" w:hAnsi="Times New Roman" w:cs="Times New Roman"/>
                <w:noProof/>
                <w:lang w:val="sk-SK"/>
              </w:rPr>
              <w:t>.</w:t>
            </w:r>
          </w:p>
          <w:p w14:paraId="17D70312" w14:textId="0207B212" w:rsidR="00A75B3C" w:rsidRPr="003F23AC" w:rsidRDefault="000F5AA4" w:rsidP="003F23AC">
            <w:pPr>
              <w:pStyle w:val="P68B1DB1-Bodytext1013"/>
              <w:spacing w:after="0"/>
              <w:rPr>
                <w:rFonts w:ascii="Times New Roman" w:hAnsi="Times New Roman" w:cs="Times New Roman"/>
                <w:noProof/>
                <w:lang w:val="sk-SK"/>
              </w:rPr>
            </w:pPr>
            <w:r w:rsidRPr="003F23AC">
              <w:rPr>
                <w:rFonts w:ascii="Times New Roman" w:hAnsi="Times New Roman" w:cs="Times New Roman"/>
                <w:noProof/>
                <w:lang w:val="sk-SK"/>
              </w:rPr>
              <w:t>Zákazky podporujú celkovo najmenej 147 výrobkov, procesov alebo služieb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sú</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oblasťou intervencie 022 (Výskumné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inovačné procesy, transfer technológií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spolupráca medzi spoločnosťami so zameraním na nízkouhlíkové hospodárstvo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adaptáciu na zmenu klímy)</w:t>
            </w:r>
            <w:r w:rsidR="00A75B3C" w:rsidRPr="003F23AC">
              <w:rPr>
                <w:rFonts w:ascii="Times New Roman" w:hAnsi="Times New Roman" w:cs="Times New Roman"/>
                <w:noProof/>
                <w:lang w:val="sk-SK"/>
              </w:rPr>
              <w:t>.</w:t>
            </w:r>
          </w:p>
          <w:p w14:paraId="6C00454A" w14:textId="11F1A298" w:rsidR="00387C70" w:rsidRPr="003F23AC" w:rsidRDefault="000F5AA4" w:rsidP="003F23AC">
            <w:pPr>
              <w:pStyle w:val="P68B1DB1-Bodytext1013"/>
              <w:spacing w:after="0"/>
              <w:rPr>
                <w:rFonts w:ascii="Times New Roman" w:hAnsi="Times New Roman" w:cs="Times New Roman"/>
                <w:noProof/>
                <w:lang w:val="sk-SK"/>
              </w:rPr>
            </w:pPr>
            <w:r w:rsidRPr="003F23AC">
              <w:rPr>
                <w:rFonts w:ascii="Times New Roman" w:hAnsi="Times New Roman" w:cs="Times New Roman"/>
                <w:noProof/>
                <w:lang w:val="sk-SK"/>
              </w:rPr>
              <w:t>Referenčný rámec zahŕňa kritériá oprávnenosti, ktorými sa zabezpečí, aby vybrané projekty boli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„výrazne nenarušiť“ (2021/C58/01)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p w14:paraId="290DDA70" w14:textId="17EE5A82" w:rsidR="00387C70"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Zmluvy dopĺňajú zmluvy vykonávané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RE-C05-i01.02</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RE-C05-i10.</w:t>
            </w:r>
          </w:p>
        </w:tc>
      </w:tr>
      <w:tr w:rsidR="00387C70" w:rsidRPr="003F23AC" w14:paraId="7431C32C" w14:textId="77777777" w:rsidTr="00A26F8D">
        <w:trPr>
          <w:trHeight w:val="274"/>
        </w:trPr>
        <w:tc>
          <w:tcPr>
            <w:tcW w:w="1113" w:type="dxa"/>
            <w:shd w:val="clear" w:color="auto" w:fill="C4EFCE"/>
            <w:tcMar>
              <w:left w:w="28" w:type="dxa"/>
              <w:right w:w="28" w:type="dxa"/>
            </w:tcMar>
            <w:vAlign w:val="center"/>
          </w:tcPr>
          <w:p w14:paraId="32CF2A49" w14:textId="78E07266"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5.47</w:t>
            </w:r>
          </w:p>
        </w:tc>
        <w:tc>
          <w:tcPr>
            <w:tcW w:w="1246" w:type="dxa"/>
            <w:shd w:val="clear" w:color="auto" w:fill="C4EFCE"/>
            <w:tcMar>
              <w:left w:w="28" w:type="dxa"/>
              <w:right w:w="28" w:type="dxa"/>
            </w:tcMar>
            <w:vAlign w:val="center"/>
          </w:tcPr>
          <w:p w14:paraId="509613B3" w14:textId="071C76DD"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C05-i12</w:t>
            </w:r>
          </w:p>
        </w:tc>
        <w:tc>
          <w:tcPr>
            <w:tcW w:w="1108" w:type="dxa"/>
            <w:shd w:val="clear" w:color="auto" w:fill="C4EFCE"/>
            <w:tcMar>
              <w:left w:w="28" w:type="dxa"/>
              <w:right w:w="28" w:type="dxa"/>
            </w:tcMar>
            <w:vAlign w:val="center"/>
          </w:tcPr>
          <w:p w14:paraId="287EAA6C" w14:textId="767EDCC7" w:rsidR="00387C70" w:rsidRPr="003F23AC" w:rsidRDefault="00C32C63"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1659" w:type="dxa"/>
            <w:shd w:val="clear" w:color="auto" w:fill="C4EFCE"/>
            <w:tcMar>
              <w:left w:w="28" w:type="dxa"/>
              <w:right w:w="28" w:type="dxa"/>
            </w:tcMar>
            <w:vAlign w:val="center"/>
          </w:tcPr>
          <w:p w14:paraId="1E5CB665" w14:textId="24B93146"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Dokončené výrobky, procesy alebo služby relevantné pre nízkouhlíkové hospodárstvo, 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adaptáciu na zmenu klímy.</w:t>
            </w:r>
          </w:p>
        </w:tc>
        <w:tc>
          <w:tcPr>
            <w:tcW w:w="1245" w:type="dxa"/>
            <w:shd w:val="clear" w:color="auto" w:fill="C4EFCE"/>
            <w:tcMar>
              <w:left w:w="28" w:type="dxa"/>
              <w:right w:w="28" w:type="dxa"/>
            </w:tcMar>
            <w:vAlign w:val="center"/>
          </w:tcPr>
          <w:p w14:paraId="65CE0D44" w14:textId="2FFC40C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6" w:type="dxa"/>
            <w:shd w:val="clear" w:color="auto" w:fill="C4EFCE"/>
            <w:tcMar>
              <w:left w:w="28" w:type="dxa"/>
              <w:right w:w="28" w:type="dxa"/>
            </w:tcMar>
            <w:vAlign w:val="center"/>
          </w:tcPr>
          <w:p w14:paraId="2CDFDBF8" w14:textId="7B4E4CC9"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Počet</w:t>
            </w:r>
          </w:p>
        </w:tc>
        <w:tc>
          <w:tcPr>
            <w:tcW w:w="1167" w:type="dxa"/>
            <w:shd w:val="clear" w:color="auto" w:fill="C4EFCE"/>
            <w:tcMar>
              <w:left w:w="28" w:type="dxa"/>
              <w:right w:w="28" w:type="dxa"/>
            </w:tcMar>
            <w:vAlign w:val="center"/>
          </w:tcPr>
          <w:p w14:paraId="23069303" w14:textId="0D9C234C"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138</w:t>
            </w:r>
          </w:p>
        </w:tc>
        <w:tc>
          <w:tcPr>
            <w:tcW w:w="695" w:type="dxa"/>
            <w:shd w:val="clear" w:color="auto" w:fill="C4EFCE"/>
            <w:tcMar>
              <w:left w:w="28" w:type="dxa"/>
              <w:right w:w="28" w:type="dxa"/>
            </w:tcMar>
            <w:vAlign w:val="center"/>
          </w:tcPr>
          <w:p w14:paraId="4E428C5E" w14:textId="639B2AE1"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285</w:t>
            </w:r>
          </w:p>
        </w:tc>
        <w:tc>
          <w:tcPr>
            <w:tcW w:w="840" w:type="dxa"/>
            <w:shd w:val="clear" w:color="auto" w:fill="C4EFCE"/>
            <w:tcMar>
              <w:left w:w="28" w:type="dxa"/>
              <w:right w:w="28" w:type="dxa"/>
            </w:tcMar>
            <w:vAlign w:val="center"/>
          </w:tcPr>
          <w:p w14:paraId="6A0FC76A" w14:textId="079B2345"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4. štvrťrok</w:t>
            </w:r>
          </w:p>
        </w:tc>
        <w:tc>
          <w:tcPr>
            <w:tcW w:w="411" w:type="dxa"/>
            <w:shd w:val="clear" w:color="auto" w:fill="C4EFCE"/>
            <w:tcMar>
              <w:left w:w="28" w:type="dxa"/>
              <w:right w:w="28" w:type="dxa"/>
            </w:tcMar>
            <w:vAlign w:val="center"/>
          </w:tcPr>
          <w:p w14:paraId="7A622278" w14:textId="0287DEB1"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2025</w:t>
            </w:r>
          </w:p>
        </w:tc>
        <w:tc>
          <w:tcPr>
            <w:tcW w:w="4908" w:type="dxa"/>
            <w:shd w:val="clear" w:color="auto" w:fill="C4EFCE"/>
            <w:tcMar>
              <w:left w:w="28" w:type="dxa"/>
              <w:right w:w="28" w:type="dxa"/>
            </w:tcMar>
            <w:vAlign w:val="center"/>
          </w:tcPr>
          <w:p w14:paraId="1F263104" w14:textId="60CAC3FF" w:rsidR="00387C70"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Dokončenie 147 výrobkov, procesov alebo služieb (PPS) vyplývajúcich</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vykonávania zmlúv (inovačných paktov alebo mobilizačných projektov) uzavretých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konzorciami, zosúladenie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oblasťou intervencie 022 (Výskumné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inovačné procesy, prenos technológií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spolupráca medzi spoločnosťami so zameraním na nízkouhlíkové hospodárstvo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adaptáciu na zmenu klímy).</w:t>
            </w:r>
          </w:p>
          <w:p w14:paraId="21D14431" w14:textId="3F194649" w:rsidR="00387C70"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PPS dopĺňa PPS zavedené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RE-C05-i01.02</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RE-C05-i10.</w:t>
            </w:r>
          </w:p>
        </w:tc>
      </w:tr>
    </w:tbl>
    <w:p w14:paraId="58F116A2" w14:textId="5535E252" w:rsidR="00387C70" w:rsidRPr="003F23AC" w:rsidRDefault="00387C70" w:rsidP="003F23AC">
      <w:pPr>
        <w:spacing w:before="40" w:after="0" w:line="259" w:lineRule="auto"/>
        <w:ind w:left="130" w:firstLine="720"/>
        <w:jc w:val="both"/>
        <w:outlineLvl w:val="2"/>
        <w:rPr>
          <w:rFonts w:ascii="Times New Roman" w:eastAsiaTheme="minorEastAsia" w:hAnsi="Times New Roman" w:cs="Times New Roman"/>
          <w:b/>
          <w:noProof/>
          <w:sz w:val="24"/>
          <w:u w:val="single"/>
          <w:lang w:val="sk-SK"/>
        </w:rPr>
        <w:sectPr w:rsidR="00387C70" w:rsidRPr="003F23AC" w:rsidSect="00E00EDD">
          <w:headerReference w:type="even" r:id="rId114"/>
          <w:headerReference w:type="default" r:id="rId115"/>
          <w:footerReference w:type="even" r:id="rId116"/>
          <w:footerReference w:type="default" r:id="rId117"/>
          <w:headerReference w:type="first" r:id="rId118"/>
          <w:footerReference w:type="first" r:id="rId119"/>
          <w:pgSz w:w="16839" w:h="11907" w:orient="landscape"/>
          <w:pgMar w:top="1134" w:right="1134" w:bottom="1134" w:left="1134" w:header="567" w:footer="567" w:gutter="0"/>
          <w:cols w:space="720"/>
          <w:docGrid w:linePitch="360"/>
        </w:sectPr>
      </w:pPr>
    </w:p>
    <w:p w14:paraId="33FE1FD1" w14:textId="65E63BE2"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F</w:t>
      </w:r>
      <w:r w:rsidR="00C32C63" w:rsidRPr="003F23AC">
        <w:rPr>
          <w:rFonts w:cs="Times New Roman"/>
          <w:noProof/>
          <w:lang w:val="sk-SK"/>
        </w:rPr>
        <w:t>. KOMPONENT</w:t>
      </w:r>
      <w:r w:rsidRPr="003F23AC">
        <w:rPr>
          <w:rFonts w:cs="Times New Roman"/>
          <w:noProof/>
          <w:lang w:val="sk-SK"/>
        </w:rPr>
        <w:t xml:space="preserve"> 6: Kvalifikácie</w:t>
      </w:r>
      <w:r w:rsidR="00A75B3C" w:rsidRPr="003F23AC">
        <w:rPr>
          <w:rFonts w:cs="Times New Roman"/>
          <w:noProof/>
          <w:lang w:val="sk-SK"/>
        </w:rPr>
        <w:t xml:space="preserve"> a </w:t>
      </w:r>
      <w:r w:rsidRPr="003F23AC">
        <w:rPr>
          <w:rFonts w:cs="Times New Roman"/>
          <w:noProof/>
          <w:lang w:val="sk-SK"/>
        </w:rPr>
        <w:t>zručnosti</w:t>
      </w:r>
    </w:p>
    <w:p w14:paraId="5B4D98FE" w14:textId="316D926C"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V Portugalsku malo</w:t>
      </w:r>
      <w:r w:rsidR="00A75B3C" w:rsidRPr="003F23AC">
        <w:rPr>
          <w:rFonts w:cs="Times New Roman"/>
          <w:noProof/>
          <w:lang w:val="sk-SK"/>
        </w:rPr>
        <w:t xml:space="preserve"> v </w:t>
      </w:r>
      <w:r w:rsidRPr="003F23AC">
        <w:rPr>
          <w:rFonts w:cs="Times New Roman"/>
          <w:noProof/>
          <w:lang w:val="sk-SK"/>
        </w:rPr>
        <w:t>roku 2020 úroveň dosiahnutého vzdelania 44,5</w:t>
      </w:r>
      <w:r w:rsidR="00A75B3C" w:rsidRPr="003F23AC">
        <w:rPr>
          <w:rFonts w:cs="Times New Roman"/>
          <w:noProof/>
          <w:lang w:val="sk-SK"/>
        </w:rPr>
        <w:t> %</w:t>
      </w:r>
      <w:r w:rsidRPr="003F23AC">
        <w:rPr>
          <w:rFonts w:cs="Times New Roman"/>
          <w:noProof/>
          <w:lang w:val="sk-SK"/>
        </w:rPr>
        <w:t xml:space="preserve"> obyvateľstva vo veku 25 – 64 rokov, čo je výrazne nad priemerom EÚ na úrovni 25,0</w:t>
      </w:r>
      <w:r w:rsidR="00A75B3C" w:rsidRPr="003F23AC">
        <w:rPr>
          <w:rFonts w:cs="Times New Roman"/>
          <w:noProof/>
          <w:lang w:val="sk-SK"/>
        </w:rPr>
        <w:t> %</w:t>
      </w:r>
      <w:r w:rsidRPr="003F23AC">
        <w:rPr>
          <w:rFonts w:cs="Times New Roman"/>
          <w:noProof/>
          <w:lang w:val="sk-SK"/>
        </w:rPr>
        <w:t>. Okrem toho je veľmi vysoký podiel obyvateľstva, ktoré má základné digitálne zručnosti alebo nikdy nepoužilo internet. Rovnako segmentácia trhu práce</w:t>
      </w:r>
      <w:r w:rsidR="00A75B3C" w:rsidRPr="003F23AC">
        <w:rPr>
          <w:rFonts w:cs="Times New Roman"/>
          <w:noProof/>
          <w:lang w:val="sk-SK"/>
        </w:rPr>
        <w:t xml:space="preserve"> a </w:t>
      </w:r>
      <w:r w:rsidRPr="003F23AC">
        <w:rPr>
          <w:rFonts w:cs="Times New Roman"/>
          <w:noProof/>
          <w:lang w:val="sk-SK"/>
        </w:rPr>
        <w:t>rodová nerovnováha</w:t>
      </w:r>
      <w:r w:rsidR="00A75B3C" w:rsidRPr="003F23AC">
        <w:rPr>
          <w:rFonts w:cs="Times New Roman"/>
          <w:noProof/>
          <w:lang w:val="sk-SK"/>
        </w:rPr>
        <w:t xml:space="preserve"> v </w:t>
      </w:r>
      <w:r w:rsidRPr="003F23AC">
        <w:rPr>
          <w:rFonts w:cs="Times New Roman"/>
          <w:noProof/>
          <w:lang w:val="sk-SK"/>
        </w:rPr>
        <w:t>odmeňovaní</w:t>
      </w:r>
      <w:r w:rsidR="00A75B3C" w:rsidRPr="003F23AC">
        <w:rPr>
          <w:rFonts w:cs="Times New Roman"/>
          <w:noProof/>
          <w:lang w:val="sk-SK"/>
        </w:rPr>
        <w:t xml:space="preserve"> a </w:t>
      </w:r>
      <w:r w:rsidRPr="003F23AC">
        <w:rPr>
          <w:rFonts w:cs="Times New Roman"/>
          <w:noProof/>
          <w:lang w:val="sk-SK"/>
        </w:rPr>
        <w:t>kariérnych príležitostiach sú podľa noriem EÚ naďalej vysoké</w:t>
      </w:r>
      <w:r w:rsidR="00A75B3C" w:rsidRPr="003F23AC">
        <w:rPr>
          <w:rFonts w:cs="Times New Roman"/>
          <w:noProof/>
          <w:lang w:val="sk-SK"/>
        </w:rPr>
        <w:t>.</w:t>
      </w:r>
    </w:p>
    <w:p w14:paraId="6E28506B" w14:textId="34D2CCA9"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zložka sa zaoberá viacerými výzvami súvisiacimi</w:t>
      </w:r>
      <w:r w:rsidR="00A75B3C" w:rsidRPr="003F23AC">
        <w:rPr>
          <w:rFonts w:cs="Times New Roman"/>
          <w:noProof/>
          <w:lang w:val="sk-SK"/>
        </w:rPr>
        <w:t xml:space="preserve"> s </w:t>
      </w:r>
      <w:r w:rsidRPr="003F23AC">
        <w:rPr>
          <w:rFonts w:cs="Times New Roman"/>
          <w:noProof/>
          <w:lang w:val="sk-SK"/>
        </w:rPr>
        <w:t>relatívne nízkou úrovňou vzdelania</w:t>
      </w:r>
      <w:r w:rsidR="00A75B3C" w:rsidRPr="003F23AC">
        <w:rPr>
          <w:rFonts w:cs="Times New Roman"/>
          <w:noProof/>
          <w:lang w:val="sk-SK"/>
        </w:rPr>
        <w:t xml:space="preserve"> a </w:t>
      </w:r>
      <w:r w:rsidRPr="003F23AC">
        <w:rPr>
          <w:rFonts w:cs="Times New Roman"/>
          <w:noProof/>
          <w:lang w:val="sk-SK"/>
        </w:rPr>
        <w:t>dosiahnutého vzdelania, účasťou na celoživotnom vzdelávaní, segmentáciou trhu práce, odstraňovaním administratívnych prekážok</w:t>
      </w:r>
      <w:r w:rsidR="00A75B3C" w:rsidRPr="003F23AC">
        <w:rPr>
          <w:rFonts w:cs="Times New Roman"/>
          <w:noProof/>
          <w:lang w:val="sk-SK"/>
        </w:rPr>
        <w:t xml:space="preserve"> v </w:t>
      </w:r>
      <w:r w:rsidRPr="003F23AC">
        <w:rPr>
          <w:rFonts w:cs="Times New Roman"/>
          <w:noProof/>
          <w:lang w:val="sk-SK"/>
        </w:rPr>
        <w:t>oblasti vysoko regulovaných povolaní, prípravou na výzvy spojené</w:t>
      </w:r>
      <w:r w:rsidR="00A75B3C" w:rsidRPr="003F23AC">
        <w:rPr>
          <w:rFonts w:cs="Times New Roman"/>
          <w:noProof/>
          <w:lang w:val="sk-SK"/>
        </w:rPr>
        <w:t xml:space="preserve"> s </w:t>
      </w:r>
      <w:r w:rsidRPr="003F23AC">
        <w:rPr>
          <w:rFonts w:cs="Times New Roman"/>
          <w:noProof/>
          <w:lang w:val="sk-SK"/>
        </w:rPr>
        <w:t>budúcnosťou práce</w:t>
      </w:r>
      <w:r w:rsidR="00A75B3C" w:rsidRPr="003F23AC">
        <w:rPr>
          <w:rFonts w:cs="Times New Roman"/>
          <w:noProof/>
          <w:lang w:val="sk-SK"/>
        </w:rPr>
        <w:t xml:space="preserve"> a </w:t>
      </w:r>
      <w:r w:rsidRPr="003F23AC">
        <w:rPr>
          <w:rFonts w:cs="Times New Roman"/>
          <w:noProof/>
          <w:lang w:val="sk-SK"/>
        </w:rPr>
        <w:t>rodovou rovnosťou</w:t>
      </w:r>
      <w:r w:rsidR="00A75B3C" w:rsidRPr="003F23AC">
        <w:rPr>
          <w:rFonts w:cs="Times New Roman"/>
          <w:noProof/>
          <w:lang w:val="sk-SK"/>
        </w:rPr>
        <w:t xml:space="preserve"> a </w:t>
      </w:r>
      <w:r w:rsidRPr="003F23AC">
        <w:rPr>
          <w:rFonts w:cs="Times New Roman"/>
          <w:noProof/>
          <w:lang w:val="sk-SK"/>
        </w:rPr>
        <w:t>rovnakými príležitosťami</w:t>
      </w:r>
      <w:r w:rsidR="00A75B3C" w:rsidRPr="003F23AC">
        <w:rPr>
          <w:rFonts w:cs="Times New Roman"/>
          <w:noProof/>
          <w:lang w:val="sk-SK"/>
        </w:rPr>
        <w:t>.</w:t>
      </w:r>
    </w:p>
    <w:p w14:paraId="32167D57" w14:textId="5D9B1FB0"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Ciele tejto zložky sú široké</w:t>
      </w:r>
      <w:r w:rsidR="00A75B3C" w:rsidRPr="003F23AC">
        <w:rPr>
          <w:rFonts w:cs="Times New Roman"/>
          <w:noProof/>
          <w:lang w:val="sk-SK"/>
        </w:rPr>
        <w:t xml:space="preserve"> a </w:t>
      </w:r>
      <w:r w:rsidRPr="003F23AC">
        <w:rPr>
          <w:rFonts w:cs="Times New Roman"/>
          <w:noProof/>
          <w:lang w:val="sk-SK"/>
        </w:rPr>
        <w:t>zahŕňajú získavanie zručností</w:t>
      </w:r>
      <w:r w:rsidR="00A75B3C" w:rsidRPr="003F23AC">
        <w:rPr>
          <w:rFonts w:cs="Times New Roman"/>
          <w:noProof/>
          <w:lang w:val="sk-SK"/>
        </w:rPr>
        <w:t xml:space="preserve"> a </w:t>
      </w:r>
      <w:r w:rsidRPr="003F23AC">
        <w:rPr>
          <w:rFonts w:cs="Times New Roman"/>
          <w:noProof/>
          <w:lang w:val="sk-SK"/>
        </w:rPr>
        <w:t>zvyšovanie úrovne zručností, niektoré prekážky</w:t>
      </w:r>
      <w:r w:rsidR="00A75B3C" w:rsidRPr="003F23AC">
        <w:rPr>
          <w:rFonts w:cs="Times New Roman"/>
          <w:noProof/>
          <w:lang w:val="sk-SK"/>
        </w:rPr>
        <w:t xml:space="preserve"> v </w:t>
      </w:r>
      <w:r w:rsidRPr="003F23AC">
        <w:rPr>
          <w:rFonts w:cs="Times New Roman"/>
          <w:noProof/>
          <w:lang w:val="sk-SK"/>
        </w:rPr>
        <w:t>podnikateľskom prostredí, segmentáciu trhu práce, rodovú rovnováhu</w:t>
      </w:r>
      <w:r w:rsidR="00A75B3C" w:rsidRPr="003F23AC">
        <w:rPr>
          <w:rFonts w:cs="Times New Roman"/>
          <w:noProof/>
          <w:lang w:val="sk-SK"/>
        </w:rPr>
        <w:t xml:space="preserve"> a </w:t>
      </w:r>
      <w:r w:rsidRPr="003F23AC">
        <w:rPr>
          <w:rFonts w:cs="Times New Roman"/>
          <w:noProof/>
          <w:lang w:val="sk-SK"/>
        </w:rPr>
        <w:t>rovnaké príležitosti. Pokiaľ ide</w:t>
      </w:r>
      <w:r w:rsidR="00A75B3C" w:rsidRPr="003F23AC">
        <w:rPr>
          <w:rFonts w:cs="Times New Roman"/>
          <w:noProof/>
          <w:lang w:val="sk-SK"/>
        </w:rPr>
        <w:t xml:space="preserve"> o </w:t>
      </w:r>
      <w:r w:rsidRPr="003F23AC">
        <w:rPr>
          <w:rFonts w:cs="Times New Roman"/>
          <w:noProof/>
          <w:lang w:val="sk-SK"/>
        </w:rPr>
        <w:t>výrobný potenciál, táto zložka sa zameriava na opatrenia na zvýšenie nízkej úrovne kvalifikácie</w:t>
      </w:r>
      <w:r w:rsidR="00A75B3C" w:rsidRPr="003F23AC">
        <w:rPr>
          <w:rFonts w:cs="Times New Roman"/>
          <w:noProof/>
          <w:lang w:val="sk-SK"/>
        </w:rPr>
        <w:t xml:space="preserve"> a </w:t>
      </w:r>
      <w:r w:rsidRPr="003F23AC">
        <w:rPr>
          <w:rFonts w:cs="Times New Roman"/>
          <w:noProof/>
          <w:lang w:val="sk-SK"/>
        </w:rPr>
        <w:t>zlepšenie účasti na celoživotnom vzdelávaní prostredníctvom reformy systémov vzdelávania</w:t>
      </w:r>
      <w:r w:rsidR="00A75B3C" w:rsidRPr="003F23AC">
        <w:rPr>
          <w:rFonts w:cs="Times New Roman"/>
          <w:noProof/>
          <w:lang w:val="sk-SK"/>
        </w:rPr>
        <w:t xml:space="preserve"> a </w:t>
      </w:r>
      <w:r w:rsidRPr="003F23AC">
        <w:rPr>
          <w:rFonts w:cs="Times New Roman"/>
          <w:noProof/>
          <w:lang w:val="sk-SK"/>
        </w:rPr>
        <w:t>odborného vzdelávania</w:t>
      </w:r>
      <w:r w:rsidR="00A75B3C" w:rsidRPr="003F23AC">
        <w:rPr>
          <w:rFonts w:cs="Times New Roman"/>
          <w:noProof/>
          <w:lang w:val="sk-SK"/>
        </w:rPr>
        <w:t xml:space="preserve"> a </w:t>
      </w:r>
      <w:r w:rsidRPr="003F23AC">
        <w:rPr>
          <w:rFonts w:cs="Times New Roman"/>
          <w:noProof/>
          <w:lang w:val="sk-SK"/>
        </w:rPr>
        <w:t>prípravy (OVP), na podporu prenosu znalostí medzi univerzitami/verejnými výskumnými organizáciami</w:t>
      </w:r>
      <w:r w:rsidR="00A75B3C" w:rsidRPr="003F23AC">
        <w:rPr>
          <w:rFonts w:cs="Times New Roman"/>
          <w:noProof/>
          <w:lang w:val="sk-SK"/>
        </w:rPr>
        <w:t xml:space="preserve"> a </w:t>
      </w:r>
      <w:r w:rsidRPr="003F23AC">
        <w:rPr>
          <w:rFonts w:cs="Times New Roman"/>
          <w:noProof/>
          <w:lang w:val="sk-SK"/>
        </w:rPr>
        <w:t>firmami</w:t>
      </w:r>
      <w:r w:rsidR="00A75B3C" w:rsidRPr="003F23AC">
        <w:rPr>
          <w:rFonts w:cs="Times New Roman"/>
          <w:noProof/>
          <w:lang w:val="sk-SK"/>
        </w:rPr>
        <w:t xml:space="preserve"> a </w:t>
      </w:r>
      <w:r w:rsidRPr="003F23AC">
        <w:rPr>
          <w:rFonts w:cs="Times New Roman"/>
          <w:noProof/>
          <w:lang w:val="sk-SK"/>
        </w:rPr>
        <w:t>na zníženie obmedzení vo vysoko regulovaných profesiách pri súčasnom zvyšovaní konkurencieschopnosti pri poskytovaní služieb pre podniky.</w:t>
      </w:r>
      <w:r w:rsidR="00A75B3C" w:rsidRPr="003F23AC">
        <w:rPr>
          <w:rFonts w:cs="Times New Roman"/>
          <w:noProof/>
          <w:lang w:val="sk-SK"/>
        </w:rPr>
        <w:t xml:space="preserve"> V </w:t>
      </w:r>
      <w:r w:rsidRPr="003F23AC">
        <w:rPr>
          <w:rFonts w:cs="Times New Roman"/>
          <w:noProof/>
          <w:lang w:val="sk-SK"/>
        </w:rPr>
        <w:t>tejto zložke sa takisto uvádzajú opatrenia na riešenie rôznych zásad Európskeho piliera sociálnych práv, ako sú pracovné vzťahy</w:t>
      </w:r>
      <w:r w:rsidR="00A75B3C" w:rsidRPr="003F23AC">
        <w:rPr>
          <w:rFonts w:cs="Times New Roman"/>
          <w:noProof/>
          <w:lang w:val="sk-SK"/>
        </w:rPr>
        <w:t xml:space="preserve"> a </w:t>
      </w:r>
      <w:r w:rsidRPr="003F23AC">
        <w:rPr>
          <w:rFonts w:cs="Times New Roman"/>
          <w:noProof/>
          <w:lang w:val="sk-SK"/>
        </w:rPr>
        <w:t>prístupové práva pracovníkov</w:t>
      </w:r>
      <w:r w:rsidR="00A75B3C" w:rsidRPr="003F23AC">
        <w:rPr>
          <w:rFonts w:cs="Times New Roman"/>
          <w:noProof/>
          <w:lang w:val="sk-SK"/>
        </w:rPr>
        <w:t xml:space="preserve"> s </w:t>
      </w:r>
      <w:r w:rsidRPr="003F23AC">
        <w:rPr>
          <w:rFonts w:cs="Times New Roman"/>
          <w:noProof/>
          <w:lang w:val="sk-SK"/>
        </w:rPr>
        <w:t>atypickými pracovnými zmluvami, finančná podpora na podporu začlenenia nezamestnaných osôb</w:t>
      </w:r>
      <w:r w:rsidR="00A75B3C" w:rsidRPr="003F23AC">
        <w:rPr>
          <w:rFonts w:cs="Times New Roman"/>
          <w:noProof/>
          <w:lang w:val="sk-SK"/>
        </w:rPr>
        <w:t xml:space="preserve"> s </w:t>
      </w:r>
      <w:r w:rsidRPr="003F23AC">
        <w:rPr>
          <w:rFonts w:cs="Times New Roman"/>
          <w:noProof/>
          <w:lang w:val="sk-SK"/>
        </w:rPr>
        <w:t>trvalými kvalitnými pracovnými miestami</w:t>
      </w:r>
      <w:r w:rsidR="00A75B3C" w:rsidRPr="003F23AC">
        <w:rPr>
          <w:rFonts w:cs="Times New Roman"/>
          <w:noProof/>
          <w:lang w:val="sk-SK"/>
        </w:rPr>
        <w:t xml:space="preserve"> a </w:t>
      </w:r>
      <w:r w:rsidRPr="003F23AC">
        <w:rPr>
          <w:rFonts w:cs="Times New Roman"/>
          <w:noProof/>
          <w:lang w:val="sk-SK"/>
        </w:rPr>
        <w:t>vypracovanie portugalskej normy pre systém riadenia rovnakej odmeny</w:t>
      </w:r>
      <w:r w:rsidR="00A75B3C" w:rsidRPr="003F23AC">
        <w:rPr>
          <w:rFonts w:cs="Times New Roman"/>
          <w:noProof/>
          <w:lang w:val="sk-SK"/>
        </w:rPr>
        <w:t>.</w:t>
      </w:r>
    </w:p>
    <w:p w14:paraId="7BE0A651" w14:textId="0D98F35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zložka je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hlavnými politickými iniciatívami EÚ, ako je Európsky program</w:t>
      </w:r>
      <w:r w:rsidR="00A75B3C" w:rsidRPr="003F23AC">
        <w:rPr>
          <w:rFonts w:cs="Times New Roman"/>
          <w:noProof/>
          <w:lang w:val="sk-SK"/>
        </w:rPr>
        <w:t xml:space="preserve"> v </w:t>
      </w:r>
      <w:r w:rsidRPr="003F23AC">
        <w:rPr>
          <w:rFonts w:cs="Times New Roman"/>
          <w:noProof/>
          <w:lang w:val="sk-SK"/>
        </w:rPr>
        <w:t>oblasti zručností, odporúčanie Rady</w:t>
      </w:r>
      <w:r w:rsidR="00A75B3C" w:rsidRPr="003F23AC">
        <w:rPr>
          <w:rFonts w:cs="Times New Roman"/>
          <w:noProof/>
          <w:lang w:val="sk-SK"/>
        </w:rPr>
        <w:t xml:space="preserve"> s </w:t>
      </w:r>
      <w:r w:rsidRPr="003F23AC">
        <w:rPr>
          <w:rFonts w:cs="Times New Roman"/>
          <w:noProof/>
          <w:lang w:val="sk-SK"/>
        </w:rPr>
        <w:t>názvom Cesty zvyšovania úrovne zručností: Nové príležitosti pre dospelých (odporúčanie Rady 2016/C 484/01), odporúčanie Rady „OVP pre udržateľnú konkurencieschopnosť, sociálnu spravodlivosť</w:t>
      </w:r>
      <w:r w:rsidR="00A75B3C" w:rsidRPr="003F23AC">
        <w:rPr>
          <w:rFonts w:cs="Times New Roman"/>
          <w:noProof/>
          <w:lang w:val="sk-SK"/>
        </w:rPr>
        <w:t xml:space="preserve"> a </w:t>
      </w:r>
      <w:r w:rsidRPr="003F23AC">
        <w:rPr>
          <w:rFonts w:cs="Times New Roman"/>
          <w:noProof/>
          <w:lang w:val="sk-SK"/>
        </w:rPr>
        <w:t>odolnosť“ (odporúčanie Rady 2020/C 417/01)</w:t>
      </w:r>
      <w:r w:rsidR="00A75B3C" w:rsidRPr="003F23AC">
        <w:rPr>
          <w:rFonts w:cs="Times New Roman"/>
          <w:noProof/>
          <w:lang w:val="sk-SK"/>
        </w:rPr>
        <w:t xml:space="preserve"> a </w:t>
      </w:r>
      <w:r w:rsidRPr="003F23AC">
        <w:rPr>
          <w:rFonts w:cs="Times New Roman"/>
          <w:noProof/>
          <w:lang w:val="sk-SK"/>
        </w:rPr>
        <w:t>posilnená záruka pre mladých ľudí</w:t>
      </w:r>
      <w:r w:rsidR="00A75B3C" w:rsidRPr="003F23AC">
        <w:rPr>
          <w:rFonts w:cs="Times New Roman"/>
          <w:noProof/>
          <w:lang w:val="sk-SK"/>
        </w:rPr>
        <w:t xml:space="preserve"> a </w:t>
      </w:r>
      <w:r w:rsidRPr="003F23AC">
        <w:rPr>
          <w:rFonts w:cs="Times New Roman"/>
          <w:noProof/>
          <w:lang w:val="sk-SK"/>
        </w:rPr>
        <w:t>iniciatívy európskeho vzdelávacieho priestoru</w:t>
      </w:r>
      <w:r w:rsidR="00A75B3C" w:rsidRPr="003F23AC">
        <w:rPr>
          <w:rFonts w:cs="Times New Roman"/>
          <w:noProof/>
          <w:lang w:val="sk-SK"/>
        </w:rPr>
        <w:t xml:space="preserve"> a </w:t>
      </w:r>
      <w:r w:rsidRPr="003F23AC">
        <w:rPr>
          <w:rFonts w:cs="Times New Roman"/>
          <w:noProof/>
          <w:lang w:val="sk-SK"/>
        </w:rPr>
        <w:t>Európskeho výskumného priestoru</w:t>
      </w:r>
      <w:r w:rsidR="00A75B3C" w:rsidRPr="003F23AC">
        <w:rPr>
          <w:rFonts w:cs="Times New Roman"/>
          <w:noProof/>
          <w:lang w:val="sk-SK"/>
        </w:rPr>
        <w:t>.</w:t>
      </w:r>
    </w:p>
    <w:p w14:paraId="29744677" w14:textId="5562DEF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zložka sa zameriava na odporúčania pre jednotlivé krajiny</w:t>
      </w:r>
      <w:r w:rsidR="00A75B3C" w:rsidRPr="003F23AC">
        <w:rPr>
          <w:rFonts w:cs="Times New Roman"/>
          <w:noProof/>
          <w:lang w:val="sk-SK"/>
        </w:rPr>
        <w:t xml:space="preserve"> s </w:t>
      </w:r>
      <w:r w:rsidRPr="003F23AC">
        <w:rPr>
          <w:rFonts w:cs="Times New Roman"/>
          <w:noProof/>
          <w:lang w:val="sk-SK"/>
        </w:rPr>
        <w:t>cieľom prijať všetky potrebné opatrenia na účinné riešenie pandémie, posilnenie hospodárstva</w:t>
      </w:r>
      <w:r w:rsidR="00A75B3C" w:rsidRPr="003F23AC">
        <w:rPr>
          <w:rFonts w:cs="Times New Roman"/>
          <w:noProof/>
          <w:lang w:val="sk-SK"/>
        </w:rPr>
        <w:t xml:space="preserve"> a </w:t>
      </w:r>
      <w:r w:rsidRPr="003F23AC">
        <w:rPr>
          <w:rFonts w:cs="Times New Roman"/>
          <w:noProof/>
          <w:lang w:val="sk-SK"/>
        </w:rPr>
        <w:t>podporu následnej obnovy (odporúčanie pre jednotlivé krajiny 1 2020); prijať opatrenia na riešenie segmentácie trhu práce (odporúčanie pre jednotlivé krajiny 2 2019); zlepšiť úroveň zručností obyvateľstva, najmä jeho digitálnu gramotnosť,</w:t>
      </w:r>
      <w:r w:rsidR="00A75B3C" w:rsidRPr="003F23AC">
        <w:rPr>
          <w:rFonts w:cs="Times New Roman"/>
          <w:noProof/>
          <w:lang w:val="sk-SK"/>
        </w:rPr>
        <w:t xml:space="preserve"> a </w:t>
      </w:r>
      <w:r w:rsidRPr="003F23AC">
        <w:rPr>
          <w:rFonts w:cs="Times New Roman"/>
          <w:noProof/>
          <w:lang w:val="sk-SK"/>
        </w:rPr>
        <w:t>to aj zabezpečením toho, aby vzdelávanie dospelých lepšie zodpovedalo potrebám trhu práce (odporúčanie pre jednotlivé krajiny 2 2019); zvýšiť počet absolventov vysokoškolského vzdelávania, najmä</w:t>
      </w:r>
      <w:r w:rsidR="00A75B3C" w:rsidRPr="003F23AC">
        <w:rPr>
          <w:rFonts w:cs="Times New Roman"/>
          <w:noProof/>
          <w:lang w:val="sk-SK"/>
        </w:rPr>
        <w:t xml:space="preserve"> v </w:t>
      </w:r>
      <w:r w:rsidRPr="003F23AC">
        <w:rPr>
          <w:rFonts w:cs="Times New Roman"/>
          <w:noProof/>
          <w:lang w:val="sk-SK"/>
        </w:rPr>
        <w:t>oblasti vedy</w:t>
      </w:r>
      <w:r w:rsidR="00A75B3C" w:rsidRPr="003F23AC">
        <w:rPr>
          <w:rFonts w:cs="Times New Roman"/>
          <w:noProof/>
          <w:lang w:val="sk-SK"/>
        </w:rPr>
        <w:t xml:space="preserve"> a </w:t>
      </w:r>
      <w:r w:rsidRPr="003F23AC">
        <w:rPr>
          <w:rFonts w:cs="Times New Roman"/>
          <w:noProof/>
          <w:lang w:val="sk-SK"/>
        </w:rPr>
        <w:t>informačných technológií (odporúčanie pre jednotlivé krajiny 2 2019); podporovať využívanie digitálnych technológií na zabezpečenie rovnakého prístupu ku kvalitnému vzdelávaniu</w:t>
      </w:r>
      <w:r w:rsidR="00A75B3C" w:rsidRPr="003F23AC">
        <w:rPr>
          <w:rFonts w:cs="Times New Roman"/>
          <w:noProof/>
          <w:lang w:val="sk-SK"/>
        </w:rPr>
        <w:t xml:space="preserve"> a </w:t>
      </w:r>
      <w:r w:rsidRPr="003F23AC">
        <w:rPr>
          <w:rFonts w:cs="Times New Roman"/>
          <w:noProof/>
          <w:lang w:val="sk-SK"/>
        </w:rPr>
        <w:t>odbornej príprave (odporúčanie pre jednotlivé krajiny 2 2020); podporiť konkurencieschopnosť podnikov (odporúčanie pre jednotlivé krajiny 2 2020); zamerať sa na hospodársku politiku</w:t>
      </w:r>
      <w:r w:rsidR="00A75B3C" w:rsidRPr="003F23AC">
        <w:rPr>
          <w:rFonts w:cs="Times New Roman"/>
          <w:noProof/>
          <w:lang w:val="sk-SK"/>
        </w:rPr>
        <w:t xml:space="preserve"> v </w:t>
      </w:r>
      <w:r w:rsidRPr="003F23AC">
        <w:rPr>
          <w:rFonts w:cs="Times New Roman"/>
          <w:noProof/>
          <w:lang w:val="sk-SK"/>
        </w:rPr>
        <w:t>oblasti výskumu</w:t>
      </w:r>
      <w:r w:rsidR="00A75B3C" w:rsidRPr="003F23AC">
        <w:rPr>
          <w:rFonts w:cs="Times New Roman"/>
          <w:noProof/>
          <w:lang w:val="sk-SK"/>
        </w:rPr>
        <w:t xml:space="preserve"> a </w:t>
      </w:r>
      <w:r w:rsidRPr="003F23AC">
        <w:rPr>
          <w:rFonts w:cs="Times New Roman"/>
          <w:noProof/>
          <w:lang w:val="sk-SK"/>
        </w:rPr>
        <w:t>inovácií súvisiacu</w:t>
      </w:r>
      <w:r w:rsidR="00A75B3C" w:rsidRPr="003F23AC">
        <w:rPr>
          <w:rFonts w:cs="Times New Roman"/>
          <w:noProof/>
          <w:lang w:val="sk-SK"/>
        </w:rPr>
        <w:t xml:space="preserve"> s </w:t>
      </w:r>
      <w:r w:rsidRPr="003F23AC">
        <w:rPr>
          <w:rFonts w:cs="Times New Roman"/>
          <w:noProof/>
          <w:lang w:val="sk-SK"/>
        </w:rPr>
        <w:t>investíciami (odporúčanie pre jednotlivé krajiny 3 2019);</w:t>
      </w:r>
      <w:r w:rsidR="00A75B3C" w:rsidRPr="003F23AC">
        <w:rPr>
          <w:rFonts w:cs="Times New Roman"/>
          <w:noProof/>
          <w:lang w:val="sk-SK"/>
        </w:rPr>
        <w:t xml:space="preserve"> a </w:t>
      </w:r>
      <w:r w:rsidRPr="003F23AC">
        <w:rPr>
          <w:rFonts w:cs="Times New Roman"/>
          <w:noProof/>
          <w:lang w:val="sk-SK"/>
        </w:rPr>
        <w:t>vypracovať plán na zníženie obmedzení vo vysoko regulovaných povolaniach (odporúčanie pre jednotlivé krajiny 4 2019).</w:t>
      </w:r>
    </w:p>
    <w:p w14:paraId="2488F4C2" w14:textId="109986ED"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r w:rsidR="00A75B3C" w:rsidRPr="003F23AC">
        <w:rPr>
          <w:rFonts w:cs="Times New Roman"/>
          <w:noProof/>
          <w:lang w:val="sk-SK"/>
        </w:rPr>
        <w:t>.</w:t>
      </w:r>
    </w:p>
    <w:p w14:paraId="20AF52A5" w14:textId="7459651D" w:rsidR="00387C70" w:rsidRPr="00A26F8D" w:rsidRDefault="00387C70" w:rsidP="003F23AC">
      <w:pPr>
        <w:spacing w:before="40" w:after="0" w:line="259" w:lineRule="auto"/>
        <w:jc w:val="both"/>
        <w:rPr>
          <w:rFonts w:ascii="Times New Roman" w:eastAsiaTheme="minorEastAsia" w:hAnsi="Times New Roman" w:cs="Times New Roman"/>
          <w:noProof/>
          <w:sz w:val="6"/>
          <w:szCs w:val="6"/>
          <w:lang w:val="sk-SK"/>
        </w:rPr>
      </w:pPr>
    </w:p>
    <w:p w14:paraId="309FC685" w14:textId="7C8FBB2C" w:rsidR="00387C70" w:rsidRPr="00A26F8D" w:rsidRDefault="00387C70" w:rsidP="003F23AC">
      <w:pPr>
        <w:spacing w:before="40" w:after="0" w:line="259" w:lineRule="auto"/>
        <w:jc w:val="both"/>
        <w:rPr>
          <w:rFonts w:ascii="Times New Roman" w:eastAsiaTheme="minorEastAsia" w:hAnsi="Times New Roman" w:cs="Times New Roman"/>
          <w:noProof/>
          <w:sz w:val="6"/>
          <w:szCs w:val="6"/>
          <w:lang w:val="sk-SK"/>
        </w:rPr>
      </w:pPr>
    </w:p>
    <w:p w14:paraId="310C858A" w14:textId="486BD107" w:rsidR="00387C70" w:rsidRPr="00A26F8D" w:rsidRDefault="00387C70" w:rsidP="003F23AC">
      <w:pPr>
        <w:spacing w:before="40" w:after="0" w:line="259" w:lineRule="auto"/>
        <w:jc w:val="both"/>
        <w:rPr>
          <w:rFonts w:ascii="Times New Roman" w:eastAsiaTheme="minorEastAsia" w:hAnsi="Times New Roman" w:cs="Times New Roman"/>
          <w:noProof/>
          <w:sz w:val="6"/>
          <w:szCs w:val="6"/>
          <w:lang w:val="sk-SK"/>
        </w:rPr>
      </w:pPr>
    </w:p>
    <w:p w14:paraId="6B3EE7D6" w14:textId="77777777" w:rsidR="00387C70" w:rsidRPr="00A26F8D" w:rsidRDefault="00387C70" w:rsidP="003F23AC">
      <w:pPr>
        <w:spacing w:before="40" w:after="0" w:line="259" w:lineRule="auto"/>
        <w:jc w:val="both"/>
        <w:rPr>
          <w:rFonts w:ascii="Times New Roman" w:eastAsiaTheme="minorEastAsia" w:hAnsi="Times New Roman" w:cs="Times New Roman"/>
          <w:noProof/>
          <w:sz w:val="6"/>
          <w:szCs w:val="6"/>
          <w:lang w:val="sk-SK"/>
        </w:rPr>
      </w:pPr>
    </w:p>
    <w:p w14:paraId="01024A9A" w14:textId="7ED023FE" w:rsidR="00387C70" w:rsidRPr="003F23AC" w:rsidRDefault="000F5AA4" w:rsidP="003F23AC">
      <w:pPr>
        <w:pStyle w:val="P68B1DB1-Normal3"/>
        <w:spacing w:before="40" w:after="0" w:line="259" w:lineRule="auto"/>
        <w:ind w:left="130" w:firstLine="720"/>
        <w:jc w:val="both"/>
        <w:outlineLvl w:val="2"/>
        <w:rPr>
          <w:rFonts w:eastAsiaTheme="minorEastAsia" w:cs="Times New Roman"/>
          <w:i/>
          <w:noProof/>
          <w:lang w:val="sk-SK"/>
        </w:rPr>
      </w:pPr>
      <w:r w:rsidRPr="003F23AC">
        <w:rPr>
          <w:rFonts w:cs="Times New Roman"/>
          <w:noProof/>
          <w:lang w:val="sk-SK"/>
        </w:rPr>
        <w:t>F.1.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4FF4B46F" w14:textId="68F828F2"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Reforma RE-r14: Reforma odborného vzdelávania</w:t>
      </w:r>
      <w:r w:rsidR="00A75B3C" w:rsidRPr="003F23AC">
        <w:rPr>
          <w:rFonts w:cs="Times New Roman"/>
          <w:noProof/>
          <w:lang w:val="sk-SK"/>
        </w:rPr>
        <w:t xml:space="preserve"> a </w:t>
      </w:r>
      <w:r w:rsidRPr="003F23AC">
        <w:rPr>
          <w:rFonts w:cs="Times New Roman"/>
          <w:noProof/>
          <w:lang w:val="sk-SK"/>
        </w:rPr>
        <w:t>prípravy</w:t>
      </w:r>
    </w:p>
    <w:p w14:paraId="099FC9C2" w14:textId="38F650DE"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reformy je modernizovať systémy vzdelávania</w:t>
      </w:r>
      <w:r w:rsidR="00A75B3C" w:rsidRPr="003F23AC">
        <w:rPr>
          <w:rFonts w:cs="Times New Roman"/>
          <w:noProof/>
          <w:lang w:val="sk-SK"/>
        </w:rPr>
        <w:t xml:space="preserve"> a </w:t>
      </w:r>
      <w:r w:rsidRPr="003F23AC">
        <w:rPr>
          <w:rFonts w:cs="Times New Roman"/>
          <w:noProof/>
          <w:lang w:val="sk-SK"/>
        </w:rPr>
        <w:t>OVP</w:t>
      </w:r>
      <w:r w:rsidR="00A75B3C" w:rsidRPr="003F23AC">
        <w:rPr>
          <w:rFonts w:cs="Times New Roman"/>
          <w:noProof/>
          <w:lang w:val="sk-SK"/>
        </w:rPr>
        <w:t xml:space="preserve"> s </w:t>
      </w:r>
      <w:r w:rsidRPr="003F23AC">
        <w:rPr>
          <w:rFonts w:cs="Times New Roman"/>
          <w:noProof/>
          <w:lang w:val="sk-SK"/>
        </w:rPr>
        <w:t>cieľom zlepšiť nízku úroveň dosiahnutého vzdelania</w:t>
      </w:r>
      <w:r w:rsidR="00A75B3C" w:rsidRPr="003F23AC">
        <w:rPr>
          <w:rFonts w:cs="Times New Roman"/>
          <w:noProof/>
          <w:lang w:val="sk-SK"/>
        </w:rPr>
        <w:t xml:space="preserve"> a </w:t>
      </w:r>
      <w:r w:rsidRPr="003F23AC">
        <w:rPr>
          <w:rFonts w:cs="Times New Roman"/>
          <w:noProof/>
          <w:lang w:val="sk-SK"/>
        </w:rPr>
        <w:t>kvalifikácie</w:t>
      </w:r>
      <w:r w:rsidR="00A75B3C" w:rsidRPr="003F23AC">
        <w:rPr>
          <w:rFonts w:cs="Times New Roman"/>
          <w:noProof/>
          <w:lang w:val="sk-SK"/>
        </w:rPr>
        <w:t xml:space="preserve"> a </w:t>
      </w:r>
      <w:r w:rsidRPr="003F23AC">
        <w:rPr>
          <w:rFonts w:cs="Times New Roman"/>
          <w:noProof/>
          <w:lang w:val="sk-SK"/>
        </w:rPr>
        <w:t>vysoký výskyt pracovníkov, ktorým chýbajú základné</w:t>
      </w:r>
      <w:r w:rsidR="00A75B3C" w:rsidRPr="003F23AC">
        <w:rPr>
          <w:rFonts w:cs="Times New Roman"/>
          <w:noProof/>
          <w:lang w:val="sk-SK"/>
        </w:rPr>
        <w:t xml:space="preserve"> a </w:t>
      </w:r>
      <w:r w:rsidRPr="003F23AC">
        <w:rPr>
          <w:rFonts w:cs="Times New Roman"/>
          <w:noProof/>
          <w:lang w:val="sk-SK"/>
        </w:rPr>
        <w:t>digitálne zručnosti, prispôsobiť ponuku zručností súčasným</w:t>
      </w:r>
      <w:r w:rsidR="00A75B3C" w:rsidRPr="003F23AC">
        <w:rPr>
          <w:rFonts w:cs="Times New Roman"/>
          <w:noProof/>
          <w:lang w:val="sk-SK"/>
        </w:rPr>
        <w:t xml:space="preserve"> a </w:t>
      </w:r>
      <w:r w:rsidRPr="003F23AC">
        <w:rPr>
          <w:rFonts w:cs="Times New Roman"/>
          <w:noProof/>
          <w:lang w:val="sk-SK"/>
        </w:rPr>
        <w:t>budúcim potrebám trhu práce</w:t>
      </w:r>
      <w:r w:rsidR="00A75B3C" w:rsidRPr="003F23AC">
        <w:rPr>
          <w:rFonts w:cs="Times New Roman"/>
          <w:noProof/>
          <w:lang w:val="sk-SK"/>
        </w:rPr>
        <w:t xml:space="preserve"> a </w:t>
      </w:r>
      <w:r w:rsidRPr="003F23AC">
        <w:rPr>
          <w:rFonts w:cs="Times New Roman"/>
          <w:noProof/>
          <w:lang w:val="sk-SK"/>
        </w:rPr>
        <w:t>rozšíriť možnosti vzdelávania, odbornej prípravy</w:t>
      </w:r>
      <w:r w:rsidR="00A75B3C" w:rsidRPr="003F23AC">
        <w:rPr>
          <w:rFonts w:cs="Times New Roman"/>
          <w:noProof/>
          <w:lang w:val="sk-SK"/>
        </w:rPr>
        <w:t xml:space="preserve"> a </w:t>
      </w:r>
      <w:r w:rsidRPr="003F23AC">
        <w:rPr>
          <w:rFonts w:cs="Times New Roman"/>
          <w:noProof/>
          <w:lang w:val="sk-SK"/>
        </w:rPr>
        <w:t>celoživotného vzdelávania</w:t>
      </w:r>
      <w:r w:rsidR="00A75B3C" w:rsidRPr="003F23AC">
        <w:rPr>
          <w:rFonts w:cs="Times New Roman"/>
          <w:noProof/>
          <w:lang w:val="sk-SK"/>
        </w:rPr>
        <w:t>.</w:t>
      </w:r>
    </w:p>
    <w:p w14:paraId="4499CDBD" w14:textId="53D44B2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Reforma pozostáva</w:t>
      </w:r>
      <w:r w:rsidR="00A75B3C" w:rsidRPr="003F23AC">
        <w:rPr>
          <w:rFonts w:cs="Times New Roman"/>
          <w:noProof/>
          <w:lang w:val="sk-SK"/>
        </w:rPr>
        <w:t xml:space="preserve"> z </w:t>
      </w:r>
      <w:r w:rsidRPr="003F23AC">
        <w:rPr>
          <w:rFonts w:cs="Times New Roman"/>
          <w:noProof/>
          <w:lang w:val="sk-SK"/>
        </w:rPr>
        <w:t>opatrení zameraných na</w:t>
      </w:r>
      <w:r w:rsidR="00A75B3C" w:rsidRPr="003F23AC">
        <w:rPr>
          <w:rFonts w:cs="Times New Roman"/>
          <w:noProof/>
          <w:lang w:val="sk-SK"/>
        </w:rPr>
        <w:t>:</w:t>
      </w:r>
    </w:p>
    <w:p w14:paraId="24DEC4CE" w14:textId="7D1E94E3" w:rsidR="00387C70" w:rsidRPr="003F23AC" w:rsidRDefault="000F5AA4" w:rsidP="003F23AC">
      <w:pPr>
        <w:pStyle w:val="P68B1DB1-Normal4"/>
        <w:numPr>
          <w:ilvl w:val="0"/>
          <w:numId w:val="43"/>
        </w:numPr>
        <w:spacing w:before="40" w:after="160" w:line="259" w:lineRule="auto"/>
        <w:contextualSpacing/>
        <w:jc w:val="both"/>
        <w:rPr>
          <w:rFonts w:eastAsiaTheme="minorEastAsia" w:cs="Times New Roman"/>
          <w:noProof/>
          <w:lang w:val="sk-SK"/>
        </w:rPr>
      </w:pPr>
      <w:r w:rsidRPr="003F23AC">
        <w:rPr>
          <w:rFonts w:cs="Times New Roman"/>
          <w:noProof/>
          <w:lang w:val="sk-SK"/>
        </w:rPr>
        <w:t>posilniť celkovú koordináciu politík</w:t>
      </w:r>
      <w:r w:rsidR="00A75B3C" w:rsidRPr="003F23AC">
        <w:rPr>
          <w:rFonts w:cs="Times New Roman"/>
          <w:noProof/>
          <w:lang w:val="sk-SK"/>
        </w:rPr>
        <w:t xml:space="preserve"> v </w:t>
      </w:r>
      <w:r w:rsidRPr="003F23AC">
        <w:rPr>
          <w:rFonts w:cs="Times New Roman"/>
          <w:noProof/>
          <w:lang w:val="sk-SK"/>
        </w:rPr>
        <w:t>oblasti vzdelávania</w:t>
      </w:r>
      <w:r w:rsidR="00A75B3C" w:rsidRPr="003F23AC">
        <w:rPr>
          <w:rFonts w:cs="Times New Roman"/>
          <w:noProof/>
          <w:lang w:val="sk-SK"/>
        </w:rPr>
        <w:t xml:space="preserve"> a </w:t>
      </w:r>
      <w:r w:rsidRPr="003F23AC">
        <w:rPr>
          <w:rFonts w:cs="Times New Roman"/>
          <w:noProof/>
          <w:lang w:val="sk-SK"/>
        </w:rPr>
        <w:t>odborného vzdelávania</w:t>
      </w:r>
      <w:r w:rsidR="00A75B3C" w:rsidRPr="003F23AC">
        <w:rPr>
          <w:rFonts w:cs="Times New Roman"/>
          <w:noProof/>
          <w:lang w:val="sk-SK"/>
        </w:rPr>
        <w:t xml:space="preserve"> a </w:t>
      </w:r>
      <w:r w:rsidRPr="003F23AC">
        <w:rPr>
          <w:rFonts w:cs="Times New Roman"/>
          <w:noProof/>
          <w:lang w:val="sk-SK"/>
        </w:rPr>
        <w:t>prípravy,</w:t>
      </w:r>
    </w:p>
    <w:p w14:paraId="1130E842" w14:textId="2FCEB440" w:rsidR="00387C70" w:rsidRPr="003F23AC" w:rsidRDefault="000F5AA4" w:rsidP="003F23AC">
      <w:pPr>
        <w:pStyle w:val="P68B1DB1-Normal4"/>
        <w:numPr>
          <w:ilvl w:val="0"/>
          <w:numId w:val="43"/>
        </w:numPr>
        <w:spacing w:before="40" w:after="160" w:line="259" w:lineRule="auto"/>
        <w:contextualSpacing/>
        <w:jc w:val="both"/>
        <w:rPr>
          <w:rFonts w:eastAsiaTheme="minorEastAsia" w:cs="Times New Roman"/>
          <w:noProof/>
          <w:lang w:val="sk-SK"/>
        </w:rPr>
      </w:pPr>
      <w:r w:rsidRPr="003F23AC">
        <w:rPr>
          <w:rFonts w:cs="Times New Roman"/>
          <w:noProof/>
          <w:lang w:val="sk-SK"/>
        </w:rPr>
        <w:t>modernizovať ponuku OVP regulovanú národným kvalifikačným katalógom (CNQ) na základe systému predvídania kvalifikačných potrieb, budúcej diagnózy na podporu aktualizácie CNQ</w:t>
      </w:r>
      <w:r w:rsidR="00A75B3C" w:rsidRPr="003F23AC">
        <w:rPr>
          <w:rFonts w:cs="Times New Roman"/>
          <w:noProof/>
          <w:lang w:val="sk-SK"/>
        </w:rPr>
        <w:t xml:space="preserve"> a </w:t>
      </w:r>
      <w:r w:rsidRPr="003F23AC">
        <w:rPr>
          <w:rFonts w:cs="Times New Roman"/>
          <w:noProof/>
          <w:lang w:val="sk-SK"/>
        </w:rPr>
        <w:t>zefektívnenia sektorových rád pre kvalifikáciu;</w:t>
      </w:r>
    </w:p>
    <w:p w14:paraId="362E3783" w14:textId="77777777" w:rsidR="00A75B3C" w:rsidRPr="003F23AC" w:rsidRDefault="000F5AA4" w:rsidP="003F23AC">
      <w:pPr>
        <w:pStyle w:val="P68B1DB1-Normal4"/>
        <w:numPr>
          <w:ilvl w:val="0"/>
          <w:numId w:val="43"/>
        </w:numPr>
        <w:spacing w:before="40" w:after="160" w:line="259" w:lineRule="auto"/>
        <w:contextualSpacing/>
        <w:jc w:val="both"/>
        <w:rPr>
          <w:rFonts w:cs="Times New Roman"/>
          <w:noProof/>
          <w:lang w:val="sk-SK"/>
        </w:rPr>
      </w:pPr>
      <w:r w:rsidRPr="003F23AC">
        <w:rPr>
          <w:rFonts w:cs="Times New Roman"/>
          <w:noProof/>
          <w:lang w:val="sk-SK"/>
        </w:rPr>
        <w:t>zohľadniť potreby trhu práce</w:t>
      </w:r>
      <w:r w:rsidR="00A75B3C" w:rsidRPr="003F23AC">
        <w:rPr>
          <w:rFonts w:cs="Times New Roman"/>
          <w:noProof/>
          <w:lang w:val="sk-SK"/>
        </w:rPr>
        <w:t xml:space="preserve"> a </w:t>
      </w:r>
      <w:r w:rsidRPr="003F23AC">
        <w:rPr>
          <w:rFonts w:cs="Times New Roman"/>
          <w:noProof/>
          <w:lang w:val="sk-SK"/>
        </w:rPr>
        <w:t>vznik nových zručností/profesií,</w:t>
      </w:r>
    </w:p>
    <w:p w14:paraId="3D3B07D2" w14:textId="1D99F3E4" w:rsidR="00A75B3C" w:rsidRPr="003F23AC" w:rsidRDefault="000F5AA4" w:rsidP="003F23AC">
      <w:pPr>
        <w:pStyle w:val="P68B1DB1-Normal4"/>
        <w:numPr>
          <w:ilvl w:val="0"/>
          <w:numId w:val="43"/>
        </w:numPr>
        <w:spacing w:before="40" w:after="160" w:line="259" w:lineRule="auto"/>
        <w:contextualSpacing/>
        <w:jc w:val="both"/>
        <w:rPr>
          <w:rFonts w:cs="Times New Roman"/>
          <w:noProof/>
          <w:lang w:val="sk-SK"/>
        </w:rPr>
      </w:pPr>
      <w:r w:rsidRPr="003F23AC">
        <w:rPr>
          <w:rFonts w:cs="Times New Roman"/>
          <w:noProof/>
          <w:lang w:val="sk-SK"/>
        </w:rPr>
        <w:t>zlepšiť vyhliadky nízkokvalifikovaných obyvateľov navrhnutím ponuky odbornej prípravy zameranej na gramotnosť dospelých (má sa realizovať</w:t>
      </w:r>
      <w:r w:rsidR="00A75B3C" w:rsidRPr="003F23AC">
        <w:rPr>
          <w:rFonts w:cs="Times New Roman"/>
          <w:noProof/>
          <w:lang w:val="sk-SK"/>
        </w:rPr>
        <w:t xml:space="preserve"> v </w:t>
      </w:r>
      <w:r w:rsidRPr="003F23AC">
        <w:rPr>
          <w:rFonts w:cs="Times New Roman"/>
          <w:noProof/>
          <w:lang w:val="sk-SK"/>
        </w:rPr>
        <w:t>rámci C06 – i03: Stimul pre dospelých)</w:t>
      </w:r>
      <w:r w:rsidR="00A75B3C" w:rsidRPr="003F23AC">
        <w:rPr>
          <w:rFonts w:cs="Times New Roman"/>
          <w:noProof/>
          <w:lang w:val="sk-SK"/>
        </w:rPr>
        <w:t>;</w:t>
      </w:r>
    </w:p>
    <w:p w14:paraId="1EF91E24" w14:textId="6B6E5C6C" w:rsidR="00387C70" w:rsidRPr="003F23AC" w:rsidRDefault="000F5AA4" w:rsidP="003F23AC">
      <w:pPr>
        <w:pStyle w:val="P68B1DB1-Normal4"/>
        <w:numPr>
          <w:ilvl w:val="0"/>
          <w:numId w:val="43"/>
        </w:numPr>
        <w:spacing w:before="40" w:after="160" w:line="259" w:lineRule="auto"/>
        <w:contextualSpacing/>
        <w:jc w:val="both"/>
        <w:rPr>
          <w:rFonts w:eastAsiaTheme="minorEastAsia" w:cs="Times New Roman"/>
          <w:noProof/>
          <w:lang w:val="sk-SK"/>
        </w:rPr>
      </w:pPr>
      <w:r w:rsidRPr="003F23AC">
        <w:rPr>
          <w:rFonts w:cs="Times New Roman"/>
          <w:noProof/>
          <w:lang w:val="sk-SK"/>
        </w:rPr>
        <w:t>podporovať miestny rozvoj</w:t>
      </w:r>
      <w:r w:rsidR="00A75B3C" w:rsidRPr="003F23AC">
        <w:rPr>
          <w:rFonts w:cs="Times New Roman"/>
          <w:noProof/>
          <w:lang w:val="sk-SK"/>
        </w:rPr>
        <w:t xml:space="preserve"> a </w:t>
      </w:r>
      <w:r w:rsidRPr="003F23AC">
        <w:rPr>
          <w:rFonts w:cs="Times New Roman"/>
          <w:noProof/>
          <w:lang w:val="sk-SK"/>
        </w:rPr>
        <w:t>územnú súdržnosť</w:t>
      </w:r>
      <w:r w:rsidR="00A75B3C" w:rsidRPr="003F23AC">
        <w:rPr>
          <w:rFonts w:cs="Times New Roman"/>
          <w:noProof/>
          <w:lang w:val="sk-SK"/>
        </w:rPr>
        <w:t xml:space="preserve"> a </w:t>
      </w:r>
      <w:r w:rsidRPr="003F23AC">
        <w:rPr>
          <w:rFonts w:cs="Times New Roman"/>
          <w:noProof/>
          <w:lang w:val="sk-SK"/>
        </w:rPr>
        <w:t>znižovať sociálno-ekonomické nerovnosti prerozdelením siete OVP.</w:t>
      </w:r>
    </w:p>
    <w:p w14:paraId="28A10DE2" w14:textId="73F2605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tejto reformy sa dokončí do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507D918E" w14:textId="27D3E3DF"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Reforma RE-r15: Reforma spolupráce medzi vysokoškolským vzdelávaním</w:t>
      </w:r>
      <w:r w:rsidR="00A75B3C" w:rsidRPr="003F23AC">
        <w:rPr>
          <w:rFonts w:cs="Times New Roman"/>
          <w:noProof/>
          <w:lang w:val="sk-SK"/>
        </w:rPr>
        <w:t xml:space="preserve"> a </w:t>
      </w:r>
      <w:r w:rsidRPr="003F23AC">
        <w:rPr>
          <w:rFonts w:cs="Times New Roman"/>
          <w:noProof/>
          <w:lang w:val="sk-SK"/>
        </w:rPr>
        <w:t>verejnou správou</w:t>
      </w:r>
      <w:r w:rsidR="00A75B3C" w:rsidRPr="003F23AC">
        <w:rPr>
          <w:rFonts w:cs="Times New Roman"/>
          <w:noProof/>
          <w:lang w:val="sk-SK"/>
        </w:rPr>
        <w:t xml:space="preserve"> a </w:t>
      </w:r>
      <w:r w:rsidRPr="003F23AC">
        <w:rPr>
          <w:rFonts w:cs="Times New Roman"/>
          <w:noProof/>
          <w:lang w:val="sk-SK"/>
        </w:rPr>
        <w:t>podnikmi</w:t>
      </w:r>
    </w:p>
    <w:p w14:paraId="6A03A35C" w14:textId="5DA936D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reformy je stimulovať verejno-súkromné dohody</w:t>
      </w:r>
      <w:r w:rsidR="00A75B3C" w:rsidRPr="003F23AC">
        <w:rPr>
          <w:rFonts w:cs="Times New Roman"/>
          <w:noProof/>
          <w:lang w:val="sk-SK"/>
        </w:rPr>
        <w:t xml:space="preserve"> o </w:t>
      </w:r>
      <w:r w:rsidRPr="003F23AC">
        <w:rPr>
          <w:rFonts w:cs="Times New Roman"/>
          <w:noProof/>
          <w:lang w:val="sk-SK"/>
        </w:rPr>
        <w:t>spolupráci vo vzdelávacích programoch</w:t>
      </w:r>
      <w:r w:rsidR="00A75B3C" w:rsidRPr="003F23AC">
        <w:rPr>
          <w:rFonts w:cs="Times New Roman"/>
          <w:noProof/>
          <w:lang w:val="sk-SK"/>
        </w:rPr>
        <w:t xml:space="preserve"> a </w:t>
      </w:r>
      <w:r w:rsidRPr="003F23AC">
        <w:rPr>
          <w:rFonts w:cs="Times New Roman"/>
          <w:noProof/>
          <w:lang w:val="sk-SK"/>
        </w:rPr>
        <w:t>programoch odbornej prípravy</w:t>
      </w:r>
      <w:r w:rsidR="00A75B3C" w:rsidRPr="003F23AC">
        <w:rPr>
          <w:rFonts w:cs="Times New Roman"/>
          <w:noProof/>
          <w:lang w:val="sk-SK"/>
        </w:rPr>
        <w:t xml:space="preserve"> s </w:t>
      </w:r>
      <w:r w:rsidRPr="003F23AC">
        <w:rPr>
          <w:rFonts w:cs="Times New Roman"/>
          <w:noProof/>
          <w:lang w:val="sk-SK"/>
        </w:rPr>
        <w:t>cieľom reagovať na potreby trhu práce</w:t>
      </w:r>
      <w:r w:rsidR="00A75B3C" w:rsidRPr="003F23AC">
        <w:rPr>
          <w:rFonts w:cs="Times New Roman"/>
          <w:noProof/>
          <w:lang w:val="sk-SK"/>
        </w:rPr>
        <w:t xml:space="preserve"> a </w:t>
      </w:r>
      <w:r w:rsidRPr="003F23AC">
        <w:rPr>
          <w:rFonts w:cs="Times New Roman"/>
          <w:noProof/>
          <w:lang w:val="sk-SK"/>
        </w:rPr>
        <w:t>dvojakú transformáciu vrátane rozvoja postgraduálnych kurzov</w:t>
      </w:r>
      <w:r w:rsidR="00A75B3C" w:rsidRPr="003F23AC">
        <w:rPr>
          <w:rFonts w:cs="Times New Roman"/>
          <w:noProof/>
          <w:lang w:val="sk-SK"/>
        </w:rPr>
        <w:t xml:space="preserve"> s </w:t>
      </w:r>
      <w:r w:rsidRPr="003F23AC">
        <w:rPr>
          <w:rFonts w:cs="Times New Roman"/>
          <w:noProof/>
          <w:lang w:val="sk-SK"/>
        </w:rPr>
        <w:t>profesionálnym rozsahom (odborné magisterské tituly) výlučne pre študentov</w:t>
      </w:r>
      <w:r w:rsidR="00A75B3C" w:rsidRPr="003F23AC">
        <w:rPr>
          <w:rFonts w:cs="Times New Roman"/>
          <w:noProof/>
          <w:lang w:val="sk-SK"/>
        </w:rPr>
        <w:t xml:space="preserve"> s </w:t>
      </w:r>
      <w:r w:rsidRPr="003F23AC">
        <w:rPr>
          <w:rFonts w:cs="Times New Roman"/>
          <w:noProof/>
          <w:lang w:val="sk-SK"/>
        </w:rPr>
        <w:t>predchádzajúcou odbornou praxou</w:t>
      </w:r>
      <w:r w:rsidR="00A75B3C" w:rsidRPr="003F23AC">
        <w:rPr>
          <w:rFonts w:cs="Times New Roman"/>
          <w:noProof/>
          <w:lang w:val="sk-SK"/>
        </w:rPr>
        <w:t xml:space="preserve"> a </w:t>
      </w:r>
      <w:r w:rsidRPr="003F23AC">
        <w:rPr>
          <w:rFonts w:cs="Times New Roman"/>
          <w:noProof/>
          <w:lang w:val="sk-SK"/>
        </w:rPr>
        <w:t>ponuky krátkodobých terciárnych kurzov</w:t>
      </w:r>
      <w:r w:rsidR="00A75B3C" w:rsidRPr="003F23AC">
        <w:rPr>
          <w:rFonts w:cs="Times New Roman"/>
          <w:noProof/>
          <w:lang w:val="sk-SK"/>
        </w:rPr>
        <w:t xml:space="preserve"> v </w:t>
      </w:r>
      <w:r w:rsidRPr="003F23AC">
        <w:rPr>
          <w:rFonts w:cs="Times New Roman"/>
          <w:noProof/>
          <w:lang w:val="sk-SK"/>
        </w:rPr>
        <w:t>oblasti polytechniky (známe ako vyššie odborné technické kurzy)</w:t>
      </w:r>
      <w:r w:rsidR="00A75B3C" w:rsidRPr="003F23AC">
        <w:rPr>
          <w:rFonts w:cs="Times New Roman"/>
          <w:noProof/>
          <w:lang w:val="sk-SK"/>
        </w:rPr>
        <w:t>.</w:t>
      </w:r>
    </w:p>
    <w:p w14:paraId="1E2C7057" w14:textId="459E6E8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Reforma pozostáva z:</w:t>
      </w:r>
    </w:p>
    <w:p w14:paraId="29DE76AC" w14:textId="48DE3B0C" w:rsidR="00387C70" w:rsidRPr="003F23AC" w:rsidRDefault="000F5AA4" w:rsidP="003F23AC">
      <w:pPr>
        <w:pStyle w:val="P68B1DB1-Normal4"/>
        <w:numPr>
          <w:ilvl w:val="0"/>
          <w:numId w:val="44"/>
        </w:numPr>
        <w:spacing w:before="40" w:after="160" w:line="259" w:lineRule="auto"/>
        <w:ind w:left="714" w:hanging="357"/>
        <w:contextualSpacing/>
        <w:jc w:val="both"/>
        <w:rPr>
          <w:rFonts w:eastAsiaTheme="minorEastAsia" w:cs="Times New Roman"/>
          <w:noProof/>
          <w:lang w:val="sk-SK"/>
        </w:rPr>
      </w:pPr>
      <w:r w:rsidRPr="003F23AC">
        <w:rPr>
          <w:rFonts w:cs="Times New Roman"/>
          <w:noProof/>
          <w:lang w:val="sk-SK"/>
        </w:rPr>
        <w:t>legislatívny akt, ktorým sa vytvoria osobitné výberové konania na prijatie na vysokoškolské vzdelávanie pre držiteľov duálneho sekundárneho vzdelávania</w:t>
      </w:r>
      <w:r w:rsidR="00A75B3C" w:rsidRPr="003F23AC">
        <w:rPr>
          <w:rFonts w:cs="Times New Roman"/>
          <w:noProof/>
          <w:lang w:val="sk-SK"/>
        </w:rPr>
        <w:t xml:space="preserve"> a </w:t>
      </w:r>
      <w:r w:rsidRPr="003F23AC">
        <w:rPr>
          <w:rFonts w:cs="Times New Roman"/>
          <w:noProof/>
          <w:lang w:val="sk-SK"/>
        </w:rPr>
        <w:t>špecializovaných umeleckých kurzov;</w:t>
      </w:r>
    </w:p>
    <w:p w14:paraId="567B7FBF" w14:textId="58083B33" w:rsidR="00387C70" w:rsidRPr="003F23AC" w:rsidRDefault="000F5AA4" w:rsidP="003F23AC">
      <w:pPr>
        <w:pStyle w:val="P68B1DB1-Normal4"/>
        <w:numPr>
          <w:ilvl w:val="0"/>
          <w:numId w:val="44"/>
        </w:numPr>
        <w:spacing w:before="40" w:after="160" w:line="259" w:lineRule="auto"/>
        <w:ind w:left="714" w:hanging="357"/>
        <w:contextualSpacing/>
        <w:jc w:val="both"/>
        <w:rPr>
          <w:rFonts w:eastAsiaTheme="minorEastAsia" w:cs="Times New Roman"/>
          <w:noProof/>
          <w:lang w:val="sk-SK"/>
        </w:rPr>
      </w:pPr>
      <w:r w:rsidRPr="003F23AC">
        <w:rPr>
          <w:rFonts w:cs="Times New Roman"/>
          <w:noProof/>
          <w:lang w:val="sk-SK"/>
        </w:rPr>
        <w:t>preskúmanie právneho</w:t>
      </w:r>
      <w:r w:rsidR="00A75B3C" w:rsidRPr="003F23AC">
        <w:rPr>
          <w:rFonts w:cs="Times New Roman"/>
          <w:noProof/>
          <w:lang w:val="sk-SK"/>
        </w:rPr>
        <w:t xml:space="preserve"> a </w:t>
      </w:r>
      <w:r w:rsidRPr="003F23AC">
        <w:rPr>
          <w:rFonts w:cs="Times New Roman"/>
          <w:noProof/>
          <w:lang w:val="sk-SK"/>
        </w:rPr>
        <w:t>inštitucionálneho rámca, ktorým sa riadi spolupráca inštitúcií vysokoškolského vzdelávania</w:t>
      </w:r>
      <w:r w:rsidR="00A75B3C" w:rsidRPr="003F23AC">
        <w:rPr>
          <w:rFonts w:cs="Times New Roman"/>
          <w:noProof/>
          <w:lang w:val="sk-SK"/>
        </w:rPr>
        <w:t xml:space="preserve"> s </w:t>
      </w:r>
      <w:r w:rsidRPr="003F23AC">
        <w:rPr>
          <w:rFonts w:cs="Times New Roman"/>
          <w:noProof/>
          <w:lang w:val="sk-SK"/>
        </w:rPr>
        <w:t>verejnou správou</w:t>
      </w:r>
      <w:r w:rsidR="00A75B3C" w:rsidRPr="003F23AC">
        <w:rPr>
          <w:rFonts w:cs="Times New Roman"/>
          <w:noProof/>
          <w:lang w:val="sk-SK"/>
        </w:rPr>
        <w:t xml:space="preserve"> a </w:t>
      </w:r>
      <w:r w:rsidRPr="003F23AC">
        <w:rPr>
          <w:rFonts w:cs="Times New Roman"/>
          <w:noProof/>
          <w:lang w:val="sk-SK"/>
        </w:rPr>
        <w:t>podnikmi vrátane krokov na:</w:t>
      </w:r>
    </w:p>
    <w:p w14:paraId="5AE0A55E" w14:textId="0A01E6C6" w:rsidR="00387C70" w:rsidRPr="003F23AC" w:rsidRDefault="000F5AA4" w:rsidP="003F23AC">
      <w:pPr>
        <w:pStyle w:val="P68B1DB1-Normal4"/>
        <w:numPr>
          <w:ilvl w:val="1"/>
          <w:numId w:val="44"/>
        </w:numPr>
        <w:spacing w:before="40" w:after="160" w:line="259" w:lineRule="auto"/>
        <w:contextualSpacing/>
        <w:jc w:val="both"/>
        <w:rPr>
          <w:rFonts w:eastAsiaTheme="minorEastAsia" w:cs="Times New Roman"/>
          <w:noProof/>
          <w:lang w:val="sk-SK"/>
        </w:rPr>
      </w:pPr>
      <w:r w:rsidRPr="003F23AC">
        <w:rPr>
          <w:rFonts w:cs="Times New Roman"/>
          <w:noProof/>
          <w:lang w:val="sk-SK"/>
        </w:rPr>
        <w:t>podporovať medziinštitucionálnu spoluprácu medzi inštitúciami vysokoškolského vzdelávania</w:t>
      </w:r>
      <w:r w:rsidR="00A75B3C" w:rsidRPr="003F23AC">
        <w:rPr>
          <w:rFonts w:cs="Times New Roman"/>
          <w:noProof/>
          <w:lang w:val="sk-SK"/>
        </w:rPr>
        <w:t xml:space="preserve"> a </w:t>
      </w:r>
      <w:r w:rsidRPr="003F23AC">
        <w:rPr>
          <w:rFonts w:cs="Times New Roman"/>
          <w:noProof/>
          <w:lang w:val="sk-SK"/>
        </w:rPr>
        <w:t>podnikmi, ako aj prilákať dospelých študentov</w:t>
      </w:r>
      <w:r w:rsidR="00A75B3C" w:rsidRPr="003F23AC">
        <w:rPr>
          <w:rFonts w:cs="Times New Roman"/>
          <w:noProof/>
          <w:lang w:val="sk-SK"/>
        </w:rPr>
        <w:t xml:space="preserve"> a </w:t>
      </w:r>
      <w:r w:rsidRPr="003F23AC">
        <w:rPr>
          <w:rFonts w:cs="Times New Roman"/>
          <w:noProof/>
          <w:lang w:val="sk-SK"/>
        </w:rPr>
        <w:t>rozšíriť pokrytie na vnútrozemské oblasti;</w:t>
      </w:r>
    </w:p>
    <w:p w14:paraId="7734DEF6" w14:textId="1DB319CE" w:rsidR="00387C70" w:rsidRPr="003F23AC" w:rsidRDefault="000F5AA4" w:rsidP="003F23AC">
      <w:pPr>
        <w:pStyle w:val="P68B1DB1-Normal4"/>
        <w:numPr>
          <w:ilvl w:val="1"/>
          <w:numId w:val="44"/>
        </w:numPr>
        <w:spacing w:before="40" w:after="160" w:line="259" w:lineRule="auto"/>
        <w:contextualSpacing/>
        <w:jc w:val="both"/>
        <w:rPr>
          <w:rFonts w:eastAsiaTheme="minorEastAsia" w:cs="Times New Roman"/>
          <w:noProof/>
          <w:lang w:val="sk-SK"/>
        </w:rPr>
      </w:pPr>
      <w:r w:rsidRPr="003F23AC">
        <w:rPr>
          <w:rFonts w:cs="Times New Roman"/>
          <w:noProof/>
          <w:lang w:val="sk-SK"/>
        </w:rPr>
        <w:t>partnerstvá spolupráce podporujúce širokú ponuku kurzov vysokoškolského vzdelávania vrátane krátkych kurzov odbornej prípravy, vysokoškolských kurzov, magisterských</w:t>
      </w:r>
      <w:r w:rsidR="00A75B3C" w:rsidRPr="003F23AC">
        <w:rPr>
          <w:rFonts w:cs="Times New Roman"/>
          <w:noProof/>
          <w:lang w:val="sk-SK"/>
        </w:rPr>
        <w:t xml:space="preserve"> a </w:t>
      </w:r>
      <w:r w:rsidRPr="003F23AC">
        <w:rPr>
          <w:rFonts w:cs="Times New Roman"/>
          <w:noProof/>
          <w:lang w:val="sk-SK"/>
        </w:rPr>
        <w:t>doktorandských titulov;</w:t>
      </w:r>
    </w:p>
    <w:p w14:paraId="425A7F13" w14:textId="23EBB6E4" w:rsidR="00387C70" w:rsidRPr="003F23AC" w:rsidRDefault="000F5AA4" w:rsidP="003F23AC">
      <w:pPr>
        <w:pStyle w:val="P68B1DB1-Normal4"/>
        <w:numPr>
          <w:ilvl w:val="1"/>
          <w:numId w:val="44"/>
        </w:numPr>
        <w:spacing w:before="40" w:after="160" w:line="259" w:lineRule="auto"/>
        <w:contextualSpacing/>
        <w:jc w:val="both"/>
        <w:rPr>
          <w:rFonts w:eastAsiaTheme="minorEastAsia" w:cs="Times New Roman"/>
          <w:noProof/>
          <w:lang w:val="sk-SK"/>
        </w:rPr>
      </w:pPr>
      <w:r w:rsidRPr="003F23AC">
        <w:rPr>
          <w:rFonts w:cs="Times New Roman"/>
          <w:noProof/>
          <w:lang w:val="sk-SK"/>
        </w:rPr>
        <w:t>zvýšiť ponuku krátkodobých odborných kurzov na vysokej úrovni riadených inštitúciami vysokoškolského vzdelávania</w:t>
      </w:r>
      <w:r w:rsidR="00A75B3C" w:rsidRPr="003F23AC">
        <w:rPr>
          <w:rFonts w:cs="Times New Roman"/>
          <w:noProof/>
          <w:lang w:val="sk-SK"/>
        </w:rPr>
        <w:t xml:space="preserve"> v </w:t>
      </w:r>
      <w:r w:rsidRPr="003F23AC">
        <w:rPr>
          <w:rFonts w:cs="Times New Roman"/>
          <w:noProof/>
          <w:lang w:val="sk-SK"/>
        </w:rPr>
        <w:t>úzkej spolupráci</w:t>
      </w:r>
      <w:r w:rsidR="00A75B3C" w:rsidRPr="003F23AC">
        <w:rPr>
          <w:rFonts w:cs="Times New Roman"/>
          <w:noProof/>
          <w:lang w:val="sk-SK"/>
        </w:rPr>
        <w:t xml:space="preserve"> s </w:t>
      </w:r>
      <w:r w:rsidRPr="003F23AC">
        <w:rPr>
          <w:rFonts w:cs="Times New Roman"/>
          <w:noProof/>
          <w:lang w:val="sk-SK"/>
        </w:rPr>
        <w:t>verejnými</w:t>
      </w:r>
      <w:r w:rsidR="00A75B3C" w:rsidRPr="003F23AC">
        <w:rPr>
          <w:rFonts w:cs="Times New Roman"/>
          <w:noProof/>
          <w:lang w:val="sk-SK"/>
        </w:rPr>
        <w:t xml:space="preserve"> a </w:t>
      </w:r>
      <w:r w:rsidRPr="003F23AC">
        <w:rPr>
          <w:rFonts w:cs="Times New Roman"/>
          <w:noProof/>
          <w:lang w:val="sk-SK"/>
        </w:rPr>
        <w:t>súkromnými subjektmi;</w:t>
      </w:r>
    </w:p>
    <w:p w14:paraId="24C9D18C" w14:textId="771AE49F" w:rsidR="00387C70" w:rsidRPr="003F23AC" w:rsidRDefault="000F5AA4" w:rsidP="003F23AC">
      <w:pPr>
        <w:pStyle w:val="P68B1DB1-Normal4"/>
        <w:numPr>
          <w:ilvl w:val="1"/>
          <w:numId w:val="44"/>
        </w:numPr>
        <w:spacing w:before="40" w:after="160" w:line="259" w:lineRule="auto"/>
        <w:contextualSpacing/>
        <w:jc w:val="both"/>
        <w:rPr>
          <w:rFonts w:eastAsiaTheme="minorEastAsia" w:cs="Times New Roman"/>
          <w:noProof/>
          <w:lang w:val="sk-SK"/>
        </w:rPr>
      </w:pPr>
      <w:r w:rsidRPr="003F23AC">
        <w:rPr>
          <w:rFonts w:cs="Times New Roman"/>
          <w:noProof/>
          <w:lang w:val="sk-SK"/>
        </w:rPr>
        <w:t>ďalej rozširovať podpornú základňu terciárneho vzdelávania uľahčením prístupu stredoškolských študentov</w:t>
      </w:r>
      <w:r w:rsidR="00A75B3C" w:rsidRPr="003F23AC">
        <w:rPr>
          <w:rFonts w:cs="Times New Roman"/>
          <w:noProof/>
          <w:lang w:val="sk-SK"/>
        </w:rPr>
        <w:t xml:space="preserve"> z </w:t>
      </w:r>
      <w:r w:rsidRPr="003F23AC">
        <w:rPr>
          <w:rFonts w:cs="Times New Roman"/>
          <w:noProof/>
          <w:lang w:val="sk-SK"/>
        </w:rPr>
        <w:t>odborných</w:t>
      </w:r>
      <w:r w:rsidR="00A75B3C" w:rsidRPr="003F23AC">
        <w:rPr>
          <w:rFonts w:cs="Times New Roman"/>
          <w:noProof/>
          <w:lang w:val="sk-SK"/>
        </w:rPr>
        <w:t xml:space="preserve"> a </w:t>
      </w:r>
      <w:r w:rsidRPr="003F23AC">
        <w:rPr>
          <w:rFonts w:cs="Times New Roman"/>
          <w:noProof/>
          <w:lang w:val="sk-SK"/>
        </w:rPr>
        <w:t>umeleckých oblastí do inštitúcií vysokoškolského vzdelávania;</w:t>
      </w:r>
    </w:p>
    <w:p w14:paraId="6D78B2EF" w14:textId="5C03DD2A" w:rsidR="00387C70" w:rsidRPr="003F23AC" w:rsidRDefault="000F5AA4" w:rsidP="003F23AC">
      <w:pPr>
        <w:pStyle w:val="P68B1DB1-Normal4"/>
        <w:numPr>
          <w:ilvl w:val="1"/>
          <w:numId w:val="44"/>
        </w:numPr>
        <w:spacing w:before="40" w:after="160" w:line="259" w:lineRule="auto"/>
        <w:contextualSpacing/>
        <w:jc w:val="both"/>
        <w:rPr>
          <w:rFonts w:eastAsiaTheme="minorEastAsia" w:cs="Times New Roman"/>
          <w:noProof/>
          <w:lang w:val="sk-SK"/>
        </w:rPr>
      </w:pPr>
      <w:r w:rsidRPr="003F23AC">
        <w:rPr>
          <w:rFonts w:cs="Times New Roman"/>
          <w:noProof/>
          <w:lang w:val="sk-SK"/>
        </w:rPr>
        <w:t>posilniť účasť na kurzoch vysokoškolského vzdelávania</w:t>
      </w:r>
      <w:r w:rsidR="00A75B3C" w:rsidRPr="003F23AC">
        <w:rPr>
          <w:rFonts w:cs="Times New Roman"/>
          <w:noProof/>
          <w:lang w:val="sk-SK"/>
        </w:rPr>
        <w:t xml:space="preserve"> v </w:t>
      </w:r>
      <w:r w:rsidRPr="003F23AC">
        <w:rPr>
          <w:rFonts w:cs="Times New Roman"/>
          <w:noProof/>
          <w:lang w:val="sk-SK"/>
        </w:rPr>
        <w:t>digitálnych oblastiach, najmä prostredníctvom programu Portugal Digital InCoDe2030,</w:t>
      </w:r>
      <w:r w:rsidR="00A75B3C" w:rsidRPr="003F23AC">
        <w:rPr>
          <w:rFonts w:cs="Times New Roman"/>
          <w:noProof/>
          <w:lang w:val="sk-SK"/>
        </w:rPr>
        <w:t xml:space="preserve"> a </w:t>
      </w:r>
      <w:r w:rsidRPr="003F23AC">
        <w:rPr>
          <w:rFonts w:cs="Times New Roman"/>
          <w:noProof/>
          <w:lang w:val="sk-SK"/>
        </w:rPr>
        <w:t>to</w:t>
      </w:r>
      <w:r w:rsidR="00A75B3C" w:rsidRPr="003F23AC">
        <w:rPr>
          <w:rFonts w:cs="Times New Roman"/>
          <w:noProof/>
          <w:lang w:val="sk-SK"/>
        </w:rPr>
        <w:t xml:space="preserve"> v </w:t>
      </w:r>
      <w:r w:rsidRPr="003F23AC">
        <w:rPr>
          <w:rFonts w:cs="Times New Roman"/>
          <w:noProof/>
          <w:lang w:val="sk-SK"/>
        </w:rPr>
        <w:t>úzkej spolupráci</w:t>
      </w:r>
      <w:r w:rsidR="00A75B3C" w:rsidRPr="003F23AC">
        <w:rPr>
          <w:rFonts w:cs="Times New Roman"/>
          <w:noProof/>
          <w:lang w:val="sk-SK"/>
        </w:rPr>
        <w:t xml:space="preserve"> s </w:t>
      </w:r>
      <w:r w:rsidRPr="003F23AC">
        <w:rPr>
          <w:rFonts w:cs="Times New Roman"/>
          <w:noProof/>
          <w:lang w:val="sk-SK"/>
        </w:rPr>
        <w:t>verejnými</w:t>
      </w:r>
      <w:r w:rsidR="00A75B3C" w:rsidRPr="003F23AC">
        <w:rPr>
          <w:rFonts w:cs="Times New Roman"/>
          <w:noProof/>
          <w:lang w:val="sk-SK"/>
        </w:rPr>
        <w:t xml:space="preserve"> a </w:t>
      </w:r>
      <w:r w:rsidRPr="003F23AC">
        <w:rPr>
          <w:rFonts w:cs="Times New Roman"/>
          <w:noProof/>
          <w:lang w:val="sk-SK"/>
        </w:rPr>
        <w:t>súkromnými subjektmi;</w:t>
      </w:r>
    </w:p>
    <w:p w14:paraId="4A757B2D" w14:textId="451D2F0C" w:rsidR="00387C70" w:rsidRPr="003F23AC" w:rsidRDefault="000F5AA4" w:rsidP="003F23AC">
      <w:pPr>
        <w:pStyle w:val="P68B1DB1-Normal4"/>
        <w:numPr>
          <w:ilvl w:val="1"/>
          <w:numId w:val="44"/>
        </w:numPr>
        <w:spacing w:before="40" w:after="160" w:line="259" w:lineRule="auto"/>
        <w:contextualSpacing/>
        <w:jc w:val="both"/>
        <w:rPr>
          <w:rFonts w:eastAsiaTheme="minorEastAsia" w:cs="Times New Roman"/>
          <w:noProof/>
          <w:lang w:val="sk-SK"/>
        </w:rPr>
      </w:pPr>
      <w:r w:rsidRPr="003F23AC">
        <w:rPr>
          <w:rFonts w:cs="Times New Roman"/>
          <w:noProof/>
          <w:lang w:val="sk-SK"/>
        </w:rPr>
        <w:t>stimulovať modulárnu odbornú prípravu, ktorá podporuje kontinuálne vzdelávanie</w:t>
      </w:r>
      <w:r w:rsidR="00A75B3C" w:rsidRPr="003F23AC">
        <w:rPr>
          <w:rFonts w:cs="Times New Roman"/>
          <w:noProof/>
          <w:lang w:val="sk-SK"/>
        </w:rPr>
        <w:t xml:space="preserve"> a </w:t>
      </w:r>
      <w:r w:rsidRPr="003F23AC">
        <w:rPr>
          <w:rFonts w:cs="Times New Roman"/>
          <w:noProof/>
          <w:lang w:val="sk-SK"/>
        </w:rPr>
        <w:t>získavanie nových zručností</w:t>
      </w:r>
      <w:r w:rsidR="00A75B3C" w:rsidRPr="003F23AC">
        <w:rPr>
          <w:rFonts w:cs="Times New Roman"/>
          <w:noProof/>
          <w:lang w:val="sk-SK"/>
        </w:rPr>
        <w:t xml:space="preserve"> s </w:t>
      </w:r>
      <w:r w:rsidRPr="003F23AC">
        <w:rPr>
          <w:rFonts w:cs="Times New Roman"/>
          <w:noProof/>
          <w:lang w:val="sk-SK"/>
        </w:rPr>
        <w:t>mikrocertifikátmi/mikrodiplomami</w:t>
      </w:r>
      <w:r w:rsidR="00A75B3C" w:rsidRPr="003F23AC">
        <w:rPr>
          <w:rFonts w:cs="Times New Roman"/>
          <w:noProof/>
          <w:lang w:val="sk-SK"/>
        </w:rPr>
        <w:t xml:space="preserve"> v </w:t>
      </w:r>
      <w:r w:rsidRPr="003F23AC">
        <w:rPr>
          <w:rFonts w:cs="Times New Roman"/>
          <w:noProof/>
          <w:lang w:val="sk-SK"/>
        </w:rPr>
        <w:t>úzkej spolupráci</w:t>
      </w:r>
      <w:r w:rsidR="00A75B3C" w:rsidRPr="003F23AC">
        <w:rPr>
          <w:rFonts w:cs="Times New Roman"/>
          <w:noProof/>
          <w:lang w:val="sk-SK"/>
        </w:rPr>
        <w:t xml:space="preserve"> s </w:t>
      </w:r>
      <w:r w:rsidRPr="003F23AC">
        <w:rPr>
          <w:rFonts w:cs="Times New Roman"/>
          <w:noProof/>
          <w:lang w:val="sk-SK"/>
        </w:rPr>
        <w:t>verejnými</w:t>
      </w:r>
      <w:r w:rsidR="00A75B3C" w:rsidRPr="003F23AC">
        <w:rPr>
          <w:rFonts w:cs="Times New Roman"/>
          <w:noProof/>
          <w:lang w:val="sk-SK"/>
        </w:rPr>
        <w:t xml:space="preserve"> a </w:t>
      </w:r>
      <w:r w:rsidRPr="003F23AC">
        <w:rPr>
          <w:rFonts w:cs="Times New Roman"/>
          <w:noProof/>
          <w:lang w:val="sk-SK"/>
        </w:rPr>
        <w:t>súkromnými subjektmi;</w:t>
      </w:r>
    </w:p>
    <w:p w14:paraId="18034D09" w14:textId="5902F33C" w:rsidR="00387C70" w:rsidRPr="003F23AC" w:rsidRDefault="000F5AA4" w:rsidP="003F23AC">
      <w:pPr>
        <w:pStyle w:val="P68B1DB1-Normal4"/>
        <w:numPr>
          <w:ilvl w:val="1"/>
          <w:numId w:val="44"/>
        </w:numPr>
        <w:spacing w:before="40" w:after="160" w:line="259" w:lineRule="auto"/>
        <w:contextualSpacing/>
        <w:jc w:val="both"/>
        <w:rPr>
          <w:rFonts w:eastAsiaTheme="minorEastAsia" w:cs="Times New Roman"/>
          <w:noProof/>
          <w:lang w:val="sk-SK"/>
        </w:rPr>
      </w:pPr>
      <w:r w:rsidRPr="003F23AC">
        <w:rPr>
          <w:rFonts w:cs="Times New Roman"/>
          <w:noProof/>
          <w:lang w:val="sk-SK"/>
        </w:rPr>
        <w:t>rozšíriť spoluprácu medzi inštitúciami vysokoškolského vzdelávania</w:t>
      </w:r>
      <w:r w:rsidR="00A75B3C" w:rsidRPr="003F23AC">
        <w:rPr>
          <w:rFonts w:cs="Times New Roman"/>
          <w:noProof/>
          <w:lang w:val="sk-SK"/>
        </w:rPr>
        <w:t xml:space="preserve"> a </w:t>
      </w:r>
      <w:r w:rsidRPr="003F23AC">
        <w:rPr>
          <w:rFonts w:cs="Times New Roman"/>
          <w:noProof/>
          <w:lang w:val="sk-SK"/>
        </w:rPr>
        <w:t>laboratóriami</w:t>
      </w:r>
      <w:r w:rsidR="00A75B3C" w:rsidRPr="003F23AC">
        <w:rPr>
          <w:rFonts w:cs="Times New Roman"/>
          <w:noProof/>
          <w:lang w:val="sk-SK"/>
        </w:rPr>
        <w:t xml:space="preserve"> a </w:t>
      </w:r>
      <w:r w:rsidRPr="003F23AC">
        <w:rPr>
          <w:rFonts w:cs="Times New Roman"/>
          <w:noProof/>
          <w:lang w:val="sk-SK"/>
        </w:rPr>
        <w:t>centrami technologického rozhrania;</w:t>
      </w:r>
    </w:p>
    <w:p w14:paraId="51AF0405" w14:textId="4C43DFE6" w:rsidR="00387C70" w:rsidRPr="003F23AC" w:rsidRDefault="000F5AA4" w:rsidP="003F23AC">
      <w:pPr>
        <w:pStyle w:val="P68B1DB1-Normal4"/>
        <w:numPr>
          <w:ilvl w:val="1"/>
          <w:numId w:val="42"/>
        </w:numPr>
        <w:spacing w:before="40" w:after="160" w:line="259" w:lineRule="auto"/>
        <w:contextualSpacing/>
        <w:jc w:val="both"/>
        <w:rPr>
          <w:rFonts w:eastAsiaTheme="minorEastAsia" w:cs="Times New Roman"/>
          <w:noProof/>
          <w:lang w:val="sk-SK"/>
        </w:rPr>
      </w:pPr>
      <w:r w:rsidRPr="003F23AC">
        <w:rPr>
          <w:rFonts w:cs="Times New Roman"/>
          <w:noProof/>
          <w:lang w:val="sk-SK"/>
        </w:rPr>
        <w:t>zmena právneho postavenia</w:t>
      </w:r>
      <w:r w:rsidR="00A75B3C" w:rsidRPr="003F23AC">
        <w:rPr>
          <w:rFonts w:cs="Times New Roman"/>
          <w:noProof/>
          <w:lang w:val="sk-SK"/>
        </w:rPr>
        <w:t xml:space="preserve"> s </w:t>
      </w:r>
      <w:r w:rsidRPr="003F23AC">
        <w:rPr>
          <w:rFonts w:cs="Times New Roman"/>
          <w:noProof/>
          <w:lang w:val="sk-SK"/>
        </w:rPr>
        <w:t>cieľom objasniť podmienky, za ktorých môže externý odborník vykonávať pedagogické alebo riadiace úlohy</w:t>
      </w:r>
      <w:r w:rsidR="00A75B3C" w:rsidRPr="003F23AC">
        <w:rPr>
          <w:rFonts w:cs="Times New Roman"/>
          <w:noProof/>
          <w:lang w:val="sk-SK"/>
        </w:rPr>
        <w:t xml:space="preserve"> v </w:t>
      </w:r>
      <w:r w:rsidRPr="003F23AC">
        <w:rPr>
          <w:rFonts w:cs="Times New Roman"/>
          <w:noProof/>
          <w:lang w:val="sk-SK"/>
        </w:rPr>
        <w:t>inštitúciách vysokoškolského vzdelávania</w:t>
      </w:r>
      <w:r w:rsidR="00A75B3C" w:rsidRPr="003F23AC">
        <w:rPr>
          <w:rFonts w:cs="Times New Roman"/>
          <w:noProof/>
          <w:lang w:val="sk-SK"/>
        </w:rPr>
        <w:t xml:space="preserve"> s </w:t>
      </w:r>
      <w:r w:rsidRPr="003F23AC">
        <w:rPr>
          <w:rFonts w:cs="Times New Roman"/>
          <w:noProof/>
          <w:lang w:val="sk-SK"/>
        </w:rPr>
        <w:t>cieľom podporiť mobilitu medzi akademickou</w:t>
      </w:r>
      <w:r w:rsidR="00A75B3C" w:rsidRPr="003F23AC">
        <w:rPr>
          <w:rFonts w:cs="Times New Roman"/>
          <w:noProof/>
          <w:lang w:val="sk-SK"/>
        </w:rPr>
        <w:t xml:space="preserve"> a </w:t>
      </w:r>
      <w:r w:rsidRPr="003F23AC">
        <w:rPr>
          <w:rFonts w:cs="Times New Roman"/>
          <w:noProof/>
          <w:lang w:val="sk-SK"/>
        </w:rPr>
        <w:t>podnikateľskou sférou;</w:t>
      </w:r>
      <w:r w:rsidR="00A75B3C" w:rsidRPr="003F23AC">
        <w:rPr>
          <w:rFonts w:cs="Times New Roman"/>
          <w:noProof/>
          <w:lang w:val="sk-SK"/>
        </w:rPr>
        <w:t xml:space="preserve"> a </w:t>
      </w:r>
      <w:r w:rsidRPr="003F23AC">
        <w:rPr>
          <w:rFonts w:cs="Times New Roman"/>
          <w:noProof/>
          <w:lang w:val="sk-SK"/>
        </w:rPr>
        <w:t>zároveň</w:t>
      </w:r>
    </w:p>
    <w:p w14:paraId="423A2509" w14:textId="60AC87F0" w:rsidR="00387C70" w:rsidRPr="003F23AC" w:rsidRDefault="000F5AA4" w:rsidP="003F23AC">
      <w:pPr>
        <w:pStyle w:val="P68B1DB1-Normal4"/>
        <w:numPr>
          <w:ilvl w:val="1"/>
          <w:numId w:val="42"/>
        </w:numPr>
        <w:spacing w:before="40" w:after="160" w:line="259" w:lineRule="auto"/>
        <w:contextualSpacing/>
        <w:jc w:val="both"/>
        <w:rPr>
          <w:rFonts w:eastAsiaTheme="minorEastAsia" w:cs="Times New Roman"/>
          <w:noProof/>
          <w:lang w:val="sk-SK"/>
        </w:rPr>
      </w:pPr>
      <w:r w:rsidRPr="003F23AC">
        <w:rPr>
          <w:rFonts w:cs="Times New Roman"/>
          <w:noProof/>
          <w:lang w:val="sk-SK"/>
        </w:rPr>
        <w:t>posilniť právny rámec konzorcií so zdieľaným riadením inštitúcií vysokoškolského vzdelávania</w:t>
      </w:r>
      <w:r w:rsidR="00A75B3C" w:rsidRPr="003F23AC">
        <w:rPr>
          <w:rFonts w:cs="Times New Roman"/>
          <w:noProof/>
          <w:lang w:val="sk-SK"/>
        </w:rPr>
        <w:t xml:space="preserve"> a </w:t>
      </w:r>
      <w:r w:rsidRPr="003F23AC">
        <w:rPr>
          <w:rFonts w:cs="Times New Roman"/>
          <w:noProof/>
          <w:lang w:val="sk-SK"/>
        </w:rPr>
        <w:t>podnikov.</w:t>
      </w:r>
    </w:p>
    <w:p w14:paraId="4BAB8F5A" w14:textId="30C17F53"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reformy sa dokončí do 30</w:t>
      </w:r>
      <w:r w:rsidR="00A75B3C" w:rsidRPr="003F23AC">
        <w:rPr>
          <w:rFonts w:cs="Times New Roman"/>
          <w:noProof/>
          <w:lang w:val="sk-SK"/>
        </w:rPr>
        <w:t>. júna</w:t>
      </w:r>
      <w:r w:rsidRPr="003F23AC">
        <w:rPr>
          <w:rFonts w:cs="Times New Roman"/>
          <w:noProof/>
          <w:lang w:val="sk-SK"/>
        </w:rPr>
        <w:t xml:space="preserve"> 2021.</w:t>
      </w:r>
    </w:p>
    <w:p w14:paraId="0FA75BAC" w14:textId="7777777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Reforma RE-r16: Zníženie obmedzení vo vysoko regulovaných povolaniach</w:t>
      </w:r>
    </w:p>
    <w:p w14:paraId="739AB1D1" w14:textId="7777777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reformy je znížiť obmedzenia vo vysoko regulovaných profesiách, najmä podporiť hospodársku súťaž pri poskytovaní služieb pre podniky</w:t>
      </w:r>
      <w:r w:rsidR="00A75B3C" w:rsidRPr="003F23AC">
        <w:rPr>
          <w:rFonts w:cs="Times New Roman"/>
          <w:noProof/>
          <w:lang w:val="sk-SK"/>
        </w:rPr>
        <w:t>.</w:t>
      </w:r>
    </w:p>
    <w:p w14:paraId="14012331" w14:textId="1D2273A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V roku 2018 OECD</w:t>
      </w:r>
      <w:r w:rsidR="00A75B3C" w:rsidRPr="003F23AC">
        <w:rPr>
          <w:rFonts w:cs="Times New Roman"/>
          <w:noProof/>
          <w:lang w:val="sk-SK"/>
        </w:rPr>
        <w:t xml:space="preserve"> v </w:t>
      </w:r>
      <w:r w:rsidRPr="003F23AC">
        <w:rPr>
          <w:rFonts w:cs="Times New Roman"/>
          <w:noProof/>
          <w:lang w:val="sk-SK"/>
        </w:rPr>
        <w:t>spolupráci</w:t>
      </w:r>
      <w:r w:rsidR="00A75B3C" w:rsidRPr="003F23AC">
        <w:rPr>
          <w:rFonts w:cs="Times New Roman"/>
          <w:noProof/>
          <w:lang w:val="sk-SK"/>
        </w:rPr>
        <w:t xml:space="preserve"> s </w:t>
      </w:r>
      <w:r w:rsidRPr="003F23AC">
        <w:rPr>
          <w:rFonts w:cs="Times New Roman"/>
          <w:noProof/>
          <w:lang w:val="sk-SK"/>
        </w:rPr>
        <w:t>portugalským orgánom na ochranu hospodárskej súťaže (AdC) vykonala posúdenie obmedzeného počtu samostatne regulovaných povolaní, ako sú právnici, právnici, inžinieri, architekti, audítori, účtovníci, ekonómovia, farmaceuti</w:t>
      </w:r>
      <w:r w:rsidR="00A75B3C" w:rsidRPr="003F23AC">
        <w:rPr>
          <w:rFonts w:cs="Times New Roman"/>
          <w:noProof/>
          <w:lang w:val="sk-SK"/>
        </w:rPr>
        <w:t xml:space="preserve"> a </w:t>
      </w:r>
      <w:r w:rsidRPr="003F23AC">
        <w:rPr>
          <w:rFonts w:cs="Times New Roman"/>
          <w:noProof/>
          <w:lang w:val="sk-SK"/>
        </w:rPr>
        <w:t>odborníci na výživu.</w:t>
      </w:r>
      <w:r w:rsidR="00A75B3C" w:rsidRPr="003F23AC">
        <w:rPr>
          <w:rFonts w:cs="Times New Roman"/>
          <w:noProof/>
          <w:lang w:val="sk-SK"/>
        </w:rPr>
        <w:t xml:space="preserve"> Z </w:t>
      </w:r>
      <w:r w:rsidRPr="003F23AC">
        <w:rPr>
          <w:rFonts w:cs="Times New Roman"/>
          <w:noProof/>
          <w:lang w:val="sk-SK"/>
        </w:rPr>
        <w:t>vykonaného hodnotenia bol vypracovaný zoznam odporúčaní. Touto reformou sa Portugalsko bude zaoberať odporúčaniami OECD</w:t>
      </w:r>
      <w:r w:rsidR="00A75B3C" w:rsidRPr="003F23AC">
        <w:rPr>
          <w:rFonts w:cs="Times New Roman"/>
          <w:noProof/>
          <w:lang w:val="sk-SK"/>
        </w:rPr>
        <w:t xml:space="preserve"> a </w:t>
      </w:r>
      <w:r w:rsidRPr="003F23AC">
        <w:rPr>
          <w:rFonts w:cs="Times New Roman"/>
          <w:noProof/>
          <w:lang w:val="sk-SK"/>
        </w:rPr>
        <w:t>AdC</w:t>
      </w:r>
      <w:r w:rsidR="00A75B3C" w:rsidRPr="003F23AC">
        <w:rPr>
          <w:rFonts w:cs="Times New Roman"/>
          <w:noProof/>
          <w:lang w:val="sk-SK"/>
        </w:rPr>
        <w:t>.</w:t>
      </w:r>
    </w:p>
    <w:p w14:paraId="129A9C88" w14:textId="1211D7E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Reformou sa aspoň: I) oddeliť funkcie regulácie</w:t>
      </w:r>
      <w:r w:rsidR="00A75B3C" w:rsidRPr="003F23AC">
        <w:rPr>
          <w:rFonts w:cs="Times New Roman"/>
          <w:noProof/>
          <w:lang w:val="sk-SK"/>
        </w:rPr>
        <w:t xml:space="preserve"> a </w:t>
      </w:r>
      <w:r w:rsidRPr="003F23AC">
        <w:rPr>
          <w:rFonts w:cs="Times New Roman"/>
          <w:noProof/>
          <w:lang w:val="sk-SK"/>
        </w:rPr>
        <w:t>zastupovania</w:t>
      </w:r>
      <w:r w:rsidR="00A75B3C" w:rsidRPr="003F23AC">
        <w:rPr>
          <w:rFonts w:cs="Times New Roman"/>
          <w:noProof/>
          <w:lang w:val="sk-SK"/>
        </w:rPr>
        <w:t xml:space="preserve"> v </w:t>
      </w:r>
      <w:r w:rsidRPr="003F23AC">
        <w:rPr>
          <w:rFonts w:cs="Times New Roman"/>
          <w:noProof/>
          <w:lang w:val="sk-SK"/>
        </w:rPr>
        <w:t>profesijných združeniach; II) obmedziť zoznam vyhradených činností (prístup</w:t>
      </w:r>
      <w:r w:rsidR="00A75B3C" w:rsidRPr="003F23AC">
        <w:rPr>
          <w:rFonts w:cs="Times New Roman"/>
          <w:noProof/>
          <w:lang w:val="sk-SK"/>
        </w:rPr>
        <w:t xml:space="preserve"> k </w:t>
      </w:r>
      <w:r w:rsidRPr="003F23AC">
        <w:rPr>
          <w:rFonts w:cs="Times New Roman"/>
          <w:noProof/>
          <w:lang w:val="sk-SK"/>
        </w:rPr>
        <w:t>vyhradeným činnostiam môže byť obmedzený len na ochranu ústavných záujmov</w:t>
      </w:r>
      <w:r w:rsidR="00A75B3C" w:rsidRPr="003F23AC">
        <w:rPr>
          <w:rFonts w:cs="Times New Roman"/>
          <w:noProof/>
          <w:lang w:val="sk-SK"/>
        </w:rPr>
        <w:t xml:space="preserve"> v </w:t>
      </w:r>
      <w:r w:rsidRPr="003F23AC">
        <w:rPr>
          <w:rFonts w:cs="Times New Roman"/>
          <w:noProof/>
          <w:lang w:val="sk-SK"/>
        </w:rPr>
        <w:t>súlade so zásadami nevyhnutnosti</w:t>
      </w:r>
      <w:r w:rsidR="00A75B3C" w:rsidRPr="003F23AC">
        <w:rPr>
          <w:rFonts w:cs="Times New Roman"/>
          <w:noProof/>
          <w:lang w:val="sk-SK"/>
        </w:rPr>
        <w:t xml:space="preserve"> a </w:t>
      </w:r>
      <w:r w:rsidRPr="003F23AC">
        <w:rPr>
          <w:rFonts w:cs="Times New Roman"/>
          <w:noProof/>
          <w:lang w:val="sk-SK"/>
        </w:rPr>
        <w:t>proporcionality); III) ukončiť obmedzenia vlastníctva</w:t>
      </w:r>
      <w:r w:rsidR="00A75B3C" w:rsidRPr="003F23AC">
        <w:rPr>
          <w:rFonts w:cs="Times New Roman"/>
          <w:noProof/>
          <w:lang w:val="sk-SK"/>
        </w:rPr>
        <w:t xml:space="preserve"> a </w:t>
      </w:r>
      <w:r w:rsidRPr="003F23AC">
        <w:rPr>
          <w:rFonts w:cs="Times New Roman"/>
          <w:noProof/>
          <w:lang w:val="sk-SK"/>
        </w:rPr>
        <w:t>riadenia podnikov poskytujúcich služby pre podniky za predpokladu, že manažéri dodržiavajú právny režim na predchádzanie „konfliktu záujmov“;</w:t>
      </w:r>
      <w:r w:rsidR="00A75B3C" w:rsidRPr="003F23AC">
        <w:rPr>
          <w:rFonts w:cs="Times New Roman"/>
          <w:noProof/>
          <w:lang w:val="sk-SK"/>
        </w:rPr>
        <w:t xml:space="preserve"> a </w:t>
      </w:r>
      <w:r w:rsidRPr="003F23AC">
        <w:rPr>
          <w:rFonts w:cs="Times New Roman"/>
          <w:noProof/>
          <w:lang w:val="sk-SK"/>
        </w:rPr>
        <w:t>iv) umožniť spoločnostiam poskytujúcim služby pre podniky pôsobiace</w:t>
      </w:r>
      <w:r w:rsidR="00A75B3C" w:rsidRPr="003F23AC">
        <w:rPr>
          <w:rFonts w:cs="Times New Roman"/>
          <w:noProof/>
          <w:lang w:val="sk-SK"/>
        </w:rPr>
        <w:t xml:space="preserve"> v </w:t>
      </w:r>
      <w:r w:rsidRPr="003F23AC">
        <w:rPr>
          <w:rFonts w:cs="Times New Roman"/>
          <w:noProof/>
          <w:lang w:val="sk-SK"/>
        </w:rPr>
        <w:t>oblasti multidisciplinárnych služieb</w:t>
      </w:r>
      <w:r w:rsidR="00A75B3C" w:rsidRPr="003F23AC">
        <w:rPr>
          <w:rFonts w:cs="Times New Roman"/>
          <w:noProof/>
          <w:lang w:val="sk-SK"/>
        </w:rPr>
        <w:t>.</w:t>
      </w:r>
    </w:p>
    <w:p w14:paraId="02CCDA83" w14:textId="392A06AC"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AdC bude tiež poverený vypracovaním správy</w:t>
      </w:r>
      <w:r w:rsidR="00A75B3C" w:rsidRPr="003F23AC">
        <w:rPr>
          <w:rFonts w:cs="Times New Roman"/>
          <w:noProof/>
          <w:lang w:val="sk-SK"/>
        </w:rPr>
        <w:t xml:space="preserve"> o </w:t>
      </w:r>
      <w:r w:rsidRPr="003F23AC">
        <w:rPr>
          <w:rFonts w:cs="Times New Roman"/>
          <w:noProof/>
          <w:lang w:val="sk-SK"/>
        </w:rPr>
        <w:t>účinnosti nového zákona</w:t>
      </w:r>
      <w:r w:rsidR="00A75B3C" w:rsidRPr="003F23AC">
        <w:rPr>
          <w:rFonts w:cs="Times New Roman"/>
          <w:noProof/>
          <w:lang w:val="sk-SK"/>
        </w:rPr>
        <w:t xml:space="preserve"> o </w:t>
      </w:r>
      <w:r w:rsidRPr="003F23AC">
        <w:rPr>
          <w:rFonts w:cs="Times New Roman"/>
          <w:noProof/>
          <w:lang w:val="sk-SK"/>
        </w:rPr>
        <w:t>regulovaných povolaniach</w:t>
      </w:r>
      <w:r w:rsidR="00A75B3C" w:rsidRPr="003F23AC">
        <w:rPr>
          <w:rFonts w:cs="Times New Roman"/>
          <w:noProof/>
          <w:lang w:val="sk-SK"/>
        </w:rPr>
        <w:t>.</w:t>
      </w:r>
    </w:p>
    <w:p w14:paraId="6A04E445" w14:textId="50D58AE2"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reformy sa dokončí do 31</w:t>
      </w:r>
      <w:r w:rsidR="00A75B3C" w:rsidRPr="003F23AC">
        <w:rPr>
          <w:rFonts w:cs="Times New Roman"/>
          <w:noProof/>
          <w:lang w:val="sk-SK"/>
        </w:rPr>
        <w:t>. decembra</w:t>
      </w:r>
      <w:r w:rsidRPr="003F23AC">
        <w:rPr>
          <w:rFonts w:cs="Times New Roman"/>
          <w:noProof/>
          <w:lang w:val="sk-SK"/>
        </w:rPr>
        <w:t xml:space="preserve"> 2022.</w:t>
      </w:r>
    </w:p>
    <w:p w14:paraId="58B60BDF" w14:textId="7777777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Reforma RE-r17: Program podpory dôstojnej práce</w:t>
      </w:r>
    </w:p>
    <w:p w14:paraId="5AF25DED" w14:textId="30E1E446"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tejto reformy je stavať na opatreniach prijatých</w:t>
      </w:r>
      <w:r w:rsidR="00A75B3C" w:rsidRPr="003F23AC">
        <w:rPr>
          <w:rFonts w:cs="Times New Roman"/>
          <w:noProof/>
          <w:lang w:val="sk-SK"/>
        </w:rPr>
        <w:t xml:space="preserve"> v </w:t>
      </w:r>
      <w:r w:rsidRPr="003F23AC">
        <w:rPr>
          <w:rFonts w:cs="Times New Roman"/>
          <w:noProof/>
          <w:lang w:val="sk-SK"/>
        </w:rPr>
        <w:t>posledných rokoch (ako sú opatrenia zamerané na segmentáciu trhu práce</w:t>
      </w:r>
      <w:r w:rsidR="00A75B3C" w:rsidRPr="003F23AC">
        <w:rPr>
          <w:rFonts w:cs="Times New Roman"/>
          <w:noProof/>
          <w:lang w:val="sk-SK"/>
        </w:rPr>
        <w:t xml:space="preserve"> a </w:t>
      </w:r>
      <w:r w:rsidRPr="003F23AC">
        <w:rPr>
          <w:rFonts w:cs="Times New Roman"/>
          <w:noProof/>
          <w:lang w:val="sk-SK"/>
        </w:rPr>
        <w:t>podporu kolektívneho vyjednávania)</w:t>
      </w:r>
      <w:r w:rsidR="00A75B3C" w:rsidRPr="003F23AC">
        <w:rPr>
          <w:rFonts w:cs="Times New Roman"/>
          <w:noProof/>
          <w:lang w:val="sk-SK"/>
        </w:rPr>
        <w:t xml:space="preserve"> s </w:t>
      </w:r>
      <w:r w:rsidRPr="003F23AC">
        <w:rPr>
          <w:rFonts w:cs="Times New Roman"/>
          <w:noProof/>
          <w:lang w:val="sk-SK"/>
        </w:rPr>
        <w:t>cieľom chrániť pracovné práva.</w:t>
      </w:r>
    </w:p>
    <w:p w14:paraId="57A88F30" w14:textId="53A390F6"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Po predložení zelenej knihy</w:t>
      </w:r>
      <w:r w:rsidR="00A75B3C" w:rsidRPr="003F23AC">
        <w:rPr>
          <w:rFonts w:cs="Times New Roman"/>
          <w:noProof/>
          <w:lang w:val="sk-SK"/>
        </w:rPr>
        <w:t xml:space="preserve"> o </w:t>
      </w:r>
      <w:r w:rsidRPr="003F23AC">
        <w:rPr>
          <w:rFonts w:cs="Times New Roman"/>
          <w:noProof/>
          <w:lang w:val="sk-SK"/>
        </w:rPr>
        <w:t>budúcnosti práce vládou bude táto reforma pozostávať</w:t>
      </w:r>
      <w:r w:rsidR="00A75B3C" w:rsidRPr="003F23AC">
        <w:rPr>
          <w:rFonts w:cs="Times New Roman"/>
          <w:noProof/>
          <w:lang w:val="sk-SK"/>
        </w:rPr>
        <w:t xml:space="preserve"> z </w:t>
      </w:r>
      <w:r w:rsidRPr="003F23AC">
        <w:rPr>
          <w:rFonts w:cs="Times New Roman"/>
          <w:noProof/>
          <w:lang w:val="sk-SK"/>
        </w:rPr>
        <w:t>legislatívneho aktu na reguláciu práce pre platformy</w:t>
      </w:r>
      <w:r w:rsidR="00A75B3C" w:rsidRPr="003F23AC">
        <w:rPr>
          <w:rFonts w:cs="Times New Roman"/>
          <w:noProof/>
          <w:lang w:val="sk-SK"/>
        </w:rPr>
        <w:t xml:space="preserve"> s </w:t>
      </w:r>
      <w:r w:rsidRPr="003F23AC">
        <w:rPr>
          <w:rFonts w:cs="Times New Roman"/>
          <w:noProof/>
          <w:lang w:val="sk-SK"/>
        </w:rPr>
        <w:t>cieľom riešiť nové výzvy vyplývajúce</w:t>
      </w:r>
      <w:r w:rsidR="00A75B3C" w:rsidRPr="003F23AC">
        <w:rPr>
          <w:rFonts w:cs="Times New Roman"/>
          <w:noProof/>
          <w:lang w:val="sk-SK"/>
        </w:rPr>
        <w:t xml:space="preserve"> z </w:t>
      </w:r>
      <w:r w:rsidRPr="003F23AC">
        <w:rPr>
          <w:rFonts w:cs="Times New Roman"/>
          <w:noProof/>
          <w:lang w:val="sk-SK"/>
        </w:rPr>
        <w:t>atypických pracovných vzťahov</w:t>
      </w:r>
      <w:r w:rsidR="00A75B3C" w:rsidRPr="003F23AC">
        <w:rPr>
          <w:rFonts w:cs="Times New Roman"/>
          <w:noProof/>
          <w:lang w:val="sk-SK"/>
        </w:rPr>
        <w:t xml:space="preserve"> v </w:t>
      </w:r>
      <w:r w:rsidRPr="003F23AC">
        <w:rPr>
          <w:rFonts w:cs="Times New Roman"/>
          <w:noProof/>
          <w:lang w:val="sk-SK"/>
        </w:rPr>
        <w:t>súlade so zásadami Európskeho piliera sociálnych práv. Posilňuje kvalitu pracovných vzťahov</w:t>
      </w:r>
      <w:r w:rsidR="00A75B3C" w:rsidRPr="003F23AC">
        <w:rPr>
          <w:rFonts w:cs="Times New Roman"/>
          <w:noProof/>
          <w:lang w:val="sk-SK"/>
        </w:rPr>
        <w:t xml:space="preserve"> a </w:t>
      </w:r>
      <w:r w:rsidRPr="003F23AC">
        <w:rPr>
          <w:rFonts w:cs="Times New Roman"/>
          <w:noProof/>
          <w:lang w:val="sk-SK"/>
        </w:rPr>
        <w:t>zlepšuje prístup</w:t>
      </w:r>
      <w:r w:rsidR="00A75B3C" w:rsidRPr="003F23AC">
        <w:rPr>
          <w:rFonts w:cs="Times New Roman"/>
          <w:noProof/>
          <w:lang w:val="sk-SK"/>
        </w:rPr>
        <w:t xml:space="preserve"> k </w:t>
      </w:r>
      <w:r w:rsidRPr="003F23AC">
        <w:rPr>
          <w:rFonts w:cs="Times New Roman"/>
          <w:noProof/>
          <w:lang w:val="sk-SK"/>
        </w:rPr>
        <w:t>právam</w:t>
      </w:r>
      <w:r w:rsidR="00A75B3C" w:rsidRPr="003F23AC">
        <w:rPr>
          <w:rFonts w:cs="Times New Roman"/>
          <w:noProof/>
          <w:lang w:val="sk-SK"/>
        </w:rPr>
        <w:t xml:space="preserve"> a </w:t>
      </w:r>
      <w:r w:rsidRPr="003F23AC">
        <w:rPr>
          <w:rFonts w:cs="Times New Roman"/>
          <w:noProof/>
          <w:lang w:val="sk-SK"/>
        </w:rPr>
        <w:t>sociálnej ochrane</w:t>
      </w:r>
      <w:r w:rsidR="00A75B3C" w:rsidRPr="003F23AC">
        <w:rPr>
          <w:rFonts w:cs="Times New Roman"/>
          <w:noProof/>
          <w:lang w:val="sk-SK"/>
        </w:rPr>
        <w:t>.</w:t>
      </w:r>
    </w:p>
    <w:p w14:paraId="0255E56D" w14:textId="39120DCE"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tejto reformy sa dokončí do 31</w:t>
      </w:r>
      <w:r w:rsidR="00A75B3C" w:rsidRPr="003F23AC">
        <w:rPr>
          <w:rFonts w:cs="Times New Roman"/>
          <w:noProof/>
          <w:lang w:val="sk-SK"/>
        </w:rPr>
        <w:t>. marca</w:t>
      </w:r>
      <w:r w:rsidRPr="003F23AC">
        <w:rPr>
          <w:rFonts w:cs="Times New Roman"/>
          <w:noProof/>
          <w:lang w:val="sk-SK"/>
        </w:rPr>
        <w:t xml:space="preserve"> 2023.</w:t>
      </w:r>
    </w:p>
    <w:p w14:paraId="344F2E16" w14:textId="3A9447B8" w:rsidR="00387C70" w:rsidRPr="003F23AC" w:rsidRDefault="000F5AA4" w:rsidP="00A26F8D">
      <w:pPr>
        <w:pStyle w:val="P68B1DB1-Normal5"/>
        <w:keepNext/>
        <w:keepLines/>
        <w:spacing w:before="240" w:after="0" w:line="259" w:lineRule="auto"/>
        <w:ind w:left="851"/>
        <w:jc w:val="both"/>
        <w:outlineLvl w:val="3"/>
        <w:rPr>
          <w:rFonts w:eastAsiaTheme="minorEastAsia" w:cs="Times New Roman"/>
          <w:noProof/>
          <w:lang w:val="sk-SK"/>
        </w:rPr>
      </w:pPr>
      <w:r w:rsidRPr="003F23AC">
        <w:rPr>
          <w:rFonts w:cs="Times New Roman"/>
          <w:noProof/>
          <w:lang w:val="sk-SK"/>
        </w:rPr>
        <w:t>Reforma RE-r18: Boj proti nerovnosti medzi ženami</w:t>
      </w:r>
      <w:r w:rsidR="00A75B3C" w:rsidRPr="003F23AC">
        <w:rPr>
          <w:rFonts w:cs="Times New Roman"/>
          <w:noProof/>
          <w:lang w:val="sk-SK"/>
        </w:rPr>
        <w:t xml:space="preserve"> a </w:t>
      </w:r>
      <w:r w:rsidRPr="003F23AC">
        <w:rPr>
          <w:rFonts w:cs="Times New Roman"/>
          <w:noProof/>
          <w:lang w:val="sk-SK"/>
        </w:rPr>
        <w:t>mužmi</w:t>
      </w:r>
    </w:p>
    <w:p w14:paraId="5CA7D144" w14:textId="0A1B78E6" w:rsidR="00387C70" w:rsidRPr="003F23AC" w:rsidRDefault="000F5AA4" w:rsidP="00A26F8D">
      <w:pPr>
        <w:pStyle w:val="P68B1DB1-Normal4"/>
        <w:keepNext/>
        <w:keepLines/>
        <w:spacing w:before="40" w:after="0" w:line="259" w:lineRule="auto"/>
        <w:jc w:val="both"/>
        <w:rPr>
          <w:rFonts w:eastAsiaTheme="minorEastAsia" w:cs="Times New Roman"/>
          <w:noProof/>
          <w:lang w:val="sk-SK"/>
        </w:rPr>
      </w:pPr>
      <w:r w:rsidRPr="003F23AC">
        <w:rPr>
          <w:rFonts w:cs="Times New Roman"/>
          <w:noProof/>
          <w:lang w:val="sk-SK"/>
        </w:rPr>
        <w:t>Cieľom tejto reformy je podporovať rovnosť</w:t>
      </w:r>
      <w:r w:rsidR="00A75B3C" w:rsidRPr="003F23AC">
        <w:rPr>
          <w:rFonts w:cs="Times New Roman"/>
          <w:noProof/>
          <w:lang w:val="sk-SK"/>
        </w:rPr>
        <w:t xml:space="preserve"> v </w:t>
      </w:r>
      <w:r w:rsidRPr="003F23AC">
        <w:rPr>
          <w:rFonts w:cs="Times New Roman"/>
          <w:noProof/>
          <w:lang w:val="sk-SK"/>
        </w:rPr>
        <w:t>odmeňovaní žien</w:t>
      </w:r>
      <w:r w:rsidR="00A75B3C" w:rsidRPr="003F23AC">
        <w:rPr>
          <w:rFonts w:cs="Times New Roman"/>
          <w:noProof/>
          <w:lang w:val="sk-SK"/>
        </w:rPr>
        <w:t xml:space="preserve"> a </w:t>
      </w:r>
      <w:r w:rsidRPr="003F23AC">
        <w:rPr>
          <w:rFonts w:cs="Times New Roman"/>
          <w:noProof/>
          <w:lang w:val="sk-SK"/>
        </w:rPr>
        <w:t>mužov, rovnaké kariérne príležitosti</w:t>
      </w:r>
      <w:r w:rsidR="00A75B3C" w:rsidRPr="003F23AC">
        <w:rPr>
          <w:rFonts w:cs="Times New Roman"/>
          <w:noProof/>
          <w:lang w:val="sk-SK"/>
        </w:rPr>
        <w:t xml:space="preserve"> a </w:t>
      </w:r>
      <w:r w:rsidRPr="003F23AC">
        <w:rPr>
          <w:rFonts w:cs="Times New Roman"/>
          <w:noProof/>
          <w:lang w:val="sk-SK"/>
        </w:rPr>
        <w:t>bojovať proti rodovým stereotypom</w:t>
      </w:r>
      <w:r w:rsidR="00A75B3C" w:rsidRPr="003F23AC">
        <w:rPr>
          <w:rFonts w:cs="Times New Roman"/>
          <w:noProof/>
          <w:lang w:val="sk-SK"/>
        </w:rPr>
        <w:t xml:space="preserve"> a </w:t>
      </w:r>
      <w:r w:rsidRPr="003F23AC">
        <w:rPr>
          <w:rFonts w:cs="Times New Roman"/>
          <w:noProof/>
          <w:lang w:val="sk-SK"/>
        </w:rPr>
        <w:t>segregácii pri výbere profesionálnej kariéry. Vo veľkej miere vychádza</w:t>
      </w:r>
      <w:r w:rsidR="00A75B3C" w:rsidRPr="003F23AC">
        <w:rPr>
          <w:rFonts w:cs="Times New Roman"/>
          <w:noProof/>
          <w:lang w:val="sk-SK"/>
        </w:rPr>
        <w:t xml:space="preserve"> z </w:t>
      </w:r>
      <w:r w:rsidRPr="003F23AC">
        <w:rPr>
          <w:rFonts w:cs="Times New Roman"/>
          <w:noProof/>
          <w:lang w:val="sk-SK"/>
        </w:rPr>
        <w:t>existujúcich právnych predpisov, najmä</w:t>
      </w:r>
      <w:r w:rsidR="00A75B3C" w:rsidRPr="003F23AC">
        <w:rPr>
          <w:rFonts w:cs="Times New Roman"/>
          <w:noProof/>
          <w:lang w:val="sk-SK"/>
        </w:rPr>
        <w:t xml:space="preserve"> o </w:t>
      </w:r>
      <w:r w:rsidRPr="003F23AC">
        <w:rPr>
          <w:rFonts w:cs="Times New Roman"/>
          <w:noProof/>
          <w:lang w:val="sk-SK"/>
        </w:rPr>
        <w:t xml:space="preserve">rovnakej odmene (zákon </w:t>
      </w:r>
      <w:r w:rsidR="00A75B3C" w:rsidRPr="003F23AC">
        <w:rPr>
          <w:rFonts w:cs="Times New Roman"/>
          <w:noProof/>
          <w:lang w:val="sk-SK"/>
        </w:rPr>
        <w:t>č. </w:t>
      </w:r>
      <w:r w:rsidRPr="003F23AC">
        <w:rPr>
          <w:rFonts w:cs="Times New Roman"/>
          <w:noProof/>
          <w:lang w:val="sk-SK"/>
        </w:rPr>
        <w:t>60/2018)</w:t>
      </w:r>
      <w:r w:rsidR="00A75B3C" w:rsidRPr="003F23AC">
        <w:rPr>
          <w:rFonts w:cs="Times New Roman"/>
          <w:noProof/>
          <w:lang w:val="sk-SK"/>
        </w:rPr>
        <w:t xml:space="preserve"> a o </w:t>
      </w:r>
      <w:r w:rsidRPr="003F23AC">
        <w:rPr>
          <w:rFonts w:cs="Times New Roman"/>
          <w:noProof/>
          <w:lang w:val="sk-SK"/>
        </w:rPr>
        <w:t>vyváženom zastúpení</w:t>
      </w:r>
      <w:r w:rsidR="00A75B3C" w:rsidRPr="003F23AC">
        <w:rPr>
          <w:rFonts w:cs="Times New Roman"/>
          <w:noProof/>
          <w:lang w:val="sk-SK"/>
        </w:rPr>
        <w:t xml:space="preserve"> v </w:t>
      </w:r>
      <w:r w:rsidRPr="003F23AC">
        <w:rPr>
          <w:rFonts w:cs="Times New Roman"/>
          <w:noProof/>
          <w:lang w:val="sk-SK"/>
        </w:rPr>
        <w:t xml:space="preserve">správnych radách (zákony </w:t>
      </w:r>
      <w:r w:rsidR="00A75B3C" w:rsidRPr="003F23AC">
        <w:rPr>
          <w:rFonts w:cs="Times New Roman"/>
          <w:noProof/>
          <w:lang w:val="sk-SK"/>
        </w:rPr>
        <w:t>č. </w:t>
      </w:r>
      <w:r w:rsidRPr="003F23AC">
        <w:rPr>
          <w:rFonts w:cs="Times New Roman"/>
          <w:noProof/>
          <w:lang w:val="sk-SK"/>
        </w:rPr>
        <w:t>62/2017</w:t>
      </w:r>
      <w:r w:rsidR="00A75B3C" w:rsidRPr="003F23AC">
        <w:rPr>
          <w:rFonts w:cs="Times New Roman"/>
          <w:noProof/>
          <w:lang w:val="sk-SK"/>
        </w:rPr>
        <w:t xml:space="preserve"> a č. </w:t>
      </w:r>
      <w:r w:rsidRPr="003F23AC">
        <w:rPr>
          <w:rFonts w:cs="Times New Roman"/>
          <w:noProof/>
          <w:lang w:val="sk-SK"/>
        </w:rPr>
        <w:t>26/2019).</w:t>
      </w:r>
    </w:p>
    <w:p w14:paraId="6011E948" w14:textId="62AF57F6"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Právnymi predpismi</w:t>
      </w:r>
      <w:r w:rsidR="00A75B3C" w:rsidRPr="003F23AC">
        <w:rPr>
          <w:rFonts w:cs="Times New Roman"/>
          <w:noProof/>
          <w:lang w:val="sk-SK"/>
        </w:rPr>
        <w:t xml:space="preserve"> o </w:t>
      </w:r>
      <w:r w:rsidRPr="003F23AC">
        <w:rPr>
          <w:rFonts w:cs="Times New Roman"/>
          <w:noProof/>
          <w:lang w:val="sk-SK"/>
        </w:rPr>
        <w:t>rovnakej odmene sa vytvorili mechanizmy na vykonávanie zásady rovnakej odmeny za rovnakú prácu alebo prácu rovnakej hodnoty, čo núti spoločnosti</w:t>
      </w:r>
      <w:r w:rsidR="00A75B3C" w:rsidRPr="003F23AC">
        <w:rPr>
          <w:rFonts w:cs="Times New Roman"/>
          <w:noProof/>
          <w:lang w:val="sk-SK"/>
        </w:rPr>
        <w:t xml:space="preserve"> k </w:t>
      </w:r>
      <w:r w:rsidRPr="003F23AC">
        <w:rPr>
          <w:rFonts w:cs="Times New Roman"/>
          <w:noProof/>
          <w:lang w:val="sk-SK"/>
        </w:rPr>
        <w:t>tomu, aby mali transparentné politiky odmeňovania. Od roku 2021 vypracovalo oddelenie ministerstva práce</w:t>
      </w:r>
      <w:r w:rsidR="00A75B3C" w:rsidRPr="003F23AC">
        <w:rPr>
          <w:rFonts w:cs="Times New Roman"/>
          <w:noProof/>
          <w:lang w:val="sk-SK"/>
        </w:rPr>
        <w:t xml:space="preserve"> a </w:t>
      </w:r>
      <w:r w:rsidRPr="003F23AC">
        <w:rPr>
          <w:rFonts w:cs="Times New Roman"/>
          <w:noProof/>
          <w:lang w:val="sk-SK"/>
        </w:rPr>
        <w:t>sociálneho zabezpečenia správu</w:t>
      </w:r>
      <w:r w:rsidR="00A75B3C" w:rsidRPr="003F23AC">
        <w:rPr>
          <w:rFonts w:cs="Times New Roman"/>
          <w:noProof/>
          <w:lang w:val="sk-SK"/>
        </w:rPr>
        <w:t xml:space="preserve"> o </w:t>
      </w:r>
      <w:r w:rsidRPr="003F23AC">
        <w:rPr>
          <w:rFonts w:cs="Times New Roman"/>
          <w:noProof/>
          <w:lang w:val="sk-SK"/>
        </w:rPr>
        <w:t>rozdieloch</w:t>
      </w:r>
      <w:r w:rsidR="00A75B3C" w:rsidRPr="003F23AC">
        <w:rPr>
          <w:rFonts w:cs="Times New Roman"/>
          <w:noProof/>
          <w:lang w:val="sk-SK"/>
        </w:rPr>
        <w:t xml:space="preserve"> v </w:t>
      </w:r>
      <w:r w:rsidRPr="003F23AC">
        <w:rPr>
          <w:rFonts w:cs="Times New Roman"/>
          <w:noProof/>
          <w:lang w:val="sk-SK"/>
        </w:rPr>
        <w:t>odmeňovaní žien</w:t>
      </w:r>
      <w:r w:rsidR="00A75B3C" w:rsidRPr="003F23AC">
        <w:rPr>
          <w:rFonts w:cs="Times New Roman"/>
          <w:noProof/>
          <w:lang w:val="sk-SK"/>
        </w:rPr>
        <w:t xml:space="preserve"> a </w:t>
      </w:r>
      <w:r w:rsidRPr="003F23AC">
        <w:rPr>
          <w:rFonts w:cs="Times New Roman"/>
          <w:noProof/>
          <w:lang w:val="sk-SK"/>
        </w:rPr>
        <w:t>mužov pre každú spoločnosť</w:t>
      </w:r>
      <w:r w:rsidR="00A75B3C" w:rsidRPr="003F23AC">
        <w:rPr>
          <w:rFonts w:cs="Times New Roman"/>
          <w:noProof/>
          <w:lang w:val="sk-SK"/>
        </w:rPr>
        <w:t xml:space="preserve"> s </w:t>
      </w:r>
      <w:r w:rsidRPr="003F23AC">
        <w:rPr>
          <w:rFonts w:cs="Times New Roman"/>
          <w:noProof/>
          <w:lang w:val="sk-SK"/>
        </w:rPr>
        <w:t>viac ako 50 pracovníkmi, ktorá sa zaoberá rozdielmi</w:t>
      </w:r>
      <w:r w:rsidR="00A75B3C" w:rsidRPr="003F23AC">
        <w:rPr>
          <w:rFonts w:cs="Times New Roman"/>
          <w:noProof/>
          <w:lang w:val="sk-SK"/>
        </w:rPr>
        <w:t xml:space="preserve"> v </w:t>
      </w:r>
      <w:r w:rsidRPr="003F23AC">
        <w:rPr>
          <w:rFonts w:cs="Times New Roman"/>
          <w:noProof/>
          <w:lang w:val="sk-SK"/>
        </w:rPr>
        <w:t>odmeňovaní žien</w:t>
      </w:r>
      <w:r w:rsidR="00A75B3C" w:rsidRPr="003F23AC">
        <w:rPr>
          <w:rFonts w:cs="Times New Roman"/>
          <w:noProof/>
          <w:lang w:val="sk-SK"/>
        </w:rPr>
        <w:t xml:space="preserve"> a </w:t>
      </w:r>
      <w:r w:rsidRPr="003F23AC">
        <w:rPr>
          <w:rFonts w:cs="Times New Roman"/>
          <w:noProof/>
          <w:lang w:val="sk-SK"/>
        </w:rPr>
        <w:t>mužov</w:t>
      </w:r>
      <w:r w:rsidR="00A75B3C" w:rsidRPr="003F23AC">
        <w:rPr>
          <w:rFonts w:cs="Times New Roman"/>
          <w:noProof/>
          <w:lang w:val="sk-SK"/>
        </w:rPr>
        <w:t>.</w:t>
      </w:r>
    </w:p>
    <w:p w14:paraId="73A5A995" w14:textId="37A730BC"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Od roku 2025 sú spoločnosti</w:t>
      </w:r>
      <w:r w:rsidR="00A75B3C" w:rsidRPr="003F23AC">
        <w:rPr>
          <w:rFonts w:cs="Times New Roman"/>
          <w:noProof/>
          <w:lang w:val="sk-SK"/>
        </w:rPr>
        <w:t xml:space="preserve"> s </w:t>
      </w:r>
      <w:r w:rsidRPr="003F23AC">
        <w:rPr>
          <w:rFonts w:cs="Times New Roman"/>
          <w:noProof/>
          <w:lang w:val="sk-SK"/>
        </w:rPr>
        <w:t>viac ako 50 pracovníkmi, ktoré majú výrazné rozdiely</w:t>
      </w:r>
      <w:r w:rsidR="00A75B3C" w:rsidRPr="003F23AC">
        <w:rPr>
          <w:rFonts w:cs="Times New Roman"/>
          <w:noProof/>
          <w:lang w:val="sk-SK"/>
        </w:rPr>
        <w:t xml:space="preserve"> v </w:t>
      </w:r>
      <w:r w:rsidRPr="003F23AC">
        <w:rPr>
          <w:rFonts w:cs="Times New Roman"/>
          <w:noProof/>
          <w:lang w:val="sk-SK"/>
        </w:rPr>
        <w:t>úrovniach odmeňovania žien</w:t>
      </w:r>
      <w:r w:rsidR="00A75B3C" w:rsidRPr="003F23AC">
        <w:rPr>
          <w:rFonts w:cs="Times New Roman"/>
          <w:noProof/>
          <w:lang w:val="sk-SK"/>
        </w:rPr>
        <w:t xml:space="preserve"> a </w:t>
      </w:r>
      <w:r w:rsidRPr="003F23AC">
        <w:rPr>
          <w:rFonts w:cs="Times New Roman"/>
          <w:noProof/>
          <w:lang w:val="sk-SK"/>
        </w:rPr>
        <w:t>mužov za rovnaké pracovné miesta, povinné predložiť riaditeľstvu inšpektorátu práce akčný plán na riešenie týchto rozdielov prostredníctvom vykonávania akčného plánu</w:t>
      </w:r>
      <w:r w:rsidR="00A75B3C" w:rsidRPr="003F23AC">
        <w:rPr>
          <w:rFonts w:cs="Times New Roman"/>
          <w:noProof/>
          <w:lang w:val="sk-SK"/>
        </w:rPr>
        <w:t>.</w:t>
      </w:r>
    </w:p>
    <w:p w14:paraId="76818DD3" w14:textId="1A6FF422"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Reforma zahŕňa aj dobrovoľný systém založený na Islande Norm ÍST 85: 2012 poskytovanie verejného uznania firmám, ktoré účinne zaviedli politiky rovnakého odmeňovania. Osvedčenie má potvrdiť, že pri prijímaní rozhodnutí</w:t>
      </w:r>
      <w:r w:rsidR="00A75B3C" w:rsidRPr="003F23AC">
        <w:rPr>
          <w:rFonts w:cs="Times New Roman"/>
          <w:noProof/>
          <w:lang w:val="sk-SK"/>
        </w:rPr>
        <w:t xml:space="preserve"> o </w:t>
      </w:r>
      <w:r w:rsidRPr="003F23AC">
        <w:rPr>
          <w:rFonts w:cs="Times New Roman"/>
          <w:noProof/>
          <w:lang w:val="sk-SK"/>
        </w:rPr>
        <w:t>mzdách sú založené výlučne na relevantných úvahách.</w:t>
      </w:r>
    </w:p>
    <w:p w14:paraId="632ABE9A" w14:textId="7D04798F"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reformy sa dokončí do 31</w:t>
      </w:r>
      <w:r w:rsidR="00A75B3C" w:rsidRPr="003F23AC">
        <w:rPr>
          <w:rFonts w:cs="Times New Roman"/>
          <w:noProof/>
          <w:lang w:val="sk-SK"/>
        </w:rPr>
        <w:t>. decembra</w:t>
      </w:r>
      <w:r w:rsidRPr="003F23AC">
        <w:rPr>
          <w:rFonts w:cs="Times New Roman"/>
          <w:noProof/>
          <w:lang w:val="sk-SK"/>
        </w:rPr>
        <w:t xml:space="preserve"> 2024.</w:t>
      </w:r>
    </w:p>
    <w:p w14:paraId="79DF09F6" w14:textId="7E198AD6"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RE-C06-i01: Modernizácia inštitúcií odborného vzdelávania</w:t>
      </w:r>
      <w:r w:rsidR="00A75B3C" w:rsidRPr="003F23AC">
        <w:rPr>
          <w:rFonts w:cs="Times New Roman"/>
          <w:noProof/>
          <w:lang w:val="sk-SK"/>
        </w:rPr>
        <w:t xml:space="preserve"> a </w:t>
      </w:r>
      <w:r w:rsidRPr="003F23AC">
        <w:rPr>
          <w:rFonts w:cs="Times New Roman"/>
          <w:noProof/>
          <w:lang w:val="sk-SK"/>
        </w:rPr>
        <w:t>prípravy</w:t>
      </w:r>
    </w:p>
    <w:p w14:paraId="63CE2B33" w14:textId="380CA4C3" w:rsidR="00A75B3C" w:rsidRPr="003F23AC" w:rsidRDefault="000F5AA4" w:rsidP="003F23AC">
      <w:pPr>
        <w:pStyle w:val="P68B1DB1-Normal4"/>
        <w:jc w:val="both"/>
        <w:rPr>
          <w:rFonts w:cs="Times New Roman"/>
          <w:noProof/>
          <w:lang w:val="sk-SK"/>
        </w:rPr>
      </w:pPr>
      <w:r w:rsidRPr="003F23AC">
        <w:rPr>
          <w:rFonts w:cs="Times New Roman"/>
          <w:noProof/>
          <w:lang w:val="sk-SK"/>
        </w:rPr>
        <w:t>Medzi ciele tejto investície patrí inštalácia</w:t>
      </w:r>
      <w:r w:rsidR="00A75B3C" w:rsidRPr="003F23AC">
        <w:rPr>
          <w:rFonts w:cs="Times New Roman"/>
          <w:noProof/>
          <w:lang w:val="sk-SK"/>
        </w:rPr>
        <w:t xml:space="preserve"> a </w:t>
      </w:r>
      <w:r w:rsidRPr="003F23AC">
        <w:rPr>
          <w:rFonts w:cs="Times New Roman"/>
          <w:noProof/>
          <w:lang w:val="sk-SK"/>
        </w:rPr>
        <w:t>modernizácia špecializovaných technologických centier na verejných stredných školách</w:t>
      </w:r>
      <w:r w:rsidR="00A75B3C" w:rsidRPr="003F23AC">
        <w:rPr>
          <w:rFonts w:cs="Times New Roman"/>
          <w:noProof/>
          <w:lang w:val="sk-SK"/>
        </w:rPr>
        <w:t xml:space="preserve"> s </w:t>
      </w:r>
      <w:r w:rsidRPr="003F23AC">
        <w:rPr>
          <w:rFonts w:cs="Times New Roman"/>
          <w:noProof/>
          <w:lang w:val="sk-SK"/>
        </w:rPr>
        <w:t>odbornými kurzami</w:t>
      </w:r>
      <w:r w:rsidR="00A75B3C" w:rsidRPr="003F23AC">
        <w:rPr>
          <w:rFonts w:cs="Times New Roman"/>
          <w:noProof/>
          <w:lang w:val="sk-SK"/>
        </w:rPr>
        <w:t xml:space="preserve"> a </w:t>
      </w:r>
      <w:r w:rsidRPr="003F23AC">
        <w:rPr>
          <w:rFonts w:cs="Times New Roman"/>
          <w:noProof/>
          <w:lang w:val="sk-SK"/>
        </w:rPr>
        <w:t>odbornými školami, ako aj</w:t>
      </w:r>
      <w:r w:rsidR="00A75B3C" w:rsidRPr="003F23AC">
        <w:rPr>
          <w:rFonts w:cs="Times New Roman"/>
          <w:noProof/>
          <w:lang w:val="sk-SK"/>
        </w:rPr>
        <w:t xml:space="preserve"> v </w:t>
      </w:r>
      <w:r w:rsidRPr="003F23AC">
        <w:rPr>
          <w:rFonts w:cs="Times New Roman"/>
          <w:noProof/>
          <w:lang w:val="sk-SK"/>
        </w:rPr>
        <w:t>súkromných</w:t>
      </w:r>
      <w:r w:rsidR="00A75B3C" w:rsidRPr="003F23AC">
        <w:rPr>
          <w:rFonts w:cs="Times New Roman"/>
          <w:noProof/>
          <w:lang w:val="sk-SK"/>
        </w:rPr>
        <w:t xml:space="preserve"> a </w:t>
      </w:r>
      <w:r w:rsidRPr="003F23AC">
        <w:rPr>
          <w:rFonts w:cs="Times New Roman"/>
          <w:noProof/>
          <w:lang w:val="sk-SK"/>
        </w:rPr>
        <w:t>družstevných vzdelávacích zariadeniach ponúkajúcich odborné vzdelávanie. Medzi ciele okrem toho patrí rozšírenie</w:t>
      </w:r>
      <w:r w:rsidR="00A75B3C" w:rsidRPr="003F23AC">
        <w:rPr>
          <w:rFonts w:cs="Times New Roman"/>
          <w:noProof/>
          <w:lang w:val="sk-SK"/>
        </w:rPr>
        <w:t xml:space="preserve"> a </w:t>
      </w:r>
      <w:r w:rsidRPr="003F23AC">
        <w:rPr>
          <w:rFonts w:cs="Times New Roman"/>
          <w:noProof/>
          <w:lang w:val="sk-SK"/>
        </w:rPr>
        <w:t>modernizácia siete centier odbornej prípravy verejných služieb zamestnanosti (IEFP), sieť škôl Národného úradu pre cestovný ruch (Turismo de Portugal)</w:t>
      </w:r>
      <w:r w:rsidR="00A75B3C" w:rsidRPr="003F23AC">
        <w:rPr>
          <w:rFonts w:cs="Times New Roman"/>
          <w:noProof/>
          <w:lang w:val="sk-SK"/>
        </w:rPr>
        <w:t xml:space="preserve"> a s </w:t>
      </w:r>
      <w:r w:rsidRPr="003F23AC">
        <w:rPr>
          <w:rFonts w:cs="Times New Roman"/>
          <w:noProof/>
          <w:lang w:val="sk-SK"/>
        </w:rPr>
        <w:t>cieľom dosiahnuť, aby bola odborná príprava relevantnejšia pre trh</w:t>
      </w:r>
      <w:r w:rsidR="00A75B3C" w:rsidRPr="003F23AC">
        <w:rPr>
          <w:rFonts w:cs="Times New Roman"/>
          <w:noProof/>
          <w:lang w:val="sk-SK"/>
        </w:rPr>
        <w:t xml:space="preserve"> a </w:t>
      </w:r>
      <w:r w:rsidRPr="003F23AC">
        <w:rPr>
          <w:rFonts w:cs="Times New Roman"/>
          <w:noProof/>
          <w:lang w:val="sk-SK"/>
        </w:rPr>
        <w:t>zosúladená</w:t>
      </w:r>
      <w:r w:rsidR="00A75B3C" w:rsidRPr="003F23AC">
        <w:rPr>
          <w:rFonts w:cs="Times New Roman"/>
          <w:noProof/>
          <w:lang w:val="sk-SK"/>
        </w:rPr>
        <w:t xml:space="preserve"> s </w:t>
      </w:r>
      <w:r w:rsidRPr="003F23AC">
        <w:rPr>
          <w:rFonts w:cs="Times New Roman"/>
          <w:noProof/>
          <w:lang w:val="sk-SK"/>
        </w:rPr>
        <w:t>environmentálnou, digitálnou, demografickou</w:t>
      </w:r>
      <w:r w:rsidR="00A75B3C" w:rsidRPr="003F23AC">
        <w:rPr>
          <w:rFonts w:cs="Times New Roman"/>
          <w:noProof/>
          <w:lang w:val="sk-SK"/>
        </w:rPr>
        <w:t xml:space="preserve"> a </w:t>
      </w:r>
      <w:r w:rsidRPr="003F23AC">
        <w:rPr>
          <w:rFonts w:cs="Times New Roman"/>
          <w:noProof/>
          <w:lang w:val="sk-SK"/>
        </w:rPr>
        <w:t>priemyselnou transformáciou</w:t>
      </w:r>
      <w:r w:rsidR="00A75B3C" w:rsidRPr="003F23AC">
        <w:rPr>
          <w:rFonts w:cs="Times New Roman"/>
          <w:noProof/>
          <w:lang w:val="sk-SK"/>
        </w:rPr>
        <w:t>.</w:t>
      </w:r>
    </w:p>
    <w:p w14:paraId="7075FFA7" w14:textId="7777777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investícia pozostáva z</w:t>
      </w:r>
      <w:r w:rsidR="00A75B3C" w:rsidRPr="003F23AC">
        <w:rPr>
          <w:rFonts w:cs="Times New Roman"/>
          <w:noProof/>
          <w:lang w:val="sk-SK"/>
        </w:rPr>
        <w:t>:</w:t>
      </w:r>
    </w:p>
    <w:p w14:paraId="65A279D3" w14:textId="3FEAF508" w:rsidR="00387C70" w:rsidRPr="003F23AC" w:rsidRDefault="000F5AA4" w:rsidP="003F23AC">
      <w:pPr>
        <w:pStyle w:val="P68B1DB1-Normal4"/>
        <w:numPr>
          <w:ilvl w:val="0"/>
          <w:numId w:val="43"/>
        </w:numPr>
        <w:spacing w:before="40" w:after="160" w:line="259" w:lineRule="auto"/>
        <w:ind w:left="714" w:hanging="357"/>
        <w:jc w:val="both"/>
        <w:rPr>
          <w:rFonts w:eastAsiaTheme="minorEastAsia" w:cs="Times New Roman"/>
          <w:noProof/>
          <w:lang w:val="sk-SK"/>
        </w:rPr>
      </w:pPr>
      <w:r w:rsidRPr="003F23AC">
        <w:rPr>
          <w:rFonts w:cs="Times New Roman"/>
          <w:noProof/>
          <w:lang w:val="sk-SK"/>
        </w:rPr>
        <w:t>zriadenie</w:t>
      </w:r>
      <w:r w:rsidR="00A75B3C" w:rsidRPr="003F23AC">
        <w:rPr>
          <w:rFonts w:cs="Times New Roman"/>
          <w:noProof/>
          <w:lang w:val="sk-SK"/>
        </w:rPr>
        <w:t xml:space="preserve"> a </w:t>
      </w:r>
      <w:r w:rsidRPr="003F23AC">
        <w:rPr>
          <w:rFonts w:cs="Times New Roman"/>
          <w:noProof/>
          <w:lang w:val="sk-SK"/>
        </w:rPr>
        <w:t>modernizácia 365 špecializovaných technologických centier na stredných školách ponúkajúcich odborné kurzy</w:t>
      </w:r>
      <w:r w:rsidR="00A75B3C" w:rsidRPr="003F23AC">
        <w:rPr>
          <w:rFonts w:cs="Times New Roman"/>
          <w:noProof/>
          <w:lang w:val="sk-SK"/>
        </w:rPr>
        <w:t xml:space="preserve"> a </w:t>
      </w:r>
      <w:r w:rsidRPr="003F23AC">
        <w:rPr>
          <w:rFonts w:cs="Times New Roman"/>
          <w:noProof/>
          <w:lang w:val="sk-SK"/>
        </w:rPr>
        <w:t>odborné školy,</w:t>
      </w:r>
      <w:r w:rsidR="00A75B3C" w:rsidRPr="003F23AC">
        <w:rPr>
          <w:rFonts w:cs="Times New Roman"/>
          <w:noProof/>
          <w:lang w:val="sk-SK"/>
        </w:rPr>
        <w:t xml:space="preserve"> z </w:t>
      </w:r>
      <w:r w:rsidRPr="003F23AC">
        <w:rPr>
          <w:rFonts w:cs="Times New Roman"/>
          <w:noProof/>
          <w:lang w:val="sk-SK"/>
        </w:rPr>
        <w:t>toho 115 (priemyselné centrá), 30 (centrá energie</w:t>
      </w:r>
      <w:r w:rsidR="00A75B3C" w:rsidRPr="003F23AC">
        <w:rPr>
          <w:rFonts w:cs="Times New Roman"/>
          <w:noProof/>
          <w:lang w:val="sk-SK"/>
        </w:rPr>
        <w:t xml:space="preserve"> z </w:t>
      </w:r>
      <w:r w:rsidRPr="003F23AC">
        <w:rPr>
          <w:rFonts w:cs="Times New Roman"/>
          <w:noProof/>
          <w:lang w:val="sk-SK"/>
        </w:rPr>
        <w:t>obnoviteľných zdrojov), 195 (centrá počítačovej vedy)</w:t>
      </w:r>
      <w:r w:rsidR="00A75B3C" w:rsidRPr="003F23AC">
        <w:rPr>
          <w:rFonts w:cs="Times New Roman"/>
          <w:noProof/>
          <w:lang w:val="sk-SK"/>
        </w:rPr>
        <w:t xml:space="preserve"> a </w:t>
      </w:r>
      <w:r w:rsidRPr="003F23AC">
        <w:rPr>
          <w:rFonts w:cs="Times New Roman"/>
          <w:noProof/>
          <w:lang w:val="sk-SK"/>
        </w:rPr>
        <w:t>25 (digitálne</w:t>
      </w:r>
      <w:r w:rsidR="00A75B3C" w:rsidRPr="003F23AC">
        <w:rPr>
          <w:rFonts w:cs="Times New Roman"/>
          <w:noProof/>
          <w:lang w:val="sk-SK"/>
        </w:rPr>
        <w:t xml:space="preserve"> a </w:t>
      </w:r>
      <w:r w:rsidRPr="003F23AC">
        <w:rPr>
          <w:rFonts w:cs="Times New Roman"/>
          <w:noProof/>
          <w:lang w:val="sk-SK"/>
        </w:rPr>
        <w:t>multimediálne centrá). Špecializované technologické centrá riadia riaditelia verejných sieťových škôl alebo súkromné subjekty. Táto investícia zahŕňa modernizáciu</w:t>
      </w:r>
      <w:r w:rsidR="00A75B3C" w:rsidRPr="003F23AC">
        <w:rPr>
          <w:rFonts w:cs="Times New Roman"/>
          <w:noProof/>
          <w:lang w:val="sk-SK"/>
        </w:rPr>
        <w:t xml:space="preserve"> a </w:t>
      </w:r>
      <w:r w:rsidRPr="003F23AC">
        <w:rPr>
          <w:rFonts w:cs="Times New Roman"/>
          <w:noProof/>
          <w:lang w:val="sk-SK"/>
        </w:rPr>
        <w:t>obnovu existujúcich zariadení</w:t>
      </w:r>
      <w:r w:rsidR="00A75B3C" w:rsidRPr="003F23AC">
        <w:rPr>
          <w:rFonts w:cs="Times New Roman"/>
          <w:noProof/>
          <w:lang w:val="sk-SK"/>
        </w:rPr>
        <w:t xml:space="preserve"> a </w:t>
      </w:r>
      <w:r w:rsidRPr="003F23AC">
        <w:rPr>
          <w:rFonts w:cs="Times New Roman"/>
          <w:noProof/>
          <w:lang w:val="sk-SK"/>
        </w:rPr>
        <w:t>infraštruktúry, získavanie technologických vzdelávacích zdrojov (vybavenie), rozšírenie</w:t>
      </w:r>
      <w:r w:rsidR="00A75B3C" w:rsidRPr="003F23AC">
        <w:rPr>
          <w:rFonts w:cs="Times New Roman"/>
          <w:noProof/>
          <w:lang w:val="sk-SK"/>
        </w:rPr>
        <w:t xml:space="preserve"> a </w:t>
      </w:r>
      <w:r w:rsidRPr="003F23AC">
        <w:rPr>
          <w:rFonts w:cs="Times New Roman"/>
          <w:noProof/>
          <w:lang w:val="sk-SK"/>
        </w:rPr>
        <w:t>modernizáciu siete stredísk odborného vzdelávania verejných služieb zamestnanosti (IEFP), či už priamo alebo prostredníctvom koncesií,</w:t>
      </w:r>
      <w:r w:rsidR="00A75B3C" w:rsidRPr="003F23AC">
        <w:rPr>
          <w:rFonts w:cs="Times New Roman"/>
          <w:noProof/>
          <w:lang w:val="sk-SK"/>
        </w:rPr>
        <w:t xml:space="preserve"> a </w:t>
      </w:r>
      <w:r w:rsidRPr="003F23AC">
        <w:rPr>
          <w:rFonts w:cs="Times New Roman"/>
          <w:noProof/>
          <w:lang w:val="sk-SK"/>
        </w:rPr>
        <w:t>siete škôl Národného úradu pre cestovný ruch (Turismo de Portugal)</w:t>
      </w:r>
      <w:r w:rsidR="00A75B3C" w:rsidRPr="003F23AC">
        <w:rPr>
          <w:rFonts w:cs="Times New Roman"/>
          <w:noProof/>
          <w:lang w:val="sk-SK"/>
        </w:rPr>
        <w:t xml:space="preserve"> v </w:t>
      </w:r>
      <w:r w:rsidRPr="003F23AC">
        <w:rPr>
          <w:rFonts w:cs="Times New Roman"/>
          <w:noProof/>
          <w:lang w:val="sk-SK"/>
        </w:rPr>
        <w:t>Portugalsku. Plán modernizácie vybavenia siete stredísk odbornej prípravy IEFP zahŕňa nákup týchto druhov vybavenia,</w:t>
      </w:r>
      <w:r w:rsidR="00A75B3C" w:rsidRPr="003F23AC">
        <w:rPr>
          <w:rFonts w:cs="Times New Roman"/>
          <w:noProof/>
          <w:lang w:val="sk-SK"/>
        </w:rPr>
        <w:t xml:space="preserve"> a </w:t>
      </w:r>
      <w:r w:rsidRPr="003F23AC">
        <w:rPr>
          <w:rFonts w:cs="Times New Roman"/>
          <w:noProof/>
          <w:lang w:val="sk-SK"/>
        </w:rPr>
        <w:t>to: I) energia</w:t>
      </w:r>
      <w:r w:rsidR="00A75B3C" w:rsidRPr="003F23AC">
        <w:rPr>
          <w:rFonts w:cs="Times New Roman"/>
          <w:noProof/>
          <w:lang w:val="sk-SK"/>
        </w:rPr>
        <w:t xml:space="preserve"> z </w:t>
      </w:r>
      <w:r w:rsidRPr="003F23AC">
        <w:rPr>
          <w:rFonts w:cs="Times New Roman"/>
          <w:noProof/>
          <w:lang w:val="sk-SK"/>
        </w:rPr>
        <w:t>obnoviteľných zdrojov; II) digitalizácia priemyslu; III) aeronautika; IV) digitalizácia obchodu;</w:t>
      </w:r>
      <w:r w:rsidR="00A75B3C" w:rsidRPr="003F23AC">
        <w:rPr>
          <w:rFonts w:cs="Times New Roman"/>
          <w:noProof/>
          <w:lang w:val="sk-SK"/>
        </w:rPr>
        <w:t xml:space="preserve"> a </w:t>
      </w:r>
      <w:r w:rsidRPr="003F23AC">
        <w:rPr>
          <w:rFonts w:cs="Times New Roman"/>
          <w:noProof/>
          <w:lang w:val="sk-SK"/>
        </w:rPr>
        <w:t>v) „pozemné“ simulátory. Očakáva sa, že táto čiastková investícia umožní modernizáciu 22000 miest na odbornú prípravu.</w:t>
      </w:r>
    </w:p>
    <w:p w14:paraId="5288888F" w14:textId="4E1A13DA" w:rsidR="00387C70" w:rsidRPr="003F23AC" w:rsidRDefault="000F5AA4" w:rsidP="003F23AC">
      <w:pPr>
        <w:pStyle w:val="P68B1DB1-Normal4"/>
        <w:spacing w:before="12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5AEBBD6D" w14:textId="4254185E"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RE-C06-i02: Záväzok</w:t>
      </w:r>
      <w:r w:rsidR="00A75B3C" w:rsidRPr="003F23AC">
        <w:rPr>
          <w:rFonts w:cs="Times New Roman"/>
          <w:noProof/>
          <w:lang w:val="sk-SK"/>
        </w:rPr>
        <w:t xml:space="preserve"> v </w:t>
      </w:r>
      <w:r w:rsidRPr="003F23AC">
        <w:rPr>
          <w:rFonts w:cs="Times New Roman"/>
          <w:noProof/>
          <w:lang w:val="sk-SK"/>
        </w:rPr>
        <w:t>oblasti udržateľnej zamestnanosti</w:t>
      </w:r>
    </w:p>
    <w:p w14:paraId="20CED285" w14:textId="60D8CBDF"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tejto investície je vytvorenie trvalých</w:t>
      </w:r>
      <w:r w:rsidR="00A75B3C" w:rsidRPr="003F23AC">
        <w:rPr>
          <w:rFonts w:cs="Times New Roman"/>
          <w:noProof/>
          <w:lang w:val="sk-SK"/>
        </w:rPr>
        <w:t xml:space="preserve"> a </w:t>
      </w:r>
      <w:r w:rsidRPr="003F23AC">
        <w:rPr>
          <w:rFonts w:cs="Times New Roman"/>
          <w:noProof/>
          <w:lang w:val="sk-SK"/>
        </w:rPr>
        <w:t>kvalitných pracovných zmlúv</w:t>
      </w:r>
      <w:r w:rsidR="00A75B3C" w:rsidRPr="003F23AC">
        <w:rPr>
          <w:rFonts w:cs="Times New Roman"/>
          <w:noProof/>
          <w:lang w:val="sk-SK"/>
        </w:rPr>
        <w:t xml:space="preserve"> v </w:t>
      </w:r>
      <w:r w:rsidRPr="003F23AC">
        <w:rPr>
          <w:rFonts w:cs="Times New Roman"/>
          <w:noProof/>
          <w:lang w:val="sk-SK"/>
        </w:rPr>
        <w:t>rámci programu záväzkov</w:t>
      </w:r>
      <w:r w:rsidR="00A75B3C" w:rsidRPr="003F23AC">
        <w:rPr>
          <w:rFonts w:cs="Times New Roman"/>
          <w:noProof/>
          <w:lang w:val="sk-SK"/>
        </w:rPr>
        <w:t xml:space="preserve"> v </w:t>
      </w:r>
      <w:r w:rsidRPr="003F23AC">
        <w:rPr>
          <w:rFonts w:cs="Times New Roman"/>
          <w:noProof/>
          <w:lang w:val="sk-SK"/>
        </w:rPr>
        <w:t>oblasti udržateľnej zamestnanosti</w:t>
      </w:r>
      <w:r w:rsidR="00A75B3C" w:rsidRPr="003F23AC">
        <w:rPr>
          <w:rFonts w:cs="Times New Roman"/>
          <w:noProof/>
          <w:lang w:val="sk-SK"/>
        </w:rPr>
        <w:t xml:space="preserve"> a </w:t>
      </w:r>
      <w:r w:rsidRPr="003F23AC">
        <w:rPr>
          <w:rFonts w:cs="Times New Roman"/>
          <w:noProof/>
          <w:lang w:val="sk-SK"/>
        </w:rPr>
        <w:t>zníženie segmentácie trhu práce medzi všetkými skupinami vrátane mládeže.</w:t>
      </w:r>
    </w:p>
    <w:p w14:paraId="241BCE1B" w14:textId="39E72526"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S cieľom urýchliť návrat do zamestnania sa zamestnávateľom poskytujú dočasné dotácie výmenou za ponuku pracovných zmlúv na dobu neurčitú,</w:t>
      </w:r>
      <w:r w:rsidR="00A75B3C" w:rsidRPr="003F23AC">
        <w:rPr>
          <w:rFonts w:cs="Times New Roman"/>
          <w:noProof/>
          <w:lang w:val="sk-SK"/>
        </w:rPr>
        <w:t xml:space="preserve"> v </w:t>
      </w:r>
      <w:r w:rsidRPr="003F23AC">
        <w:rPr>
          <w:rFonts w:cs="Times New Roman"/>
          <w:noProof/>
          <w:lang w:val="sk-SK"/>
        </w:rPr>
        <w:t>ktorých sa vyplácajú primerané mzdy. Zamestnávateľ dostáva za každú vytvorenú pracovnú pozíciu minimálne 5 266 EUR (12-násobok indexu sociálnej podpory, ktorý slúži ako referencia pri výpočte rôznych dávok sociálneho zabezpečenia). Táto suma sa môže zvýšiť</w:t>
      </w:r>
      <w:r w:rsidR="00A75B3C" w:rsidRPr="003F23AC">
        <w:rPr>
          <w:rFonts w:cs="Times New Roman"/>
          <w:noProof/>
          <w:lang w:val="sk-SK"/>
        </w:rPr>
        <w:t xml:space="preserve"> v </w:t>
      </w:r>
      <w:r w:rsidRPr="003F23AC">
        <w:rPr>
          <w:rFonts w:cs="Times New Roman"/>
          <w:noProof/>
          <w:lang w:val="sk-SK"/>
        </w:rPr>
        <w:t>závislosti od vývoja</w:t>
      </w:r>
      <w:r w:rsidR="00A75B3C" w:rsidRPr="003F23AC">
        <w:rPr>
          <w:rFonts w:cs="Times New Roman"/>
          <w:noProof/>
          <w:lang w:val="sk-SK"/>
        </w:rPr>
        <w:t xml:space="preserve"> a </w:t>
      </w:r>
      <w:r w:rsidRPr="003F23AC">
        <w:rPr>
          <w:rFonts w:cs="Times New Roman"/>
          <w:noProof/>
          <w:lang w:val="sk-SK"/>
        </w:rPr>
        <w:t>potrieb trhu práce vrátane rôznych cieľových skupín, najmä mladých ľudí, ako sa vymedzuje</w:t>
      </w:r>
      <w:r w:rsidR="00A75B3C" w:rsidRPr="003F23AC">
        <w:rPr>
          <w:rFonts w:cs="Times New Roman"/>
          <w:noProof/>
          <w:lang w:val="sk-SK"/>
        </w:rPr>
        <w:t xml:space="preserve"> v </w:t>
      </w:r>
      <w:r w:rsidRPr="003F23AC">
        <w:rPr>
          <w:rFonts w:cs="Times New Roman"/>
          <w:noProof/>
          <w:lang w:val="sk-SK"/>
        </w:rPr>
        <w:t xml:space="preserve">záväzku udržateľnej zamestnanosti (nariadenie vlády </w:t>
      </w:r>
      <w:r w:rsidR="00A75B3C" w:rsidRPr="003F23AC">
        <w:rPr>
          <w:rFonts w:cs="Times New Roman"/>
          <w:noProof/>
          <w:lang w:val="sk-SK"/>
        </w:rPr>
        <w:t>č. </w:t>
      </w:r>
      <w:r w:rsidRPr="003F23AC">
        <w:rPr>
          <w:rFonts w:cs="Times New Roman"/>
          <w:noProof/>
          <w:lang w:val="sk-SK"/>
        </w:rPr>
        <w:t>38/2022</w:t>
      </w:r>
      <w:r w:rsidR="00A75B3C" w:rsidRPr="003F23AC">
        <w:rPr>
          <w:rFonts w:cs="Times New Roman"/>
          <w:noProof/>
          <w:lang w:val="sk-SK"/>
        </w:rPr>
        <w:t xml:space="preserve"> v </w:t>
      </w:r>
      <w:r w:rsidRPr="003F23AC">
        <w:rPr>
          <w:rFonts w:cs="Times New Roman"/>
          <w:noProof/>
          <w:lang w:val="sk-SK"/>
        </w:rPr>
        <w:t>znení zmien). Zvýšenia sú kumulatívne podľa uvedeného nariadenia vlády. Okrem toho by sa finančná podpora mohla zvýšiť na prijatie osoby</w:t>
      </w:r>
      <w:r w:rsidR="00A75B3C" w:rsidRPr="003F23AC">
        <w:rPr>
          <w:rFonts w:cs="Times New Roman"/>
          <w:noProof/>
          <w:lang w:val="sk-SK"/>
        </w:rPr>
        <w:t xml:space="preserve"> z </w:t>
      </w:r>
      <w:r w:rsidRPr="003F23AC">
        <w:rPr>
          <w:rFonts w:cs="Times New Roman"/>
          <w:noProof/>
          <w:lang w:val="sk-SK"/>
        </w:rPr>
        <w:t>nedostatočne zastúpeného pohlavia</w:t>
      </w:r>
      <w:r w:rsidR="00A75B3C" w:rsidRPr="003F23AC">
        <w:rPr>
          <w:rFonts w:cs="Times New Roman"/>
          <w:noProof/>
          <w:lang w:val="sk-SK"/>
        </w:rPr>
        <w:t xml:space="preserve"> v </w:t>
      </w:r>
      <w:r w:rsidRPr="003F23AC">
        <w:rPr>
          <w:rFonts w:cs="Times New Roman"/>
          <w:noProof/>
          <w:lang w:val="sk-SK"/>
        </w:rPr>
        <w:t>tomto povolaní. Navýšenia sú kumulatívne. Okrem toho zamestnávatelia dostanú podporu vo výške 50</w:t>
      </w:r>
      <w:r w:rsidR="00A75B3C" w:rsidRPr="003F23AC">
        <w:rPr>
          <w:rFonts w:cs="Times New Roman"/>
          <w:noProof/>
          <w:lang w:val="sk-SK"/>
        </w:rPr>
        <w:t> %</w:t>
      </w:r>
      <w:r w:rsidRPr="003F23AC">
        <w:rPr>
          <w:rFonts w:cs="Times New Roman"/>
          <w:noProof/>
          <w:lang w:val="sk-SK"/>
        </w:rPr>
        <w:t xml:space="preserve"> ich príspevku na sociálne zabezpečenie počas obdobia jedného roka (14 mesiacov). Očakáva sa, že toto opatrenie podporí vytvorenie 30000 trvalých pracovných miest. Očakáva sa, že opatrenie bude trvať jeden rok, ale mohlo by sa predĺžiť</w:t>
      </w:r>
      <w:r w:rsidR="00A75B3C" w:rsidRPr="003F23AC">
        <w:rPr>
          <w:rFonts w:cs="Times New Roman"/>
          <w:noProof/>
          <w:lang w:val="sk-SK"/>
        </w:rPr>
        <w:t xml:space="preserve"> o </w:t>
      </w:r>
      <w:r w:rsidRPr="003F23AC">
        <w:rPr>
          <w:rFonts w:cs="Times New Roman"/>
          <w:noProof/>
          <w:lang w:val="sk-SK"/>
        </w:rPr>
        <w:t>ďalšie dva roky. Vzhľadom na potrebu zabezpečiť účasť súkromného sektora na schéme sa jeho vykonávanie začne</w:t>
      </w:r>
      <w:r w:rsidR="00A75B3C" w:rsidRPr="003F23AC">
        <w:rPr>
          <w:rFonts w:cs="Times New Roman"/>
          <w:noProof/>
          <w:lang w:val="sk-SK"/>
        </w:rPr>
        <w:t xml:space="preserve"> v </w:t>
      </w:r>
      <w:r w:rsidRPr="003F23AC">
        <w:rPr>
          <w:rFonts w:cs="Times New Roman"/>
          <w:noProof/>
          <w:lang w:val="sk-SK"/>
        </w:rPr>
        <w:t>čase oživenia hospodárstva</w:t>
      </w:r>
      <w:r w:rsidR="00A75B3C" w:rsidRPr="003F23AC">
        <w:rPr>
          <w:rFonts w:cs="Times New Roman"/>
          <w:noProof/>
          <w:lang w:val="sk-SK"/>
        </w:rPr>
        <w:t>.</w:t>
      </w:r>
    </w:p>
    <w:p w14:paraId="71DC7F72" w14:textId="7A90958D"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2024.</w:t>
      </w:r>
    </w:p>
    <w:p w14:paraId="331235C5" w14:textId="7777777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RE-C06-i03: Stimul pre dospelých</w:t>
      </w:r>
    </w:p>
    <w:p w14:paraId="03AAB292" w14:textId="18C9A556"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zaviesť viacnásobný prístup na zvýšenie kvalifikácie dospelej populácie vo veku 18 rokov alebo viac, ktorý zahŕňa: I) podporovať vzdelávanie dospelých prostredníctvom rozšírenia národného plánu gramotnosti dospelých</w:t>
      </w:r>
      <w:r w:rsidR="00A75B3C" w:rsidRPr="003F23AC">
        <w:rPr>
          <w:rFonts w:cs="Times New Roman"/>
          <w:noProof/>
          <w:lang w:val="sk-SK"/>
        </w:rPr>
        <w:t xml:space="preserve"> s </w:t>
      </w:r>
      <w:r w:rsidRPr="003F23AC">
        <w:rPr>
          <w:rFonts w:cs="Times New Roman"/>
          <w:noProof/>
          <w:lang w:val="sk-SK"/>
        </w:rPr>
        <w:t>cieľom zlepšiť základnú gramotnosť, matematickú gramotnosť</w:t>
      </w:r>
      <w:r w:rsidR="00A75B3C" w:rsidRPr="003F23AC">
        <w:rPr>
          <w:rFonts w:cs="Times New Roman"/>
          <w:noProof/>
          <w:lang w:val="sk-SK"/>
        </w:rPr>
        <w:t xml:space="preserve"> a </w:t>
      </w:r>
      <w:r w:rsidRPr="003F23AC">
        <w:rPr>
          <w:rFonts w:cs="Times New Roman"/>
          <w:noProof/>
          <w:lang w:val="sk-SK"/>
        </w:rPr>
        <w:t>digitálne zručnosti; II) zvýšiť účasť dospelých na procesoch uznávania, potvrdzovania</w:t>
      </w:r>
      <w:r w:rsidR="00A75B3C" w:rsidRPr="003F23AC">
        <w:rPr>
          <w:rFonts w:cs="Times New Roman"/>
          <w:noProof/>
          <w:lang w:val="sk-SK"/>
        </w:rPr>
        <w:t xml:space="preserve"> a </w:t>
      </w:r>
      <w:r w:rsidRPr="003F23AC">
        <w:rPr>
          <w:rFonts w:cs="Times New Roman"/>
          <w:noProof/>
          <w:lang w:val="sk-SK"/>
        </w:rPr>
        <w:t>osvedčovania spôsobilostí (RVCC)</w:t>
      </w:r>
      <w:r w:rsidR="00A75B3C" w:rsidRPr="003F23AC">
        <w:rPr>
          <w:rFonts w:cs="Times New Roman"/>
          <w:noProof/>
          <w:lang w:val="sk-SK"/>
        </w:rPr>
        <w:t xml:space="preserve"> a </w:t>
      </w:r>
      <w:r w:rsidRPr="003F23AC">
        <w:rPr>
          <w:rFonts w:cs="Times New Roman"/>
          <w:noProof/>
          <w:lang w:val="sk-SK"/>
        </w:rPr>
        <w:t>mieru ich dokončenia;</w:t>
      </w:r>
      <w:r w:rsidR="00A75B3C" w:rsidRPr="003F23AC">
        <w:rPr>
          <w:rFonts w:cs="Times New Roman"/>
          <w:noProof/>
          <w:lang w:val="sk-SK"/>
        </w:rPr>
        <w:t xml:space="preserve"> a </w:t>
      </w:r>
      <w:r w:rsidRPr="003F23AC">
        <w:rPr>
          <w:rFonts w:cs="Times New Roman"/>
          <w:noProof/>
          <w:lang w:val="sk-SK"/>
        </w:rPr>
        <w:t>iii) rozvíjať ponuky terciárneho vzdelávania pre dospelých, ako sú krátkodobé kurzy</w:t>
      </w:r>
      <w:r w:rsidR="00A75B3C" w:rsidRPr="003F23AC">
        <w:rPr>
          <w:rFonts w:cs="Times New Roman"/>
          <w:noProof/>
          <w:lang w:val="sk-SK"/>
        </w:rPr>
        <w:t>.</w:t>
      </w:r>
    </w:p>
    <w:p w14:paraId="47E76077" w14:textId="7777777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investícia pozostáva z</w:t>
      </w:r>
      <w:r w:rsidR="00A75B3C" w:rsidRPr="003F23AC">
        <w:rPr>
          <w:rFonts w:cs="Times New Roman"/>
          <w:noProof/>
          <w:lang w:val="sk-SK"/>
        </w:rPr>
        <w:t>:</w:t>
      </w:r>
    </w:p>
    <w:p w14:paraId="14F048E0" w14:textId="07FBD2CE" w:rsidR="00387C70" w:rsidRPr="00A26F8D" w:rsidRDefault="000F5AA4" w:rsidP="003F23AC">
      <w:pPr>
        <w:pStyle w:val="P68B1DB1-Normal4"/>
        <w:numPr>
          <w:ilvl w:val="0"/>
          <w:numId w:val="45"/>
        </w:numPr>
        <w:spacing w:before="40" w:after="160" w:line="259" w:lineRule="auto"/>
        <w:contextualSpacing/>
        <w:jc w:val="both"/>
        <w:rPr>
          <w:rFonts w:eastAsiaTheme="minorEastAsia" w:cs="Times New Roman"/>
          <w:noProof/>
          <w:spacing w:val="-4"/>
          <w:lang w:val="sk-SK"/>
        </w:rPr>
      </w:pPr>
      <w:r w:rsidRPr="00A26F8D">
        <w:rPr>
          <w:rFonts w:cs="Times New Roman"/>
          <w:noProof/>
          <w:spacing w:val="-4"/>
          <w:lang w:val="sk-SK"/>
        </w:rPr>
        <w:t xml:space="preserve">v rámci programu </w:t>
      </w:r>
      <w:r w:rsidRPr="00A26F8D">
        <w:rPr>
          <w:rFonts w:cs="Times New Roman"/>
          <w:i/>
          <w:noProof/>
          <w:spacing w:val="-4"/>
          <w:lang w:val="sk-SK"/>
        </w:rPr>
        <w:t>Qualifica</w:t>
      </w:r>
      <w:r w:rsidRPr="00A26F8D">
        <w:rPr>
          <w:rFonts w:cs="Times New Roman"/>
          <w:noProof/>
          <w:spacing w:val="-4"/>
          <w:lang w:val="sk-SK"/>
        </w:rPr>
        <w:t xml:space="preserve"> rozšírenie národného plánu gramotnosti dospelých realizáciou 225 miestnych projektov vedúcich</w:t>
      </w:r>
      <w:r w:rsidR="00A75B3C" w:rsidRPr="00A26F8D">
        <w:rPr>
          <w:rFonts w:cs="Times New Roman"/>
          <w:noProof/>
          <w:spacing w:val="-4"/>
          <w:lang w:val="sk-SK"/>
        </w:rPr>
        <w:t xml:space="preserve"> k </w:t>
      </w:r>
      <w:r w:rsidRPr="00A26F8D">
        <w:rPr>
          <w:rFonts w:cs="Times New Roman"/>
          <w:noProof/>
          <w:spacing w:val="-4"/>
          <w:lang w:val="sk-SK"/>
        </w:rPr>
        <w:t>úrovniam B1/B2/B3. Toto opatrenie riadi Národná agentúra pre kvalifikácie</w:t>
      </w:r>
      <w:r w:rsidR="00A75B3C" w:rsidRPr="00A26F8D">
        <w:rPr>
          <w:rFonts w:cs="Times New Roman"/>
          <w:noProof/>
          <w:spacing w:val="-4"/>
          <w:lang w:val="sk-SK"/>
        </w:rPr>
        <w:t xml:space="preserve"> a </w:t>
      </w:r>
      <w:r w:rsidRPr="00A26F8D">
        <w:rPr>
          <w:rFonts w:cs="Times New Roman"/>
          <w:noProof/>
          <w:spacing w:val="-4"/>
          <w:lang w:val="sk-SK"/>
        </w:rPr>
        <w:t>odborné vzdelávanie</w:t>
      </w:r>
      <w:r w:rsidR="00A75B3C" w:rsidRPr="00A26F8D">
        <w:rPr>
          <w:rFonts w:cs="Times New Roman"/>
          <w:noProof/>
          <w:spacing w:val="-4"/>
          <w:lang w:val="sk-SK"/>
        </w:rPr>
        <w:t xml:space="preserve"> a </w:t>
      </w:r>
      <w:r w:rsidRPr="00A26F8D">
        <w:rPr>
          <w:rFonts w:cs="Times New Roman"/>
          <w:noProof/>
          <w:spacing w:val="-4"/>
          <w:lang w:val="sk-SK"/>
        </w:rPr>
        <w:t>prípravu (ANQEP). Každý projekt má kapacitu na otvorenie 100 voľných pracovných miest,</w:t>
      </w:r>
      <w:r w:rsidR="00A75B3C" w:rsidRPr="00A26F8D">
        <w:rPr>
          <w:rFonts w:cs="Times New Roman"/>
          <w:noProof/>
          <w:spacing w:val="-4"/>
          <w:lang w:val="sk-SK"/>
        </w:rPr>
        <w:t xml:space="preserve"> z </w:t>
      </w:r>
      <w:r w:rsidRPr="00A26F8D">
        <w:rPr>
          <w:rFonts w:cs="Times New Roman"/>
          <w:noProof/>
          <w:spacing w:val="-4"/>
          <w:lang w:val="sk-SK"/>
        </w:rPr>
        <w:t>čoho vyplýva celkový počet účastníkov približne 22500 ľudí. Okrem nákupu pedagogického vybavenia</w:t>
      </w:r>
      <w:r w:rsidR="00A75B3C" w:rsidRPr="00A26F8D">
        <w:rPr>
          <w:rFonts w:cs="Times New Roman"/>
          <w:noProof/>
          <w:spacing w:val="-4"/>
          <w:lang w:val="sk-SK"/>
        </w:rPr>
        <w:t xml:space="preserve"> a </w:t>
      </w:r>
      <w:r w:rsidRPr="00A26F8D">
        <w:rPr>
          <w:rFonts w:cs="Times New Roman"/>
          <w:noProof/>
          <w:spacing w:val="-4"/>
          <w:lang w:val="sk-SK"/>
        </w:rPr>
        <w:t>spotrebného materiálu</w:t>
      </w:r>
      <w:r w:rsidR="00A75B3C" w:rsidRPr="00A26F8D">
        <w:rPr>
          <w:rFonts w:cs="Times New Roman"/>
          <w:noProof/>
          <w:spacing w:val="-4"/>
          <w:lang w:val="sk-SK"/>
        </w:rPr>
        <w:t xml:space="preserve"> a </w:t>
      </w:r>
      <w:r w:rsidRPr="00A26F8D">
        <w:rPr>
          <w:rFonts w:cs="Times New Roman"/>
          <w:noProof/>
          <w:spacing w:val="-4"/>
          <w:lang w:val="sk-SK"/>
        </w:rPr>
        <w:t>platenia odbornej prípravy personálu táto čiastková investícia poskytne</w:t>
      </w:r>
      <w:r w:rsidR="00A75B3C" w:rsidRPr="00A26F8D">
        <w:rPr>
          <w:rFonts w:cs="Times New Roman"/>
          <w:noProof/>
          <w:spacing w:val="-4"/>
          <w:lang w:val="sk-SK"/>
        </w:rPr>
        <w:t xml:space="preserve"> v </w:t>
      </w:r>
      <w:r w:rsidRPr="00A26F8D">
        <w:rPr>
          <w:rFonts w:cs="Times New Roman"/>
          <w:noProof/>
          <w:spacing w:val="-4"/>
          <w:lang w:val="sk-SK"/>
        </w:rPr>
        <w:t>prípade potreby určité dotácie účastníkom, ich zamestnávateľom</w:t>
      </w:r>
      <w:r w:rsidR="00A75B3C" w:rsidRPr="00A26F8D">
        <w:rPr>
          <w:rFonts w:cs="Times New Roman"/>
          <w:noProof/>
          <w:spacing w:val="-4"/>
          <w:lang w:val="sk-SK"/>
        </w:rPr>
        <w:t xml:space="preserve"> a </w:t>
      </w:r>
      <w:r w:rsidRPr="00A26F8D">
        <w:rPr>
          <w:rFonts w:cs="Times New Roman"/>
          <w:noProof/>
          <w:spacing w:val="-4"/>
          <w:lang w:val="sk-SK"/>
        </w:rPr>
        <w:t>komunitným mediátorom;</w:t>
      </w:r>
    </w:p>
    <w:p w14:paraId="612871DF" w14:textId="7393DBBD" w:rsidR="00387C70" w:rsidRPr="003F23AC" w:rsidRDefault="000F5AA4" w:rsidP="003F23AC">
      <w:pPr>
        <w:pStyle w:val="P68B1DB1-Normal4"/>
        <w:numPr>
          <w:ilvl w:val="0"/>
          <w:numId w:val="45"/>
        </w:numPr>
        <w:spacing w:before="40" w:after="160" w:line="259" w:lineRule="auto"/>
        <w:contextualSpacing/>
        <w:jc w:val="both"/>
        <w:rPr>
          <w:rFonts w:eastAsiaTheme="minorEastAsia" w:cs="Times New Roman"/>
          <w:noProof/>
          <w:lang w:val="sk-SK"/>
        </w:rPr>
      </w:pPr>
      <w:r w:rsidRPr="003F23AC">
        <w:rPr>
          <w:rFonts w:cs="Times New Roman"/>
          <w:noProof/>
          <w:lang w:val="sk-SK"/>
        </w:rPr>
        <w:t xml:space="preserve">v rámci programu </w:t>
      </w:r>
      <w:r w:rsidRPr="003F23AC">
        <w:rPr>
          <w:rFonts w:cs="Times New Roman"/>
          <w:i/>
          <w:noProof/>
          <w:lang w:val="sk-SK"/>
        </w:rPr>
        <w:t>Qualifica</w:t>
      </w:r>
      <w:r w:rsidRPr="003F23AC">
        <w:rPr>
          <w:rFonts w:cs="Times New Roman"/>
          <w:noProof/>
          <w:lang w:val="sk-SK"/>
        </w:rPr>
        <w:t xml:space="preserve"> je acelerador qualific </w:t>
      </w:r>
      <w:r w:rsidRPr="003F23AC">
        <w:rPr>
          <w:rFonts w:cs="Times New Roman"/>
          <w:i/>
          <w:noProof/>
          <w:lang w:val="sk-SK"/>
        </w:rPr>
        <w:t>a</w:t>
      </w:r>
      <w:r w:rsidRPr="003F23AC">
        <w:rPr>
          <w:rFonts w:cs="Times New Roman"/>
          <w:noProof/>
          <w:lang w:val="sk-SK"/>
        </w:rPr>
        <w:t>novým opatrením na poskytovanie finančnej podpory dospelým počas ich procesov RVCC. Toto opatrenie riadi Národná agentúra pre kvalifikáciu</w:t>
      </w:r>
      <w:r w:rsidR="00A75B3C" w:rsidRPr="003F23AC">
        <w:rPr>
          <w:rFonts w:cs="Times New Roman"/>
          <w:noProof/>
          <w:lang w:val="sk-SK"/>
        </w:rPr>
        <w:t xml:space="preserve"> a </w:t>
      </w:r>
      <w:r w:rsidRPr="003F23AC">
        <w:rPr>
          <w:rFonts w:cs="Times New Roman"/>
          <w:noProof/>
          <w:lang w:val="sk-SK"/>
        </w:rPr>
        <w:t>odborné vzdelávanie</w:t>
      </w:r>
      <w:r w:rsidR="00A75B3C" w:rsidRPr="003F23AC">
        <w:rPr>
          <w:rFonts w:cs="Times New Roman"/>
          <w:noProof/>
          <w:lang w:val="sk-SK"/>
        </w:rPr>
        <w:t xml:space="preserve"> a </w:t>
      </w:r>
      <w:r w:rsidRPr="003F23AC">
        <w:rPr>
          <w:rFonts w:cs="Times New Roman"/>
          <w:noProof/>
          <w:lang w:val="sk-SK"/>
        </w:rPr>
        <w:t>prípravu (ANQEP). Každá zúčastnená dospelá osoba dostane finančnú podporu do výšky 1,25 od IAS. Celkový počet účastníkov procesov RVCC sa odhaduje na 100000 ľudí;</w:t>
      </w:r>
    </w:p>
    <w:p w14:paraId="67A55033" w14:textId="75166EEE" w:rsidR="00387C70" w:rsidRPr="003F23AC" w:rsidRDefault="000F5AA4" w:rsidP="003F23AC">
      <w:pPr>
        <w:pStyle w:val="P68B1DB1-Normal4"/>
        <w:numPr>
          <w:ilvl w:val="0"/>
          <w:numId w:val="45"/>
        </w:numPr>
        <w:spacing w:before="40" w:after="160" w:line="259" w:lineRule="auto"/>
        <w:contextualSpacing/>
        <w:jc w:val="both"/>
        <w:rPr>
          <w:rFonts w:eastAsiaTheme="minorEastAsia" w:cs="Times New Roman"/>
          <w:noProof/>
          <w:lang w:val="sk-SK"/>
        </w:rPr>
      </w:pPr>
      <w:r w:rsidRPr="003F23AC">
        <w:rPr>
          <w:rFonts w:cs="Times New Roman"/>
          <w:noProof/>
          <w:lang w:val="sk-SK"/>
        </w:rPr>
        <w:t>podpora sietí spolupráce medzi inštitúciami vysokoškolského vzdelávania, podnikmi</w:t>
      </w:r>
      <w:r w:rsidR="00A75B3C" w:rsidRPr="003F23AC">
        <w:rPr>
          <w:rFonts w:cs="Times New Roman"/>
          <w:noProof/>
          <w:lang w:val="sk-SK"/>
        </w:rPr>
        <w:t xml:space="preserve"> a </w:t>
      </w:r>
      <w:r w:rsidRPr="003F23AC">
        <w:rPr>
          <w:rFonts w:cs="Times New Roman"/>
          <w:noProof/>
          <w:lang w:val="sk-SK"/>
        </w:rPr>
        <w:t>inými zainteresovanými stranami prostredníctvom podpory nových postgraduálnych škôl/programov/aliancií, pokiaľ ide</w:t>
      </w:r>
      <w:r w:rsidR="00A75B3C" w:rsidRPr="003F23AC">
        <w:rPr>
          <w:rFonts w:cs="Times New Roman"/>
          <w:noProof/>
          <w:lang w:val="sk-SK"/>
        </w:rPr>
        <w:t xml:space="preserve"> o </w:t>
      </w:r>
      <w:r w:rsidRPr="003F23AC">
        <w:rPr>
          <w:rFonts w:cs="Times New Roman"/>
          <w:noProof/>
          <w:lang w:val="sk-SK"/>
        </w:rPr>
        <w:t>spoločné programy spolupráce zahŕňajúce vzdelávacie, výskumné</w:t>
      </w:r>
      <w:r w:rsidR="00A75B3C" w:rsidRPr="003F23AC">
        <w:rPr>
          <w:rFonts w:cs="Times New Roman"/>
          <w:noProof/>
          <w:lang w:val="sk-SK"/>
        </w:rPr>
        <w:t xml:space="preserve"> a </w:t>
      </w:r>
      <w:r w:rsidRPr="003F23AC">
        <w:rPr>
          <w:rFonts w:cs="Times New Roman"/>
          <w:noProof/>
          <w:lang w:val="sk-SK"/>
        </w:rPr>
        <w:t>inovačné činnosti</w:t>
      </w:r>
      <w:r w:rsidR="00A75B3C" w:rsidRPr="003F23AC">
        <w:rPr>
          <w:rFonts w:cs="Times New Roman"/>
          <w:noProof/>
          <w:lang w:val="sk-SK"/>
        </w:rPr>
        <w:t xml:space="preserve"> a </w:t>
      </w:r>
      <w:r w:rsidRPr="003F23AC">
        <w:rPr>
          <w:rFonts w:cs="Times New Roman"/>
          <w:noProof/>
          <w:lang w:val="sk-SK"/>
        </w:rPr>
        <w:t>iniciatívy na rozvoj krátkodobých kurzov vysokoškolského vzdelávania zameraných na zlepšenie celoživotného vzdelávania (rekvalifikácia</w:t>
      </w:r>
      <w:r w:rsidR="00A75B3C" w:rsidRPr="003F23AC">
        <w:rPr>
          <w:rFonts w:cs="Times New Roman"/>
          <w:noProof/>
          <w:lang w:val="sk-SK"/>
        </w:rPr>
        <w:t xml:space="preserve"> a </w:t>
      </w:r>
      <w:r w:rsidRPr="003F23AC">
        <w:rPr>
          <w:rFonts w:cs="Times New Roman"/>
          <w:noProof/>
          <w:lang w:val="sk-SK"/>
        </w:rPr>
        <w:t>zvyšovanie úrovne zručností). Investícia pozostáva</w:t>
      </w:r>
      <w:r w:rsidR="00A75B3C" w:rsidRPr="003F23AC">
        <w:rPr>
          <w:rFonts w:cs="Times New Roman"/>
          <w:noProof/>
          <w:lang w:val="sk-SK"/>
        </w:rPr>
        <w:t xml:space="preserve"> z </w:t>
      </w:r>
      <w:r w:rsidRPr="003F23AC">
        <w:rPr>
          <w:rFonts w:cs="Times New Roman"/>
          <w:noProof/>
          <w:lang w:val="sk-SK"/>
        </w:rPr>
        <w:t>grantov na vykonávanie integrovaných programov</w:t>
      </w:r>
      <w:r w:rsidR="00A75B3C" w:rsidRPr="003F23AC">
        <w:rPr>
          <w:rFonts w:cs="Times New Roman"/>
          <w:noProof/>
          <w:lang w:val="sk-SK"/>
        </w:rPr>
        <w:t xml:space="preserve"> s </w:t>
      </w:r>
      <w:r w:rsidRPr="003F23AC">
        <w:rPr>
          <w:rFonts w:cs="Times New Roman"/>
          <w:noProof/>
          <w:lang w:val="sk-SK"/>
        </w:rPr>
        <w:t>cieľom zapojiť celkovo 23000 študentov</w:t>
      </w:r>
      <w:r w:rsidR="00A75B3C" w:rsidRPr="003F23AC">
        <w:rPr>
          <w:rFonts w:cs="Times New Roman"/>
          <w:noProof/>
          <w:lang w:val="sk-SK"/>
        </w:rPr>
        <w:t xml:space="preserve"> v </w:t>
      </w:r>
      <w:r w:rsidRPr="003F23AC">
        <w:rPr>
          <w:rFonts w:cs="Times New Roman"/>
          <w:noProof/>
          <w:lang w:val="sk-SK"/>
        </w:rPr>
        <w:t>období 2021 – 2025, ktoré zahŕňajú náklady na inštaláciu</w:t>
      </w:r>
      <w:r w:rsidR="00A75B3C" w:rsidRPr="003F23AC">
        <w:rPr>
          <w:rFonts w:cs="Times New Roman"/>
          <w:noProof/>
          <w:lang w:val="sk-SK"/>
        </w:rPr>
        <w:t xml:space="preserve"> a </w:t>
      </w:r>
      <w:r w:rsidRPr="003F23AC">
        <w:rPr>
          <w:rFonts w:cs="Times New Roman"/>
          <w:noProof/>
          <w:lang w:val="sk-SK"/>
        </w:rPr>
        <w:t>vybavenie, podporu študentov</w:t>
      </w:r>
      <w:r w:rsidR="00A75B3C" w:rsidRPr="003F23AC">
        <w:rPr>
          <w:rFonts w:cs="Times New Roman"/>
          <w:noProof/>
          <w:lang w:val="sk-SK"/>
        </w:rPr>
        <w:t xml:space="preserve"> a </w:t>
      </w:r>
      <w:r w:rsidRPr="003F23AC">
        <w:rPr>
          <w:rFonts w:cs="Times New Roman"/>
          <w:noProof/>
          <w:lang w:val="sk-SK"/>
        </w:rPr>
        <w:t>výdavky inštitúcií vysokoškolského vzdelávania spojené</w:t>
      </w:r>
      <w:r w:rsidR="00A75B3C" w:rsidRPr="003F23AC">
        <w:rPr>
          <w:rFonts w:cs="Times New Roman"/>
          <w:noProof/>
          <w:lang w:val="sk-SK"/>
        </w:rPr>
        <w:t xml:space="preserve"> s </w:t>
      </w:r>
      <w:r w:rsidRPr="003F23AC">
        <w:rPr>
          <w:rFonts w:cs="Times New Roman"/>
          <w:noProof/>
          <w:lang w:val="sk-SK"/>
        </w:rPr>
        <w:t>poskytovaním kurzov. Konzorciá sa vyberajú prostredníctvom verejnej súťaže.</w:t>
      </w:r>
    </w:p>
    <w:p w14:paraId="4C02ACB6" w14:textId="2CA9F8DD"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1DA8A972" w14:textId="293B4D84"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RE-C06-i04: Impulz pre mládež – STEAM</w:t>
      </w:r>
    </w:p>
    <w:p w14:paraId="6A4930BE" w14:textId="7777777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w:t>
      </w:r>
      <w:r w:rsidR="00A75B3C" w:rsidRPr="003F23AC">
        <w:rPr>
          <w:rFonts w:cs="Times New Roman"/>
          <w:noProof/>
          <w:lang w:val="sk-SK"/>
        </w:rPr>
        <w:t>:</w:t>
      </w:r>
    </w:p>
    <w:p w14:paraId="48A8558E" w14:textId="49C0A120" w:rsidR="00387C70" w:rsidRPr="003F23AC" w:rsidRDefault="000F5AA4" w:rsidP="003F23AC">
      <w:pPr>
        <w:pStyle w:val="P68B1DB1-Normal4"/>
        <w:numPr>
          <w:ilvl w:val="0"/>
          <w:numId w:val="46"/>
        </w:numPr>
        <w:spacing w:before="40" w:after="160" w:line="259" w:lineRule="auto"/>
        <w:contextualSpacing/>
        <w:jc w:val="both"/>
        <w:rPr>
          <w:rFonts w:eastAsiaTheme="minorEastAsia" w:cs="Times New Roman"/>
          <w:noProof/>
          <w:lang w:val="sk-SK"/>
        </w:rPr>
      </w:pPr>
      <w:r w:rsidRPr="003F23AC">
        <w:rPr>
          <w:rFonts w:cs="Times New Roman"/>
          <w:noProof/>
          <w:lang w:val="sk-SK"/>
        </w:rPr>
        <w:t>zvýšiť mieru zápisu do kurzov vedy, technológie, inžinierstva, umenia</w:t>
      </w:r>
      <w:r w:rsidR="00A75B3C" w:rsidRPr="003F23AC">
        <w:rPr>
          <w:rFonts w:cs="Times New Roman"/>
          <w:noProof/>
          <w:lang w:val="sk-SK"/>
        </w:rPr>
        <w:t xml:space="preserve"> a </w:t>
      </w:r>
      <w:r w:rsidRPr="003F23AC">
        <w:rPr>
          <w:rFonts w:cs="Times New Roman"/>
          <w:noProof/>
          <w:lang w:val="sk-SK"/>
        </w:rPr>
        <w:t>matematiky (STEAM) vrátane kurzov informačných technológií;</w:t>
      </w:r>
      <w:r w:rsidR="00A75B3C" w:rsidRPr="003F23AC">
        <w:rPr>
          <w:rFonts w:cs="Times New Roman"/>
          <w:noProof/>
          <w:lang w:val="sk-SK"/>
        </w:rPr>
        <w:t xml:space="preserve"> a </w:t>
      </w:r>
      <w:r w:rsidRPr="003F23AC">
        <w:rPr>
          <w:rFonts w:cs="Times New Roman"/>
          <w:noProof/>
          <w:lang w:val="sk-SK"/>
        </w:rPr>
        <w:t>zároveň</w:t>
      </w:r>
    </w:p>
    <w:p w14:paraId="7CE713E1" w14:textId="112D1BA2" w:rsidR="00387C70" w:rsidRPr="003F23AC" w:rsidRDefault="000F5AA4" w:rsidP="003F23AC">
      <w:pPr>
        <w:pStyle w:val="P68B1DB1-Normal4"/>
        <w:numPr>
          <w:ilvl w:val="0"/>
          <w:numId w:val="46"/>
        </w:numPr>
        <w:spacing w:before="40" w:after="160" w:line="259" w:lineRule="auto"/>
        <w:contextualSpacing/>
        <w:jc w:val="both"/>
        <w:rPr>
          <w:rFonts w:eastAsiaTheme="minorEastAsia" w:cs="Times New Roman"/>
          <w:noProof/>
          <w:lang w:val="sk-SK"/>
        </w:rPr>
      </w:pPr>
      <w:r w:rsidRPr="003F23AC">
        <w:rPr>
          <w:rFonts w:cs="Times New Roman"/>
          <w:noProof/>
          <w:lang w:val="sk-SK"/>
        </w:rPr>
        <w:t>poskytovať primerané zariadenia na vzdelávanie</w:t>
      </w:r>
      <w:r w:rsidR="00A75B3C" w:rsidRPr="003F23AC">
        <w:rPr>
          <w:rFonts w:cs="Times New Roman"/>
          <w:noProof/>
          <w:lang w:val="sk-SK"/>
        </w:rPr>
        <w:t xml:space="preserve"> v </w:t>
      </w:r>
      <w:r w:rsidRPr="003F23AC">
        <w:rPr>
          <w:rFonts w:cs="Times New Roman"/>
          <w:noProof/>
          <w:lang w:val="sk-SK"/>
        </w:rPr>
        <w:t>oblasti vedy na neterciárnych školách</w:t>
      </w:r>
      <w:r w:rsidR="00A75B3C" w:rsidRPr="003F23AC">
        <w:rPr>
          <w:rFonts w:cs="Times New Roman"/>
          <w:noProof/>
          <w:lang w:val="sk-SK"/>
        </w:rPr>
        <w:t xml:space="preserve"> s </w:t>
      </w:r>
      <w:r w:rsidRPr="003F23AC">
        <w:rPr>
          <w:rFonts w:cs="Times New Roman"/>
          <w:noProof/>
          <w:lang w:val="sk-SK"/>
        </w:rPr>
        <w:t>cieľom zvýšiť záujem</w:t>
      </w:r>
      <w:r w:rsidR="00A75B3C" w:rsidRPr="003F23AC">
        <w:rPr>
          <w:rFonts w:cs="Times New Roman"/>
          <w:noProof/>
          <w:lang w:val="sk-SK"/>
        </w:rPr>
        <w:t xml:space="preserve"> o </w:t>
      </w:r>
      <w:r w:rsidRPr="003F23AC">
        <w:rPr>
          <w:rFonts w:cs="Times New Roman"/>
          <w:noProof/>
          <w:lang w:val="sk-SK"/>
        </w:rPr>
        <w:t>predmety súvisiace</w:t>
      </w:r>
      <w:r w:rsidR="00A75B3C" w:rsidRPr="003F23AC">
        <w:rPr>
          <w:rFonts w:cs="Times New Roman"/>
          <w:noProof/>
          <w:lang w:val="sk-SK"/>
        </w:rPr>
        <w:t xml:space="preserve"> s </w:t>
      </w:r>
      <w:r w:rsidRPr="003F23AC">
        <w:rPr>
          <w:rFonts w:cs="Times New Roman"/>
          <w:noProof/>
          <w:lang w:val="sk-SK"/>
        </w:rPr>
        <w:t>vedou.</w:t>
      </w:r>
    </w:p>
    <w:p w14:paraId="42904022" w14:textId="7CB12F98"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Toto opatrenie je zamerané na inštitúcie vysokoškolského vzdelávania (univerzity aj polytechniky). Prideľovanie finančných prostriedkov vyplýva</w:t>
      </w:r>
      <w:r w:rsidR="00A75B3C" w:rsidRPr="003F23AC">
        <w:rPr>
          <w:rFonts w:cs="Times New Roman"/>
          <w:noProof/>
          <w:lang w:val="sk-SK"/>
        </w:rPr>
        <w:t xml:space="preserve"> z </w:t>
      </w:r>
      <w:r w:rsidRPr="003F23AC">
        <w:rPr>
          <w:rFonts w:cs="Times New Roman"/>
          <w:noProof/>
          <w:lang w:val="sk-SK"/>
        </w:rPr>
        <w:t>verejnej súťaže. Táto investícia pozostáva</w:t>
      </w:r>
      <w:r w:rsidR="00A75B3C" w:rsidRPr="003F23AC">
        <w:rPr>
          <w:rFonts w:cs="Times New Roman"/>
          <w:noProof/>
          <w:lang w:val="sk-SK"/>
        </w:rPr>
        <w:t xml:space="preserve"> z </w:t>
      </w:r>
      <w:r w:rsidRPr="003F23AC">
        <w:rPr>
          <w:rFonts w:cs="Times New Roman"/>
          <w:noProof/>
          <w:lang w:val="sk-SK"/>
        </w:rPr>
        <w:t>realizácie programov inštitúciami vysokoškolského vzdelávania</w:t>
      </w:r>
      <w:r w:rsidR="00A75B3C" w:rsidRPr="003F23AC">
        <w:rPr>
          <w:rFonts w:cs="Times New Roman"/>
          <w:noProof/>
          <w:lang w:val="sk-SK"/>
        </w:rPr>
        <w:t xml:space="preserve"> v </w:t>
      </w:r>
      <w:r w:rsidRPr="003F23AC">
        <w:rPr>
          <w:rFonts w:cs="Times New Roman"/>
          <w:noProof/>
          <w:lang w:val="sk-SK"/>
        </w:rPr>
        <w:t>partnerstve</w:t>
      </w:r>
      <w:r w:rsidR="00A75B3C" w:rsidRPr="003F23AC">
        <w:rPr>
          <w:rFonts w:cs="Times New Roman"/>
          <w:noProof/>
          <w:lang w:val="sk-SK"/>
        </w:rPr>
        <w:t xml:space="preserve"> s </w:t>
      </w:r>
      <w:r w:rsidRPr="003F23AC">
        <w:rPr>
          <w:rFonts w:cs="Times New Roman"/>
          <w:noProof/>
          <w:lang w:val="sk-SK"/>
        </w:rPr>
        <w:t>verejnými a/alebo súkromnými zamestnávateľmi</w:t>
      </w:r>
      <w:r w:rsidR="00A75B3C" w:rsidRPr="003F23AC">
        <w:rPr>
          <w:rFonts w:cs="Times New Roman"/>
          <w:noProof/>
          <w:lang w:val="sk-SK"/>
        </w:rPr>
        <w:t xml:space="preserve"> a </w:t>
      </w:r>
      <w:r w:rsidRPr="003F23AC">
        <w:rPr>
          <w:rFonts w:cs="Times New Roman"/>
          <w:noProof/>
          <w:lang w:val="sk-SK"/>
        </w:rPr>
        <w:t>inými zainteresovanými stranami vrátane stredných škôl. Môžu mať formu škôl/programov/aliancií, pokiaľ ide</w:t>
      </w:r>
      <w:r w:rsidR="00A75B3C" w:rsidRPr="003F23AC">
        <w:rPr>
          <w:rFonts w:cs="Times New Roman"/>
          <w:noProof/>
          <w:lang w:val="sk-SK"/>
        </w:rPr>
        <w:t xml:space="preserve"> o </w:t>
      </w:r>
      <w:r w:rsidRPr="003F23AC">
        <w:rPr>
          <w:rFonts w:cs="Times New Roman"/>
          <w:noProof/>
          <w:lang w:val="sk-SK"/>
        </w:rPr>
        <w:t>spoločné programy spolupráce zahŕňajúce vzdelávacie, výskumné</w:t>
      </w:r>
      <w:r w:rsidR="00A75B3C" w:rsidRPr="003F23AC">
        <w:rPr>
          <w:rFonts w:cs="Times New Roman"/>
          <w:noProof/>
          <w:lang w:val="sk-SK"/>
        </w:rPr>
        <w:t xml:space="preserve"> a </w:t>
      </w:r>
      <w:r w:rsidRPr="003F23AC">
        <w:rPr>
          <w:rFonts w:cs="Times New Roman"/>
          <w:noProof/>
          <w:lang w:val="sk-SK"/>
        </w:rPr>
        <w:t>inovačné činnosti</w:t>
      </w:r>
      <w:r w:rsidR="00A75B3C" w:rsidRPr="003F23AC">
        <w:rPr>
          <w:rFonts w:cs="Times New Roman"/>
          <w:noProof/>
          <w:lang w:val="sk-SK"/>
        </w:rPr>
        <w:t xml:space="preserve"> a </w:t>
      </w:r>
      <w:r w:rsidRPr="003F23AC">
        <w:rPr>
          <w:rFonts w:cs="Times New Roman"/>
          <w:noProof/>
          <w:lang w:val="sk-SK"/>
        </w:rPr>
        <w:t>iniciatívy zamerané na zlepšenie počiatočného vysokoškolského vzdelávania</w:t>
      </w:r>
      <w:r w:rsidR="00A75B3C" w:rsidRPr="003F23AC">
        <w:rPr>
          <w:rFonts w:cs="Times New Roman"/>
          <w:noProof/>
          <w:lang w:val="sk-SK"/>
        </w:rPr>
        <w:t xml:space="preserve"> a </w:t>
      </w:r>
      <w:r w:rsidRPr="003F23AC">
        <w:rPr>
          <w:rFonts w:cs="Times New Roman"/>
          <w:noProof/>
          <w:lang w:val="sk-SK"/>
        </w:rPr>
        <w:t>zvýšenie počtu absolventov STEAM tým, že ponúkajú vysokoškolské</w:t>
      </w:r>
      <w:r w:rsidR="00A75B3C" w:rsidRPr="003F23AC">
        <w:rPr>
          <w:rFonts w:cs="Times New Roman"/>
          <w:noProof/>
          <w:lang w:val="sk-SK"/>
        </w:rPr>
        <w:t xml:space="preserve"> a </w:t>
      </w:r>
      <w:r w:rsidRPr="003F23AC">
        <w:rPr>
          <w:rFonts w:cs="Times New Roman"/>
          <w:noProof/>
          <w:lang w:val="sk-SK"/>
        </w:rPr>
        <w:t>iné kurzy počiatočného vysokoškolského vzdelávania (napr. vyššie technické odborné kurzy</w:t>
      </w:r>
      <w:r w:rsidR="00A75B3C" w:rsidRPr="003F23AC">
        <w:rPr>
          <w:rFonts w:cs="Times New Roman"/>
          <w:noProof/>
          <w:lang w:val="sk-SK"/>
        </w:rPr>
        <w:t xml:space="preserve"> v </w:t>
      </w:r>
      <w:r w:rsidRPr="003F23AC">
        <w:rPr>
          <w:rFonts w:cs="Times New Roman"/>
          <w:noProof/>
          <w:lang w:val="sk-SK"/>
        </w:rPr>
        <w:t>prípade polytechnológie). Programy zahŕňajú modernizáciu</w:t>
      </w:r>
      <w:r w:rsidR="00A75B3C" w:rsidRPr="003F23AC">
        <w:rPr>
          <w:rFonts w:cs="Times New Roman"/>
          <w:noProof/>
          <w:lang w:val="sk-SK"/>
        </w:rPr>
        <w:t xml:space="preserve"> a </w:t>
      </w:r>
      <w:r w:rsidRPr="003F23AC">
        <w:rPr>
          <w:rFonts w:cs="Times New Roman"/>
          <w:noProof/>
          <w:lang w:val="sk-SK"/>
        </w:rPr>
        <w:t>rozšírenie zariadení na prispôsobenie sa nárastu počtu študentov, študentských stimulov</w:t>
      </w:r>
      <w:r w:rsidR="00A75B3C" w:rsidRPr="003F23AC">
        <w:rPr>
          <w:rFonts w:cs="Times New Roman"/>
          <w:noProof/>
          <w:lang w:val="sk-SK"/>
        </w:rPr>
        <w:t xml:space="preserve"> a </w:t>
      </w:r>
      <w:r w:rsidRPr="003F23AC">
        <w:rPr>
          <w:rFonts w:cs="Times New Roman"/>
          <w:noProof/>
          <w:lang w:val="sk-SK"/>
        </w:rPr>
        <w:t>iných výdavkov inštitúcií vysokoškolského vzdelávania spojených</w:t>
      </w:r>
      <w:r w:rsidR="00A75B3C" w:rsidRPr="003F23AC">
        <w:rPr>
          <w:rFonts w:cs="Times New Roman"/>
          <w:noProof/>
          <w:lang w:val="sk-SK"/>
        </w:rPr>
        <w:t xml:space="preserve"> s </w:t>
      </w:r>
      <w:r w:rsidRPr="003F23AC">
        <w:rPr>
          <w:rFonts w:cs="Times New Roman"/>
          <w:noProof/>
          <w:lang w:val="sk-SK"/>
        </w:rPr>
        <w:t>poskytovaním kurzov.</w:t>
      </w:r>
    </w:p>
    <w:p w14:paraId="1D9CCCC0" w14:textId="2DF54FB6"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Investície takisto zlepšujú zručnosti</w:t>
      </w:r>
      <w:r w:rsidR="00A75B3C" w:rsidRPr="003F23AC">
        <w:rPr>
          <w:rFonts w:cs="Times New Roman"/>
          <w:noProof/>
          <w:lang w:val="sk-SK"/>
        </w:rPr>
        <w:t xml:space="preserve"> v </w:t>
      </w:r>
      <w:r w:rsidRPr="003F23AC">
        <w:rPr>
          <w:rFonts w:cs="Times New Roman"/>
          <w:noProof/>
          <w:lang w:val="sk-SK"/>
        </w:rPr>
        <w:t>oblastiach STEAM rozšírením siete klubov „Ciência Viva“, klubov na školách (z základných na stredné školy), so zameraním najmä na oblasti STEAM, digitálny obsah</w:t>
      </w:r>
      <w:r w:rsidR="00A75B3C" w:rsidRPr="003F23AC">
        <w:rPr>
          <w:rFonts w:cs="Times New Roman"/>
          <w:noProof/>
          <w:lang w:val="sk-SK"/>
        </w:rPr>
        <w:t xml:space="preserve"> a </w:t>
      </w:r>
      <w:r w:rsidRPr="003F23AC">
        <w:rPr>
          <w:rFonts w:cs="Times New Roman"/>
          <w:noProof/>
          <w:lang w:val="sk-SK"/>
        </w:rPr>
        <w:t>materiály; podporovať partnerstvá medzi školami</w:t>
      </w:r>
      <w:r w:rsidR="00A75B3C" w:rsidRPr="003F23AC">
        <w:rPr>
          <w:rFonts w:cs="Times New Roman"/>
          <w:noProof/>
          <w:lang w:val="sk-SK"/>
        </w:rPr>
        <w:t xml:space="preserve"> a </w:t>
      </w:r>
      <w:r w:rsidRPr="003F23AC">
        <w:rPr>
          <w:rFonts w:cs="Times New Roman"/>
          <w:noProof/>
          <w:lang w:val="sk-SK"/>
        </w:rPr>
        <w:t>občianskou spoločnosťou, univerzitami</w:t>
      </w:r>
      <w:r w:rsidR="00A75B3C" w:rsidRPr="003F23AC">
        <w:rPr>
          <w:rFonts w:cs="Times New Roman"/>
          <w:noProof/>
          <w:lang w:val="sk-SK"/>
        </w:rPr>
        <w:t xml:space="preserve"> a </w:t>
      </w:r>
      <w:r w:rsidRPr="003F23AC">
        <w:rPr>
          <w:rFonts w:cs="Times New Roman"/>
          <w:noProof/>
          <w:lang w:val="sk-SK"/>
        </w:rPr>
        <w:t>výskumnými centrami</w:t>
      </w:r>
      <w:r w:rsidR="00A75B3C" w:rsidRPr="003F23AC">
        <w:rPr>
          <w:rFonts w:cs="Times New Roman"/>
          <w:noProof/>
          <w:lang w:val="sk-SK"/>
        </w:rPr>
        <w:t xml:space="preserve"> a </w:t>
      </w:r>
      <w:r w:rsidRPr="003F23AC">
        <w:rPr>
          <w:rFonts w:cs="Times New Roman"/>
          <w:noProof/>
          <w:lang w:val="sk-SK"/>
        </w:rPr>
        <w:t>organizovať semináre</w:t>
      </w:r>
      <w:r w:rsidR="00A75B3C" w:rsidRPr="003F23AC">
        <w:rPr>
          <w:rFonts w:cs="Times New Roman"/>
          <w:noProof/>
          <w:lang w:val="sk-SK"/>
        </w:rPr>
        <w:t xml:space="preserve"> a </w:t>
      </w:r>
      <w:r w:rsidRPr="003F23AC">
        <w:rPr>
          <w:rFonts w:cs="Times New Roman"/>
          <w:noProof/>
          <w:lang w:val="sk-SK"/>
        </w:rPr>
        <w:t>workshopy. Očakáva sa, že podporí aspoň 650 projektov.</w:t>
      </w:r>
    </w:p>
    <w:p w14:paraId="3B7F9040" w14:textId="63290CE8" w:rsidR="00387C70" w:rsidRPr="003F23AC" w:rsidRDefault="000F5AA4" w:rsidP="003F23AC">
      <w:pPr>
        <w:pStyle w:val="P68B1DB1-Normal4"/>
        <w:spacing w:before="40" w:after="0" w:line="259" w:lineRule="auto"/>
        <w:contextualSpacing/>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27CDA957" w14:textId="0E0AE12A"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RE-C06 – i05-RAA: Kvalifikácia dospelých</w:t>
      </w:r>
      <w:r w:rsidR="00A75B3C" w:rsidRPr="003F23AC">
        <w:rPr>
          <w:rFonts w:cs="Times New Roman"/>
          <w:noProof/>
          <w:lang w:val="sk-SK"/>
        </w:rPr>
        <w:t xml:space="preserve"> a </w:t>
      </w:r>
      <w:r w:rsidRPr="003F23AC">
        <w:rPr>
          <w:rFonts w:cs="Times New Roman"/>
          <w:noProof/>
          <w:lang w:val="sk-SK"/>
        </w:rPr>
        <w:t>celoživotné vzdelávanie (ARA)</w:t>
      </w:r>
    </w:p>
    <w:p w14:paraId="17E62A07" w14:textId="1D579C3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tejto investície je riešiť vážny problém nízkej úrovne kvalifikácie</w:t>
      </w:r>
      <w:r w:rsidR="00A75B3C" w:rsidRPr="003F23AC">
        <w:rPr>
          <w:rFonts w:cs="Times New Roman"/>
          <w:noProof/>
          <w:lang w:val="sk-SK"/>
        </w:rPr>
        <w:t xml:space="preserve"> v </w:t>
      </w:r>
      <w:r w:rsidRPr="003F23AC">
        <w:rPr>
          <w:rFonts w:cs="Times New Roman"/>
          <w:noProof/>
          <w:lang w:val="sk-SK"/>
        </w:rPr>
        <w:t>autonómnej oblasti Azory</w:t>
      </w:r>
      <w:r w:rsidR="00A75B3C" w:rsidRPr="003F23AC">
        <w:rPr>
          <w:rFonts w:cs="Times New Roman"/>
          <w:noProof/>
          <w:lang w:val="sk-SK"/>
        </w:rPr>
        <w:t xml:space="preserve"> v </w:t>
      </w:r>
      <w:r w:rsidRPr="003F23AC">
        <w:rPr>
          <w:rFonts w:cs="Times New Roman"/>
          <w:noProof/>
          <w:lang w:val="sk-SK"/>
        </w:rPr>
        <w:t>porovnaní</w:t>
      </w:r>
      <w:r w:rsidR="00A75B3C" w:rsidRPr="003F23AC">
        <w:rPr>
          <w:rFonts w:cs="Times New Roman"/>
          <w:noProof/>
          <w:lang w:val="sk-SK"/>
        </w:rPr>
        <w:t xml:space="preserve"> s </w:t>
      </w:r>
      <w:r w:rsidRPr="003F23AC">
        <w:rPr>
          <w:rFonts w:cs="Times New Roman"/>
          <w:noProof/>
          <w:lang w:val="sk-SK"/>
        </w:rPr>
        <w:t>Portugalskom ako celkom, ako aj</w:t>
      </w:r>
      <w:r w:rsidR="00A75B3C" w:rsidRPr="003F23AC">
        <w:rPr>
          <w:rFonts w:cs="Times New Roman"/>
          <w:noProof/>
          <w:lang w:val="sk-SK"/>
        </w:rPr>
        <w:t xml:space="preserve"> s </w:t>
      </w:r>
      <w:r w:rsidRPr="003F23AC">
        <w:rPr>
          <w:rFonts w:cs="Times New Roman"/>
          <w:noProof/>
          <w:lang w:val="sk-SK"/>
        </w:rPr>
        <w:t>Európskou úniou. Nízka úroveň kvalifikácie predstavuje veľkú prekážku pre vznik</w:t>
      </w:r>
      <w:r w:rsidR="00A75B3C" w:rsidRPr="003F23AC">
        <w:rPr>
          <w:rFonts w:cs="Times New Roman"/>
          <w:noProof/>
          <w:lang w:val="sk-SK"/>
        </w:rPr>
        <w:t xml:space="preserve"> a </w:t>
      </w:r>
      <w:r w:rsidRPr="003F23AC">
        <w:rPr>
          <w:rFonts w:cs="Times New Roman"/>
          <w:noProof/>
          <w:lang w:val="sk-SK"/>
        </w:rPr>
        <w:t>diverzifikáciu nových podnikov</w:t>
      </w:r>
      <w:r w:rsidR="00A75B3C" w:rsidRPr="003F23AC">
        <w:rPr>
          <w:rFonts w:cs="Times New Roman"/>
          <w:noProof/>
          <w:lang w:val="sk-SK"/>
        </w:rPr>
        <w:t xml:space="preserve"> a </w:t>
      </w:r>
      <w:r w:rsidRPr="003F23AC">
        <w:rPr>
          <w:rFonts w:cs="Times New Roman"/>
          <w:noProof/>
          <w:lang w:val="sk-SK"/>
        </w:rPr>
        <w:t>pre udržateľný rozvoj, keďže sú spojené</w:t>
      </w:r>
      <w:r w:rsidR="00A75B3C" w:rsidRPr="003F23AC">
        <w:rPr>
          <w:rFonts w:cs="Times New Roman"/>
          <w:noProof/>
          <w:lang w:val="sk-SK"/>
        </w:rPr>
        <w:t xml:space="preserve"> s </w:t>
      </w:r>
      <w:r w:rsidRPr="003F23AC">
        <w:rPr>
          <w:rFonts w:cs="Times New Roman"/>
          <w:noProof/>
          <w:lang w:val="sk-SK"/>
        </w:rPr>
        <w:t>nízkou produktivitou</w:t>
      </w:r>
      <w:r w:rsidR="00A75B3C" w:rsidRPr="003F23AC">
        <w:rPr>
          <w:rFonts w:cs="Times New Roman"/>
          <w:noProof/>
          <w:lang w:val="sk-SK"/>
        </w:rPr>
        <w:t xml:space="preserve"> a </w:t>
      </w:r>
      <w:r w:rsidRPr="003F23AC">
        <w:rPr>
          <w:rFonts w:cs="Times New Roman"/>
          <w:noProof/>
          <w:lang w:val="sk-SK"/>
        </w:rPr>
        <w:t>mzdami</w:t>
      </w:r>
      <w:r w:rsidR="00A75B3C" w:rsidRPr="003F23AC">
        <w:rPr>
          <w:rFonts w:cs="Times New Roman"/>
          <w:noProof/>
          <w:lang w:val="sk-SK"/>
        </w:rPr>
        <w:t xml:space="preserve"> a </w:t>
      </w:r>
      <w:r w:rsidRPr="003F23AC">
        <w:rPr>
          <w:rFonts w:cs="Times New Roman"/>
          <w:noProof/>
          <w:lang w:val="sk-SK"/>
        </w:rPr>
        <w:t>nedostatočnou odolnosťou počas hospodárskej krízy. Investície na riešenie osobitných potrieb</w:t>
      </w:r>
      <w:r w:rsidR="00A75B3C" w:rsidRPr="003F23AC">
        <w:rPr>
          <w:rFonts w:cs="Times New Roman"/>
          <w:noProof/>
          <w:lang w:val="sk-SK"/>
        </w:rPr>
        <w:t xml:space="preserve"> v </w:t>
      </w:r>
      <w:r w:rsidRPr="003F23AC">
        <w:rPr>
          <w:rFonts w:cs="Times New Roman"/>
          <w:noProof/>
          <w:lang w:val="sk-SK"/>
        </w:rPr>
        <w:t>oblasti vzdelávania</w:t>
      </w:r>
      <w:r w:rsidR="00A75B3C" w:rsidRPr="003F23AC">
        <w:rPr>
          <w:rFonts w:cs="Times New Roman"/>
          <w:noProof/>
          <w:lang w:val="sk-SK"/>
        </w:rPr>
        <w:t xml:space="preserve"> a </w:t>
      </w:r>
      <w:r w:rsidRPr="003F23AC">
        <w:rPr>
          <w:rFonts w:cs="Times New Roman"/>
          <w:noProof/>
          <w:lang w:val="sk-SK"/>
        </w:rPr>
        <w:t>odbornej prípravy</w:t>
      </w:r>
      <w:r w:rsidR="00A75B3C" w:rsidRPr="003F23AC">
        <w:rPr>
          <w:rFonts w:cs="Times New Roman"/>
          <w:noProof/>
          <w:lang w:val="sk-SK"/>
        </w:rPr>
        <w:t xml:space="preserve"> v </w:t>
      </w:r>
      <w:r w:rsidRPr="003F23AC">
        <w:rPr>
          <w:rFonts w:cs="Times New Roman"/>
          <w:noProof/>
          <w:lang w:val="sk-SK"/>
        </w:rPr>
        <w:t>autonómnej oblasti Azory dopĺňajú akcie</w:t>
      </w:r>
      <w:r w:rsidR="00A75B3C" w:rsidRPr="003F23AC">
        <w:rPr>
          <w:rFonts w:cs="Times New Roman"/>
          <w:noProof/>
          <w:lang w:val="sk-SK"/>
        </w:rPr>
        <w:t xml:space="preserve"> v </w:t>
      </w:r>
      <w:r w:rsidRPr="003F23AC">
        <w:rPr>
          <w:rFonts w:cs="Times New Roman"/>
          <w:noProof/>
          <w:lang w:val="sk-SK"/>
        </w:rPr>
        <w:t>rámci ESF+ uvedené</w:t>
      </w:r>
      <w:r w:rsidR="00A75B3C" w:rsidRPr="003F23AC">
        <w:rPr>
          <w:rFonts w:cs="Times New Roman"/>
          <w:noProof/>
          <w:lang w:val="sk-SK"/>
        </w:rPr>
        <w:t xml:space="preserve"> v </w:t>
      </w:r>
      <w:r w:rsidRPr="003F23AC">
        <w:rPr>
          <w:rFonts w:cs="Times New Roman"/>
          <w:noProof/>
          <w:lang w:val="sk-SK"/>
        </w:rPr>
        <w:t>príslušnom operačnom programe,</w:t>
      </w:r>
      <w:r w:rsidR="00A75B3C" w:rsidRPr="003F23AC">
        <w:rPr>
          <w:rFonts w:cs="Times New Roman"/>
          <w:noProof/>
          <w:lang w:val="sk-SK"/>
        </w:rPr>
        <w:t xml:space="preserve"> o </w:t>
      </w:r>
      <w:r w:rsidRPr="003F23AC">
        <w:rPr>
          <w:rFonts w:cs="Times New Roman"/>
          <w:noProof/>
          <w:lang w:val="sk-SK"/>
        </w:rPr>
        <w:t>ktorom sa rokuje</w:t>
      </w:r>
      <w:r w:rsidR="00A75B3C" w:rsidRPr="003F23AC">
        <w:rPr>
          <w:rFonts w:cs="Times New Roman"/>
          <w:noProof/>
          <w:lang w:val="sk-SK"/>
        </w:rPr>
        <w:t xml:space="preserve"> v </w:t>
      </w:r>
      <w:r w:rsidRPr="003F23AC">
        <w:rPr>
          <w:rFonts w:cs="Times New Roman"/>
          <w:noProof/>
          <w:lang w:val="sk-SK"/>
        </w:rPr>
        <w:t>súvislosti</w:t>
      </w:r>
      <w:r w:rsidR="00A75B3C" w:rsidRPr="003F23AC">
        <w:rPr>
          <w:rFonts w:cs="Times New Roman"/>
          <w:noProof/>
          <w:lang w:val="sk-SK"/>
        </w:rPr>
        <w:t xml:space="preserve"> s </w:t>
      </w:r>
      <w:r w:rsidRPr="003F23AC">
        <w:rPr>
          <w:rFonts w:cs="Times New Roman"/>
          <w:noProof/>
          <w:lang w:val="sk-SK"/>
        </w:rPr>
        <w:t>viacročným finančným rámcom na roky 2021 – 2027.</w:t>
      </w:r>
    </w:p>
    <w:p w14:paraId="6ACFC116" w14:textId="4868325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týchto prvkov</w:t>
      </w:r>
      <w:r w:rsidR="00A75B3C" w:rsidRPr="003F23AC">
        <w:rPr>
          <w:rFonts w:cs="Times New Roman"/>
          <w:noProof/>
          <w:lang w:val="sk-SK"/>
        </w:rPr>
        <w:t>:</w:t>
      </w:r>
    </w:p>
    <w:p w14:paraId="79A2F08B" w14:textId="77777777" w:rsidR="00A75B3C" w:rsidRPr="003F23AC" w:rsidRDefault="000F5AA4" w:rsidP="003F23AC">
      <w:pPr>
        <w:pStyle w:val="P68B1DB1-Normal4"/>
        <w:numPr>
          <w:ilvl w:val="0"/>
          <w:numId w:val="47"/>
        </w:numPr>
        <w:spacing w:before="40" w:after="160" w:line="259" w:lineRule="auto"/>
        <w:contextualSpacing/>
        <w:jc w:val="both"/>
        <w:rPr>
          <w:rFonts w:cs="Times New Roman"/>
          <w:noProof/>
          <w:lang w:val="sk-SK"/>
        </w:rPr>
      </w:pPr>
      <w:r w:rsidRPr="003F23AC">
        <w:rPr>
          <w:rFonts w:cs="Times New Roman"/>
          <w:noProof/>
          <w:lang w:val="sk-SK"/>
        </w:rPr>
        <w:t>zvýšenie počtu dospelých zapísaných do postsekundárneho</w:t>
      </w:r>
      <w:r w:rsidR="00A75B3C" w:rsidRPr="003F23AC">
        <w:rPr>
          <w:rFonts w:cs="Times New Roman"/>
          <w:noProof/>
          <w:lang w:val="sk-SK"/>
        </w:rPr>
        <w:t xml:space="preserve"> a </w:t>
      </w:r>
      <w:r w:rsidRPr="003F23AC">
        <w:rPr>
          <w:rFonts w:cs="Times New Roman"/>
          <w:noProof/>
          <w:lang w:val="sk-SK"/>
        </w:rPr>
        <w:t>terciárneho vzdelávania;</w:t>
      </w:r>
      <w:r w:rsidR="00A75B3C" w:rsidRPr="003F23AC">
        <w:rPr>
          <w:rFonts w:cs="Times New Roman"/>
          <w:noProof/>
          <w:lang w:val="sk-SK"/>
        </w:rPr>
        <w:t xml:space="preserve"> a </w:t>
      </w:r>
      <w:r w:rsidRPr="003F23AC">
        <w:rPr>
          <w:rFonts w:cs="Times New Roman"/>
          <w:noProof/>
          <w:lang w:val="sk-SK"/>
        </w:rPr>
        <w:t>zároveň</w:t>
      </w:r>
    </w:p>
    <w:p w14:paraId="4AC7FA44" w14:textId="26147395" w:rsidR="00A75B3C" w:rsidRPr="003F23AC" w:rsidRDefault="000F5AA4" w:rsidP="003F23AC">
      <w:pPr>
        <w:pStyle w:val="P68B1DB1-Normal4"/>
        <w:numPr>
          <w:ilvl w:val="0"/>
          <w:numId w:val="47"/>
        </w:numPr>
        <w:spacing w:before="40" w:after="160" w:line="259" w:lineRule="auto"/>
        <w:contextualSpacing/>
        <w:jc w:val="both"/>
        <w:rPr>
          <w:rFonts w:cs="Times New Roman"/>
          <w:noProof/>
          <w:lang w:val="sk-SK"/>
        </w:rPr>
      </w:pPr>
      <w:r w:rsidRPr="003F23AC">
        <w:rPr>
          <w:rFonts w:cs="Times New Roman"/>
          <w:noProof/>
          <w:lang w:val="sk-SK"/>
        </w:rPr>
        <w:t>modernizácia 16 odborných škôl</w:t>
      </w:r>
      <w:r w:rsidR="00A75B3C" w:rsidRPr="003F23AC">
        <w:rPr>
          <w:rFonts w:cs="Times New Roman"/>
          <w:noProof/>
          <w:lang w:val="sk-SK"/>
        </w:rPr>
        <w:t xml:space="preserve"> a </w:t>
      </w:r>
      <w:r w:rsidRPr="003F23AC">
        <w:rPr>
          <w:rFonts w:cs="Times New Roman"/>
          <w:noProof/>
          <w:lang w:val="sk-SK"/>
        </w:rPr>
        <w:t xml:space="preserve">jedného verejného inštitútu odbornej prípravy, </w:t>
      </w:r>
      <w:r w:rsidRPr="003F23AC">
        <w:rPr>
          <w:rFonts w:cs="Times New Roman"/>
          <w:noProof/>
          <w:shd w:val="clear" w:color="auto" w:fill="E6E6E6"/>
          <w:lang w:val="sk-SK"/>
        </w:rPr>
        <w:t>ktorý</w:t>
      </w:r>
      <w:r w:rsidRPr="003F23AC">
        <w:rPr>
          <w:rFonts w:cs="Times New Roman"/>
          <w:noProof/>
          <w:lang w:val="sk-SK"/>
        </w:rPr>
        <w:t>má štruktúry</w:t>
      </w:r>
      <w:r w:rsidR="00A75B3C" w:rsidRPr="003F23AC">
        <w:rPr>
          <w:rFonts w:cs="Times New Roman"/>
          <w:noProof/>
          <w:lang w:val="sk-SK"/>
        </w:rPr>
        <w:t xml:space="preserve"> a </w:t>
      </w:r>
      <w:r w:rsidRPr="003F23AC">
        <w:rPr>
          <w:rFonts w:cs="Times New Roman"/>
          <w:noProof/>
          <w:lang w:val="sk-SK"/>
        </w:rPr>
        <w:t>vybavenie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technologickým rozvojom</w:t>
      </w:r>
      <w:r w:rsidR="00A75B3C" w:rsidRPr="003F23AC">
        <w:rPr>
          <w:rFonts w:cs="Times New Roman"/>
          <w:noProof/>
          <w:lang w:val="sk-SK"/>
        </w:rPr>
        <w:t xml:space="preserve"> s </w:t>
      </w:r>
      <w:r w:rsidRPr="003F23AC">
        <w:rPr>
          <w:rFonts w:cs="Times New Roman"/>
          <w:noProof/>
          <w:lang w:val="sk-SK"/>
        </w:rPr>
        <w:t>cieľom renovovať dielne, laboratóriá</w:t>
      </w:r>
      <w:r w:rsidR="00A75B3C" w:rsidRPr="003F23AC">
        <w:rPr>
          <w:rFonts w:cs="Times New Roman"/>
          <w:noProof/>
          <w:lang w:val="sk-SK"/>
        </w:rPr>
        <w:t xml:space="preserve"> a </w:t>
      </w:r>
      <w:r w:rsidRPr="003F23AC">
        <w:rPr>
          <w:rFonts w:cs="Times New Roman"/>
          <w:noProof/>
          <w:lang w:val="sk-SK"/>
        </w:rPr>
        <w:t>počítačové miestnosti, čím sa umožní zosúladenie</w:t>
      </w:r>
      <w:r w:rsidR="00A75B3C" w:rsidRPr="003F23AC">
        <w:rPr>
          <w:rFonts w:cs="Times New Roman"/>
          <w:noProof/>
          <w:lang w:val="sk-SK"/>
        </w:rPr>
        <w:t xml:space="preserve"> s </w:t>
      </w:r>
      <w:r w:rsidRPr="003F23AC">
        <w:rPr>
          <w:rFonts w:cs="Times New Roman"/>
          <w:noProof/>
          <w:lang w:val="sk-SK"/>
        </w:rPr>
        <w:t>dopytom na trhu práce</w:t>
      </w:r>
      <w:r w:rsidR="00A75B3C" w:rsidRPr="003F23AC">
        <w:rPr>
          <w:rFonts w:cs="Times New Roman"/>
          <w:noProof/>
          <w:lang w:val="sk-SK"/>
        </w:rPr>
        <w:t xml:space="preserve"> a </w:t>
      </w:r>
      <w:r w:rsidRPr="003F23AC">
        <w:rPr>
          <w:rFonts w:cs="Times New Roman"/>
          <w:noProof/>
          <w:lang w:val="sk-SK"/>
        </w:rPr>
        <w:t>ďalšie zvyšovanie počtu účastníkov odbornej prípravy</w:t>
      </w:r>
      <w:r w:rsidR="00A75B3C" w:rsidRPr="003F23AC">
        <w:rPr>
          <w:rFonts w:cs="Times New Roman"/>
          <w:noProof/>
          <w:lang w:val="sk-SK"/>
        </w:rPr>
        <w:t>.</w:t>
      </w:r>
    </w:p>
    <w:p w14:paraId="3EA8A1D4" w14:textId="2DBC7CD6"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73AE8E57" w14:textId="675BC0D4"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bookmarkStart w:id="16" w:name="_Toc137472452"/>
      <w:r w:rsidRPr="003F23AC">
        <w:rPr>
          <w:rFonts w:cs="Times New Roman"/>
          <w:noProof/>
          <w:lang w:val="sk-SK"/>
        </w:rPr>
        <w:t>Investície RE-C06-i06: Kapacity</w:t>
      </w:r>
      <w:r w:rsidR="00A75B3C" w:rsidRPr="003F23AC">
        <w:rPr>
          <w:rFonts w:cs="Times New Roman"/>
          <w:noProof/>
          <w:lang w:val="sk-SK"/>
        </w:rPr>
        <w:t xml:space="preserve"> v </w:t>
      </w:r>
      <w:r w:rsidRPr="003F23AC">
        <w:rPr>
          <w:rFonts w:cs="Times New Roman"/>
          <w:noProof/>
          <w:lang w:val="sk-SK"/>
        </w:rPr>
        <w:t>oblasti vedy</w:t>
      </w:r>
      <w:bookmarkEnd w:id="16"/>
    </w:p>
    <w:p w14:paraId="37AD389E" w14:textId="58003B2E" w:rsidR="00387C70" w:rsidRPr="003F23AC" w:rsidRDefault="000F5AA4" w:rsidP="003F23AC">
      <w:pPr>
        <w:pStyle w:val="P68B1DB1-Normal4"/>
        <w:spacing w:after="0" w:line="259" w:lineRule="auto"/>
        <w:jc w:val="both"/>
        <w:rPr>
          <w:rFonts w:eastAsia="Symbol" w:cs="Times New Roman"/>
          <w:noProof/>
          <w:lang w:val="sk-SK"/>
        </w:rPr>
      </w:pPr>
      <w:r w:rsidRPr="003F23AC">
        <w:rPr>
          <w:rFonts w:cs="Times New Roman"/>
          <w:noProof/>
          <w:lang w:val="sk-SK"/>
        </w:rPr>
        <w:t>Cieľom týchto investícií je podporiť rozvoj inovačného</w:t>
      </w:r>
      <w:r w:rsidR="00A75B3C" w:rsidRPr="003F23AC">
        <w:rPr>
          <w:rFonts w:cs="Times New Roman"/>
          <w:noProof/>
          <w:lang w:val="sk-SK"/>
        </w:rPr>
        <w:t xml:space="preserve"> a </w:t>
      </w:r>
      <w:r w:rsidRPr="003F23AC">
        <w:rPr>
          <w:rFonts w:cs="Times New Roman"/>
          <w:noProof/>
          <w:lang w:val="sk-SK"/>
        </w:rPr>
        <w:t>podnikateľského ekosystému inštitúcií vysokoškolského vzdelávania prostredníctvom podpory základného výskumu, podpory prenosu znalostí, internacionalizácie, znižovania neistoty výskumných pracovníkov</w:t>
      </w:r>
      <w:r w:rsidR="00A75B3C" w:rsidRPr="003F23AC">
        <w:rPr>
          <w:rFonts w:cs="Times New Roman"/>
          <w:noProof/>
          <w:lang w:val="sk-SK"/>
        </w:rPr>
        <w:t xml:space="preserve"> a </w:t>
      </w:r>
      <w:r w:rsidRPr="003F23AC">
        <w:rPr>
          <w:rFonts w:cs="Times New Roman"/>
          <w:noProof/>
          <w:lang w:val="sk-SK"/>
        </w:rPr>
        <w:t>posilnenia prepojenia medzi podnikmi</w:t>
      </w:r>
      <w:r w:rsidR="00A75B3C" w:rsidRPr="003F23AC">
        <w:rPr>
          <w:rFonts w:cs="Times New Roman"/>
          <w:noProof/>
          <w:lang w:val="sk-SK"/>
        </w:rPr>
        <w:t xml:space="preserve"> a </w:t>
      </w:r>
      <w:r w:rsidRPr="003F23AC">
        <w:rPr>
          <w:rFonts w:cs="Times New Roman"/>
          <w:noProof/>
          <w:lang w:val="sk-SK"/>
        </w:rPr>
        <w:t>spoločnosťou.</w:t>
      </w:r>
    </w:p>
    <w:p w14:paraId="75DA99F1" w14:textId="4EC865B2" w:rsidR="00387C70" w:rsidRPr="003F23AC" w:rsidRDefault="000F5AA4" w:rsidP="003F23AC">
      <w:pPr>
        <w:pStyle w:val="P68B1DB1-Normal4"/>
        <w:spacing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týchto čiastkových opatrení:</w:t>
      </w:r>
    </w:p>
    <w:p w14:paraId="1922B211" w14:textId="6F1BE8A9" w:rsidR="00A75B3C" w:rsidRPr="003F23AC" w:rsidRDefault="000F5AA4" w:rsidP="003F23AC">
      <w:pPr>
        <w:pStyle w:val="ListParagraph"/>
        <w:keepNext w:val="0"/>
        <w:numPr>
          <w:ilvl w:val="0"/>
          <w:numId w:val="74"/>
        </w:numPr>
        <w:spacing w:after="120" w:line="259" w:lineRule="auto"/>
        <w:rPr>
          <w:noProof/>
          <w:lang w:val="sk-SK"/>
        </w:rPr>
      </w:pPr>
      <w:r w:rsidRPr="003F23AC">
        <w:rPr>
          <w:noProof/>
          <w:lang w:val="sk-SK"/>
        </w:rPr>
        <w:t>Programy získavania</w:t>
      </w:r>
      <w:r w:rsidR="00A75B3C" w:rsidRPr="003F23AC">
        <w:rPr>
          <w:noProof/>
          <w:lang w:val="sk-SK"/>
        </w:rPr>
        <w:t xml:space="preserve"> a </w:t>
      </w:r>
      <w:r w:rsidRPr="003F23AC">
        <w:rPr>
          <w:noProof/>
          <w:lang w:val="sk-SK"/>
        </w:rPr>
        <w:t>uchovávania talentov ERC – Portugalsko</w:t>
      </w:r>
      <w:r w:rsidR="00A75B3C" w:rsidRPr="003F23AC">
        <w:rPr>
          <w:noProof/>
          <w:lang w:val="sk-SK"/>
        </w:rPr>
        <w:t xml:space="preserve"> a </w:t>
      </w:r>
      <w:r w:rsidRPr="003F23AC">
        <w:rPr>
          <w:noProof/>
          <w:lang w:val="sk-SK"/>
        </w:rPr>
        <w:t>FCT-Tenure</w:t>
      </w:r>
      <w:r w:rsidR="00A75B3C" w:rsidRPr="003F23AC">
        <w:rPr>
          <w:noProof/>
          <w:lang w:val="sk-SK"/>
        </w:rPr>
        <w:t>:</w:t>
      </w:r>
    </w:p>
    <w:p w14:paraId="3F3E0A69" w14:textId="3F2F6AD8" w:rsidR="00A75B3C" w:rsidRPr="003F23AC" w:rsidRDefault="000F5AA4" w:rsidP="003F23AC">
      <w:pPr>
        <w:pStyle w:val="ListParagraph"/>
        <w:keepNext w:val="0"/>
        <w:numPr>
          <w:ilvl w:val="1"/>
          <w:numId w:val="74"/>
        </w:numPr>
        <w:spacing w:before="120" w:after="120" w:line="259" w:lineRule="auto"/>
        <w:rPr>
          <w:noProof/>
          <w:lang w:val="sk-SK"/>
        </w:rPr>
      </w:pPr>
      <w:r w:rsidRPr="003F23AC">
        <w:rPr>
          <w:noProof/>
          <w:lang w:val="sk-SK"/>
        </w:rPr>
        <w:t>FCT-Ture: tento program podporuje nábor 230 doktorandských výskumných pracovníkov na stále pozície vybrané prostredníctvom výberových konaní</w:t>
      </w:r>
      <w:r w:rsidR="00A75B3C" w:rsidRPr="003F23AC">
        <w:rPr>
          <w:noProof/>
          <w:lang w:val="sk-SK"/>
        </w:rPr>
        <w:t>.</w:t>
      </w:r>
    </w:p>
    <w:p w14:paraId="1B2FAE3A" w14:textId="77777777" w:rsidR="00A75B3C" w:rsidRPr="003F23AC" w:rsidRDefault="000F5AA4" w:rsidP="003F23AC">
      <w:pPr>
        <w:pStyle w:val="ListParagraph"/>
        <w:keepNext w:val="0"/>
        <w:numPr>
          <w:ilvl w:val="1"/>
          <w:numId w:val="74"/>
        </w:numPr>
        <w:spacing w:before="120" w:after="120" w:line="259" w:lineRule="auto"/>
        <w:rPr>
          <w:noProof/>
          <w:lang w:val="sk-SK"/>
        </w:rPr>
      </w:pPr>
      <w:r w:rsidRPr="003F23AC">
        <w:rPr>
          <w:noProof/>
          <w:lang w:val="sk-SK"/>
        </w:rPr>
        <w:t>ERC – Portugalsko: tento program podporuje výskumných pracovníkov, ktorých projekty sa odporúčajú na financovanie na európskej alebo vnútroštátnej úrovni. Program podporuje aj výskumných pracovníkov, ktorých žiadosti ERC boli odporučené na financovanie alebo presunuté do druhej fázy hodnotenia, ale nakoniec neboli financované</w:t>
      </w:r>
      <w:r w:rsidR="00A75B3C" w:rsidRPr="003F23AC">
        <w:rPr>
          <w:noProof/>
          <w:lang w:val="sk-SK"/>
        </w:rPr>
        <w:t>.</w:t>
      </w:r>
    </w:p>
    <w:p w14:paraId="5F54A7ED" w14:textId="168D7A06" w:rsidR="00A75B3C" w:rsidRPr="003F23AC" w:rsidRDefault="000F5AA4" w:rsidP="003F23AC">
      <w:pPr>
        <w:pStyle w:val="ListParagraph"/>
        <w:keepNext w:val="0"/>
        <w:numPr>
          <w:ilvl w:val="0"/>
          <w:numId w:val="74"/>
        </w:numPr>
        <w:spacing w:before="120" w:after="120" w:line="259" w:lineRule="auto"/>
        <w:rPr>
          <w:noProof/>
          <w:lang w:val="sk-SK"/>
        </w:rPr>
      </w:pPr>
      <w:r w:rsidRPr="003F23AC">
        <w:rPr>
          <w:noProof/>
          <w:lang w:val="sk-SK"/>
        </w:rPr>
        <w:t>Zvýšené financovanie medzinárodných partnerstiev</w:t>
      </w:r>
      <w:r w:rsidR="00A75B3C" w:rsidRPr="003F23AC">
        <w:rPr>
          <w:noProof/>
          <w:lang w:val="sk-SK"/>
        </w:rPr>
        <w:t xml:space="preserve"> v </w:t>
      </w:r>
      <w:r w:rsidRPr="003F23AC">
        <w:rPr>
          <w:noProof/>
          <w:lang w:val="sk-SK"/>
        </w:rPr>
        <w:t>oblasti vedy, technológií</w:t>
      </w:r>
      <w:r w:rsidR="00A75B3C" w:rsidRPr="003F23AC">
        <w:rPr>
          <w:noProof/>
          <w:lang w:val="sk-SK"/>
        </w:rPr>
        <w:t xml:space="preserve"> a </w:t>
      </w:r>
      <w:r w:rsidRPr="003F23AC">
        <w:rPr>
          <w:noProof/>
          <w:lang w:val="sk-SK"/>
        </w:rPr>
        <w:t>inovácií</w:t>
      </w:r>
      <w:r w:rsidR="00A75B3C" w:rsidRPr="003F23AC">
        <w:rPr>
          <w:noProof/>
          <w:lang w:val="sk-SK"/>
        </w:rPr>
        <w:t>:</w:t>
      </w:r>
    </w:p>
    <w:p w14:paraId="6BF56E06" w14:textId="26574B23" w:rsidR="00A75B3C" w:rsidRPr="003F23AC" w:rsidRDefault="000F5AA4" w:rsidP="003F23AC">
      <w:pPr>
        <w:pStyle w:val="ListParagraph"/>
        <w:keepNext w:val="0"/>
        <w:numPr>
          <w:ilvl w:val="1"/>
          <w:numId w:val="74"/>
        </w:numPr>
        <w:spacing w:before="120" w:after="120" w:line="259" w:lineRule="auto"/>
        <w:rPr>
          <w:noProof/>
          <w:lang w:val="sk-SK"/>
        </w:rPr>
      </w:pPr>
      <w:r w:rsidRPr="003F23AC">
        <w:rPr>
          <w:noProof/>
          <w:lang w:val="sk-SK"/>
        </w:rPr>
        <w:t>Podpora portugalskej účasti na európskom rámcovom programe pre výskum</w:t>
      </w:r>
      <w:r w:rsidR="00A75B3C" w:rsidRPr="003F23AC">
        <w:rPr>
          <w:noProof/>
          <w:lang w:val="sk-SK"/>
        </w:rPr>
        <w:t xml:space="preserve"> a </w:t>
      </w:r>
      <w:r w:rsidRPr="003F23AC">
        <w:rPr>
          <w:noProof/>
          <w:lang w:val="sk-SK"/>
        </w:rPr>
        <w:t>inováciu prostredníctvom podpory financovania projektov</w:t>
      </w:r>
      <w:r w:rsidR="00A75B3C" w:rsidRPr="003F23AC">
        <w:rPr>
          <w:noProof/>
          <w:lang w:val="sk-SK"/>
        </w:rPr>
        <w:t xml:space="preserve"> s </w:t>
      </w:r>
      <w:r w:rsidRPr="003F23AC">
        <w:rPr>
          <w:noProof/>
          <w:lang w:val="sk-SK"/>
        </w:rPr>
        <w:t>vnútroštátnou účasťou vybraných na európskej úrovni</w:t>
      </w:r>
      <w:r w:rsidR="00A75B3C" w:rsidRPr="003F23AC">
        <w:rPr>
          <w:noProof/>
          <w:lang w:val="sk-SK"/>
        </w:rPr>
        <w:t>;</w:t>
      </w:r>
    </w:p>
    <w:p w14:paraId="02102059" w14:textId="1CA7C9CD" w:rsidR="00387C70" w:rsidRPr="003F23AC" w:rsidRDefault="000F5AA4" w:rsidP="003F23AC">
      <w:pPr>
        <w:pStyle w:val="ListParagraph"/>
        <w:keepNext w:val="0"/>
        <w:numPr>
          <w:ilvl w:val="1"/>
          <w:numId w:val="74"/>
        </w:numPr>
        <w:spacing w:before="120" w:after="120" w:line="259" w:lineRule="auto"/>
        <w:rPr>
          <w:noProof/>
          <w:lang w:val="sk-SK"/>
        </w:rPr>
      </w:pPr>
      <w:r w:rsidRPr="003F23AC">
        <w:rPr>
          <w:noProof/>
          <w:lang w:val="sk-SK"/>
        </w:rPr>
        <w:t>Umožnenie medzinárodnej mobility 100 vnútroštátnych výskumných pracovníkov.</w:t>
      </w:r>
    </w:p>
    <w:p w14:paraId="3FB5AADB" w14:textId="2219952A" w:rsidR="00387C70" w:rsidRPr="003F23AC" w:rsidRDefault="000F5AA4" w:rsidP="003F23AC">
      <w:pPr>
        <w:pStyle w:val="P68B1DB1-Normal4"/>
        <w:spacing w:after="0" w:line="259" w:lineRule="auto"/>
        <w:jc w:val="both"/>
        <w:rPr>
          <w:rFonts w:cs="Times New Roman"/>
          <w:noProof/>
          <w:lang w:val="sk-SK"/>
        </w:rPr>
      </w:pPr>
      <w:r w:rsidRPr="003F23AC">
        <w:rPr>
          <w:rFonts w:cs="Times New Roman"/>
          <w:noProof/>
          <w:lang w:val="sk-SK"/>
        </w:rPr>
        <w:t>Činnosti</w:t>
      </w:r>
      <w:r w:rsidR="00A75B3C" w:rsidRPr="003F23AC">
        <w:rPr>
          <w:rFonts w:cs="Times New Roman"/>
          <w:noProof/>
          <w:lang w:val="sk-SK"/>
        </w:rPr>
        <w:t xml:space="preserve"> v </w:t>
      </w:r>
      <w:r w:rsidRPr="003F23AC">
        <w:rPr>
          <w:rFonts w:cs="Times New Roman"/>
          <w:noProof/>
          <w:lang w:val="sk-SK"/>
        </w:rPr>
        <w:t>oblasti výskumu, vývoja</w:t>
      </w:r>
      <w:r w:rsidR="00A75B3C" w:rsidRPr="003F23AC">
        <w:rPr>
          <w:rFonts w:cs="Times New Roman"/>
          <w:noProof/>
          <w:lang w:val="sk-SK"/>
        </w:rPr>
        <w:t xml:space="preserve"> a </w:t>
      </w:r>
      <w:r w:rsidRPr="003F23AC">
        <w:rPr>
          <w:rFonts w:cs="Times New Roman"/>
          <w:noProof/>
          <w:lang w:val="sk-SK"/>
        </w:rPr>
        <w:t>inovácií zamerané na znečisťujúce aspekty (uhlie, hnedé uhlie, ropa/ropa, zemný plyn, vodík</w:t>
      </w:r>
      <w:r w:rsidR="00A75B3C" w:rsidRPr="003F23AC">
        <w:rPr>
          <w:rFonts w:cs="Times New Roman"/>
          <w:noProof/>
          <w:lang w:val="sk-SK"/>
        </w:rPr>
        <w:t xml:space="preserve"> z </w:t>
      </w:r>
      <w:r w:rsidRPr="003F23AC">
        <w:rPr>
          <w:rFonts w:cs="Times New Roman"/>
          <w:noProof/>
          <w:lang w:val="sk-SK"/>
        </w:rPr>
        <w:t>fosílnych palív, spaľovanie, skládkovanie, vozidlá/plavidlá so spaľovacím motorom) sa nepodporujú, pokiaľ nevyvinú alternatívu</w:t>
      </w:r>
      <w:r w:rsidR="00A75B3C" w:rsidRPr="003F23AC">
        <w:rPr>
          <w:rFonts w:cs="Times New Roman"/>
          <w:noProof/>
          <w:lang w:val="sk-SK"/>
        </w:rPr>
        <w:t xml:space="preserve"> s </w:t>
      </w:r>
      <w:r w:rsidRPr="003F23AC">
        <w:rPr>
          <w:rFonts w:cs="Times New Roman"/>
          <w:noProof/>
          <w:lang w:val="sk-SK"/>
        </w:rPr>
        <w:t>nízkym vplyvom (alebo ich výsledok sa nepoužije).</w:t>
      </w:r>
    </w:p>
    <w:p w14:paraId="7C20847A" w14:textId="4C086809" w:rsidR="00A75B3C" w:rsidRPr="003F23AC" w:rsidRDefault="000F5AA4" w:rsidP="003F23AC">
      <w:pPr>
        <w:pStyle w:val="P68B1DB1-Normal4"/>
        <w:spacing w:line="259" w:lineRule="auto"/>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marca</w:t>
      </w:r>
      <w:r w:rsidRPr="003F23AC">
        <w:rPr>
          <w:rFonts w:cs="Times New Roman"/>
          <w:noProof/>
          <w:lang w:val="sk-SK"/>
        </w:rPr>
        <w:t xml:space="preserve"> 2026</w:t>
      </w:r>
      <w:r w:rsidR="00A75B3C" w:rsidRPr="003F23AC">
        <w:rPr>
          <w:rFonts w:cs="Times New Roman"/>
          <w:noProof/>
          <w:lang w:val="sk-SK"/>
        </w:rPr>
        <w:t>.</w:t>
      </w:r>
    </w:p>
    <w:p w14:paraId="1AD47C87" w14:textId="0F3B971A" w:rsidR="00387C70" w:rsidRPr="003F23AC" w:rsidRDefault="000F5AA4" w:rsidP="003F23AC">
      <w:pPr>
        <w:pStyle w:val="P68B1DB1-Heading214"/>
        <w:keepNext w:val="0"/>
        <w:rPr>
          <w:noProof/>
          <w:lang w:val="sk-SK"/>
        </w:rPr>
      </w:pPr>
      <w:bookmarkStart w:id="17" w:name="_Toc137472453"/>
      <w:r w:rsidRPr="003F23AC">
        <w:rPr>
          <w:noProof/>
          <w:lang w:val="sk-SK"/>
        </w:rPr>
        <w:t>Investície RE-C06-i07: Digitálnejší impulz</w:t>
      </w:r>
      <w:bookmarkEnd w:id="17"/>
    </w:p>
    <w:p w14:paraId="6F8A62AC" w14:textId="292E7A9C" w:rsidR="00A75B3C" w:rsidRPr="003F23AC" w:rsidRDefault="000F5AA4" w:rsidP="003F23AC">
      <w:pPr>
        <w:pStyle w:val="P68B1DB1-Normal4"/>
        <w:spacing w:after="0" w:line="259" w:lineRule="auto"/>
        <w:jc w:val="both"/>
        <w:rPr>
          <w:rFonts w:cs="Times New Roman"/>
          <w:noProof/>
          <w:lang w:val="sk-SK"/>
        </w:rPr>
      </w:pPr>
      <w:r w:rsidRPr="003F23AC">
        <w:rPr>
          <w:rFonts w:cs="Times New Roman"/>
          <w:noProof/>
          <w:lang w:val="sk-SK"/>
        </w:rPr>
        <w:t>Cieľom opatrenia je zvýšiť príťažlivosť poľnohospodárskych vied pre budúce generácie, podporiť medicínske vedy pri zavádzaní digitálneho</w:t>
      </w:r>
      <w:r w:rsidR="00A75B3C" w:rsidRPr="003F23AC">
        <w:rPr>
          <w:rFonts w:cs="Times New Roman"/>
          <w:noProof/>
          <w:lang w:val="sk-SK"/>
        </w:rPr>
        <w:t xml:space="preserve"> a </w:t>
      </w:r>
      <w:r w:rsidRPr="003F23AC">
        <w:rPr>
          <w:rFonts w:cs="Times New Roman"/>
          <w:noProof/>
          <w:lang w:val="sk-SK"/>
        </w:rPr>
        <w:t>technologického pokroku</w:t>
      </w:r>
      <w:r w:rsidR="00A75B3C" w:rsidRPr="003F23AC">
        <w:rPr>
          <w:rFonts w:cs="Times New Roman"/>
          <w:noProof/>
          <w:lang w:val="sk-SK"/>
        </w:rPr>
        <w:t xml:space="preserve"> a </w:t>
      </w:r>
      <w:r w:rsidRPr="003F23AC">
        <w:rPr>
          <w:rFonts w:cs="Times New Roman"/>
          <w:noProof/>
          <w:lang w:val="sk-SK"/>
        </w:rPr>
        <w:t>rozšíriť kapacitu odbornej prípravy</w:t>
      </w:r>
      <w:r w:rsidR="00A75B3C" w:rsidRPr="003F23AC">
        <w:rPr>
          <w:rFonts w:cs="Times New Roman"/>
          <w:noProof/>
          <w:lang w:val="sk-SK"/>
        </w:rPr>
        <w:t xml:space="preserve"> v </w:t>
      </w:r>
      <w:r w:rsidRPr="003F23AC">
        <w:rPr>
          <w:rFonts w:cs="Times New Roman"/>
          <w:noProof/>
          <w:lang w:val="sk-SK"/>
        </w:rPr>
        <w:t>oblasti digitálnych zručností aj na oblasti, ktoré nie sú STEAM (veda, technológia, inžinierstvo, umenie, matematika); podporovať pedagogickú inováciu</w:t>
      </w:r>
      <w:r w:rsidR="00A75B3C" w:rsidRPr="003F23AC">
        <w:rPr>
          <w:rFonts w:cs="Times New Roman"/>
          <w:noProof/>
          <w:lang w:val="sk-SK"/>
        </w:rPr>
        <w:t xml:space="preserve"> a </w:t>
      </w:r>
      <w:r w:rsidRPr="003F23AC">
        <w:rPr>
          <w:rFonts w:cs="Times New Roman"/>
          <w:noProof/>
          <w:lang w:val="sk-SK"/>
        </w:rPr>
        <w:t>modernizáciu,</w:t>
      </w:r>
      <w:r w:rsidR="00A75B3C" w:rsidRPr="003F23AC">
        <w:rPr>
          <w:rFonts w:cs="Times New Roman"/>
          <w:noProof/>
          <w:lang w:val="sk-SK"/>
        </w:rPr>
        <w:t xml:space="preserve"> a </w:t>
      </w:r>
      <w:r w:rsidRPr="003F23AC">
        <w:rPr>
          <w:rFonts w:cs="Times New Roman"/>
          <w:noProof/>
          <w:lang w:val="sk-SK"/>
        </w:rPr>
        <w:t>tým stimulovať akademický úspech</w:t>
      </w:r>
      <w:r w:rsidR="00A75B3C" w:rsidRPr="003F23AC">
        <w:rPr>
          <w:rFonts w:cs="Times New Roman"/>
          <w:noProof/>
          <w:lang w:val="sk-SK"/>
        </w:rPr>
        <w:t>.</w:t>
      </w:r>
    </w:p>
    <w:p w14:paraId="5227DFCF" w14:textId="1344C682" w:rsidR="00387C70" w:rsidRPr="003F23AC" w:rsidRDefault="000F5AA4" w:rsidP="003F23AC">
      <w:pPr>
        <w:pStyle w:val="P68B1DB1-Normal4"/>
        <w:spacing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týchto čiastkových opatrení:</w:t>
      </w:r>
    </w:p>
    <w:p w14:paraId="1EE7A79B" w14:textId="7FE8F820" w:rsidR="00A75B3C" w:rsidRPr="003F23AC" w:rsidRDefault="000F5AA4" w:rsidP="003F23AC">
      <w:pPr>
        <w:pStyle w:val="ListParagraph"/>
        <w:keepNext w:val="0"/>
        <w:numPr>
          <w:ilvl w:val="0"/>
          <w:numId w:val="74"/>
        </w:numPr>
        <w:spacing w:after="0" w:line="259" w:lineRule="auto"/>
        <w:rPr>
          <w:noProof/>
          <w:lang w:val="sk-SK"/>
        </w:rPr>
      </w:pPr>
      <w:r w:rsidRPr="003F23AC">
        <w:rPr>
          <w:noProof/>
          <w:lang w:val="sk-SK"/>
        </w:rPr>
        <w:t>Technologická</w:t>
      </w:r>
      <w:r w:rsidR="00A75B3C" w:rsidRPr="003F23AC">
        <w:rPr>
          <w:noProof/>
          <w:lang w:val="sk-SK"/>
        </w:rPr>
        <w:t xml:space="preserve"> a </w:t>
      </w:r>
      <w:r w:rsidRPr="003F23AC">
        <w:rPr>
          <w:noProof/>
          <w:lang w:val="sk-SK"/>
        </w:rPr>
        <w:t>digitálna modernizácia poľnohospodárskych vied; čiastkové opatrenie</w:t>
      </w:r>
      <w:r w:rsidR="00A75B3C" w:rsidRPr="003F23AC">
        <w:rPr>
          <w:noProof/>
          <w:lang w:val="sk-SK"/>
        </w:rPr>
        <w:t>:</w:t>
      </w:r>
    </w:p>
    <w:p w14:paraId="05808102" w14:textId="6236B224" w:rsidR="00A75B3C" w:rsidRPr="003F23AC" w:rsidRDefault="000F5AA4" w:rsidP="003F23AC">
      <w:pPr>
        <w:pStyle w:val="ListParagraph"/>
        <w:keepNext w:val="0"/>
        <w:numPr>
          <w:ilvl w:val="1"/>
          <w:numId w:val="74"/>
        </w:numPr>
        <w:spacing w:before="120" w:after="0" w:line="259" w:lineRule="auto"/>
        <w:rPr>
          <w:noProof/>
          <w:lang w:val="sk-SK"/>
        </w:rPr>
      </w:pPr>
      <w:r w:rsidRPr="003F23AC">
        <w:rPr>
          <w:noProof/>
          <w:lang w:val="sk-SK"/>
        </w:rPr>
        <w:t>Reformovať 20 študijných programov (bakalár, magisterské štúdium alebo oboje)</w:t>
      </w:r>
      <w:r w:rsidR="00A75B3C" w:rsidRPr="003F23AC">
        <w:rPr>
          <w:noProof/>
          <w:lang w:val="sk-SK"/>
        </w:rPr>
        <w:t xml:space="preserve"> v </w:t>
      </w:r>
      <w:r w:rsidRPr="003F23AC">
        <w:rPr>
          <w:noProof/>
          <w:lang w:val="sk-SK"/>
        </w:rPr>
        <w:t>poľnohospodárskych vedách posilnením ich digitálnej</w:t>
      </w:r>
      <w:r w:rsidR="00A75B3C" w:rsidRPr="003F23AC">
        <w:rPr>
          <w:noProof/>
          <w:lang w:val="sk-SK"/>
        </w:rPr>
        <w:t xml:space="preserve"> a </w:t>
      </w:r>
      <w:r w:rsidRPr="003F23AC">
        <w:rPr>
          <w:noProof/>
          <w:lang w:val="sk-SK"/>
        </w:rPr>
        <w:t>technologickej zložky, internacionalizáciou</w:t>
      </w:r>
      <w:r w:rsidR="00A75B3C" w:rsidRPr="003F23AC">
        <w:rPr>
          <w:noProof/>
          <w:lang w:val="sk-SK"/>
        </w:rPr>
        <w:t xml:space="preserve"> a </w:t>
      </w:r>
      <w:r w:rsidRPr="003F23AC">
        <w:rPr>
          <w:noProof/>
          <w:lang w:val="sk-SK"/>
        </w:rPr>
        <w:t>medziinštitucionálnou spoluprácou</w:t>
      </w:r>
      <w:r w:rsidR="00A75B3C" w:rsidRPr="003F23AC">
        <w:rPr>
          <w:noProof/>
          <w:lang w:val="sk-SK"/>
        </w:rPr>
        <w:t>;</w:t>
      </w:r>
    </w:p>
    <w:p w14:paraId="586F941E" w14:textId="77777777" w:rsidR="00A75B3C" w:rsidRPr="003F23AC" w:rsidRDefault="000F5AA4" w:rsidP="003F23AC">
      <w:pPr>
        <w:pStyle w:val="ListParagraph"/>
        <w:keepNext w:val="0"/>
        <w:numPr>
          <w:ilvl w:val="1"/>
          <w:numId w:val="74"/>
        </w:numPr>
        <w:spacing w:before="120" w:after="0" w:line="259" w:lineRule="auto"/>
        <w:rPr>
          <w:noProof/>
          <w:lang w:val="sk-SK"/>
        </w:rPr>
      </w:pPr>
      <w:r w:rsidRPr="003F23AC">
        <w:rPr>
          <w:noProof/>
          <w:lang w:val="sk-SK"/>
        </w:rPr>
        <w:t>Otvoriť poľnohospodárske školy potenciálnym študentom stredoškolského vzdelávania</w:t>
      </w:r>
    </w:p>
    <w:p w14:paraId="11A87F78" w14:textId="7AF30764" w:rsidR="00A75B3C" w:rsidRPr="003F23AC" w:rsidRDefault="000F5AA4" w:rsidP="003F23AC">
      <w:pPr>
        <w:pStyle w:val="ListParagraph"/>
        <w:keepNext w:val="0"/>
        <w:numPr>
          <w:ilvl w:val="1"/>
          <w:numId w:val="74"/>
        </w:numPr>
        <w:spacing w:before="120" w:after="0" w:line="259" w:lineRule="auto"/>
        <w:rPr>
          <w:noProof/>
          <w:lang w:val="sk-SK"/>
        </w:rPr>
      </w:pPr>
      <w:r w:rsidRPr="003F23AC">
        <w:rPr>
          <w:noProof/>
          <w:lang w:val="sk-SK"/>
        </w:rPr>
        <w:t>Podporovať rekvalifikáciu odborníkov, ktorí už</w:t>
      </w:r>
      <w:r w:rsidR="00A75B3C" w:rsidRPr="003F23AC">
        <w:rPr>
          <w:noProof/>
          <w:lang w:val="sk-SK"/>
        </w:rPr>
        <w:t xml:space="preserve"> v </w:t>
      </w:r>
      <w:r w:rsidRPr="003F23AC">
        <w:rPr>
          <w:noProof/>
          <w:lang w:val="sk-SK"/>
        </w:rPr>
        <w:t>tomto odvetví pracujú, prostredníctvom podpory mikrocertifikátov</w:t>
      </w:r>
      <w:r w:rsidR="00A75B3C" w:rsidRPr="003F23AC">
        <w:rPr>
          <w:noProof/>
          <w:lang w:val="sk-SK"/>
        </w:rPr>
        <w:t xml:space="preserve"> s </w:t>
      </w:r>
      <w:r w:rsidRPr="003F23AC">
        <w:rPr>
          <w:noProof/>
          <w:lang w:val="sk-SK"/>
        </w:rPr>
        <w:t>krátkym vysokoškolským vzdelaním</w:t>
      </w:r>
      <w:r w:rsidR="00A75B3C" w:rsidRPr="003F23AC">
        <w:rPr>
          <w:noProof/>
          <w:lang w:val="sk-SK"/>
        </w:rPr>
        <w:t xml:space="preserve"> a </w:t>
      </w:r>
      <w:r w:rsidRPr="003F23AC">
        <w:rPr>
          <w:noProof/>
          <w:lang w:val="sk-SK"/>
        </w:rPr>
        <w:t>odborným magisterským vzdelaním</w:t>
      </w:r>
      <w:r w:rsidR="00A75B3C" w:rsidRPr="003F23AC">
        <w:rPr>
          <w:noProof/>
          <w:lang w:val="sk-SK"/>
        </w:rPr>
        <w:t>.</w:t>
      </w:r>
    </w:p>
    <w:p w14:paraId="08602127" w14:textId="422F6C90" w:rsidR="00A75B3C" w:rsidRPr="003F23AC" w:rsidRDefault="000F5AA4" w:rsidP="003F23AC">
      <w:pPr>
        <w:pStyle w:val="ListParagraph"/>
        <w:keepNext w:val="0"/>
        <w:numPr>
          <w:ilvl w:val="0"/>
          <w:numId w:val="74"/>
        </w:numPr>
        <w:spacing w:before="120" w:after="0" w:line="259" w:lineRule="auto"/>
        <w:rPr>
          <w:noProof/>
          <w:lang w:val="sk-SK"/>
        </w:rPr>
      </w:pPr>
      <w:r w:rsidRPr="003F23AC">
        <w:rPr>
          <w:noProof/>
          <w:lang w:val="sk-SK"/>
        </w:rPr>
        <w:t>Modernizácia medicíny: čiastkovým opatrením sa podporuje odborná príprava</w:t>
      </w:r>
      <w:r w:rsidR="00A75B3C" w:rsidRPr="003F23AC">
        <w:rPr>
          <w:noProof/>
          <w:lang w:val="sk-SK"/>
        </w:rPr>
        <w:t xml:space="preserve"> v </w:t>
      </w:r>
      <w:r w:rsidRPr="003F23AC">
        <w:rPr>
          <w:noProof/>
          <w:lang w:val="sk-SK"/>
        </w:rPr>
        <w:t>digitálnom prostredí</w:t>
      </w:r>
      <w:r w:rsidR="00A75B3C" w:rsidRPr="003F23AC">
        <w:rPr>
          <w:noProof/>
          <w:lang w:val="sk-SK"/>
        </w:rPr>
        <w:t xml:space="preserve"> a </w:t>
      </w:r>
      <w:r w:rsidRPr="003F23AC">
        <w:rPr>
          <w:noProof/>
          <w:lang w:val="sk-SK"/>
        </w:rPr>
        <w:t>lekárska simulácia zameraná na študentov, ako aj odborníkov pracujúcich</w:t>
      </w:r>
      <w:r w:rsidR="00A75B3C" w:rsidRPr="003F23AC">
        <w:rPr>
          <w:noProof/>
          <w:lang w:val="sk-SK"/>
        </w:rPr>
        <w:t xml:space="preserve"> v </w:t>
      </w:r>
      <w:r w:rsidRPr="003F23AC">
        <w:rPr>
          <w:noProof/>
          <w:lang w:val="sk-SK"/>
        </w:rPr>
        <w:t>tomto odvetví</w:t>
      </w:r>
      <w:r w:rsidR="00A75B3C" w:rsidRPr="003F23AC">
        <w:rPr>
          <w:noProof/>
          <w:lang w:val="sk-SK"/>
        </w:rPr>
        <w:t>.</w:t>
      </w:r>
    </w:p>
    <w:p w14:paraId="5D270A6E" w14:textId="1F569D8F" w:rsidR="00A75B3C" w:rsidRPr="003F23AC" w:rsidRDefault="000F5AA4" w:rsidP="003F23AC">
      <w:pPr>
        <w:pStyle w:val="ListParagraph"/>
        <w:keepNext w:val="0"/>
        <w:numPr>
          <w:ilvl w:val="0"/>
          <w:numId w:val="74"/>
        </w:numPr>
        <w:spacing w:before="120" w:after="0" w:line="259" w:lineRule="auto"/>
        <w:rPr>
          <w:noProof/>
          <w:lang w:val="sk-SK"/>
        </w:rPr>
      </w:pPr>
      <w:r w:rsidRPr="003F23AC">
        <w:rPr>
          <w:noProof/>
          <w:lang w:val="sk-SK"/>
        </w:rPr>
        <w:t>Posilnenie digitálnych zručností: čiastkovým opatrením sa podporuje posilňovanie digitálnych zručností mládeže</w:t>
      </w:r>
      <w:r w:rsidR="00A75B3C" w:rsidRPr="003F23AC">
        <w:rPr>
          <w:noProof/>
          <w:lang w:val="sk-SK"/>
        </w:rPr>
        <w:t xml:space="preserve"> a </w:t>
      </w:r>
      <w:r w:rsidRPr="003F23AC">
        <w:rPr>
          <w:noProof/>
          <w:lang w:val="sk-SK"/>
        </w:rPr>
        <w:t>dospelých</w:t>
      </w:r>
      <w:r w:rsidR="00A75B3C" w:rsidRPr="003F23AC">
        <w:rPr>
          <w:noProof/>
          <w:lang w:val="sk-SK"/>
        </w:rPr>
        <w:t xml:space="preserve"> v </w:t>
      </w:r>
      <w:r w:rsidRPr="003F23AC">
        <w:rPr>
          <w:noProof/>
          <w:lang w:val="sk-SK"/>
        </w:rPr>
        <w:t>oblastiach mimo oblastí STEAM</w:t>
      </w:r>
      <w:r w:rsidR="00A75B3C" w:rsidRPr="003F23AC">
        <w:rPr>
          <w:noProof/>
          <w:lang w:val="sk-SK"/>
        </w:rPr>
        <w:t>.</w:t>
      </w:r>
    </w:p>
    <w:p w14:paraId="526DB37F" w14:textId="3B611A95" w:rsidR="00387C70" w:rsidRPr="003F23AC" w:rsidRDefault="000F5AA4" w:rsidP="003F23AC">
      <w:pPr>
        <w:pStyle w:val="ListParagraph"/>
        <w:keepNext w:val="0"/>
        <w:numPr>
          <w:ilvl w:val="0"/>
          <w:numId w:val="74"/>
        </w:numPr>
        <w:spacing w:before="120" w:after="0" w:line="259" w:lineRule="auto"/>
        <w:rPr>
          <w:noProof/>
          <w:lang w:val="sk-SK"/>
        </w:rPr>
      </w:pPr>
      <w:r w:rsidRPr="003F23AC">
        <w:rPr>
          <w:noProof/>
          <w:lang w:val="sk-SK"/>
        </w:rPr>
        <w:t>Inovácia</w:t>
      </w:r>
      <w:r w:rsidR="00A75B3C" w:rsidRPr="003F23AC">
        <w:rPr>
          <w:noProof/>
          <w:lang w:val="sk-SK"/>
        </w:rPr>
        <w:t xml:space="preserve"> a </w:t>
      </w:r>
      <w:r w:rsidRPr="003F23AC">
        <w:rPr>
          <w:noProof/>
          <w:lang w:val="sk-SK"/>
        </w:rPr>
        <w:t>pedagogická modernizácia vysokoškolského vzdelávania, čiastkové opatrenie:</w:t>
      </w:r>
    </w:p>
    <w:p w14:paraId="558BF1F7" w14:textId="664A50ED" w:rsidR="00387C70" w:rsidRPr="003F23AC" w:rsidRDefault="000F5AA4" w:rsidP="003F23AC">
      <w:pPr>
        <w:pStyle w:val="ListParagraph"/>
        <w:keepNext w:val="0"/>
        <w:numPr>
          <w:ilvl w:val="1"/>
          <w:numId w:val="74"/>
        </w:numPr>
        <w:spacing w:before="120" w:after="0" w:line="259" w:lineRule="auto"/>
        <w:rPr>
          <w:noProof/>
          <w:lang w:val="sk-SK"/>
        </w:rPr>
      </w:pPr>
      <w:r w:rsidRPr="003F23AC">
        <w:rPr>
          <w:noProof/>
          <w:lang w:val="sk-SK"/>
        </w:rPr>
        <w:t xml:space="preserve"> zriadiť centrá </w:t>
      </w:r>
      <w:bookmarkStart w:id="18" w:name="_Hlk143777429"/>
      <w:r w:rsidRPr="003F23AC">
        <w:rPr>
          <w:noProof/>
          <w:lang w:val="sk-SK"/>
        </w:rPr>
        <w:t>excelentnosti pre pedagogické inovácie so silnou digitálnou zložkou so zameraním na netechnologické oblasti (sociálne vedy, humanitné vedy</w:t>
      </w:r>
      <w:r w:rsidR="00A75B3C" w:rsidRPr="003F23AC">
        <w:rPr>
          <w:noProof/>
          <w:lang w:val="sk-SK"/>
        </w:rPr>
        <w:t xml:space="preserve"> a </w:t>
      </w:r>
      <w:r w:rsidRPr="003F23AC">
        <w:rPr>
          <w:noProof/>
          <w:lang w:val="sk-SK"/>
        </w:rPr>
        <w:t>umenie)</w:t>
      </w:r>
      <w:bookmarkEnd w:id="18"/>
      <w:r w:rsidRPr="003F23AC">
        <w:rPr>
          <w:noProof/>
          <w:lang w:val="sk-SK"/>
        </w:rPr>
        <w:t>,</w:t>
      </w:r>
    </w:p>
    <w:p w14:paraId="74CE80F8" w14:textId="4912FB98" w:rsidR="00387C70" w:rsidRPr="003F23AC" w:rsidRDefault="000F5AA4" w:rsidP="003F23AC">
      <w:pPr>
        <w:pStyle w:val="ListParagraph"/>
        <w:keepNext w:val="0"/>
        <w:numPr>
          <w:ilvl w:val="1"/>
          <w:numId w:val="74"/>
        </w:numPr>
        <w:spacing w:before="120" w:after="0" w:line="259" w:lineRule="auto"/>
        <w:rPr>
          <w:noProof/>
          <w:lang w:val="sk-SK"/>
        </w:rPr>
      </w:pPr>
      <w:bookmarkStart w:id="19" w:name="_Hlk143777454"/>
      <w:r w:rsidRPr="003F23AC">
        <w:rPr>
          <w:noProof/>
          <w:lang w:val="sk-SK"/>
        </w:rPr>
        <w:t>Posilniť programy financovania zamerané na zníženie miery predčasného ukončenia vysokoškolského vzdelávania</w:t>
      </w:r>
      <w:bookmarkEnd w:id="19"/>
      <w:r w:rsidRPr="003F23AC">
        <w:rPr>
          <w:noProof/>
          <w:lang w:val="sk-SK"/>
        </w:rPr>
        <w:t>.</w:t>
      </w:r>
    </w:p>
    <w:p w14:paraId="3D90ED17" w14:textId="16FC688E" w:rsidR="00A75B3C" w:rsidRPr="003F23AC" w:rsidRDefault="000F5AA4" w:rsidP="003F23AC">
      <w:pPr>
        <w:pStyle w:val="P68B1DB1-Normal4"/>
        <w:spacing w:line="259" w:lineRule="auto"/>
        <w:jc w:val="both"/>
        <w:rPr>
          <w:rFonts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r w:rsidR="00A75B3C" w:rsidRPr="003F23AC">
        <w:rPr>
          <w:rFonts w:cs="Times New Roman"/>
          <w:noProof/>
          <w:lang w:val="sk-SK"/>
        </w:rPr>
        <w:t>.</w:t>
      </w:r>
    </w:p>
    <w:p w14:paraId="6E920860" w14:textId="3DC805BD" w:rsidR="00387C70" w:rsidRPr="003F23AC" w:rsidRDefault="000F5AA4" w:rsidP="003F23AC">
      <w:pPr>
        <w:pStyle w:val="P68B1DB1-Heading214"/>
        <w:keepNext w:val="0"/>
        <w:rPr>
          <w:noProof/>
          <w:lang w:val="sk-SK"/>
        </w:rPr>
      </w:pPr>
      <w:bookmarkStart w:id="20" w:name="_Toc137472454"/>
      <w:r w:rsidRPr="003F23AC">
        <w:rPr>
          <w:noProof/>
          <w:lang w:val="sk-SK"/>
        </w:rPr>
        <w:t>Investície RE-C06-i08-RAM: Rozšírenie budovy CITMA</w:t>
      </w:r>
      <w:bookmarkEnd w:id="20"/>
    </w:p>
    <w:p w14:paraId="73584109" w14:textId="4A139F89" w:rsidR="00387C70" w:rsidRPr="003F23AC" w:rsidRDefault="000F5AA4" w:rsidP="003F23AC">
      <w:pPr>
        <w:pStyle w:val="P68B1DB1-Normal4"/>
        <w:spacing w:after="0" w:line="259" w:lineRule="auto"/>
        <w:jc w:val="both"/>
        <w:rPr>
          <w:rFonts w:cs="Times New Roman"/>
          <w:noProof/>
          <w:lang w:val="sk-SK"/>
        </w:rPr>
      </w:pPr>
      <w:r w:rsidRPr="003F23AC">
        <w:rPr>
          <w:rFonts w:cs="Times New Roman"/>
          <w:noProof/>
          <w:lang w:val="sk-SK"/>
        </w:rPr>
        <w:t>Cieľom opatrenia je zabezpečiť, aby budova Vedeckého</w:t>
      </w:r>
      <w:r w:rsidR="00A75B3C" w:rsidRPr="003F23AC">
        <w:rPr>
          <w:rFonts w:cs="Times New Roman"/>
          <w:noProof/>
          <w:lang w:val="sk-SK"/>
        </w:rPr>
        <w:t xml:space="preserve"> a </w:t>
      </w:r>
      <w:r w:rsidRPr="003F23AC">
        <w:rPr>
          <w:rFonts w:cs="Times New Roman"/>
          <w:noProof/>
          <w:lang w:val="sk-SK"/>
        </w:rPr>
        <w:t>technologického centra Madeiry (CITMA) bola dostatočne veľká na to, aby spĺňala súčasné</w:t>
      </w:r>
      <w:r w:rsidR="00A75B3C" w:rsidRPr="003F23AC">
        <w:rPr>
          <w:rFonts w:cs="Times New Roman"/>
          <w:noProof/>
          <w:lang w:val="sk-SK"/>
        </w:rPr>
        <w:t xml:space="preserve"> a </w:t>
      </w:r>
      <w:r w:rsidRPr="003F23AC">
        <w:rPr>
          <w:rFonts w:cs="Times New Roman"/>
          <w:noProof/>
          <w:lang w:val="sk-SK"/>
        </w:rPr>
        <w:t>budúce potreby univerzity na Madeire (Uma)</w:t>
      </w:r>
      <w:r w:rsidR="00A75B3C" w:rsidRPr="003F23AC">
        <w:rPr>
          <w:rFonts w:cs="Times New Roman"/>
          <w:noProof/>
          <w:lang w:val="sk-SK"/>
        </w:rPr>
        <w:t xml:space="preserve"> s </w:t>
      </w:r>
      <w:r w:rsidRPr="003F23AC">
        <w:rPr>
          <w:rFonts w:cs="Times New Roman"/>
          <w:noProof/>
          <w:lang w:val="sk-SK"/>
        </w:rPr>
        <w:t>cieľom optimalizovať pedagogické</w:t>
      </w:r>
      <w:r w:rsidR="00A75B3C" w:rsidRPr="003F23AC">
        <w:rPr>
          <w:rFonts w:cs="Times New Roman"/>
          <w:noProof/>
          <w:lang w:val="sk-SK"/>
        </w:rPr>
        <w:t xml:space="preserve"> a </w:t>
      </w:r>
      <w:r w:rsidRPr="003F23AC">
        <w:rPr>
          <w:rFonts w:cs="Times New Roman"/>
          <w:noProof/>
          <w:lang w:val="sk-SK"/>
        </w:rPr>
        <w:t>výskumné činnosti Uma</w:t>
      </w:r>
      <w:r w:rsidR="00A75B3C" w:rsidRPr="003F23AC">
        <w:rPr>
          <w:rFonts w:cs="Times New Roman"/>
          <w:noProof/>
          <w:lang w:val="sk-SK"/>
        </w:rPr>
        <w:t xml:space="preserve"> s </w:t>
      </w:r>
      <w:r w:rsidRPr="003F23AC">
        <w:rPr>
          <w:rFonts w:cs="Times New Roman"/>
          <w:noProof/>
          <w:lang w:val="sk-SK"/>
        </w:rPr>
        <w:t>dôrazom na infraštruktúru pre polytechnickú výchovu. Cieľom je umožniť užšie väzby medzi akademickou obcou</w:t>
      </w:r>
      <w:r w:rsidR="00A75B3C" w:rsidRPr="003F23AC">
        <w:rPr>
          <w:rFonts w:cs="Times New Roman"/>
          <w:noProof/>
          <w:lang w:val="sk-SK"/>
        </w:rPr>
        <w:t xml:space="preserve"> a </w:t>
      </w:r>
      <w:r w:rsidRPr="003F23AC">
        <w:rPr>
          <w:rFonts w:cs="Times New Roman"/>
          <w:noProof/>
          <w:lang w:val="sk-SK"/>
        </w:rPr>
        <w:t>podnikmi</w:t>
      </w:r>
      <w:r w:rsidR="00A75B3C" w:rsidRPr="003F23AC">
        <w:rPr>
          <w:rFonts w:cs="Times New Roman"/>
          <w:noProof/>
          <w:lang w:val="sk-SK"/>
        </w:rPr>
        <w:t xml:space="preserve"> a </w:t>
      </w:r>
      <w:r w:rsidRPr="003F23AC">
        <w:rPr>
          <w:rFonts w:cs="Times New Roman"/>
          <w:noProof/>
          <w:lang w:val="sk-SK"/>
        </w:rPr>
        <w:t>umožniť tak výmenu skúseností</w:t>
      </w:r>
      <w:r w:rsidR="00A75B3C" w:rsidRPr="003F23AC">
        <w:rPr>
          <w:rFonts w:cs="Times New Roman"/>
          <w:noProof/>
          <w:lang w:val="sk-SK"/>
        </w:rPr>
        <w:t xml:space="preserve"> a </w:t>
      </w:r>
      <w:r w:rsidRPr="003F23AC">
        <w:rPr>
          <w:rFonts w:cs="Times New Roman"/>
          <w:noProof/>
          <w:lang w:val="sk-SK"/>
        </w:rPr>
        <w:t>zdrojov.</w:t>
      </w:r>
    </w:p>
    <w:p w14:paraId="1BC3E158" w14:textId="34B12119" w:rsidR="00387C70" w:rsidRPr="003F23AC" w:rsidRDefault="000F5AA4" w:rsidP="003F23AC">
      <w:pPr>
        <w:pStyle w:val="P68B1DB1-Normal4"/>
        <w:spacing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pridania troch poschodí</w:t>
      </w:r>
      <w:r w:rsidR="00A75B3C" w:rsidRPr="003F23AC">
        <w:rPr>
          <w:rFonts w:cs="Times New Roman"/>
          <w:noProof/>
          <w:lang w:val="sk-SK"/>
        </w:rPr>
        <w:t xml:space="preserve"> k </w:t>
      </w:r>
      <w:r w:rsidRPr="003F23AC">
        <w:rPr>
          <w:rFonts w:cs="Times New Roman"/>
          <w:noProof/>
          <w:lang w:val="sk-SK"/>
        </w:rPr>
        <w:t>súčasnej budove</w:t>
      </w:r>
      <w:r w:rsidR="00A75B3C" w:rsidRPr="003F23AC">
        <w:rPr>
          <w:rFonts w:cs="Times New Roman"/>
          <w:noProof/>
          <w:lang w:val="sk-SK"/>
        </w:rPr>
        <w:t xml:space="preserve"> a </w:t>
      </w:r>
      <w:r w:rsidRPr="003F23AC">
        <w:rPr>
          <w:rFonts w:cs="Times New Roman"/>
          <w:noProof/>
          <w:lang w:val="sk-SK"/>
        </w:rPr>
        <w:t>rozšírenia prízemia. Budova sa prispôsobí potrebám osôb so zníženou pohyblivosťou. Niektoré priestory</w:t>
      </w:r>
      <w:r w:rsidR="00A75B3C" w:rsidRPr="003F23AC">
        <w:rPr>
          <w:rFonts w:cs="Times New Roman"/>
          <w:noProof/>
          <w:lang w:val="sk-SK"/>
        </w:rPr>
        <w:t xml:space="preserve"> v </w:t>
      </w:r>
      <w:r w:rsidRPr="003F23AC">
        <w:rPr>
          <w:rFonts w:cs="Times New Roman"/>
          <w:noProof/>
          <w:lang w:val="sk-SK"/>
        </w:rPr>
        <w:t>budove musia byť nastaviteľné</w:t>
      </w:r>
      <w:r w:rsidR="00A75B3C" w:rsidRPr="003F23AC">
        <w:rPr>
          <w:rFonts w:cs="Times New Roman"/>
          <w:noProof/>
          <w:lang w:val="sk-SK"/>
        </w:rPr>
        <w:t xml:space="preserve"> z </w:t>
      </w:r>
      <w:r w:rsidRPr="003F23AC">
        <w:rPr>
          <w:rFonts w:cs="Times New Roman"/>
          <w:noProof/>
          <w:lang w:val="sk-SK"/>
        </w:rPr>
        <w:t>hľadiska veľkosti.</w:t>
      </w:r>
    </w:p>
    <w:p w14:paraId="2094AB53" w14:textId="7D741BEE" w:rsidR="00A75B3C" w:rsidRPr="003F23AC" w:rsidRDefault="000F5AA4" w:rsidP="003F23AC">
      <w:pPr>
        <w:pStyle w:val="P68B1DB1-Normal4"/>
        <w:spacing w:line="259" w:lineRule="auto"/>
        <w:jc w:val="both"/>
        <w:rPr>
          <w:rFonts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r w:rsidR="00A75B3C" w:rsidRPr="003F23AC">
        <w:rPr>
          <w:rFonts w:cs="Times New Roman"/>
          <w:noProof/>
          <w:lang w:val="sk-SK"/>
        </w:rPr>
        <w:t>.</w:t>
      </w:r>
    </w:p>
    <w:p w14:paraId="665517EB" w14:textId="40F8B716"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6983890E"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78B6531F" w14:textId="77777777" w:rsidR="00387C70" w:rsidRPr="003F23AC" w:rsidRDefault="00387C70" w:rsidP="003F23AC">
      <w:pPr>
        <w:spacing w:before="40" w:after="0" w:line="259" w:lineRule="auto"/>
        <w:ind w:left="130" w:firstLine="720"/>
        <w:jc w:val="both"/>
        <w:outlineLvl w:val="2"/>
        <w:rPr>
          <w:rFonts w:ascii="Times New Roman" w:eastAsiaTheme="minorEastAsia" w:hAnsi="Times New Roman" w:cs="Times New Roman"/>
          <w:b/>
          <w:noProof/>
          <w:sz w:val="24"/>
          <w:u w:val="single"/>
          <w:lang w:val="sk-SK"/>
        </w:rPr>
        <w:sectPr w:rsidR="00387C70" w:rsidRPr="003F23AC" w:rsidSect="00E00EDD">
          <w:headerReference w:type="even" r:id="rId120"/>
          <w:headerReference w:type="default" r:id="rId121"/>
          <w:footerReference w:type="even" r:id="rId122"/>
          <w:footerReference w:type="default" r:id="rId123"/>
          <w:headerReference w:type="first" r:id="rId124"/>
          <w:footerReference w:type="first" r:id="rId125"/>
          <w:pgSz w:w="11907" w:h="16839"/>
          <w:pgMar w:top="1134" w:right="1134" w:bottom="1134" w:left="1134" w:header="567" w:footer="567" w:gutter="0"/>
          <w:cols w:space="720"/>
          <w:docGrid w:linePitch="360"/>
        </w:sectPr>
      </w:pPr>
    </w:p>
    <w:p w14:paraId="059FBF21" w14:textId="2FCE86C5" w:rsidR="00387C70" w:rsidRPr="003F23AC" w:rsidRDefault="000F5AA4" w:rsidP="003F23AC">
      <w:pPr>
        <w:pStyle w:val="P68B1DB1-Normal3"/>
        <w:spacing w:before="40" w:after="120" w:line="259" w:lineRule="auto"/>
        <w:ind w:left="130" w:firstLine="720"/>
        <w:jc w:val="both"/>
        <w:outlineLvl w:val="2"/>
        <w:rPr>
          <w:rFonts w:eastAsiaTheme="minorEastAsia" w:cs="Times New Roman"/>
          <w:noProof/>
          <w:lang w:val="sk-SK"/>
        </w:rPr>
      </w:pPr>
      <w:r w:rsidRPr="003F23AC">
        <w:rPr>
          <w:rFonts w:cs="Times New Roman"/>
          <w:noProof/>
          <w:lang w:val="sk-SK"/>
        </w:rPr>
        <w:t>F.2.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134"/>
        <w:gridCol w:w="1701"/>
        <w:gridCol w:w="1275"/>
        <w:gridCol w:w="808"/>
        <w:gridCol w:w="1177"/>
        <w:gridCol w:w="850"/>
        <w:gridCol w:w="771"/>
        <w:gridCol w:w="504"/>
        <w:gridCol w:w="4395"/>
      </w:tblGrid>
      <w:tr w:rsidR="00387C70" w:rsidRPr="003F23AC" w14:paraId="2F27C62F" w14:textId="77777777" w:rsidTr="00A26F8D">
        <w:trPr>
          <w:trHeight w:val="910"/>
          <w:tblHeader/>
        </w:trPr>
        <w:tc>
          <w:tcPr>
            <w:tcW w:w="1135" w:type="dxa"/>
            <w:vMerge w:val="restart"/>
            <w:shd w:val="clear" w:color="auto" w:fill="BDD6EE"/>
            <w:tcMar>
              <w:left w:w="28" w:type="dxa"/>
              <w:right w:w="28" w:type="dxa"/>
            </w:tcMar>
            <w:vAlign w:val="center"/>
            <w:hideMark/>
          </w:tcPr>
          <w:p w14:paraId="6D1630A3"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76" w:type="dxa"/>
            <w:vMerge w:val="restart"/>
            <w:shd w:val="clear" w:color="auto" w:fill="BDD6EE"/>
            <w:tcMar>
              <w:left w:w="28" w:type="dxa"/>
              <w:right w:w="28" w:type="dxa"/>
            </w:tcMar>
            <w:vAlign w:val="center"/>
            <w:hideMark/>
          </w:tcPr>
          <w:p w14:paraId="0754D7BA"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34" w:type="dxa"/>
            <w:vMerge w:val="restart"/>
            <w:shd w:val="clear" w:color="auto" w:fill="BDD6EE"/>
            <w:tcMar>
              <w:left w:w="28" w:type="dxa"/>
              <w:right w:w="28" w:type="dxa"/>
            </w:tcMar>
            <w:vAlign w:val="center"/>
            <w:hideMark/>
          </w:tcPr>
          <w:p w14:paraId="5CE4AD72" w14:textId="5C42A0AE"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1701" w:type="dxa"/>
            <w:vMerge w:val="restart"/>
            <w:shd w:val="clear" w:color="auto" w:fill="BDD6EE"/>
            <w:tcMar>
              <w:left w:w="28" w:type="dxa"/>
              <w:right w:w="28" w:type="dxa"/>
            </w:tcMar>
            <w:vAlign w:val="center"/>
            <w:hideMark/>
          </w:tcPr>
          <w:p w14:paraId="4BDED511"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275" w:type="dxa"/>
            <w:vMerge w:val="restart"/>
            <w:shd w:val="clear" w:color="auto" w:fill="BDD6EE"/>
            <w:tcMar>
              <w:left w:w="28" w:type="dxa"/>
              <w:right w:w="28" w:type="dxa"/>
            </w:tcMar>
            <w:vAlign w:val="center"/>
            <w:hideMark/>
          </w:tcPr>
          <w:p w14:paraId="3EA0C12C"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835" w:type="dxa"/>
            <w:gridSpan w:val="3"/>
            <w:shd w:val="clear" w:color="auto" w:fill="BDD6EE"/>
            <w:tcMar>
              <w:left w:w="28" w:type="dxa"/>
              <w:right w:w="28" w:type="dxa"/>
            </w:tcMar>
            <w:vAlign w:val="center"/>
            <w:hideMark/>
          </w:tcPr>
          <w:p w14:paraId="381F8037"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75" w:type="dxa"/>
            <w:gridSpan w:val="2"/>
            <w:shd w:val="clear" w:color="auto" w:fill="BDD6EE"/>
            <w:tcMar>
              <w:left w:w="28" w:type="dxa"/>
              <w:right w:w="28" w:type="dxa"/>
            </w:tcMar>
            <w:vAlign w:val="center"/>
            <w:hideMark/>
          </w:tcPr>
          <w:p w14:paraId="2B867F8B"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4395" w:type="dxa"/>
            <w:vMerge w:val="restart"/>
            <w:shd w:val="clear" w:color="auto" w:fill="BDD6EE"/>
            <w:noWrap/>
            <w:tcMar>
              <w:left w:w="28" w:type="dxa"/>
              <w:right w:w="28" w:type="dxa"/>
            </w:tcMar>
            <w:vAlign w:val="center"/>
            <w:hideMark/>
          </w:tcPr>
          <w:p w14:paraId="61D7CEDC" w14:textId="24ED843D"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186265A2" w14:textId="77777777" w:rsidTr="00A26F8D">
        <w:trPr>
          <w:trHeight w:val="470"/>
          <w:tblHeader/>
        </w:trPr>
        <w:tc>
          <w:tcPr>
            <w:tcW w:w="1135" w:type="dxa"/>
            <w:vMerge/>
            <w:tcMar>
              <w:left w:w="28" w:type="dxa"/>
              <w:right w:w="28" w:type="dxa"/>
            </w:tcMar>
            <w:vAlign w:val="center"/>
            <w:hideMark/>
          </w:tcPr>
          <w:p w14:paraId="23EAC102"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6" w:type="dxa"/>
            <w:vMerge/>
            <w:tcMar>
              <w:left w:w="28" w:type="dxa"/>
              <w:right w:w="28" w:type="dxa"/>
            </w:tcMar>
            <w:vAlign w:val="center"/>
            <w:hideMark/>
          </w:tcPr>
          <w:p w14:paraId="7FFB2B96"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34" w:type="dxa"/>
            <w:vMerge/>
            <w:tcMar>
              <w:left w:w="28" w:type="dxa"/>
              <w:right w:w="28" w:type="dxa"/>
            </w:tcMar>
            <w:vAlign w:val="center"/>
            <w:hideMark/>
          </w:tcPr>
          <w:p w14:paraId="61C40CBB" w14:textId="05DF786C"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701" w:type="dxa"/>
            <w:vMerge/>
            <w:tcMar>
              <w:left w:w="28" w:type="dxa"/>
              <w:right w:w="28" w:type="dxa"/>
            </w:tcMar>
            <w:vAlign w:val="center"/>
            <w:hideMark/>
          </w:tcPr>
          <w:p w14:paraId="392949DC"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5" w:type="dxa"/>
            <w:vMerge/>
            <w:tcMar>
              <w:left w:w="28" w:type="dxa"/>
              <w:right w:w="28" w:type="dxa"/>
            </w:tcMar>
            <w:vAlign w:val="center"/>
            <w:hideMark/>
          </w:tcPr>
          <w:p w14:paraId="0003544B"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808" w:type="dxa"/>
            <w:shd w:val="clear" w:color="auto" w:fill="BDD6EE"/>
            <w:tcMar>
              <w:left w:w="28" w:type="dxa"/>
              <w:right w:w="28" w:type="dxa"/>
            </w:tcMar>
            <w:vAlign w:val="center"/>
            <w:hideMark/>
          </w:tcPr>
          <w:p w14:paraId="1AC56CC8"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1177" w:type="dxa"/>
            <w:shd w:val="clear" w:color="auto" w:fill="BDD6EE"/>
            <w:tcMar>
              <w:left w:w="28" w:type="dxa"/>
              <w:right w:w="28" w:type="dxa"/>
            </w:tcMar>
            <w:vAlign w:val="center"/>
            <w:hideMark/>
          </w:tcPr>
          <w:p w14:paraId="22EAFC97" w14:textId="3E1F8B4B"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850" w:type="dxa"/>
            <w:shd w:val="clear" w:color="auto" w:fill="BDD6EE"/>
            <w:tcMar>
              <w:left w:w="28" w:type="dxa"/>
              <w:right w:w="28" w:type="dxa"/>
            </w:tcMar>
            <w:vAlign w:val="center"/>
            <w:hideMark/>
          </w:tcPr>
          <w:p w14:paraId="2BE8FC8B" w14:textId="1957A7A0"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771" w:type="dxa"/>
            <w:shd w:val="clear" w:color="auto" w:fill="BDD6EE"/>
            <w:tcMar>
              <w:left w:w="28" w:type="dxa"/>
              <w:right w:w="28" w:type="dxa"/>
            </w:tcMar>
            <w:vAlign w:val="center"/>
            <w:hideMark/>
          </w:tcPr>
          <w:p w14:paraId="242D2DDD" w14:textId="16DBF6FD"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504" w:type="dxa"/>
            <w:shd w:val="clear" w:color="auto" w:fill="BDD6EE"/>
            <w:tcMar>
              <w:left w:w="28" w:type="dxa"/>
              <w:right w:w="28" w:type="dxa"/>
            </w:tcMar>
            <w:vAlign w:val="center"/>
            <w:hideMark/>
          </w:tcPr>
          <w:p w14:paraId="74452C72"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4395" w:type="dxa"/>
            <w:vMerge/>
            <w:tcMar>
              <w:left w:w="28" w:type="dxa"/>
              <w:right w:w="28" w:type="dxa"/>
            </w:tcMar>
            <w:vAlign w:val="center"/>
            <w:hideMark/>
          </w:tcPr>
          <w:p w14:paraId="1CC6F99B"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79EA62E7" w14:textId="77777777" w:rsidTr="00A26F8D">
        <w:trPr>
          <w:trHeight w:val="640"/>
        </w:trPr>
        <w:tc>
          <w:tcPr>
            <w:tcW w:w="1135" w:type="dxa"/>
            <w:shd w:val="clear" w:color="auto" w:fill="C5EFCE"/>
            <w:tcMar>
              <w:left w:w="28" w:type="dxa"/>
              <w:right w:w="28" w:type="dxa"/>
            </w:tcMar>
            <w:vAlign w:val="center"/>
            <w:hideMark/>
          </w:tcPr>
          <w:p w14:paraId="11E1C5C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6.1</w:t>
            </w:r>
          </w:p>
        </w:tc>
        <w:tc>
          <w:tcPr>
            <w:tcW w:w="1276" w:type="dxa"/>
            <w:shd w:val="clear" w:color="auto" w:fill="C4EFCE"/>
            <w:noWrap/>
            <w:tcMar>
              <w:left w:w="28" w:type="dxa"/>
              <w:right w:w="28" w:type="dxa"/>
            </w:tcMar>
            <w:vAlign w:val="center"/>
            <w:hideMark/>
          </w:tcPr>
          <w:p w14:paraId="1D6D398A" w14:textId="6B3C4BFF"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C06-i01</w:t>
            </w:r>
          </w:p>
        </w:tc>
        <w:tc>
          <w:tcPr>
            <w:tcW w:w="1134" w:type="dxa"/>
            <w:shd w:val="clear" w:color="auto" w:fill="C4EFCE"/>
            <w:noWrap/>
            <w:tcMar>
              <w:left w:w="28" w:type="dxa"/>
              <w:right w:w="28" w:type="dxa"/>
            </w:tcMar>
            <w:vAlign w:val="center"/>
            <w:hideMark/>
          </w:tcPr>
          <w:p w14:paraId="0245193C" w14:textId="2C1FF19B"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2FE5CBD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Renovované alebo vybudované špecializované technologické centrá</w:t>
            </w:r>
          </w:p>
        </w:tc>
        <w:tc>
          <w:tcPr>
            <w:tcW w:w="1275" w:type="dxa"/>
            <w:shd w:val="clear" w:color="auto" w:fill="C4EFCE"/>
            <w:noWrap/>
            <w:tcMar>
              <w:left w:w="28" w:type="dxa"/>
              <w:right w:w="28" w:type="dxa"/>
            </w:tcMar>
            <w:vAlign w:val="center"/>
            <w:hideMark/>
          </w:tcPr>
          <w:p w14:paraId="1DC8F38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8" w:type="dxa"/>
            <w:shd w:val="clear" w:color="auto" w:fill="C4EFCE"/>
            <w:noWrap/>
            <w:tcMar>
              <w:left w:w="28" w:type="dxa"/>
              <w:right w:w="28" w:type="dxa"/>
            </w:tcMar>
            <w:vAlign w:val="center"/>
            <w:hideMark/>
          </w:tcPr>
          <w:p w14:paraId="41339AB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7" w:type="dxa"/>
            <w:shd w:val="clear" w:color="auto" w:fill="C4EFCE"/>
            <w:noWrap/>
            <w:tcMar>
              <w:left w:w="28" w:type="dxa"/>
              <w:right w:w="28" w:type="dxa"/>
            </w:tcMar>
            <w:vAlign w:val="center"/>
            <w:hideMark/>
          </w:tcPr>
          <w:p w14:paraId="73C4724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hideMark/>
          </w:tcPr>
          <w:p w14:paraId="5260959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310</w:t>
            </w:r>
          </w:p>
        </w:tc>
        <w:tc>
          <w:tcPr>
            <w:tcW w:w="771" w:type="dxa"/>
            <w:shd w:val="clear" w:color="auto" w:fill="C4EFCE"/>
            <w:noWrap/>
            <w:tcMar>
              <w:left w:w="28" w:type="dxa"/>
              <w:right w:w="28" w:type="dxa"/>
            </w:tcMar>
            <w:vAlign w:val="center"/>
            <w:hideMark/>
          </w:tcPr>
          <w:p w14:paraId="5E577122" w14:textId="607A491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04" w:type="dxa"/>
            <w:shd w:val="clear" w:color="auto" w:fill="C4EFCE"/>
            <w:noWrap/>
            <w:tcMar>
              <w:left w:w="28" w:type="dxa"/>
              <w:right w:w="28" w:type="dxa"/>
            </w:tcMar>
            <w:vAlign w:val="center"/>
            <w:hideMark/>
          </w:tcPr>
          <w:p w14:paraId="5B9C16C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95" w:type="dxa"/>
            <w:shd w:val="clear" w:color="auto" w:fill="C4EFCE"/>
            <w:tcMar>
              <w:left w:w="28" w:type="dxa"/>
              <w:right w:w="28" w:type="dxa"/>
            </w:tcMar>
            <w:vAlign w:val="center"/>
            <w:hideMark/>
          </w:tcPr>
          <w:p w14:paraId="0E2343BD" w14:textId="7A2AD51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špecializovaných technologických centier renovovaných alebo postavených na odborné kurzy sekundárneho vzdelávania vrátane financovania vybavenia, technologickej infraštruktúry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možnej rekvalifikácie priestorov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seminárov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cieľom prispôsobiť sa novým kurzom. </w:t>
            </w:r>
          </w:p>
        </w:tc>
      </w:tr>
      <w:tr w:rsidR="00387C70" w:rsidRPr="003F23AC" w14:paraId="31C598A2" w14:textId="77777777" w:rsidTr="00A26F8D">
        <w:trPr>
          <w:trHeight w:val="640"/>
        </w:trPr>
        <w:tc>
          <w:tcPr>
            <w:tcW w:w="1135" w:type="dxa"/>
            <w:shd w:val="clear" w:color="auto" w:fill="C5EFCE"/>
            <w:tcMar>
              <w:left w:w="28" w:type="dxa"/>
              <w:right w:w="28" w:type="dxa"/>
            </w:tcMar>
            <w:vAlign w:val="center"/>
            <w:hideMark/>
          </w:tcPr>
          <w:p w14:paraId="2FE12F6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6.2</w:t>
            </w:r>
          </w:p>
        </w:tc>
        <w:tc>
          <w:tcPr>
            <w:tcW w:w="1276" w:type="dxa"/>
            <w:shd w:val="clear" w:color="auto" w:fill="C4EFCE"/>
            <w:noWrap/>
            <w:tcMar>
              <w:left w:w="28" w:type="dxa"/>
              <w:right w:w="28" w:type="dxa"/>
            </w:tcMar>
            <w:vAlign w:val="center"/>
            <w:hideMark/>
          </w:tcPr>
          <w:p w14:paraId="6CE55E02" w14:textId="3C90C3C2"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C06-i01</w:t>
            </w:r>
          </w:p>
        </w:tc>
        <w:tc>
          <w:tcPr>
            <w:tcW w:w="1134" w:type="dxa"/>
            <w:shd w:val="clear" w:color="auto" w:fill="C4EFCE"/>
            <w:noWrap/>
            <w:tcMar>
              <w:left w:w="28" w:type="dxa"/>
              <w:right w:w="28" w:type="dxa"/>
            </w:tcMar>
            <w:vAlign w:val="center"/>
            <w:hideMark/>
          </w:tcPr>
          <w:p w14:paraId="365464C5" w14:textId="57DFA63D"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5EAA9EB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Renovované alebo vybudované špecializované technologické centrá</w:t>
            </w:r>
          </w:p>
        </w:tc>
        <w:tc>
          <w:tcPr>
            <w:tcW w:w="1275" w:type="dxa"/>
            <w:shd w:val="clear" w:color="auto" w:fill="C4EFCE"/>
            <w:noWrap/>
            <w:tcMar>
              <w:left w:w="28" w:type="dxa"/>
              <w:right w:w="28" w:type="dxa"/>
            </w:tcMar>
            <w:vAlign w:val="center"/>
            <w:hideMark/>
          </w:tcPr>
          <w:p w14:paraId="5298122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8" w:type="dxa"/>
            <w:shd w:val="clear" w:color="auto" w:fill="C4EFCE"/>
            <w:noWrap/>
            <w:tcMar>
              <w:left w:w="28" w:type="dxa"/>
              <w:right w:w="28" w:type="dxa"/>
            </w:tcMar>
            <w:vAlign w:val="center"/>
            <w:hideMark/>
          </w:tcPr>
          <w:p w14:paraId="2EFD07B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7" w:type="dxa"/>
            <w:shd w:val="clear" w:color="auto" w:fill="C4EFCE"/>
            <w:noWrap/>
            <w:tcMar>
              <w:left w:w="28" w:type="dxa"/>
              <w:right w:w="28" w:type="dxa"/>
            </w:tcMar>
            <w:vAlign w:val="center"/>
            <w:hideMark/>
          </w:tcPr>
          <w:p w14:paraId="3C1D84A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310</w:t>
            </w:r>
          </w:p>
        </w:tc>
        <w:tc>
          <w:tcPr>
            <w:tcW w:w="850" w:type="dxa"/>
            <w:shd w:val="clear" w:color="auto" w:fill="C4EFCE"/>
            <w:noWrap/>
            <w:tcMar>
              <w:left w:w="28" w:type="dxa"/>
              <w:right w:w="28" w:type="dxa"/>
            </w:tcMar>
            <w:vAlign w:val="center"/>
            <w:hideMark/>
          </w:tcPr>
          <w:p w14:paraId="53776CC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365</w:t>
            </w:r>
          </w:p>
        </w:tc>
        <w:tc>
          <w:tcPr>
            <w:tcW w:w="771" w:type="dxa"/>
            <w:shd w:val="clear" w:color="auto" w:fill="C4EFCE"/>
            <w:noWrap/>
            <w:tcMar>
              <w:left w:w="28" w:type="dxa"/>
              <w:right w:w="28" w:type="dxa"/>
            </w:tcMar>
            <w:vAlign w:val="center"/>
            <w:hideMark/>
          </w:tcPr>
          <w:p w14:paraId="27944A1C" w14:textId="0AC014D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hideMark/>
          </w:tcPr>
          <w:p w14:paraId="7EEBE2C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95" w:type="dxa"/>
            <w:shd w:val="clear" w:color="auto" w:fill="C4EFCE"/>
            <w:tcMar>
              <w:left w:w="28" w:type="dxa"/>
              <w:right w:w="28" w:type="dxa"/>
            </w:tcMar>
            <w:vAlign w:val="center"/>
            <w:hideMark/>
          </w:tcPr>
          <w:p w14:paraId="3A678E29" w14:textId="3E00E9E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špecializovaných technologických centier renovovaných alebo postavených na odborné kurzy sekundárneho vzdelávania vrátane finančného vybavenia, technologickej infraštruktúry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možnej rekvalifikácie priestorov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seminárov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prispôsobiť sa novým kurzom</w:t>
            </w:r>
          </w:p>
        </w:tc>
      </w:tr>
      <w:tr w:rsidR="00387C70" w:rsidRPr="003F23AC" w14:paraId="3E90A23F" w14:textId="77777777" w:rsidTr="00A26F8D">
        <w:trPr>
          <w:trHeight w:val="1270"/>
        </w:trPr>
        <w:tc>
          <w:tcPr>
            <w:tcW w:w="1135" w:type="dxa"/>
            <w:shd w:val="clear" w:color="auto" w:fill="C5EFCE"/>
            <w:tcMar>
              <w:left w:w="28" w:type="dxa"/>
              <w:right w:w="28" w:type="dxa"/>
            </w:tcMar>
            <w:vAlign w:val="center"/>
            <w:hideMark/>
          </w:tcPr>
          <w:p w14:paraId="047D3B3F"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6.3</w:t>
            </w:r>
          </w:p>
        </w:tc>
        <w:tc>
          <w:tcPr>
            <w:tcW w:w="1276" w:type="dxa"/>
            <w:shd w:val="clear" w:color="auto" w:fill="C4EFCE"/>
            <w:noWrap/>
            <w:tcMar>
              <w:left w:w="28" w:type="dxa"/>
              <w:right w:w="28" w:type="dxa"/>
            </w:tcMar>
            <w:vAlign w:val="center"/>
            <w:hideMark/>
          </w:tcPr>
          <w:p w14:paraId="5356A2CC" w14:textId="19BD287A"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C06-i01</w:t>
            </w:r>
          </w:p>
        </w:tc>
        <w:tc>
          <w:tcPr>
            <w:tcW w:w="1134" w:type="dxa"/>
            <w:shd w:val="clear" w:color="auto" w:fill="C4EFCE"/>
            <w:noWrap/>
            <w:tcMar>
              <w:left w:w="28" w:type="dxa"/>
              <w:right w:w="28" w:type="dxa"/>
            </w:tcMar>
            <w:vAlign w:val="center"/>
            <w:hideMark/>
          </w:tcPr>
          <w:p w14:paraId="3DB04DD1" w14:textId="2DF09623"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2FA61F5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Modernizované školiace stanice </w:t>
            </w:r>
          </w:p>
        </w:tc>
        <w:tc>
          <w:tcPr>
            <w:tcW w:w="1275" w:type="dxa"/>
            <w:shd w:val="clear" w:color="auto" w:fill="C4EFCE"/>
            <w:noWrap/>
            <w:tcMar>
              <w:left w:w="28" w:type="dxa"/>
              <w:right w:w="28" w:type="dxa"/>
            </w:tcMar>
            <w:vAlign w:val="center"/>
            <w:hideMark/>
          </w:tcPr>
          <w:p w14:paraId="130E4E3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8" w:type="dxa"/>
            <w:shd w:val="clear" w:color="auto" w:fill="C4EFCE"/>
            <w:noWrap/>
            <w:tcMar>
              <w:left w:w="28" w:type="dxa"/>
              <w:right w:w="28" w:type="dxa"/>
            </w:tcMar>
            <w:vAlign w:val="center"/>
            <w:hideMark/>
          </w:tcPr>
          <w:p w14:paraId="26DA56A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7" w:type="dxa"/>
            <w:shd w:val="clear" w:color="auto" w:fill="C4EFCE"/>
            <w:noWrap/>
            <w:tcMar>
              <w:left w:w="28" w:type="dxa"/>
              <w:right w:w="28" w:type="dxa"/>
            </w:tcMar>
            <w:vAlign w:val="center"/>
            <w:hideMark/>
          </w:tcPr>
          <w:p w14:paraId="213A84D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hideMark/>
          </w:tcPr>
          <w:p w14:paraId="5D069C25" w14:textId="373C231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11 500</w:t>
            </w:r>
          </w:p>
        </w:tc>
        <w:tc>
          <w:tcPr>
            <w:tcW w:w="771" w:type="dxa"/>
            <w:shd w:val="clear" w:color="auto" w:fill="C4EFCE"/>
            <w:noWrap/>
            <w:tcMar>
              <w:left w:w="28" w:type="dxa"/>
              <w:right w:w="28" w:type="dxa"/>
            </w:tcMar>
            <w:vAlign w:val="center"/>
            <w:hideMark/>
          </w:tcPr>
          <w:p w14:paraId="61A11D31" w14:textId="51C4AEF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hideMark/>
          </w:tcPr>
          <w:p w14:paraId="7CE9D44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395" w:type="dxa"/>
            <w:shd w:val="clear" w:color="auto" w:fill="C4EFCE"/>
            <w:tcMar>
              <w:left w:w="28" w:type="dxa"/>
              <w:right w:w="28" w:type="dxa"/>
            </w:tcMar>
            <w:vAlign w:val="center"/>
            <w:hideMark/>
          </w:tcPr>
          <w:p w14:paraId="31810B06" w14:textId="3F8306C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staníc odbornej prípravy siete verejných služieb zamestnanosti (IEFP)</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siete škôl Národného úradu pre cestovný ruch (Turismo de Portugal) (buď priamo riadených alebo prostredníctvom koncesie) renovovaných alebo postavených. Zahŕňa renováciu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výstavbu nových budov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nákup rôznych typov zariadení na účely odbornej prípravy.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 Obnovami zameranými na energetickú efektívnosť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dosiahne aspoň stredná hĺbková obnova,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87C70" w:rsidRPr="003F23AC" w14:paraId="4AB7F922" w14:textId="77777777" w:rsidTr="00A26F8D">
        <w:trPr>
          <w:trHeight w:val="1270"/>
        </w:trPr>
        <w:tc>
          <w:tcPr>
            <w:tcW w:w="1135" w:type="dxa"/>
            <w:shd w:val="clear" w:color="auto" w:fill="C5EFCE"/>
            <w:tcMar>
              <w:left w:w="28" w:type="dxa"/>
              <w:right w:w="28" w:type="dxa"/>
            </w:tcMar>
            <w:vAlign w:val="center"/>
            <w:hideMark/>
          </w:tcPr>
          <w:p w14:paraId="4DAD262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6.4</w:t>
            </w:r>
          </w:p>
        </w:tc>
        <w:tc>
          <w:tcPr>
            <w:tcW w:w="1276" w:type="dxa"/>
            <w:shd w:val="clear" w:color="auto" w:fill="C4EFCE"/>
            <w:noWrap/>
            <w:tcMar>
              <w:left w:w="28" w:type="dxa"/>
              <w:right w:w="28" w:type="dxa"/>
            </w:tcMar>
            <w:vAlign w:val="center"/>
            <w:hideMark/>
          </w:tcPr>
          <w:p w14:paraId="069D62CA" w14:textId="474FC604"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C06-i01</w:t>
            </w:r>
          </w:p>
        </w:tc>
        <w:tc>
          <w:tcPr>
            <w:tcW w:w="1134" w:type="dxa"/>
            <w:shd w:val="clear" w:color="auto" w:fill="C4EFCE"/>
            <w:noWrap/>
            <w:tcMar>
              <w:left w:w="28" w:type="dxa"/>
              <w:right w:w="28" w:type="dxa"/>
            </w:tcMar>
            <w:vAlign w:val="center"/>
            <w:hideMark/>
          </w:tcPr>
          <w:p w14:paraId="5EE390D5" w14:textId="37ACBC81"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5B38371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Modernizované školiace stanice </w:t>
            </w:r>
          </w:p>
        </w:tc>
        <w:tc>
          <w:tcPr>
            <w:tcW w:w="1275" w:type="dxa"/>
            <w:shd w:val="clear" w:color="auto" w:fill="C4EFCE"/>
            <w:noWrap/>
            <w:tcMar>
              <w:left w:w="28" w:type="dxa"/>
              <w:right w:w="28" w:type="dxa"/>
            </w:tcMar>
            <w:vAlign w:val="center"/>
            <w:hideMark/>
          </w:tcPr>
          <w:p w14:paraId="16A61C9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8" w:type="dxa"/>
            <w:shd w:val="clear" w:color="auto" w:fill="C4EFCE"/>
            <w:noWrap/>
            <w:tcMar>
              <w:left w:w="28" w:type="dxa"/>
              <w:right w:w="28" w:type="dxa"/>
            </w:tcMar>
            <w:vAlign w:val="center"/>
            <w:hideMark/>
          </w:tcPr>
          <w:p w14:paraId="7DA2846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7" w:type="dxa"/>
            <w:shd w:val="clear" w:color="auto" w:fill="C4EFCE"/>
            <w:noWrap/>
            <w:tcMar>
              <w:left w:w="28" w:type="dxa"/>
              <w:right w:w="28" w:type="dxa"/>
            </w:tcMar>
            <w:vAlign w:val="center"/>
            <w:hideMark/>
          </w:tcPr>
          <w:p w14:paraId="5EBF0158" w14:textId="6B2FB68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11 500</w:t>
            </w:r>
          </w:p>
        </w:tc>
        <w:tc>
          <w:tcPr>
            <w:tcW w:w="850" w:type="dxa"/>
            <w:shd w:val="clear" w:color="auto" w:fill="C4EFCE"/>
            <w:noWrap/>
            <w:tcMar>
              <w:left w:w="28" w:type="dxa"/>
              <w:right w:w="28" w:type="dxa"/>
            </w:tcMar>
            <w:vAlign w:val="center"/>
            <w:hideMark/>
          </w:tcPr>
          <w:p w14:paraId="60A36C3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22 000</w:t>
            </w:r>
          </w:p>
        </w:tc>
        <w:tc>
          <w:tcPr>
            <w:tcW w:w="771" w:type="dxa"/>
            <w:shd w:val="clear" w:color="auto" w:fill="C4EFCE"/>
            <w:noWrap/>
            <w:tcMar>
              <w:left w:w="28" w:type="dxa"/>
              <w:right w:w="28" w:type="dxa"/>
            </w:tcMar>
            <w:vAlign w:val="center"/>
            <w:hideMark/>
          </w:tcPr>
          <w:p w14:paraId="787ADB8E" w14:textId="276D60EC"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hideMark/>
          </w:tcPr>
          <w:p w14:paraId="1C45E08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95" w:type="dxa"/>
            <w:shd w:val="clear" w:color="auto" w:fill="C4EFCE"/>
            <w:tcMar>
              <w:left w:w="28" w:type="dxa"/>
              <w:right w:w="28" w:type="dxa"/>
            </w:tcMar>
            <w:vAlign w:val="center"/>
            <w:hideMark/>
          </w:tcPr>
          <w:p w14:paraId="3FC38451" w14:textId="6D9CDAF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staníc odbornej prípravy siete verejných služieb zamestnanosti (IEFP)</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siete škôl Národného úradu pre cestovný ruch (Turismo de Portugal) (buď priamo riadených alebo prostredníctvom koncesie) renovovaných alebo postavených. Zahŕňa renováciu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výstavbu nových budov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nákup rôznych typov zariadení na účely odbornej prípravy.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 Obnovy zamerané na energetickú efektívnosť musia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dosiahnuť aspoň strednú hĺbkovú obnovu,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87C70" w:rsidRPr="003F23AC" w14:paraId="6C12491B" w14:textId="77777777" w:rsidTr="00A26F8D">
        <w:trPr>
          <w:trHeight w:val="430"/>
        </w:trPr>
        <w:tc>
          <w:tcPr>
            <w:tcW w:w="1135" w:type="dxa"/>
            <w:shd w:val="clear" w:color="auto" w:fill="C5EFCE"/>
            <w:tcMar>
              <w:left w:w="28" w:type="dxa"/>
              <w:right w:w="28" w:type="dxa"/>
            </w:tcMar>
            <w:vAlign w:val="center"/>
            <w:hideMark/>
          </w:tcPr>
          <w:p w14:paraId="0EDD61CD"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6.5</w:t>
            </w:r>
          </w:p>
        </w:tc>
        <w:tc>
          <w:tcPr>
            <w:tcW w:w="1276" w:type="dxa"/>
            <w:shd w:val="clear" w:color="auto" w:fill="C4EFCE"/>
            <w:noWrap/>
            <w:tcMar>
              <w:left w:w="28" w:type="dxa"/>
              <w:right w:w="28" w:type="dxa"/>
            </w:tcMar>
            <w:vAlign w:val="center"/>
            <w:hideMark/>
          </w:tcPr>
          <w:p w14:paraId="5DFD9DC8" w14:textId="0BC90151"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C06-i02</w:t>
            </w:r>
          </w:p>
        </w:tc>
        <w:tc>
          <w:tcPr>
            <w:tcW w:w="1134" w:type="dxa"/>
            <w:shd w:val="clear" w:color="auto" w:fill="C4EFCE"/>
            <w:noWrap/>
            <w:tcMar>
              <w:left w:w="28" w:type="dxa"/>
              <w:right w:w="28" w:type="dxa"/>
            </w:tcMar>
            <w:vAlign w:val="center"/>
            <w:hideMark/>
          </w:tcPr>
          <w:p w14:paraId="659AF737" w14:textId="3DAAF8FB"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050AF8F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Finančná podpora pre trvalé pracovné zmluvy </w:t>
            </w:r>
          </w:p>
        </w:tc>
        <w:tc>
          <w:tcPr>
            <w:tcW w:w="1275" w:type="dxa"/>
            <w:shd w:val="clear" w:color="auto" w:fill="C4EFCE"/>
            <w:noWrap/>
            <w:tcMar>
              <w:left w:w="28" w:type="dxa"/>
              <w:right w:w="28" w:type="dxa"/>
            </w:tcMar>
            <w:vAlign w:val="center"/>
            <w:hideMark/>
          </w:tcPr>
          <w:p w14:paraId="10FDB22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8" w:type="dxa"/>
            <w:shd w:val="clear" w:color="auto" w:fill="C4EFCE"/>
            <w:noWrap/>
            <w:tcMar>
              <w:left w:w="28" w:type="dxa"/>
              <w:right w:w="28" w:type="dxa"/>
            </w:tcMar>
            <w:vAlign w:val="center"/>
            <w:hideMark/>
          </w:tcPr>
          <w:p w14:paraId="6FA7A81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7" w:type="dxa"/>
            <w:shd w:val="clear" w:color="auto" w:fill="C4EFCE"/>
            <w:noWrap/>
            <w:tcMar>
              <w:left w:w="28" w:type="dxa"/>
              <w:right w:w="28" w:type="dxa"/>
            </w:tcMar>
            <w:vAlign w:val="center"/>
            <w:hideMark/>
          </w:tcPr>
          <w:p w14:paraId="0DE8E0E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50" w:type="dxa"/>
            <w:shd w:val="clear" w:color="auto" w:fill="C4EFCE"/>
            <w:noWrap/>
            <w:tcMar>
              <w:left w:w="28" w:type="dxa"/>
              <w:right w:w="28" w:type="dxa"/>
            </w:tcMar>
            <w:vAlign w:val="center"/>
            <w:hideMark/>
          </w:tcPr>
          <w:p w14:paraId="3A09210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30 000</w:t>
            </w:r>
          </w:p>
        </w:tc>
        <w:tc>
          <w:tcPr>
            <w:tcW w:w="771" w:type="dxa"/>
            <w:shd w:val="clear" w:color="auto" w:fill="C4EFCE"/>
            <w:noWrap/>
            <w:tcMar>
              <w:left w:w="28" w:type="dxa"/>
              <w:right w:w="28" w:type="dxa"/>
            </w:tcMar>
            <w:vAlign w:val="center"/>
            <w:hideMark/>
          </w:tcPr>
          <w:p w14:paraId="0B4540AC" w14:textId="76975656"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hideMark/>
          </w:tcPr>
          <w:p w14:paraId="7ACEB742" w14:textId="288C9D0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395" w:type="dxa"/>
            <w:shd w:val="clear" w:color="auto" w:fill="C4EFCE"/>
            <w:tcMar>
              <w:left w:w="28" w:type="dxa"/>
              <w:right w:w="28" w:type="dxa"/>
            </w:tcMar>
            <w:vAlign w:val="center"/>
            <w:hideMark/>
          </w:tcPr>
          <w:p w14:paraId="675968B1" w14:textId="6649060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zmlúv podporených finančnou podporou poskytovanou zamestnávateľom výmenou za ponuku zmlúv na dobu neurčitú,</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ktorých sa vyplácajú primerané mzdy na trhu práce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opatrenia záväzku udržateľného zamestnávania.</w:t>
            </w:r>
          </w:p>
        </w:tc>
      </w:tr>
      <w:tr w:rsidR="00387C70" w:rsidRPr="003F23AC" w14:paraId="61E0EF86" w14:textId="77777777" w:rsidTr="00A26F8D">
        <w:trPr>
          <w:trHeight w:val="1060"/>
        </w:trPr>
        <w:tc>
          <w:tcPr>
            <w:tcW w:w="1135" w:type="dxa"/>
            <w:shd w:val="clear" w:color="auto" w:fill="C5EFCE"/>
            <w:tcMar>
              <w:left w:w="28" w:type="dxa"/>
              <w:right w:w="28" w:type="dxa"/>
            </w:tcMar>
            <w:vAlign w:val="center"/>
            <w:hideMark/>
          </w:tcPr>
          <w:p w14:paraId="148B85D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6.6</w:t>
            </w:r>
          </w:p>
        </w:tc>
        <w:tc>
          <w:tcPr>
            <w:tcW w:w="1276" w:type="dxa"/>
            <w:shd w:val="clear" w:color="auto" w:fill="C4EFCE"/>
            <w:noWrap/>
            <w:tcMar>
              <w:left w:w="28" w:type="dxa"/>
              <w:right w:w="28" w:type="dxa"/>
            </w:tcMar>
            <w:vAlign w:val="center"/>
            <w:hideMark/>
          </w:tcPr>
          <w:p w14:paraId="479AA52E" w14:textId="09906AB2"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C06-i03</w:t>
            </w:r>
          </w:p>
        </w:tc>
        <w:tc>
          <w:tcPr>
            <w:tcW w:w="1134" w:type="dxa"/>
            <w:shd w:val="clear" w:color="auto" w:fill="C4EFCE"/>
            <w:noWrap/>
            <w:tcMar>
              <w:left w:w="28" w:type="dxa"/>
              <w:right w:w="28" w:type="dxa"/>
            </w:tcMar>
            <w:vAlign w:val="center"/>
            <w:hideMark/>
          </w:tcPr>
          <w:p w14:paraId="12BFBD44" w14:textId="257035B8"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60CC8E3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Ďalší účastníci opatrení na podporu zvyšovania kvalifikácie dospelých</w:t>
            </w:r>
          </w:p>
        </w:tc>
        <w:tc>
          <w:tcPr>
            <w:tcW w:w="1275" w:type="dxa"/>
            <w:shd w:val="clear" w:color="auto" w:fill="C4EFCE"/>
            <w:noWrap/>
            <w:tcMar>
              <w:left w:w="28" w:type="dxa"/>
              <w:right w:w="28" w:type="dxa"/>
            </w:tcMar>
            <w:vAlign w:val="center"/>
            <w:hideMark/>
          </w:tcPr>
          <w:p w14:paraId="22792D9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8" w:type="dxa"/>
            <w:shd w:val="clear" w:color="auto" w:fill="C4EFCE"/>
            <w:noWrap/>
            <w:tcMar>
              <w:left w:w="28" w:type="dxa"/>
              <w:right w:w="28" w:type="dxa"/>
            </w:tcMar>
            <w:vAlign w:val="center"/>
            <w:hideMark/>
          </w:tcPr>
          <w:p w14:paraId="1DD6267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7" w:type="dxa"/>
            <w:shd w:val="clear" w:color="auto" w:fill="C4EFCE"/>
            <w:noWrap/>
            <w:tcMar>
              <w:left w:w="28" w:type="dxa"/>
              <w:right w:w="28" w:type="dxa"/>
            </w:tcMar>
            <w:vAlign w:val="center"/>
            <w:hideMark/>
          </w:tcPr>
          <w:p w14:paraId="3B8E505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0</w:t>
            </w:r>
          </w:p>
        </w:tc>
        <w:tc>
          <w:tcPr>
            <w:tcW w:w="850" w:type="dxa"/>
            <w:shd w:val="clear" w:color="auto" w:fill="C4EFCE"/>
            <w:noWrap/>
            <w:tcMar>
              <w:left w:w="28" w:type="dxa"/>
              <w:right w:w="28" w:type="dxa"/>
            </w:tcMar>
            <w:vAlign w:val="center"/>
            <w:hideMark/>
          </w:tcPr>
          <w:p w14:paraId="5DACDA6B" w14:textId="25014E5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145 500</w:t>
            </w:r>
          </w:p>
        </w:tc>
        <w:tc>
          <w:tcPr>
            <w:tcW w:w="771" w:type="dxa"/>
            <w:shd w:val="clear" w:color="auto" w:fill="C4EFCE"/>
            <w:noWrap/>
            <w:tcMar>
              <w:left w:w="28" w:type="dxa"/>
              <w:right w:w="28" w:type="dxa"/>
            </w:tcMar>
            <w:vAlign w:val="center"/>
            <w:hideMark/>
          </w:tcPr>
          <w:p w14:paraId="4B441948" w14:textId="485EE41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hideMark/>
          </w:tcPr>
          <w:p w14:paraId="0E8AB3E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95" w:type="dxa"/>
            <w:shd w:val="clear" w:color="auto" w:fill="C4EFCE"/>
            <w:tcMar>
              <w:left w:w="28" w:type="dxa"/>
              <w:right w:w="28" w:type="dxa"/>
            </w:tcMar>
            <w:vAlign w:val="center"/>
            <w:hideMark/>
          </w:tcPr>
          <w:p w14:paraId="7A246919" w14:textId="29F8AFA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Dodatočný počet dospelých (18+) účastníkov, ktorí sa zúčastnili na jednom</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týchto kurzov: I) kurzy základného vzdelávania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odbornej prípravy pre dospelých na úrovni B1/B2/B3 organizované miestnymi projektmi, ktoré využívajú rozšírenie národného plánu gramotnosti dospelých; II) cesty odbornej prípravy na uznávanie, potvrdzovanie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osvedčovanie spôsobilostí pre dospelých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nízkou kvalifikáciou (RVCC);</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iii) krátkodobé kurzy terciárneho vzdelávania organizované konzorciami inštitúcií vysokoškolského vzdelávania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zamestnávateľmi.</w:t>
            </w:r>
          </w:p>
        </w:tc>
      </w:tr>
      <w:tr w:rsidR="00387C70" w:rsidRPr="003F23AC" w14:paraId="4D402638" w14:textId="77777777" w:rsidTr="00A26F8D">
        <w:trPr>
          <w:trHeight w:val="640"/>
        </w:trPr>
        <w:tc>
          <w:tcPr>
            <w:tcW w:w="1135" w:type="dxa"/>
            <w:shd w:val="clear" w:color="auto" w:fill="C5EFCE"/>
            <w:tcMar>
              <w:left w:w="28" w:type="dxa"/>
              <w:right w:w="28" w:type="dxa"/>
            </w:tcMar>
            <w:vAlign w:val="center"/>
            <w:hideMark/>
          </w:tcPr>
          <w:p w14:paraId="0D51C2DF"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6.7</w:t>
            </w:r>
          </w:p>
        </w:tc>
        <w:tc>
          <w:tcPr>
            <w:tcW w:w="1276" w:type="dxa"/>
            <w:shd w:val="clear" w:color="auto" w:fill="C4EFCE"/>
            <w:noWrap/>
            <w:tcMar>
              <w:left w:w="28" w:type="dxa"/>
              <w:right w:w="28" w:type="dxa"/>
            </w:tcMar>
            <w:vAlign w:val="center"/>
            <w:hideMark/>
          </w:tcPr>
          <w:p w14:paraId="14AD9AAA" w14:textId="07E089C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C06-i04</w:t>
            </w:r>
          </w:p>
        </w:tc>
        <w:tc>
          <w:tcPr>
            <w:tcW w:w="1134" w:type="dxa"/>
            <w:shd w:val="clear" w:color="auto" w:fill="C4EFCE"/>
            <w:noWrap/>
            <w:tcMar>
              <w:left w:w="28" w:type="dxa"/>
              <w:right w:w="28" w:type="dxa"/>
            </w:tcMar>
            <w:vAlign w:val="center"/>
            <w:hideMark/>
          </w:tcPr>
          <w:p w14:paraId="63132154" w14:textId="3A6A65B0"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6FF28ED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Ďalšie kluby </w:t>
            </w:r>
            <w:r w:rsidRPr="003F23AC">
              <w:rPr>
                <w:rFonts w:ascii="Times New Roman" w:hAnsi="Times New Roman" w:cs="Times New Roman"/>
                <w:i/>
                <w:noProof/>
                <w:lang w:val="sk-SK"/>
              </w:rPr>
              <w:t>Ciência Viva</w:t>
            </w:r>
          </w:p>
        </w:tc>
        <w:tc>
          <w:tcPr>
            <w:tcW w:w="1275" w:type="dxa"/>
            <w:shd w:val="clear" w:color="auto" w:fill="C4EFCE"/>
            <w:noWrap/>
            <w:tcMar>
              <w:left w:w="28" w:type="dxa"/>
              <w:right w:w="28" w:type="dxa"/>
            </w:tcMar>
            <w:vAlign w:val="center"/>
            <w:hideMark/>
          </w:tcPr>
          <w:p w14:paraId="475EF3E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8" w:type="dxa"/>
            <w:shd w:val="clear" w:color="auto" w:fill="C4EFCE"/>
            <w:noWrap/>
            <w:tcMar>
              <w:left w:w="28" w:type="dxa"/>
              <w:right w:w="28" w:type="dxa"/>
            </w:tcMar>
            <w:vAlign w:val="center"/>
            <w:hideMark/>
          </w:tcPr>
          <w:p w14:paraId="20C07D8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7" w:type="dxa"/>
            <w:shd w:val="clear" w:color="auto" w:fill="C4EFCE"/>
            <w:noWrap/>
            <w:tcMar>
              <w:left w:w="28" w:type="dxa"/>
              <w:right w:w="28" w:type="dxa"/>
            </w:tcMar>
            <w:vAlign w:val="center"/>
            <w:hideMark/>
          </w:tcPr>
          <w:p w14:paraId="139C60E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hideMark/>
          </w:tcPr>
          <w:p w14:paraId="713DAAD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650</w:t>
            </w:r>
          </w:p>
        </w:tc>
        <w:tc>
          <w:tcPr>
            <w:tcW w:w="771" w:type="dxa"/>
            <w:shd w:val="clear" w:color="auto" w:fill="C4EFCE"/>
            <w:noWrap/>
            <w:tcMar>
              <w:left w:w="28" w:type="dxa"/>
              <w:right w:w="28" w:type="dxa"/>
            </w:tcMar>
            <w:vAlign w:val="center"/>
            <w:hideMark/>
          </w:tcPr>
          <w:p w14:paraId="65CF29A1" w14:textId="76DD7B7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04" w:type="dxa"/>
            <w:shd w:val="clear" w:color="auto" w:fill="C4EFCE"/>
            <w:noWrap/>
            <w:tcMar>
              <w:left w:w="28" w:type="dxa"/>
              <w:right w:w="28" w:type="dxa"/>
            </w:tcMar>
            <w:vAlign w:val="center"/>
            <w:hideMark/>
          </w:tcPr>
          <w:p w14:paraId="577D02B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95" w:type="dxa"/>
            <w:shd w:val="clear" w:color="auto" w:fill="C4EFCE"/>
            <w:tcMar>
              <w:left w:w="28" w:type="dxa"/>
              <w:right w:w="28" w:type="dxa"/>
            </w:tcMar>
            <w:vAlign w:val="center"/>
            <w:hideMark/>
          </w:tcPr>
          <w:p w14:paraId="71DD2E25" w14:textId="5E1728C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nových klubov pridaných do siete klubov </w:t>
            </w:r>
            <w:r w:rsidRPr="003F23AC">
              <w:rPr>
                <w:rFonts w:ascii="Times New Roman" w:hAnsi="Times New Roman" w:cs="Times New Roman"/>
                <w:i/>
                <w:noProof/>
                <w:lang w:val="sk-SK"/>
              </w:rPr>
              <w:t>Ciência Viva</w:t>
            </w:r>
            <w:r w:rsidRPr="003F23AC">
              <w:rPr>
                <w:rFonts w:ascii="Times New Roman" w:hAnsi="Times New Roman" w:cs="Times New Roman"/>
                <w:noProof/>
                <w:lang w:val="sk-SK"/>
              </w:rPr>
              <w:t xml:space="preserve"> so zameraním na oblasti STEAM, ktorých cieľom je šíriť vedecké hodnoty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siete stredných škôl, okrem iného prostredníctvom partnerstiev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univerzitami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výskumnými centrami, ako aj organizovaním seminárov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workshopov.</w:t>
            </w:r>
          </w:p>
        </w:tc>
      </w:tr>
      <w:tr w:rsidR="00387C70" w:rsidRPr="003F23AC" w14:paraId="49C0C904" w14:textId="77777777" w:rsidTr="00A26F8D">
        <w:trPr>
          <w:trHeight w:val="430"/>
        </w:trPr>
        <w:tc>
          <w:tcPr>
            <w:tcW w:w="1135" w:type="dxa"/>
            <w:shd w:val="clear" w:color="auto" w:fill="C5EFCE"/>
            <w:tcMar>
              <w:left w:w="28" w:type="dxa"/>
              <w:right w:w="28" w:type="dxa"/>
            </w:tcMar>
            <w:vAlign w:val="center"/>
            <w:hideMark/>
          </w:tcPr>
          <w:p w14:paraId="3107180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6.8</w:t>
            </w:r>
          </w:p>
        </w:tc>
        <w:tc>
          <w:tcPr>
            <w:tcW w:w="1276" w:type="dxa"/>
            <w:shd w:val="clear" w:color="auto" w:fill="C4EFCE"/>
            <w:noWrap/>
            <w:tcMar>
              <w:left w:w="28" w:type="dxa"/>
              <w:right w:w="28" w:type="dxa"/>
            </w:tcMar>
            <w:vAlign w:val="center"/>
            <w:hideMark/>
          </w:tcPr>
          <w:p w14:paraId="7831644F" w14:textId="6A5FB140"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C06-i04</w:t>
            </w:r>
          </w:p>
        </w:tc>
        <w:tc>
          <w:tcPr>
            <w:tcW w:w="1134" w:type="dxa"/>
            <w:shd w:val="clear" w:color="auto" w:fill="C4EFCE"/>
            <w:noWrap/>
            <w:tcMar>
              <w:left w:w="28" w:type="dxa"/>
              <w:right w:w="28" w:type="dxa"/>
            </w:tcMar>
            <w:vAlign w:val="center"/>
            <w:hideMark/>
          </w:tcPr>
          <w:p w14:paraId="19E22B81" w14:textId="0C34D16C"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14ABB0A2" w14:textId="0E64867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Dodatočný počet študentov, ktorí absolvovali kurzy terciárneho vzdelávania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odboroch STEAM</w:t>
            </w:r>
          </w:p>
        </w:tc>
        <w:tc>
          <w:tcPr>
            <w:tcW w:w="1275" w:type="dxa"/>
            <w:shd w:val="clear" w:color="auto" w:fill="C4EFCE"/>
            <w:noWrap/>
            <w:tcMar>
              <w:left w:w="28" w:type="dxa"/>
              <w:right w:w="28" w:type="dxa"/>
            </w:tcMar>
            <w:vAlign w:val="center"/>
            <w:hideMark/>
          </w:tcPr>
          <w:p w14:paraId="19A3F63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8" w:type="dxa"/>
            <w:shd w:val="clear" w:color="auto" w:fill="C4EFCE"/>
            <w:noWrap/>
            <w:tcMar>
              <w:left w:w="28" w:type="dxa"/>
              <w:right w:w="28" w:type="dxa"/>
            </w:tcMar>
            <w:vAlign w:val="center"/>
            <w:hideMark/>
          </w:tcPr>
          <w:p w14:paraId="422A75A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7" w:type="dxa"/>
            <w:shd w:val="clear" w:color="auto" w:fill="C4EFCE"/>
            <w:noWrap/>
            <w:tcMar>
              <w:left w:w="28" w:type="dxa"/>
              <w:right w:w="28" w:type="dxa"/>
            </w:tcMar>
            <w:vAlign w:val="center"/>
            <w:hideMark/>
          </w:tcPr>
          <w:p w14:paraId="71EF517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hideMark/>
          </w:tcPr>
          <w:p w14:paraId="05143F7C" w14:textId="77777777" w:rsidR="00387C70" w:rsidRPr="003F23AC" w:rsidRDefault="000F5AA4" w:rsidP="003F23AC">
            <w:pPr>
              <w:pStyle w:val="P68B1DB1-Normal8"/>
              <w:spacing w:after="0" w:line="240" w:lineRule="auto"/>
              <w:jc w:val="right"/>
              <w:rPr>
                <w:rFonts w:ascii="Times New Roman" w:eastAsia="Times New Roman" w:hAnsi="Times New Roman" w:cs="Times New Roman"/>
                <w:noProof/>
                <w:lang w:val="sk-SK"/>
              </w:rPr>
            </w:pPr>
            <w:r w:rsidRPr="003F23AC">
              <w:rPr>
                <w:rFonts w:ascii="Times New Roman" w:hAnsi="Times New Roman" w:cs="Times New Roman"/>
                <w:noProof/>
                <w:lang w:val="sk-SK"/>
              </w:rPr>
              <w:t>7500</w:t>
            </w:r>
          </w:p>
        </w:tc>
        <w:tc>
          <w:tcPr>
            <w:tcW w:w="771" w:type="dxa"/>
            <w:shd w:val="clear" w:color="auto" w:fill="C4EFCE"/>
            <w:noWrap/>
            <w:tcMar>
              <w:left w:w="28" w:type="dxa"/>
              <w:right w:w="28" w:type="dxa"/>
            </w:tcMar>
            <w:vAlign w:val="center"/>
            <w:hideMark/>
          </w:tcPr>
          <w:p w14:paraId="74D42D05" w14:textId="37AEEA4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04" w:type="dxa"/>
            <w:shd w:val="clear" w:color="auto" w:fill="C4EFCE"/>
            <w:noWrap/>
            <w:tcMar>
              <w:left w:w="28" w:type="dxa"/>
              <w:right w:w="28" w:type="dxa"/>
            </w:tcMar>
            <w:vAlign w:val="center"/>
            <w:hideMark/>
          </w:tcPr>
          <w:p w14:paraId="0AD002C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95" w:type="dxa"/>
            <w:shd w:val="clear" w:color="auto" w:fill="C4EFCE"/>
            <w:tcMar>
              <w:left w:w="28" w:type="dxa"/>
              <w:right w:w="28" w:type="dxa"/>
            </w:tcMar>
            <w:vAlign w:val="center"/>
            <w:hideMark/>
          </w:tcPr>
          <w:p w14:paraId="6906ED0C" w14:textId="7D58A5D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Dodatočný počet absolventov vysokoškolského vzdelávania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STEAM (t. j. vedy, technológie, inžinierstva, umenia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matematiky): absolventi vysokoškolského vzdelávania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krátkodobého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prvého stupňa vysokoškolského vzdelávania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krátkodobých kurzov. (do 2 rokov)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porovnaní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rokom 2020.</w:t>
            </w:r>
          </w:p>
        </w:tc>
      </w:tr>
      <w:tr w:rsidR="00387C70" w:rsidRPr="003F23AC" w14:paraId="41A35489" w14:textId="77777777" w:rsidTr="00A26F8D">
        <w:trPr>
          <w:trHeight w:val="430"/>
        </w:trPr>
        <w:tc>
          <w:tcPr>
            <w:tcW w:w="1135" w:type="dxa"/>
            <w:shd w:val="clear" w:color="auto" w:fill="C5EFCE"/>
            <w:tcMar>
              <w:left w:w="28" w:type="dxa"/>
              <w:right w:w="28" w:type="dxa"/>
            </w:tcMar>
            <w:vAlign w:val="center"/>
            <w:hideMark/>
          </w:tcPr>
          <w:p w14:paraId="03EC684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6.9</w:t>
            </w:r>
          </w:p>
        </w:tc>
        <w:tc>
          <w:tcPr>
            <w:tcW w:w="1276" w:type="dxa"/>
            <w:shd w:val="clear" w:color="auto" w:fill="C4EFCE"/>
            <w:noWrap/>
            <w:tcMar>
              <w:left w:w="28" w:type="dxa"/>
              <w:right w:w="28" w:type="dxa"/>
            </w:tcMar>
            <w:vAlign w:val="center"/>
            <w:hideMark/>
          </w:tcPr>
          <w:p w14:paraId="1F688299" w14:textId="04AEDD4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C06-i04</w:t>
            </w:r>
          </w:p>
        </w:tc>
        <w:tc>
          <w:tcPr>
            <w:tcW w:w="1134" w:type="dxa"/>
            <w:shd w:val="clear" w:color="auto" w:fill="C4EFCE"/>
            <w:noWrap/>
            <w:tcMar>
              <w:left w:w="28" w:type="dxa"/>
              <w:right w:w="28" w:type="dxa"/>
            </w:tcMar>
            <w:vAlign w:val="center"/>
            <w:hideMark/>
          </w:tcPr>
          <w:p w14:paraId="0766DA2A" w14:textId="4170055C"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0FCC21AD" w14:textId="168EB6F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Dodatočný počet študentov, ktorí absolvovali kurzy terciárneho vzdelávania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STEAM </w:t>
            </w:r>
          </w:p>
        </w:tc>
        <w:tc>
          <w:tcPr>
            <w:tcW w:w="1275" w:type="dxa"/>
            <w:shd w:val="clear" w:color="auto" w:fill="C4EFCE"/>
            <w:noWrap/>
            <w:tcMar>
              <w:left w:w="28" w:type="dxa"/>
              <w:right w:w="28" w:type="dxa"/>
            </w:tcMar>
            <w:vAlign w:val="center"/>
            <w:hideMark/>
          </w:tcPr>
          <w:p w14:paraId="2534A7F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8" w:type="dxa"/>
            <w:shd w:val="clear" w:color="auto" w:fill="C4EFCE"/>
            <w:noWrap/>
            <w:tcMar>
              <w:left w:w="28" w:type="dxa"/>
              <w:right w:w="28" w:type="dxa"/>
            </w:tcMar>
            <w:vAlign w:val="center"/>
            <w:hideMark/>
          </w:tcPr>
          <w:p w14:paraId="701C787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7" w:type="dxa"/>
            <w:shd w:val="clear" w:color="auto" w:fill="C4EFCE"/>
            <w:noWrap/>
            <w:tcMar>
              <w:left w:w="28" w:type="dxa"/>
              <w:right w:w="28" w:type="dxa"/>
            </w:tcMar>
            <w:vAlign w:val="center"/>
            <w:hideMark/>
          </w:tcPr>
          <w:p w14:paraId="0F46168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7 500</w:t>
            </w:r>
          </w:p>
        </w:tc>
        <w:tc>
          <w:tcPr>
            <w:tcW w:w="850" w:type="dxa"/>
            <w:shd w:val="clear" w:color="auto" w:fill="C4EFCE"/>
            <w:noWrap/>
            <w:tcMar>
              <w:left w:w="28" w:type="dxa"/>
              <w:right w:w="28" w:type="dxa"/>
            </w:tcMar>
            <w:vAlign w:val="center"/>
            <w:hideMark/>
          </w:tcPr>
          <w:p w14:paraId="0EDAA31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10 000</w:t>
            </w:r>
          </w:p>
        </w:tc>
        <w:tc>
          <w:tcPr>
            <w:tcW w:w="771" w:type="dxa"/>
            <w:shd w:val="clear" w:color="auto" w:fill="C4EFCE"/>
            <w:noWrap/>
            <w:tcMar>
              <w:left w:w="28" w:type="dxa"/>
              <w:right w:w="28" w:type="dxa"/>
            </w:tcMar>
            <w:vAlign w:val="center"/>
            <w:hideMark/>
          </w:tcPr>
          <w:p w14:paraId="74AF7ABA" w14:textId="7AF47E8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hideMark/>
          </w:tcPr>
          <w:p w14:paraId="0B04157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95" w:type="dxa"/>
            <w:shd w:val="clear" w:color="auto" w:fill="C4EFCE"/>
            <w:tcMar>
              <w:left w:w="28" w:type="dxa"/>
              <w:right w:w="28" w:type="dxa"/>
            </w:tcMar>
            <w:vAlign w:val="center"/>
            <w:hideMark/>
          </w:tcPr>
          <w:p w14:paraId="36B7BB90" w14:textId="3105E4C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Dodatočný počet absolventov vysokoškolského vzdelávania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STEAM (t. j. vedy, technológie, inžinierstva, umenia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matematiky): absolventi vysokoškolského vzdelávania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krátkodobého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prvého stupňa vysokoškolského vzdelávania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krátkodobých kurzov. (do 2 rokov)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porovnaní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rokom 2020.</w:t>
            </w:r>
          </w:p>
        </w:tc>
      </w:tr>
      <w:tr w:rsidR="00387C70" w:rsidRPr="003F23AC" w14:paraId="7BCA29C4" w14:textId="77777777" w:rsidTr="00A26F8D">
        <w:trPr>
          <w:trHeight w:val="430"/>
        </w:trPr>
        <w:tc>
          <w:tcPr>
            <w:tcW w:w="1135" w:type="dxa"/>
            <w:shd w:val="clear" w:color="auto" w:fill="C5EFCE"/>
            <w:tcMar>
              <w:left w:w="28" w:type="dxa"/>
              <w:right w:w="28" w:type="dxa"/>
            </w:tcMar>
            <w:vAlign w:val="center"/>
            <w:hideMark/>
          </w:tcPr>
          <w:p w14:paraId="31EEE1B7"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6.10</w:t>
            </w:r>
          </w:p>
        </w:tc>
        <w:tc>
          <w:tcPr>
            <w:tcW w:w="1276" w:type="dxa"/>
            <w:shd w:val="clear" w:color="auto" w:fill="C4EFCE"/>
            <w:noWrap/>
            <w:tcMar>
              <w:left w:w="28" w:type="dxa"/>
              <w:right w:w="28" w:type="dxa"/>
            </w:tcMar>
            <w:vAlign w:val="center"/>
            <w:hideMark/>
          </w:tcPr>
          <w:p w14:paraId="3455EA12" w14:textId="1D67503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C06-i05-RAA</w:t>
            </w:r>
          </w:p>
        </w:tc>
        <w:tc>
          <w:tcPr>
            <w:tcW w:w="1134" w:type="dxa"/>
            <w:shd w:val="clear" w:color="auto" w:fill="C4EFCE"/>
            <w:noWrap/>
            <w:tcMar>
              <w:left w:w="28" w:type="dxa"/>
              <w:right w:w="28" w:type="dxa"/>
            </w:tcMar>
            <w:vAlign w:val="center"/>
            <w:hideMark/>
          </w:tcPr>
          <w:p w14:paraId="5F017E0B" w14:textId="3498A2AC"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574D4D1A" w14:textId="2CAA806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Dodatočný počet dospelých zapísaných na postsekundárne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terciárne vzdelávanie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autonómnej oblasti Azory</w:t>
            </w:r>
          </w:p>
        </w:tc>
        <w:tc>
          <w:tcPr>
            <w:tcW w:w="1275" w:type="dxa"/>
            <w:shd w:val="clear" w:color="auto" w:fill="C4EFCE"/>
            <w:noWrap/>
            <w:tcMar>
              <w:left w:w="28" w:type="dxa"/>
              <w:right w:w="28" w:type="dxa"/>
            </w:tcMar>
            <w:vAlign w:val="center"/>
            <w:hideMark/>
          </w:tcPr>
          <w:p w14:paraId="4B93C7D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8" w:type="dxa"/>
            <w:shd w:val="clear" w:color="auto" w:fill="C4EFCE"/>
            <w:noWrap/>
            <w:tcMar>
              <w:left w:w="28" w:type="dxa"/>
              <w:right w:w="28" w:type="dxa"/>
            </w:tcMar>
            <w:vAlign w:val="center"/>
            <w:hideMark/>
          </w:tcPr>
          <w:p w14:paraId="7F677F4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7" w:type="dxa"/>
            <w:shd w:val="clear" w:color="auto" w:fill="C4EFCE"/>
            <w:noWrap/>
            <w:tcMar>
              <w:left w:w="28" w:type="dxa"/>
              <w:right w:w="28" w:type="dxa"/>
            </w:tcMar>
            <w:vAlign w:val="center"/>
            <w:hideMark/>
          </w:tcPr>
          <w:p w14:paraId="408B2C7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hideMark/>
          </w:tcPr>
          <w:p w14:paraId="3635074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1 145</w:t>
            </w:r>
          </w:p>
        </w:tc>
        <w:tc>
          <w:tcPr>
            <w:tcW w:w="771" w:type="dxa"/>
            <w:shd w:val="clear" w:color="auto" w:fill="C4EFCE"/>
            <w:noWrap/>
            <w:tcMar>
              <w:left w:w="28" w:type="dxa"/>
              <w:right w:w="28" w:type="dxa"/>
            </w:tcMar>
            <w:vAlign w:val="center"/>
            <w:hideMark/>
          </w:tcPr>
          <w:p w14:paraId="2B64FDEB" w14:textId="7B72F1B4"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hideMark/>
          </w:tcPr>
          <w:p w14:paraId="5C6DF30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95" w:type="dxa"/>
            <w:shd w:val="clear" w:color="auto" w:fill="C4EFCE"/>
            <w:tcMar>
              <w:left w:w="28" w:type="dxa"/>
              <w:right w:w="28" w:type="dxa"/>
            </w:tcMar>
            <w:vAlign w:val="center"/>
            <w:hideMark/>
          </w:tcPr>
          <w:p w14:paraId="0110C7B5" w14:textId="062D79F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Dodatočný počet dospelých na postsekundárnom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terciárnom vzdelávaní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autonómnej oblasti Azory.</w:t>
            </w:r>
          </w:p>
        </w:tc>
      </w:tr>
      <w:tr w:rsidR="00387C70" w:rsidRPr="003F23AC" w14:paraId="750BEA35" w14:textId="77777777" w:rsidTr="00A26F8D">
        <w:trPr>
          <w:trHeight w:val="1060"/>
        </w:trPr>
        <w:tc>
          <w:tcPr>
            <w:tcW w:w="1135" w:type="dxa"/>
            <w:shd w:val="clear" w:color="auto" w:fill="C5EFCE"/>
            <w:tcMar>
              <w:left w:w="28" w:type="dxa"/>
              <w:right w:w="28" w:type="dxa"/>
            </w:tcMar>
            <w:vAlign w:val="center"/>
            <w:hideMark/>
          </w:tcPr>
          <w:p w14:paraId="15B13B31"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6.11</w:t>
            </w:r>
          </w:p>
        </w:tc>
        <w:tc>
          <w:tcPr>
            <w:tcW w:w="1276" w:type="dxa"/>
            <w:shd w:val="clear" w:color="auto" w:fill="C4EFCE"/>
            <w:noWrap/>
            <w:tcMar>
              <w:left w:w="28" w:type="dxa"/>
              <w:right w:w="28" w:type="dxa"/>
            </w:tcMar>
            <w:vAlign w:val="center"/>
            <w:hideMark/>
          </w:tcPr>
          <w:p w14:paraId="4B3896E6" w14:textId="133041EE"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C06-i05-RAA</w:t>
            </w:r>
          </w:p>
        </w:tc>
        <w:tc>
          <w:tcPr>
            <w:tcW w:w="1134" w:type="dxa"/>
            <w:shd w:val="clear" w:color="auto" w:fill="C4EFCE"/>
            <w:noWrap/>
            <w:tcMar>
              <w:left w:w="28" w:type="dxa"/>
              <w:right w:w="28" w:type="dxa"/>
            </w:tcMar>
            <w:vAlign w:val="center"/>
            <w:hideMark/>
          </w:tcPr>
          <w:p w14:paraId="5501D610" w14:textId="0C0AEE13"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427DFBDA" w14:textId="16DC4AA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Modernizované profesionálne školy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autonómnej oblasti Azory</w:t>
            </w:r>
          </w:p>
        </w:tc>
        <w:tc>
          <w:tcPr>
            <w:tcW w:w="1275" w:type="dxa"/>
            <w:shd w:val="clear" w:color="auto" w:fill="C4EFCE"/>
            <w:noWrap/>
            <w:tcMar>
              <w:left w:w="28" w:type="dxa"/>
              <w:right w:w="28" w:type="dxa"/>
            </w:tcMar>
            <w:vAlign w:val="center"/>
            <w:hideMark/>
          </w:tcPr>
          <w:p w14:paraId="7633C47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8" w:type="dxa"/>
            <w:shd w:val="clear" w:color="auto" w:fill="C4EFCE"/>
            <w:noWrap/>
            <w:tcMar>
              <w:left w:w="28" w:type="dxa"/>
              <w:right w:w="28" w:type="dxa"/>
            </w:tcMar>
            <w:vAlign w:val="center"/>
            <w:hideMark/>
          </w:tcPr>
          <w:p w14:paraId="3B04129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7" w:type="dxa"/>
            <w:shd w:val="clear" w:color="auto" w:fill="C4EFCE"/>
            <w:noWrap/>
            <w:tcMar>
              <w:left w:w="28" w:type="dxa"/>
              <w:right w:w="28" w:type="dxa"/>
            </w:tcMar>
            <w:vAlign w:val="center"/>
            <w:hideMark/>
          </w:tcPr>
          <w:p w14:paraId="264B231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hideMark/>
          </w:tcPr>
          <w:p w14:paraId="2B8D440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w:t>
            </w:r>
          </w:p>
        </w:tc>
        <w:tc>
          <w:tcPr>
            <w:tcW w:w="771" w:type="dxa"/>
            <w:shd w:val="clear" w:color="auto" w:fill="C4EFCE"/>
            <w:noWrap/>
            <w:tcMar>
              <w:left w:w="28" w:type="dxa"/>
              <w:right w:w="28" w:type="dxa"/>
            </w:tcMar>
            <w:vAlign w:val="center"/>
            <w:hideMark/>
          </w:tcPr>
          <w:p w14:paraId="657890BF" w14:textId="7EFF301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hideMark/>
          </w:tcPr>
          <w:p w14:paraId="5D55CA0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95" w:type="dxa"/>
            <w:shd w:val="clear" w:color="auto" w:fill="C4EFCE"/>
            <w:tcMar>
              <w:left w:w="28" w:type="dxa"/>
              <w:right w:w="28" w:type="dxa"/>
            </w:tcMar>
            <w:vAlign w:val="center"/>
            <w:hideMark/>
          </w:tcPr>
          <w:p w14:paraId="3F352652" w14:textId="155B5F7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odborných škôl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verejných vzdelávacích inštitúcií, ktoré využili renováciu dielní, laboratórií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počítačových miestností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nákup nového vybavenia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technologickým vývojom. Ak modernizácia infraštruktúry zahŕňa obnovu budov, obnova zameraná na energetickú efektívnosť musí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dosiahnuť aspoň strednú hĺbkovú obnovu,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87C70" w:rsidRPr="003F23AC" w14:paraId="55F947BE" w14:textId="77777777" w:rsidTr="00A26F8D">
        <w:trPr>
          <w:trHeight w:val="1171"/>
        </w:trPr>
        <w:tc>
          <w:tcPr>
            <w:tcW w:w="1135" w:type="dxa"/>
            <w:shd w:val="clear" w:color="auto" w:fill="C5EFCE"/>
            <w:tcMar>
              <w:left w:w="28" w:type="dxa"/>
              <w:right w:w="28" w:type="dxa"/>
            </w:tcMar>
            <w:vAlign w:val="center"/>
            <w:hideMark/>
          </w:tcPr>
          <w:p w14:paraId="6524EBF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6.12</w:t>
            </w:r>
          </w:p>
        </w:tc>
        <w:tc>
          <w:tcPr>
            <w:tcW w:w="1276" w:type="dxa"/>
            <w:shd w:val="clear" w:color="auto" w:fill="C4EFCE"/>
            <w:noWrap/>
            <w:tcMar>
              <w:left w:w="28" w:type="dxa"/>
              <w:right w:w="28" w:type="dxa"/>
            </w:tcMar>
            <w:vAlign w:val="center"/>
            <w:hideMark/>
          </w:tcPr>
          <w:p w14:paraId="547D2E2F" w14:textId="59E395AF"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C06-r14</w:t>
            </w:r>
          </w:p>
        </w:tc>
        <w:tc>
          <w:tcPr>
            <w:tcW w:w="1134" w:type="dxa"/>
            <w:shd w:val="clear" w:color="auto" w:fill="C4EFCE"/>
            <w:noWrap/>
            <w:tcMar>
              <w:left w:w="28" w:type="dxa"/>
              <w:right w:w="28" w:type="dxa"/>
            </w:tcMar>
            <w:vAlign w:val="center"/>
            <w:hideMark/>
          </w:tcPr>
          <w:p w14:paraId="6161978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77FF7A7F" w14:textId="508BF77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Otváranie voľných pracovných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odbornej prípravy</w:t>
            </w:r>
          </w:p>
        </w:tc>
        <w:tc>
          <w:tcPr>
            <w:tcW w:w="1275" w:type="dxa"/>
            <w:shd w:val="clear" w:color="auto" w:fill="C4EFCE"/>
            <w:noWrap/>
            <w:tcMar>
              <w:left w:w="28" w:type="dxa"/>
              <w:right w:w="28" w:type="dxa"/>
            </w:tcMar>
            <w:vAlign w:val="center"/>
            <w:hideMark/>
          </w:tcPr>
          <w:p w14:paraId="1F0B538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08" w:type="dxa"/>
            <w:shd w:val="clear" w:color="auto" w:fill="C4EFCE"/>
            <w:noWrap/>
            <w:tcMar>
              <w:left w:w="28" w:type="dxa"/>
              <w:right w:w="28" w:type="dxa"/>
            </w:tcMar>
            <w:vAlign w:val="center"/>
            <w:hideMark/>
          </w:tcPr>
          <w:p w14:paraId="108FF90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177" w:type="dxa"/>
            <w:shd w:val="clear" w:color="auto" w:fill="C4EFCE"/>
            <w:noWrap/>
            <w:tcMar>
              <w:left w:w="28" w:type="dxa"/>
              <w:right w:w="28" w:type="dxa"/>
            </w:tcMar>
            <w:vAlign w:val="center"/>
            <w:hideMark/>
          </w:tcPr>
          <w:p w14:paraId="7E52122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hideMark/>
          </w:tcPr>
          <w:p w14:paraId="2D8E74D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20 000</w:t>
            </w:r>
          </w:p>
        </w:tc>
        <w:tc>
          <w:tcPr>
            <w:tcW w:w="771" w:type="dxa"/>
            <w:shd w:val="clear" w:color="auto" w:fill="C4EFCE"/>
            <w:noWrap/>
            <w:tcMar>
              <w:left w:w="28" w:type="dxa"/>
              <w:right w:w="28" w:type="dxa"/>
            </w:tcMar>
            <w:vAlign w:val="center"/>
            <w:hideMark/>
          </w:tcPr>
          <w:p w14:paraId="4D258239" w14:textId="2EDF5E5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hideMark/>
          </w:tcPr>
          <w:p w14:paraId="330192E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95" w:type="dxa"/>
            <w:shd w:val="clear" w:color="auto" w:fill="C4EFCE"/>
            <w:tcMar>
              <w:left w:w="28" w:type="dxa"/>
              <w:right w:w="28" w:type="dxa"/>
            </w:tcMar>
            <w:vAlign w:val="center"/>
            <w:hideMark/>
          </w:tcPr>
          <w:p w14:paraId="5E6EA693" w14:textId="496895F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nových voľných pracovných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odborných kurzoch po aktualizácii národného katalógu kvalifikácií (CNQ)</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nových oblastiach na základe diagnózy predvídania zručností (SANQ).</w:t>
            </w:r>
          </w:p>
        </w:tc>
      </w:tr>
      <w:tr w:rsidR="00387C70" w:rsidRPr="003F23AC" w14:paraId="4D68171D" w14:textId="77777777" w:rsidTr="00A26F8D">
        <w:trPr>
          <w:trHeight w:val="430"/>
        </w:trPr>
        <w:tc>
          <w:tcPr>
            <w:tcW w:w="1135" w:type="dxa"/>
            <w:shd w:val="clear" w:color="auto" w:fill="C5EFCE"/>
            <w:tcMar>
              <w:left w:w="28" w:type="dxa"/>
              <w:right w:w="28" w:type="dxa"/>
            </w:tcMar>
            <w:vAlign w:val="center"/>
            <w:hideMark/>
          </w:tcPr>
          <w:p w14:paraId="574224E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6.13</w:t>
            </w:r>
          </w:p>
        </w:tc>
        <w:tc>
          <w:tcPr>
            <w:tcW w:w="1276" w:type="dxa"/>
            <w:shd w:val="clear" w:color="auto" w:fill="C4EFCE"/>
            <w:noWrap/>
            <w:tcMar>
              <w:left w:w="28" w:type="dxa"/>
              <w:right w:w="28" w:type="dxa"/>
            </w:tcMar>
            <w:vAlign w:val="center"/>
            <w:hideMark/>
          </w:tcPr>
          <w:p w14:paraId="1F8EACCD" w14:textId="0CCB2A67"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C06-r15</w:t>
            </w:r>
          </w:p>
        </w:tc>
        <w:tc>
          <w:tcPr>
            <w:tcW w:w="1134" w:type="dxa"/>
            <w:shd w:val="clear" w:color="auto" w:fill="C4EFCE"/>
            <w:noWrap/>
            <w:tcMar>
              <w:left w:w="28" w:type="dxa"/>
              <w:right w:w="28" w:type="dxa"/>
            </w:tcMar>
            <w:vAlign w:val="center"/>
            <w:hideMark/>
          </w:tcPr>
          <w:p w14:paraId="3F880A1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60F8EBF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zákona, ktorým sa zriaďujú špeciálne výberové konania na prijatie na vysokoškolské vzdelávanie</w:t>
            </w:r>
          </w:p>
        </w:tc>
        <w:tc>
          <w:tcPr>
            <w:tcW w:w="1275" w:type="dxa"/>
            <w:shd w:val="clear" w:color="auto" w:fill="C4EFCE"/>
            <w:noWrap/>
            <w:tcMar>
              <w:left w:w="28" w:type="dxa"/>
              <w:right w:w="28" w:type="dxa"/>
            </w:tcMar>
            <w:vAlign w:val="center"/>
            <w:hideMark/>
          </w:tcPr>
          <w:p w14:paraId="4881AFC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Nadobudnutie účinnosti zákona, ktorým sa zriaďujú špeciálne výberové konania na prijatie na vysokoškolské vzdelávanie </w:t>
            </w:r>
          </w:p>
        </w:tc>
        <w:tc>
          <w:tcPr>
            <w:tcW w:w="808" w:type="dxa"/>
            <w:shd w:val="clear" w:color="auto" w:fill="C4EFCE"/>
            <w:noWrap/>
            <w:tcMar>
              <w:left w:w="28" w:type="dxa"/>
              <w:right w:w="28" w:type="dxa"/>
            </w:tcMar>
            <w:vAlign w:val="center"/>
            <w:hideMark/>
          </w:tcPr>
          <w:p w14:paraId="324277C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77" w:type="dxa"/>
            <w:shd w:val="clear" w:color="auto" w:fill="C4EFCE"/>
            <w:noWrap/>
            <w:tcMar>
              <w:left w:w="28" w:type="dxa"/>
              <w:right w:w="28" w:type="dxa"/>
            </w:tcMar>
            <w:vAlign w:val="center"/>
            <w:hideMark/>
          </w:tcPr>
          <w:p w14:paraId="3AFB115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50" w:type="dxa"/>
            <w:shd w:val="clear" w:color="auto" w:fill="C4EFCE"/>
            <w:noWrap/>
            <w:tcMar>
              <w:left w:w="28" w:type="dxa"/>
              <w:right w:w="28" w:type="dxa"/>
            </w:tcMar>
            <w:vAlign w:val="center"/>
            <w:hideMark/>
          </w:tcPr>
          <w:p w14:paraId="4CD5524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1" w:type="dxa"/>
            <w:shd w:val="clear" w:color="auto" w:fill="C4EFCE"/>
            <w:noWrap/>
            <w:tcMar>
              <w:left w:w="28" w:type="dxa"/>
              <w:right w:w="28" w:type="dxa"/>
            </w:tcMar>
            <w:vAlign w:val="center"/>
            <w:hideMark/>
          </w:tcPr>
          <w:p w14:paraId="2EC36569" w14:textId="7D9BA46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hideMark/>
          </w:tcPr>
          <w:p w14:paraId="1916364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2020</w:t>
            </w:r>
          </w:p>
        </w:tc>
        <w:tc>
          <w:tcPr>
            <w:tcW w:w="4395" w:type="dxa"/>
            <w:shd w:val="clear" w:color="auto" w:fill="C4EFCE"/>
            <w:tcMar>
              <w:left w:w="28" w:type="dxa"/>
              <w:right w:w="28" w:type="dxa"/>
            </w:tcMar>
            <w:vAlign w:val="center"/>
            <w:hideMark/>
          </w:tcPr>
          <w:p w14:paraId="042D0010" w14:textId="44BB70D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zákona, ktorým sa zriaďujú špeciálne súťaže na prijatie na vysokoškolské vzdelávanie pre študentov, ktorí ukončili stredoškolské vzdelávanie prostredníctvom profesionálnych kanálov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špecializovaných umeleckých kurzov.</w:t>
            </w:r>
          </w:p>
        </w:tc>
      </w:tr>
      <w:tr w:rsidR="00387C70" w:rsidRPr="003F23AC" w14:paraId="5C350BC5" w14:textId="77777777" w:rsidTr="00A26F8D">
        <w:trPr>
          <w:trHeight w:val="1480"/>
        </w:trPr>
        <w:tc>
          <w:tcPr>
            <w:tcW w:w="1135" w:type="dxa"/>
            <w:shd w:val="clear" w:color="auto" w:fill="C5EFCE"/>
            <w:tcMar>
              <w:left w:w="28" w:type="dxa"/>
              <w:right w:w="28" w:type="dxa"/>
            </w:tcMar>
            <w:vAlign w:val="center"/>
            <w:hideMark/>
          </w:tcPr>
          <w:p w14:paraId="2D4BA14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6.14</w:t>
            </w:r>
          </w:p>
        </w:tc>
        <w:tc>
          <w:tcPr>
            <w:tcW w:w="1276" w:type="dxa"/>
            <w:shd w:val="clear" w:color="auto" w:fill="C4EFCE"/>
            <w:noWrap/>
            <w:tcMar>
              <w:left w:w="28" w:type="dxa"/>
              <w:right w:w="28" w:type="dxa"/>
            </w:tcMar>
            <w:vAlign w:val="center"/>
            <w:hideMark/>
          </w:tcPr>
          <w:p w14:paraId="49780B25" w14:textId="00BFF974"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C06-r15</w:t>
            </w:r>
          </w:p>
        </w:tc>
        <w:tc>
          <w:tcPr>
            <w:tcW w:w="1134" w:type="dxa"/>
            <w:shd w:val="clear" w:color="auto" w:fill="C4EFCE"/>
            <w:noWrap/>
            <w:tcMar>
              <w:left w:w="28" w:type="dxa"/>
              <w:right w:w="28" w:type="dxa"/>
            </w:tcMar>
            <w:vAlign w:val="center"/>
            <w:hideMark/>
          </w:tcPr>
          <w:p w14:paraId="1D50742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3285546A" w14:textId="6BE1000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právneho rámca, ktorým sa riadi spolupráca inštitúcií vysokoškolského vzdelávania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verejnou správou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podnikmi</w:t>
            </w:r>
          </w:p>
        </w:tc>
        <w:tc>
          <w:tcPr>
            <w:tcW w:w="1275" w:type="dxa"/>
            <w:shd w:val="clear" w:color="auto" w:fill="C4EFCE"/>
            <w:noWrap/>
            <w:tcMar>
              <w:left w:w="28" w:type="dxa"/>
              <w:right w:w="28" w:type="dxa"/>
            </w:tcMar>
            <w:vAlign w:val="center"/>
            <w:hideMark/>
          </w:tcPr>
          <w:p w14:paraId="4004223A" w14:textId="460241E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právneho rámca, ktorým sa riadi spolupráca inštitúcií vysokoškolského vzdelávania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verejnou správou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podnikmi</w:t>
            </w:r>
          </w:p>
        </w:tc>
        <w:tc>
          <w:tcPr>
            <w:tcW w:w="808" w:type="dxa"/>
            <w:shd w:val="clear" w:color="auto" w:fill="C4EFCE"/>
            <w:noWrap/>
            <w:tcMar>
              <w:left w:w="28" w:type="dxa"/>
              <w:right w:w="28" w:type="dxa"/>
            </w:tcMar>
            <w:vAlign w:val="center"/>
            <w:hideMark/>
          </w:tcPr>
          <w:p w14:paraId="79A1DBF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77" w:type="dxa"/>
            <w:shd w:val="clear" w:color="auto" w:fill="C4EFCE"/>
            <w:noWrap/>
            <w:tcMar>
              <w:left w:w="28" w:type="dxa"/>
              <w:right w:w="28" w:type="dxa"/>
            </w:tcMar>
            <w:vAlign w:val="center"/>
            <w:hideMark/>
          </w:tcPr>
          <w:p w14:paraId="51817FB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50" w:type="dxa"/>
            <w:shd w:val="clear" w:color="auto" w:fill="C4EFCE"/>
            <w:noWrap/>
            <w:tcMar>
              <w:left w:w="28" w:type="dxa"/>
              <w:right w:w="28" w:type="dxa"/>
            </w:tcMar>
            <w:vAlign w:val="center"/>
            <w:hideMark/>
          </w:tcPr>
          <w:p w14:paraId="700D13E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1" w:type="dxa"/>
            <w:shd w:val="clear" w:color="auto" w:fill="C4EFCE"/>
            <w:noWrap/>
            <w:tcMar>
              <w:left w:w="28" w:type="dxa"/>
              <w:right w:w="28" w:type="dxa"/>
            </w:tcMar>
            <w:vAlign w:val="center"/>
            <w:hideMark/>
          </w:tcPr>
          <w:p w14:paraId="40C153E5" w14:textId="2FFEAE9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hideMark/>
          </w:tcPr>
          <w:p w14:paraId="53BC3D0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4395" w:type="dxa"/>
            <w:shd w:val="clear" w:color="auto" w:fill="C4EFCE"/>
            <w:tcMar>
              <w:left w:w="28" w:type="dxa"/>
              <w:right w:w="28" w:type="dxa"/>
            </w:tcMar>
            <w:vAlign w:val="center"/>
            <w:hideMark/>
          </w:tcPr>
          <w:p w14:paraId="777EF2C9" w14:textId="765B1AF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právneho rámca upravujúceho spoluprácu inštitúcií vysokoškolského vzdelávania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verejnou správou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podnikmi vrátane: I) vytvorenie sietí inštitúcií vysokoškolského vzdelávania založených na spolupráci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partnerstve so zamestnávateľmi, okrem iného na podporu počiatočného vysokoškolského vzdelávania, inovačných projektov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služieb pre firmy, ii) zmenu právneho postavenia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objasniť podmienky, za ktorých môže externý odborník vykonávať výučbu alebo riadenie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inštitúciách vysokoškolského vzdelávania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podporiť mobilitu medzi akademickým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podnikateľským svetom; III) posilnenie konzorcií so zdieľaným hospodárením medzi inštitúciami vysokoškolského vzdelávania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podnikmi.</w:t>
            </w:r>
          </w:p>
        </w:tc>
      </w:tr>
      <w:tr w:rsidR="00387C70" w:rsidRPr="003F23AC" w14:paraId="6B6D1913" w14:textId="77777777" w:rsidTr="00A26F8D">
        <w:trPr>
          <w:trHeight w:val="1060"/>
        </w:trPr>
        <w:tc>
          <w:tcPr>
            <w:tcW w:w="1135" w:type="dxa"/>
            <w:shd w:val="clear" w:color="auto" w:fill="C5EFCE"/>
            <w:tcMar>
              <w:left w:w="28" w:type="dxa"/>
              <w:right w:w="28" w:type="dxa"/>
            </w:tcMar>
            <w:vAlign w:val="center"/>
            <w:hideMark/>
          </w:tcPr>
          <w:p w14:paraId="7A115D0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6.15</w:t>
            </w:r>
          </w:p>
        </w:tc>
        <w:tc>
          <w:tcPr>
            <w:tcW w:w="1276" w:type="dxa"/>
            <w:shd w:val="clear" w:color="auto" w:fill="C4EFCE"/>
            <w:noWrap/>
            <w:tcMar>
              <w:left w:w="28" w:type="dxa"/>
              <w:right w:w="28" w:type="dxa"/>
            </w:tcMar>
            <w:vAlign w:val="center"/>
            <w:hideMark/>
          </w:tcPr>
          <w:p w14:paraId="072BCFC9" w14:textId="0588D806"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C06-r16</w:t>
            </w:r>
          </w:p>
        </w:tc>
        <w:tc>
          <w:tcPr>
            <w:tcW w:w="1134" w:type="dxa"/>
            <w:shd w:val="clear" w:color="auto" w:fill="C4EFCE"/>
            <w:noWrap/>
            <w:tcMar>
              <w:left w:w="28" w:type="dxa"/>
              <w:right w:w="28" w:type="dxa"/>
            </w:tcMar>
            <w:vAlign w:val="center"/>
            <w:hideMark/>
          </w:tcPr>
          <w:p w14:paraId="36CF028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3E9FAFFB" w14:textId="4DA8EE3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zákona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regulovaných povolaniach</w:t>
            </w:r>
          </w:p>
        </w:tc>
        <w:tc>
          <w:tcPr>
            <w:tcW w:w="1275" w:type="dxa"/>
            <w:shd w:val="clear" w:color="auto" w:fill="C4EFCE"/>
            <w:noWrap/>
            <w:tcMar>
              <w:left w:w="28" w:type="dxa"/>
              <w:right w:w="28" w:type="dxa"/>
            </w:tcMar>
            <w:vAlign w:val="center"/>
            <w:hideMark/>
          </w:tcPr>
          <w:p w14:paraId="0F2F14F7" w14:textId="0748523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zákona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regulovaných povolaniach</w:t>
            </w:r>
          </w:p>
        </w:tc>
        <w:tc>
          <w:tcPr>
            <w:tcW w:w="808" w:type="dxa"/>
            <w:shd w:val="clear" w:color="auto" w:fill="C4EFCE"/>
            <w:noWrap/>
            <w:tcMar>
              <w:left w:w="28" w:type="dxa"/>
              <w:right w:w="28" w:type="dxa"/>
            </w:tcMar>
            <w:vAlign w:val="center"/>
            <w:hideMark/>
          </w:tcPr>
          <w:p w14:paraId="1C4406F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77" w:type="dxa"/>
            <w:shd w:val="clear" w:color="auto" w:fill="C4EFCE"/>
            <w:noWrap/>
            <w:tcMar>
              <w:left w:w="28" w:type="dxa"/>
              <w:right w:w="28" w:type="dxa"/>
            </w:tcMar>
            <w:vAlign w:val="center"/>
            <w:hideMark/>
          </w:tcPr>
          <w:p w14:paraId="78CC3D9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50" w:type="dxa"/>
            <w:shd w:val="clear" w:color="auto" w:fill="C4EFCE"/>
            <w:noWrap/>
            <w:tcMar>
              <w:left w:w="28" w:type="dxa"/>
              <w:right w:w="28" w:type="dxa"/>
            </w:tcMar>
            <w:vAlign w:val="center"/>
            <w:hideMark/>
          </w:tcPr>
          <w:p w14:paraId="4E64DB5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1" w:type="dxa"/>
            <w:shd w:val="clear" w:color="auto" w:fill="C4EFCE"/>
            <w:noWrap/>
            <w:tcMar>
              <w:left w:w="28" w:type="dxa"/>
              <w:right w:w="28" w:type="dxa"/>
            </w:tcMar>
            <w:vAlign w:val="center"/>
            <w:hideMark/>
          </w:tcPr>
          <w:p w14:paraId="0E3EBB9F" w14:textId="0933752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hideMark/>
          </w:tcPr>
          <w:p w14:paraId="17B08CA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395" w:type="dxa"/>
            <w:shd w:val="clear" w:color="auto" w:fill="C4EFCE"/>
            <w:tcMar>
              <w:left w:w="28" w:type="dxa"/>
              <w:right w:w="28" w:type="dxa"/>
            </w:tcMar>
            <w:vAlign w:val="center"/>
            <w:hideMark/>
          </w:tcPr>
          <w:p w14:paraId="6B104D29" w14:textId="36F58DA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zákona, ktorého cieľom je okrem iného: I) oddeliť funkcie regulácie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zastupovania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profesijných združeniach; II) obmedziť zoznam vyhradených činností. 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činnostiam možno obmedziť len na ochranu ústavných záujmov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 so zásadami nevyhnutnosti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proporcionality; III) ukončiť obmedzenia vlastníctva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riadenia podnikov poskytujúcich služby pre podniky za predpokladu, že manažéri dodržiavajú právny režim na predchádzanie „konfliktu záujmov“;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iv) umožniť multidisciplinárne služby pre podniky.</w:t>
            </w:r>
          </w:p>
        </w:tc>
      </w:tr>
      <w:tr w:rsidR="00387C70" w:rsidRPr="003F23AC" w14:paraId="23A0A514" w14:textId="77777777" w:rsidTr="00A26F8D">
        <w:trPr>
          <w:trHeight w:val="640"/>
        </w:trPr>
        <w:tc>
          <w:tcPr>
            <w:tcW w:w="1135" w:type="dxa"/>
            <w:shd w:val="clear" w:color="auto" w:fill="C5EFCE"/>
            <w:tcMar>
              <w:left w:w="28" w:type="dxa"/>
              <w:right w:w="28" w:type="dxa"/>
            </w:tcMar>
            <w:vAlign w:val="center"/>
            <w:hideMark/>
          </w:tcPr>
          <w:p w14:paraId="5367DF6B"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6.16</w:t>
            </w:r>
          </w:p>
        </w:tc>
        <w:tc>
          <w:tcPr>
            <w:tcW w:w="1276" w:type="dxa"/>
            <w:shd w:val="clear" w:color="auto" w:fill="C4EFCE"/>
            <w:noWrap/>
            <w:tcMar>
              <w:left w:w="28" w:type="dxa"/>
              <w:right w:w="28" w:type="dxa"/>
            </w:tcMar>
            <w:vAlign w:val="center"/>
            <w:hideMark/>
          </w:tcPr>
          <w:p w14:paraId="52F2ECE7" w14:textId="7A601B17"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C06-r17</w:t>
            </w:r>
          </w:p>
        </w:tc>
        <w:tc>
          <w:tcPr>
            <w:tcW w:w="1134" w:type="dxa"/>
            <w:shd w:val="clear" w:color="auto" w:fill="C4EFCE"/>
            <w:noWrap/>
            <w:tcMar>
              <w:left w:w="28" w:type="dxa"/>
              <w:right w:w="28" w:type="dxa"/>
            </w:tcMar>
            <w:vAlign w:val="center"/>
            <w:hideMark/>
          </w:tcPr>
          <w:p w14:paraId="4C773C6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1553FC4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zákona upravujúceho prácu pre platformy</w:t>
            </w:r>
          </w:p>
        </w:tc>
        <w:tc>
          <w:tcPr>
            <w:tcW w:w="1275" w:type="dxa"/>
            <w:shd w:val="clear" w:color="auto" w:fill="C4EFCE"/>
            <w:noWrap/>
            <w:tcMar>
              <w:left w:w="28" w:type="dxa"/>
              <w:right w:w="28" w:type="dxa"/>
            </w:tcMar>
            <w:vAlign w:val="center"/>
            <w:hideMark/>
          </w:tcPr>
          <w:p w14:paraId="5201FB9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zákona upravujúceho prácu pre platformy</w:t>
            </w:r>
          </w:p>
        </w:tc>
        <w:tc>
          <w:tcPr>
            <w:tcW w:w="808" w:type="dxa"/>
            <w:shd w:val="clear" w:color="auto" w:fill="C4EFCE"/>
            <w:noWrap/>
            <w:tcMar>
              <w:left w:w="28" w:type="dxa"/>
              <w:right w:w="28" w:type="dxa"/>
            </w:tcMar>
            <w:vAlign w:val="center"/>
            <w:hideMark/>
          </w:tcPr>
          <w:p w14:paraId="311ED5B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77" w:type="dxa"/>
            <w:shd w:val="clear" w:color="auto" w:fill="C4EFCE"/>
            <w:noWrap/>
            <w:tcMar>
              <w:left w:w="28" w:type="dxa"/>
              <w:right w:w="28" w:type="dxa"/>
            </w:tcMar>
            <w:vAlign w:val="center"/>
            <w:hideMark/>
          </w:tcPr>
          <w:p w14:paraId="06F95D8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50" w:type="dxa"/>
            <w:shd w:val="clear" w:color="auto" w:fill="C4EFCE"/>
            <w:noWrap/>
            <w:tcMar>
              <w:left w:w="28" w:type="dxa"/>
              <w:right w:w="28" w:type="dxa"/>
            </w:tcMar>
            <w:vAlign w:val="center"/>
            <w:hideMark/>
          </w:tcPr>
          <w:p w14:paraId="278565D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1" w:type="dxa"/>
            <w:shd w:val="clear" w:color="auto" w:fill="C4EFCE"/>
            <w:noWrap/>
            <w:tcMar>
              <w:left w:w="28" w:type="dxa"/>
              <w:right w:w="28" w:type="dxa"/>
            </w:tcMar>
            <w:vAlign w:val="center"/>
            <w:hideMark/>
          </w:tcPr>
          <w:p w14:paraId="43A107F4" w14:textId="3E61A27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04" w:type="dxa"/>
            <w:shd w:val="clear" w:color="auto" w:fill="C4EFCE"/>
            <w:noWrap/>
            <w:tcMar>
              <w:left w:w="28" w:type="dxa"/>
              <w:right w:w="28" w:type="dxa"/>
            </w:tcMar>
            <w:vAlign w:val="center"/>
            <w:hideMark/>
          </w:tcPr>
          <w:p w14:paraId="13BAF87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395" w:type="dxa"/>
            <w:shd w:val="clear" w:color="auto" w:fill="C4EFCE"/>
            <w:tcMar>
              <w:left w:w="28" w:type="dxa"/>
              <w:right w:w="28" w:type="dxa"/>
            </w:tcMar>
            <w:vAlign w:val="center"/>
            <w:hideMark/>
          </w:tcPr>
          <w:p w14:paraId="06DB3C30" w14:textId="59A315D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zákona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regulácii práce pre platformy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riešiť nové výzvy vyplývajúce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atypických pracovnoprávnych vzťahov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 so zásadami Európskeho piliera sociálnych práv. Jeho cieľom je posilniť pracovnoprávne vzťahy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 xml:space="preserve">právam. </w:t>
            </w:r>
          </w:p>
        </w:tc>
      </w:tr>
      <w:tr w:rsidR="00387C70" w:rsidRPr="003F23AC" w14:paraId="673F5EE3" w14:textId="77777777" w:rsidTr="00A26F8D">
        <w:trPr>
          <w:trHeight w:val="640"/>
        </w:trPr>
        <w:tc>
          <w:tcPr>
            <w:tcW w:w="1135" w:type="dxa"/>
            <w:shd w:val="clear" w:color="auto" w:fill="C5EFCE"/>
            <w:tcMar>
              <w:left w:w="28" w:type="dxa"/>
              <w:right w:w="28" w:type="dxa"/>
            </w:tcMar>
            <w:vAlign w:val="center"/>
            <w:hideMark/>
          </w:tcPr>
          <w:p w14:paraId="64E9A71C"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6.17</w:t>
            </w:r>
          </w:p>
        </w:tc>
        <w:tc>
          <w:tcPr>
            <w:tcW w:w="1276" w:type="dxa"/>
            <w:shd w:val="clear" w:color="auto" w:fill="C4EFCE"/>
            <w:noWrap/>
            <w:tcMar>
              <w:left w:w="28" w:type="dxa"/>
              <w:right w:w="28" w:type="dxa"/>
            </w:tcMar>
            <w:vAlign w:val="center"/>
            <w:hideMark/>
          </w:tcPr>
          <w:p w14:paraId="72BCDBDF" w14:textId="0E1E6BB3"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C06-r18</w:t>
            </w:r>
          </w:p>
        </w:tc>
        <w:tc>
          <w:tcPr>
            <w:tcW w:w="1134" w:type="dxa"/>
            <w:shd w:val="clear" w:color="auto" w:fill="C4EFCE"/>
            <w:noWrap/>
            <w:tcMar>
              <w:left w:w="28" w:type="dxa"/>
              <w:right w:w="28" w:type="dxa"/>
            </w:tcMar>
            <w:vAlign w:val="center"/>
            <w:hideMark/>
          </w:tcPr>
          <w:p w14:paraId="524C002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48ADF79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Zaviesť portugalskú normu pre systém riadenia rovnosti odmeňovania. </w:t>
            </w:r>
          </w:p>
        </w:tc>
        <w:tc>
          <w:tcPr>
            <w:tcW w:w="1275" w:type="dxa"/>
            <w:shd w:val="clear" w:color="auto" w:fill="C4EFCE"/>
            <w:noWrap/>
            <w:tcMar>
              <w:left w:w="28" w:type="dxa"/>
              <w:right w:w="28" w:type="dxa"/>
            </w:tcMar>
            <w:vAlign w:val="center"/>
            <w:hideMark/>
          </w:tcPr>
          <w:p w14:paraId="55000A2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Uverejnenie normy</w:t>
            </w:r>
          </w:p>
        </w:tc>
        <w:tc>
          <w:tcPr>
            <w:tcW w:w="808" w:type="dxa"/>
            <w:shd w:val="clear" w:color="auto" w:fill="C4EFCE"/>
            <w:noWrap/>
            <w:tcMar>
              <w:left w:w="28" w:type="dxa"/>
              <w:right w:w="28" w:type="dxa"/>
            </w:tcMar>
            <w:vAlign w:val="center"/>
            <w:hideMark/>
          </w:tcPr>
          <w:p w14:paraId="7D92AA7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77" w:type="dxa"/>
            <w:shd w:val="clear" w:color="auto" w:fill="C4EFCE"/>
            <w:noWrap/>
            <w:tcMar>
              <w:left w:w="28" w:type="dxa"/>
              <w:right w:w="28" w:type="dxa"/>
            </w:tcMar>
            <w:vAlign w:val="center"/>
            <w:hideMark/>
          </w:tcPr>
          <w:p w14:paraId="7EA2CD2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50" w:type="dxa"/>
            <w:shd w:val="clear" w:color="auto" w:fill="C4EFCE"/>
            <w:noWrap/>
            <w:tcMar>
              <w:left w:w="28" w:type="dxa"/>
              <w:right w:w="28" w:type="dxa"/>
            </w:tcMar>
            <w:vAlign w:val="center"/>
            <w:hideMark/>
          </w:tcPr>
          <w:p w14:paraId="46A5524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1" w:type="dxa"/>
            <w:shd w:val="clear" w:color="auto" w:fill="C4EFCE"/>
            <w:noWrap/>
            <w:tcMar>
              <w:left w:w="28" w:type="dxa"/>
              <w:right w:w="28" w:type="dxa"/>
            </w:tcMar>
            <w:vAlign w:val="center"/>
            <w:hideMark/>
          </w:tcPr>
          <w:p w14:paraId="4F51F9B5" w14:textId="31C7D91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hideMark/>
          </w:tcPr>
          <w:p w14:paraId="16E56A0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395" w:type="dxa"/>
            <w:shd w:val="clear" w:color="auto" w:fill="C4EFCE"/>
            <w:tcMar>
              <w:left w:w="28" w:type="dxa"/>
              <w:right w:w="28" w:type="dxa"/>
            </w:tcMar>
            <w:vAlign w:val="center"/>
            <w:hideMark/>
          </w:tcPr>
          <w:p w14:paraId="7A2136C7" w14:textId="37613FB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Normou je dobrovoľný systém založený na Islande Norm ÍST 85: 2012 poskytovanie verejného uznania firmám, ktoré účinne zaviedli politiky rovnakého odmeňovania. Potvrdenia sa udeľujú</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potvrdiť, že pri prijímaní rozhodnutí</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mzdách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plnej miere vychádza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relevantných hľadísk.</w:t>
            </w:r>
          </w:p>
        </w:tc>
      </w:tr>
      <w:tr w:rsidR="00387C70" w:rsidRPr="003F23AC" w14:paraId="3DEAC6EC" w14:textId="77777777" w:rsidTr="00A26F8D">
        <w:trPr>
          <w:trHeight w:val="640"/>
        </w:trPr>
        <w:tc>
          <w:tcPr>
            <w:tcW w:w="1135" w:type="dxa"/>
            <w:shd w:val="clear" w:color="auto" w:fill="C5EFCE"/>
            <w:tcMar>
              <w:left w:w="28" w:type="dxa"/>
              <w:right w:w="28" w:type="dxa"/>
            </w:tcMar>
            <w:vAlign w:val="center"/>
            <w:hideMark/>
          </w:tcPr>
          <w:p w14:paraId="0528083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6.18</w:t>
            </w:r>
          </w:p>
        </w:tc>
        <w:tc>
          <w:tcPr>
            <w:tcW w:w="1276" w:type="dxa"/>
            <w:shd w:val="clear" w:color="auto" w:fill="C4EFCE"/>
            <w:noWrap/>
            <w:tcMar>
              <w:left w:w="28" w:type="dxa"/>
              <w:right w:w="28" w:type="dxa"/>
            </w:tcMar>
            <w:vAlign w:val="center"/>
            <w:hideMark/>
          </w:tcPr>
          <w:p w14:paraId="6BCF6F48" w14:textId="39E14DC3"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C06-r18</w:t>
            </w:r>
          </w:p>
        </w:tc>
        <w:tc>
          <w:tcPr>
            <w:tcW w:w="1134" w:type="dxa"/>
            <w:shd w:val="clear" w:color="auto" w:fill="C4EFCE"/>
            <w:noWrap/>
            <w:tcMar>
              <w:left w:w="28" w:type="dxa"/>
              <w:right w:w="28" w:type="dxa"/>
            </w:tcMar>
            <w:vAlign w:val="center"/>
            <w:hideMark/>
          </w:tcPr>
          <w:p w14:paraId="0FED066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131C8BBF" w14:textId="26CF35E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Oznamovanie spoločností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viac ako 50 pracovníkmi, ktoré predstavujú významné rozdiely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odmeňovaní žien</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mužov</w:t>
            </w:r>
          </w:p>
        </w:tc>
        <w:tc>
          <w:tcPr>
            <w:tcW w:w="1275" w:type="dxa"/>
            <w:shd w:val="clear" w:color="auto" w:fill="C4EFCE"/>
            <w:noWrap/>
            <w:tcMar>
              <w:left w:w="28" w:type="dxa"/>
              <w:right w:w="28" w:type="dxa"/>
            </w:tcMar>
            <w:vAlign w:val="center"/>
            <w:hideMark/>
          </w:tcPr>
          <w:p w14:paraId="4929D370" w14:textId="28ACBFF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Oznamovanie spoločností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viac ako 50 pracovníkmi, ktoré predstavujú významné rozdiely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odmeňovaní žien</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mužov</w:t>
            </w:r>
          </w:p>
        </w:tc>
        <w:tc>
          <w:tcPr>
            <w:tcW w:w="808" w:type="dxa"/>
            <w:shd w:val="clear" w:color="auto" w:fill="C4EFCE"/>
            <w:noWrap/>
            <w:tcMar>
              <w:left w:w="28" w:type="dxa"/>
              <w:right w:w="28" w:type="dxa"/>
            </w:tcMar>
            <w:vAlign w:val="center"/>
            <w:hideMark/>
          </w:tcPr>
          <w:p w14:paraId="64A13A3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77" w:type="dxa"/>
            <w:shd w:val="clear" w:color="auto" w:fill="C4EFCE"/>
            <w:noWrap/>
            <w:tcMar>
              <w:left w:w="28" w:type="dxa"/>
              <w:right w:w="28" w:type="dxa"/>
            </w:tcMar>
            <w:vAlign w:val="center"/>
            <w:hideMark/>
          </w:tcPr>
          <w:p w14:paraId="18442C1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50" w:type="dxa"/>
            <w:shd w:val="clear" w:color="auto" w:fill="C4EFCE"/>
            <w:noWrap/>
            <w:tcMar>
              <w:left w:w="28" w:type="dxa"/>
              <w:right w:w="28" w:type="dxa"/>
            </w:tcMar>
            <w:vAlign w:val="center"/>
            <w:hideMark/>
          </w:tcPr>
          <w:p w14:paraId="0A5C912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1" w:type="dxa"/>
            <w:shd w:val="clear" w:color="auto" w:fill="C4EFCE"/>
            <w:noWrap/>
            <w:tcMar>
              <w:left w:w="28" w:type="dxa"/>
              <w:right w:w="28" w:type="dxa"/>
            </w:tcMar>
            <w:vAlign w:val="center"/>
            <w:hideMark/>
          </w:tcPr>
          <w:p w14:paraId="1C3A39E0" w14:textId="4979177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hideMark/>
          </w:tcPr>
          <w:p w14:paraId="00CB07A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395" w:type="dxa"/>
            <w:shd w:val="clear" w:color="auto" w:fill="C4EFCE"/>
            <w:tcMar>
              <w:left w:w="28" w:type="dxa"/>
              <w:right w:w="28" w:type="dxa"/>
            </w:tcMar>
            <w:vAlign w:val="center"/>
            <w:hideMark/>
          </w:tcPr>
          <w:p w14:paraId="07F0DA13" w14:textId="0EC7B7B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Oznámenie podnikom</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viac ako 50 pracovníkmi, ktoré majú výrazné rozdiely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úrovni odmeňovania žien</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mužov za rovnaké pracovné miesta,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povinnosti predložiť riaditeľstvo inšpektorátu práce akčný plán na riešenie rozdielov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mzdách žien</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mužov prostredníctvom vykonávania akčného plánu</w:t>
            </w:r>
          </w:p>
        </w:tc>
      </w:tr>
      <w:tr w:rsidR="00387C70" w:rsidRPr="003F23AC" w14:paraId="7D8D557E" w14:textId="77777777" w:rsidTr="00A26F8D">
        <w:trPr>
          <w:trHeight w:val="273"/>
        </w:trPr>
        <w:tc>
          <w:tcPr>
            <w:tcW w:w="1135" w:type="dxa"/>
            <w:shd w:val="clear" w:color="auto" w:fill="C5EFCE"/>
            <w:tcMar>
              <w:left w:w="28" w:type="dxa"/>
              <w:right w:w="28" w:type="dxa"/>
            </w:tcMar>
            <w:vAlign w:val="center"/>
          </w:tcPr>
          <w:p w14:paraId="6DB0713C" w14:textId="52D6D02F"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6.19</w:t>
            </w:r>
          </w:p>
        </w:tc>
        <w:tc>
          <w:tcPr>
            <w:tcW w:w="1276" w:type="dxa"/>
            <w:shd w:val="clear" w:color="auto" w:fill="C4EFCE"/>
            <w:noWrap/>
            <w:tcMar>
              <w:left w:w="28" w:type="dxa"/>
              <w:right w:w="28" w:type="dxa"/>
            </w:tcMar>
            <w:vAlign w:val="center"/>
          </w:tcPr>
          <w:p w14:paraId="24F4FD24" w14:textId="7486309C" w:rsidR="00387C70" w:rsidRPr="003F23AC" w:rsidRDefault="00F218FC"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C06-i06</w:t>
            </w:r>
          </w:p>
        </w:tc>
        <w:tc>
          <w:tcPr>
            <w:tcW w:w="1134" w:type="dxa"/>
            <w:shd w:val="clear" w:color="auto" w:fill="C4EFCE"/>
            <w:noWrap/>
            <w:tcMar>
              <w:left w:w="28" w:type="dxa"/>
              <w:right w:w="28" w:type="dxa"/>
            </w:tcMar>
            <w:vAlign w:val="center"/>
          </w:tcPr>
          <w:p w14:paraId="65A01FAC" w14:textId="549DCE63"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4AEC0245" w14:textId="02A4A20D" w:rsidR="00387C70" w:rsidRPr="003F23AC" w:rsidRDefault="000F5AA4" w:rsidP="003F23AC">
            <w:pPr>
              <w:pStyle w:val="P68B1DB1-Bodytext1013"/>
              <w:jc w:val="center"/>
              <w:rPr>
                <w:rFonts w:ascii="Times New Roman" w:hAnsi="Times New Roman" w:cs="Times New Roman"/>
                <w:noProof/>
                <w:lang w:val="sk-SK"/>
              </w:rPr>
            </w:pPr>
            <w:r w:rsidRPr="003F23AC">
              <w:rPr>
                <w:rFonts w:ascii="Times New Roman" w:hAnsi="Times New Roman" w:cs="Times New Roman"/>
                <w:noProof/>
                <w:lang w:val="sk-SK"/>
              </w:rPr>
              <w:t>Podpora zmlúv na dobu neurčitú</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doktorandskými výskumnými pracovníkmi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FCT-Ture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podpora výskumných pracovníkov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ERC Portugalsko</w:t>
            </w:r>
          </w:p>
        </w:tc>
        <w:tc>
          <w:tcPr>
            <w:tcW w:w="1275" w:type="dxa"/>
            <w:shd w:val="clear" w:color="auto" w:fill="C4EFCE"/>
            <w:noWrap/>
            <w:tcMar>
              <w:left w:w="28" w:type="dxa"/>
              <w:right w:w="28" w:type="dxa"/>
            </w:tcMar>
            <w:vAlign w:val="center"/>
          </w:tcPr>
          <w:p w14:paraId="5B1FE369"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08" w:type="dxa"/>
            <w:shd w:val="clear" w:color="auto" w:fill="C4EFCE"/>
            <w:noWrap/>
            <w:tcMar>
              <w:left w:w="28" w:type="dxa"/>
              <w:right w:w="28" w:type="dxa"/>
            </w:tcMar>
            <w:vAlign w:val="center"/>
          </w:tcPr>
          <w:p w14:paraId="716424E2" w14:textId="6461DA4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 zmlúv</w:t>
            </w:r>
          </w:p>
        </w:tc>
        <w:tc>
          <w:tcPr>
            <w:tcW w:w="1177" w:type="dxa"/>
            <w:shd w:val="clear" w:color="auto" w:fill="C4EFCE"/>
            <w:noWrap/>
            <w:tcMar>
              <w:left w:w="28" w:type="dxa"/>
              <w:right w:w="28" w:type="dxa"/>
            </w:tcMar>
            <w:vAlign w:val="center"/>
          </w:tcPr>
          <w:p w14:paraId="29E7E7F7"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50" w:type="dxa"/>
            <w:shd w:val="clear" w:color="auto" w:fill="C4EFCE"/>
            <w:noWrap/>
            <w:tcMar>
              <w:left w:w="28" w:type="dxa"/>
              <w:right w:w="28" w:type="dxa"/>
            </w:tcMar>
            <w:vAlign w:val="center"/>
          </w:tcPr>
          <w:p w14:paraId="40BABDEE" w14:textId="58953BB8"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255</w:t>
            </w:r>
          </w:p>
        </w:tc>
        <w:tc>
          <w:tcPr>
            <w:tcW w:w="771" w:type="dxa"/>
            <w:shd w:val="clear" w:color="auto" w:fill="C4EFCE"/>
            <w:noWrap/>
            <w:tcMar>
              <w:left w:w="28" w:type="dxa"/>
              <w:right w:w="28" w:type="dxa"/>
            </w:tcMar>
            <w:vAlign w:val="center"/>
          </w:tcPr>
          <w:p w14:paraId="57152D13" w14:textId="001B34CE"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04" w:type="dxa"/>
            <w:shd w:val="clear" w:color="auto" w:fill="C4EFCE"/>
            <w:noWrap/>
            <w:tcMar>
              <w:left w:w="28" w:type="dxa"/>
              <w:right w:w="28" w:type="dxa"/>
            </w:tcMar>
            <w:vAlign w:val="center"/>
          </w:tcPr>
          <w:p w14:paraId="626F1508" w14:textId="403213A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95" w:type="dxa"/>
            <w:shd w:val="clear" w:color="auto" w:fill="C4EFCE"/>
            <w:tcMar>
              <w:left w:w="28" w:type="dxa"/>
              <w:right w:w="28" w:type="dxa"/>
            </w:tcMar>
          </w:tcPr>
          <w:p w14:paraId="3EEEBBB2" w14:textId="4A4F68FE"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S doktorandskými výskumnými pracovníkmi vybranými prostredníctvom výberových konaní sa podpíše 230 zmlúv na dobu neurčitú.</w:t>
            </w:r>
          </w:p>
          <w:p w14:paraId="5A86B9A8" w14:textId="198BCED5"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25 zmlúv sa podpíše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výskumnými pracovníkmi, ktorých projekty sa odporúčajú na financovanie na európskej alebo vnútroštátnej úrovni,</w:t>
            </w:r>
            <w:r w:rsidR="00A75B3C" w:rsidRPr="003F23AC">
              <w:rPr>
                <w:rFonts w:ascii="Times New Roman" w:hAnsi="Times New Roman" w:cs="Times New Roman"/>
                <w:noProof/>
                <w:lang w:val="sk-SK"/>
              </w:rPr>
              <w:t xml:space="preserve"> a s </w:t>
            </w:r>
            <w:r w:rsidRPr="003F23AC">
              <w:rPr>
                <w:rFonts w:ascii="Times New Roman" w:hAnsi="Times New Roman" w:cs="Times New Roman"/>
                <w:noProof/>
                <w:lang w:val="sk-SK"/>
              </w:rPr>
              <w:t>výskumnými pracovníkmi, ktorých žiadosti ERC boli odporučené na financovanie alebo ktorých žiadosti boli odporučené na financovanie, ale nakoniec neboli financované.</w:t>
            </w:r>
          </w:p>
        </w:tc>
      </w:tr>
      <w:tr w:rsidR="00387C70" w:rsidRPr="003F23AC" w14:paraId="6C354C45" w14:textId="77777777" w:rsidTr="00A26F8D">
        <w:trPr>
          <w:trHeight w:val="640"/>
        </w:trPr>
        <w:tc>
          <w:tcPr>
            <w:tcW w:w="1135" w:type="dxa"/>
            <w:shd w:val="clear" w:color="auto" w:fill="C5EFCE"/>
            <w:tcMar>
              <w:left w:w="28" w:type="dxa"/>
              <w:right w:w="28" w:type="dxa"/>
            </w:tcMar>
            <w:vAlign w:val="center"/>
          </w:tcPr>
          <w:p w14:paraId="3122B51F" w14:textId="63A658E0"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6.20</w:t>
            </w:r>
          </w:p>
        </w:tc>
        <w:tc>
          <w:tcPr>
            <w:tcW w:w="1276" w:type="dxa"/>
            <w:shd w:val="clear" w:color="auto" w:fill="C4EFCE"/>
            <w:noWrap/>
            <w:tcMar>
              <w:left w:w="28" w:type="dxa"/>
              <w:right w:w="28" w:type="dxa"/>
            </w:tcMar>
            <w:vAlign w:val="center"/>
          </w:tcPr>
          <w:p w14:paraId="1B8B3816" w14:textId="3C57145C" w:rsidR="00387C70" w:rsidRPr="003F23AC" w:rsidRDefault="00F218FC"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C06-i06</w:t>
            </w:r>
          </w:p>
        </w:tc>
        <w:tc>
          <w:tcPr>
            <w:tcW w:w="1134" w:type="dxa"/>
            <w:shd w:val="clear" w:color="auto" w:fill="C4EFCE"/>
            <w:noWrap/>
            <w:tcMar>
              <w:left w:w="28" w:type="dxa"/>
              <w:right w:w="28" w:type="dxa"/>
            </w:tcMar>
            <w:vAlign w:val="center"/>
          </w:tcPr>
          <w:p w14:paraId="46F364F4" w14:textId="76B61AE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0274D0FE" w14:textId="5818077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Medzinárodné partnerstvá</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vedy, technológií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inovácií: Podporované medzinárodné partnerstvá; Podporované projekty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výskumu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inovácií; Podpora medzinárodnej mobility</w:t>
            </w:r>
          </w:p>
        </w:tc>
        <w:tc>
          <w:tcPr>
            <w:tcW w:w="1275" w:type="dxa"/>
            <w:shd w:val="clear" w:color="auto" w:fill="C4EFCE"/>
            <w:noWrap/>
            <w:tcMar>
              <w:left w:w="28" w:type="dxa"/>
              <w:right w:w="28" w:type="dxa"/>
            </w:tcMar>
            <w:vAlign w:val="center"/>
          </w:tcPr>
          <w:p w14:paraId="56824669" w14:textId="3796C64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Medzinárodné partnerstvá</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vedy, technológií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inovácií: Podporované medzinárodné partnerstvá; Podporované projekty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výskumu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inovácií; Podpora medzinárodnej mobility</w:t>
            </w:r>
          </w:p>
        </w:tc>
        <w:tc>
          <w:tcPr>
            <w:tcW w:w="808" w:type="dxa"/>
            <w:shd w:val="clear" w:color="auto" w:fill="C4EFCE"/>
            <w:noWrap/>
            <w:tcMar>
              <w:left w:w="28" w:type="dxa"/>
              <w:right w:w="28" w:type="dxa"/>
            </w:tcMar>
            <w:vAlign w:val="center"/>
          </w:tcPr>
          <w:p w14:paraId="5ED41571" w14:textId="1AF5D95C" w:rsidR="00387C70" w:rsidRPr="003F23AC" w:rsidRDefault="00387C70" w:rsidP="003F23AC">
            <w:pPr>
              <w:spacing w:after="0" w:line="240" w:lineRule="auto"/>
              <w:jc w:val="center"/>
              <w:rPr>
                <w:rFonts w:ascii="Times New Roman" w:hAnsi="Times New Roman" w:cs="Times New Roman"/>
                <w:noProof/>
                <w:sz w:val="16"/>
                <w:lang w:val="sk-SK"/>
              </w:rPr>
            </w:pPr>
          </w:p>
        </w:tc>
        <w:tc>
          <w:tcPr>
            <w:tcW w:w="1177" w:type="dxa"/>
            <w:shd w:val="clear" w:color="auto" w:fill="C4EFCE"/>
            <w:noWrap/>
            <w:tcMar>
              <w:left w:w="28" w:type="dxa"/>
              <w:right w:w="28" w:type="dxa"/>
            </w:tcMar>
            <w:vAlign w:val="center"/>
          </w:tcPr>
          <w:p w14:paraId="0947851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50" w:type="dxa"/>
            <w:shd w:val="clear" w:color="auto" w:fill="C4EFCE"/>
            <w:noWrap/>
            <w:tcMar>
              <w:left w:w="28" w:type="dxa"/>
              <w:right w:w="28" w:type="dxa"/>
            </w:tcMar>
            <w:vAlign w:val="center"/>
          </w:tcPr>
          <w:p w14:paraId="17C9928F"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2B082B34" w14:textId="691F03CF"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04" w:type="dxa"/>
            <w:shd w:val="clear" w:color="auto" w:fill="C4EFCE"/>
            <w:noWrap/>
            <w:tcMar>
              <w:left w:w="28" w:type="dxa"/>
              <w:right w:w="28" w:type="dxa"/>
            </w:tcMar>
            <w:vAlign w:val="center"/>
          </w:tcPr>
          <w:p w14:paraId="736E26A8" w14:textId="3DBDCE6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95" w:type="dxa"/>
            <w:shd w:val="clear" w:color="auto" w:fill="C4EFCE"/>
            <w:tcMar>
              <w:left w:w="28" w:type="dxa"/>
              <w:right w:w="28" w:type="dxa"/>
            </w:tcMar>
            <w:vAlign w:val="center"/>
          </w:tcPr>
          <w:p w14:paraId="35A3F479" w14:textId="2F74B79B"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Podpíše sa šesť zmlúv</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medzinárodných partnerstvách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vedy, techniky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inovácií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vnútroštátnymi hostiteľskými inštitúciami.</w:t>
            </w:r>
          </w:p>
          <w:p w14:paraId="1570EE45" w14:textId="77777777" w:rsidR="00387C70" w:rsidRPr="003F23AC" w:rsidRDefault="00387C70" w:rsidP="003F23AC">
            <w:pPr>
              <w:pStyle w:val="Bodytext10"/>
              <w:spacing w:after="0" w:line="240" w:lineRule="auto"/>
              <w:jc w:val="both"/>
              <w:rPr>
                <w:rFonts w:ascii="Times New Roman" w:hAnsi="Times New Roman" w:cs="Times New Roman"/>
                <w:noProof/>
                <w:sz w:val="16"/>
                <w:lang w:val="sk-SK"/>
              </w:rPr>
            </w:pPr>
          </w:p>
          <w:p w14:paraId="6DE6A27E" w14:textId="4671D2AB"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Podporí sa 30 projektov, aliancií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infraštruktúr</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vnútroštátnou účasťou vybraných na európskej úrovni.</w:t>
            </w:r>
          </w:p>
          <w:p w14:paraId="63CDE0C8" w14:textId="35DF6B24"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Podporuje sa medzinárodná mobilita 100 vnútroštátnych výskumných pracovníkov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učiteľov.</w:t>
            </w:r>
          </w:p>
        </w:tc>
      </w:tr>
      <w:tr w:rsidR="00387C70" w:rsidRPr="003F23AC" w14:paraId="66721075" w14:textId="77777777" w:rsidTr="00A26F8D">
        <w:trPr>
          <w:trHeight w:val="640"/>
        </w:trPr>
        <w:tc>
          <w:tcPr>
            <w:tcW w:w="1135" w:type="dxa"/>
            <w:shd w:val="clear" w:color="auto" w:fill="C5EFCE"/>
            <w:tcMar>
              <w:left w:w="28" w:type="dxa"/>
              <w:right w:w="28" w:type="dxa"/>
            </w:tcMar>
            <w:vAlign w:val="center"/>
          </w:tcPr>
          <w:p w14:paraId="48CD17D8" w14:textId="27C11524"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6.21</w:t>
            </w:r>
          </w:p>
        </w:tc>
        <w:tc>
          <w:tcPr>
            <w:tcW w:w="1276" w:type="dxa"/>
            <w:shd w:val="clear" w:color="auto" w:fill="C4EFCE"/>
            <w:noWrap/>
            <w:tcMar>
              <w:left w:w="28" w:type="dxa"/>
              <w:right w:w="28" w:type="dxa"/>
            </w:tcMar>
            <w:vAlign w:val="center"/>
          </w:tcPr>
          <w:p w14:paraId="7F188F7C" w14:textId="7FED51EE"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C06-i07</w:t>
            </w:r>
          </w:p>
        </w:tc>
        <w:tc>
          <w:tcPr>
            <w:tcW w:w="1134" w:type="dxa"/>
            <w:shd w:val="clear" w:color="auto" w:fill="C4EFCE"/>
            <w:noWrap/>
            <w:tcMar>
              <w:left w:w="28" w:type="dxa"/>
              <w:right w:w="28" w:type="dxa"/>
            </w:tcMar>
            <w:vAlign w:val="center"/>
          </w:tcPr>
          <w:p w14:paraId="6C4575F7" w14:textId="340E578D" w:rsidR="00387C70" w:rsidRPr="003F23AC" w:rsidRDefault="00C32C63"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3FCB708D" w14:textId="65936449"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Technologická</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digitálna modernizácia poľnohospodárskych vied: Reforma učebných osnov poľnohospodárskych vied, otvorenie poľnohospodárskych škôl študentom stredných škôl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rekvalifikácia odborníkov</w:t>
            </w:r>
            <w:r w:rsidR="00A75B3C" w:rsidRPr="003F23AC">
              <w:rPr>
                <w:rFonts w:ascii="Times New Roman" w:hAnsi="Times New Roman" w:cs="Times New Roman"/>
                <w:noProof/>
                <w:lang w:val="sk-SK"/>
              </w:rPr>
              <w:t xml:space="preserve"> </w:t>
            </w:r>
          </w:p>
        </w:tc>
        <w:tc>
          <w:tcPr>
            <w:tcW w:w="1275" w:type="dxa"/>
            <w:shd w:val="clear" w:color="auto" w:fill="C4EFCE"/>
            <w:noWrap/>
            <w:tcMar>
              <w:left w:w="28" w:type="dxa"/>
              <w:right w:w="28" w:type="dxa"/>
            </w:tcMar>
            <w:vAlign w:val="center"/>
          </w:tcPr>
          <w:p w14:paraId="7AA9B9BF" w14:textId="42CE9F74" w:rsidR="00387C70" w:rsidRPr="003F23AC" w:rsidRDefault="00387C70" w:rsidP="003F23AC">
            <w:pPr>
              <w:spacing w:after="0" w:line="240" w:lineRule="auto"/>
              <w:jc w:val="center"/>
              <w:rPr>
                <w:rFonts w:ascii="Times New Roman" w:hAnsi="Times New Roman" w:cs="Times New Roman"/>
                <w:noProof/>
                <w:sz w:val="16"/>
                <w:lang w:val="sk-SK"/>
              </w:rPr>
            </w:pPr>
          </w:p>
        </w:tc>
        <w:tc>
          <w:tcPr>
            <w:tcW w:w="808" w:type="dxa"/>
            <w:shd w:val="clear" w:color="auto" w:fill="C4EFCE"/>
            <w:noWrap/>
            <w:tcMar>
              <w:left w:w="28" w:type="dxa"/>
              <w:right w:w="28" w:type="dxa"/>
            </w:tcMar>
            <w:vAlign w:val="center"/>
          </w:tcPr>
          <w:p w14:paraId="5C47BD23" w14:textId="71BE01C2"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Počet</w:t>
            </w:r>
          </w:p>
        </w:tc>
        <w:tc>
          <w:tcPr>
            <w:tcW w:w="1177" w:type="dxa"/>
            <w:shd w:val="clear" w:color="auto" w:fill="C4EFCE"/>
            <w:noWrap/>
            <w:tcMar>
              <w:left w:w="28" w:type="dxa"/>
              <w:right w:w="28" w:type="dxa"/>
            </w:tcMar>
            <w:vAlign w:val="center"/>
          </w:tcPr>
          <w:p w14:paraId="472FBF28" w14:textId="2DD9CCA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tcPr>
          <w:p w14:paraId="0DC53A66" w14:textId="64A65D0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7 020</w:t>
            </w:r>
          </w:p>
        </w:tc>
        <w:tc>
          <w:tcPr>
            <w:tcW w:w="771" w:type="dxa"/>
            <w:shd w:val="clear" w:color="auto" w:fill="C4EFCE"/>
            <w:noWrap/>
            <w:tcMar>
              <w:left w:w="28" w:type="dxa"/>
              <w:right w:w="28" w:type="dxa"/>
            </w:tcMar>
            <w:vAlign w:val="center"/>
          </w:tcPr>
          <w:p w14:paraId="625E1EDD" w14:textId="265BD355"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4FD2ECE2" w14:textId="0AEB54AF"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2026</w:t>
            </w:r>
          </w:p>
        </w:tc>
        <w:tc>
          <w:tcPr>
            <w:tcW w:w="4395" w:type="dxa"/>
            <w:shd w:val="clear" w:color="auto" w:fill="C4EFCE"/>
            <w:tcMar>
              <w:left w:w="28" w:type="dxa"/>
              <w:right w:w="28" w:type="dxa"/>
            </w:tcMar>
            <w:vAlign w:val="center"/>
          </w:tcPr>
          <w:p w14:paraId="5D0A3DF6" w14:textId="2DF2088F"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Implementovala reformu 20 študijných programov (bakalára alebo magisterského štúdia alebo oboch)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poľnohospodárskych vedách prostredníctvom:</w:t>
            </w:r>
          </w:p>
          <w:p w14:paraId="6CF7E7C6" w14:textId="2A426A56"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posilnenie jej digitálnej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technologickej zložky nákupom vybavenia pre vzdelávacie inštitúcie</w:t>
            </w:r>
          </w:p>
          <w:p w14:paraId="7D8375DC" w14:textId="3010FE9E"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internacionalizácia vrátane účasti pozvaných predsedov</w:t>
            </w:r>
          </w:p>
          <w:p w14:paraId="23772E42" w14:textId="46951B83" w:rsidR="00A75B3C"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 medziinštitucionálna spolupráca prostredníctvom vykonávania stratégie internacionalizácie poľnohospodárskeho vzdelávania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konzorciu</w:t>
            </w:r>
            <w:r w:rsidR="00A75B3C" w:rsidRPr="003F23AC">
              <w:rPr>
                <w:rFonts w:ascii="Times New Roman" w:hAnsi="Times New Roman" w:cs="Times New Roman"/>
                <w:noProof/>
                <w:lang w:val="sk-SK"/>
              </w:rPr>
              <w:t>.</w:t>
            </w:r>
          </w:p>
          <w:p w14:paraId="53ABA183" w14:textId="7005A426" w:rsidR="00387C70" w:rsidRPr="003F23AC" w:rsidRDefault="00387C70" w:rsidP="003F23AC">
            <w:pPr>
              <w:pStyle w:val="Bodytext10"/>
              <w:spacing w:after="0" w:line="240" w:lineRule="auto"/>
              <w:jc w:val="both"/>
              <w:rPr>
                <w:rStyle w:val="Bodytext1"/>
                <w:rFonts w:ascii="Times New Roman" w:hAnsi="Times New Roman" w:cs="Times New Roman"/>
                <w:noProof/>
                <w:sz w:val="16"/>
                <w:lang w:val="sk-SK"/>
              </w:rPr>
            </w:pPr>
          </w:p>
          <w:p w14:paraId="496B7FD9" w14:textId="544DE159"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6000 študentov stredných škôl využije jednodňový program pre poľnohospodárske školy zameraný na zvýšenie atraktívnosti poľnohospodárskych škôl pre potenciálnych žiadateľov.</w:t>
            </w:r>
          </w:p>
          <w:p w14:paraId="1FC3030B" w14:textId="3C773367" w:rsidR="00387C70" w:rsidRPr="003F23AC" w:rsidRDefault="00387C70" w:rsidP="003F23AC">
            <w:pPr>
              <w:pStyle w:val="Bodytext10"/>
              <w:spacing w:after="0" w:line="240" w:lineRule="auto"/>
              <w:jc w:val="both"/>
              <w:rPr>
                <w:rFonts w:ascii="Times New Roman" w:hAnsi="Times New Roman" w:cs="Times New Roman"/>
                <w:noProof/>
                <w:sz w:val="16"/>
                <w:lang w:val="sk-SK"/>
              </w:rPr>
            </w:pPr>
          </w:p>
          <w:p w14:paraId="69D689D1" w14:textId="0C97D716" w:rsidR="00387C70" w:rsidRPr="003F23AC" w:rsidRDefault="000F5AA4" w:rsidP="003F23AC">
            <w:pPr>
              <w:pStyle w:val="P68B1DB1-Bodytext1013"/>
              <w:spacing w:after="0" w:line="240" w:lineRule="auto"/>
              <w:jc w:val="both"/>
              <w:rPr>
                <w:rStyle w:val="Bodytext1"/>
                <w:rFonts w:ascii="Times New Roman" w:hAnsi="Times New Roman" w:cs="Times New Roman"/>
                <w:noProof/>
                <w:sz w:val="16"/>
                <w:lang w:val="sk-SK"/>
              </w:rPr>
            </w:pPr>
            <w:r w:rsidRPr="003F23AC">
              <w:rPr>
                <w:rFonts w:ascii="Times New Roman" w:hAnsi="Times New Roman" w:cs="Times New Roman"/>
                <w:noProof/>
                <w:lang w:val="sk-SK"/>
              </w:rPr>
              <w:t>1000 odborníkov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odvetví poľnohospodárstva absolvuje digitálnu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technologickú odbornú prípravu prostredníctvom mikrocertifikátov alebo krátkeho vysokoškolského odborného vzdelávania alebo odborného magisterského štúdia.</w:t>
            </w:r>
          </w:p>
        </w:tc>
      </w:tr>
      <w:tr w:rsidR="00387C70" w:rsidRPr="003F23AC" w14:paraId="5AB95557" w14:textId="77777777" w:rsidTr="00A26F8D">
        <w:trPr>
          <w:trHeight w:val="640"/>
        </w:trPr>
        <w:tc>
          <w:tcPr>
            <w:tcW w:w="1135" w:type="dxa"/>
            <w:shd w:val="clear" w:color="auto" w:fill="C5EFCE"/>
            <w:tcMar>
              <w:left w:w="28" w:type="dxa"/>
              <w:right w:w="28" w:type="dxa"/>
            </w:tcMar>
            <w:vAlign w:val="center"/>
          </w:tcPr>
          <w:p w14:paraId="0D1BDDD8" w14:textId="07872EC0"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6.22</w:t>
            </w:r>
          </w:p>
        </w:tc>
        <w:tc>
          <w:tcPr>
            <w:tcW w:w="1276" w:type="dxa"/>
            <w:shd w:val="clear" w:color="auto" w:fill="C4EFCE"/>
            <w:noWrap/>
            <w:tcMar>
              <w:left w:w="28" w:type="dxa"/>
              <w:right w:w="28" w:type="dxa"/>
            </w:tcMar>
            <w:vAlign w:val="center"/>
          </w:tcPr>
          <w:p w14:paraId="011A4D16" w14:textId="473508E8"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C06-i07</w:t>
            </w:r>
          </w:p>
        </w:tc>
        <w:tc>
          <w:tcPr>
            <w:tcW w:w="1134" w:type="dxa"/>
            <w:shd w:val="clear" w:color="auto" w:fill="C4EFCE"/>
            <w:noWrap/>
            <w:tcMar>
              <w:left w:w="28" w:type="dxa"/>
              <w:right w:w="28" w:type="dxa"/>
            </w:tcMar>
            <w:vAlign w:val="center"/>
          </w:tcPr>
          <w:p w14:paraId="690BFF82" w14:textId="5E85E83C" w:rsidR="00387C70" w:rsidRPr="003F23AC" w:rsidRDefault="00C32C63"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0C56191D" w14:textId="4A065135"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Modernizácia medicíny</w:t>
            </w:r>
          </w:p>
        </w:tc>
        <w:tc>
          <w:tcPr>
            <w:tcW w:w="1275" w:type="dxa"/>
            <w:shd w:val="clear" w:color="auto" w:fill="C4EFCE"/>
            <w:noWrap/>
            <w:tcMar>
              <w:left w:w="28" w:type="dxa"/>
              <w:right w:w="28" w:type="dxa"/>
            </w:tcMar>
            <w:vAlign w:val="center"/>
          </w:tcPr>
          <w:p w14:paraId="5E0E2847"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808" w:type="dxa"/>
            <w:shd w:val="clear" w:color="auto" w:fill="C4EFCE"/>
            <w:noWrap/>
            <w:tcMar>
              <w:left w:w="28" w:type="dxa"/>
              <w:right w:w="28" w:type="dxa"/>
            </w:tcMar>
            <w:vAlign w:val="center"/>
          </w:tcPr>
          <w:p w14:paraId="602C1537" w14:textId="535C74AD"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Počet</w:t>
            </w:r>
          </w:p>
        </w:tc>
        <w:tc>
          <w:tcPr>
            <w:tcW w:w="1177" w:type="dxa"/>
            <w:shd w:val="clear" w:color="auto" w:fill="C4EFCE"/>
            <w:noWrap/>
            <w:tcMar>
              <w:left w:w="28" w:type="dxa"/>
              <w:right w:w="28" w:type="dxa"/>
            </w:tcMar>
            <w:vAlign w:val="center"/>
          </w:tcPr>
          <w:p w14:paraId="1636CEA0" w14:textId="3F6BC36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tcPr>
          <w:p w14:paraId="4FA19C54" w14:textId="5DA1367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12 500</w:t>
            </w:r>
          </w:p>
        </w:tc>
        <w:tc>
          <w:tcPr>
            <w:tcW w:w="771" w:type="dxa"/>
            <w:shd w:val="clear" w:color="auto" w:fill="C4EFCE"/>
            <w:noWrap/>
            <w:tcMar>
              <w:left w:w="28" w:type="dxa"/>
              <w:right w:w="28" w:type="dxa"/>
            </w:tcMar>
            <w:vAlign w:val="center"/>
          </w:tcPr>
          <w:p w14:paraId="05F711F2" w14:textId="153E7187"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727812B4" w14:textId="69053B8C"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2026</w:t>
            </w:r>
          </w:p>
        </w:tc>
        <w:tc>
          <w:tcPr>
            <w:tcW w:w="4395" w:type="dxa"/>
            <w:shd w:val="clear" w:color="auto" w:fill="C4EFCE"/>
            <w:tcMar>
              <w:left w:w="28" w:type="dxa"/>
              <w:right w:w="28" w:type="dxa"/>
            </w:tcMar>
            <w:vAlign w:val="center"/>
          </w:tcPr>
          <w:p w14:paraId="0BE60C62" w14:textId="4321A636" w:rsidR="00387C70" w:rsidRPr="003F23AC" w:rsidRDefault="000F5AA4" w:rsidP="003F23AC">
            <w:pPr>
              <w:pStyle w:val="P68B1DB1-Bodytext1013"/>
              <w:spacing w:line="240" w:lineRule="auto"/>
              <w:jc w:val="both"/>
              <w:rPr>
                <w:rFonts w:ascii="Times New Roman" w:hAnsi="Times New Roman" w:cs="Times New Roman"/>
                <w:noProof/>
                <w:lang w:val="sk-SK"/>
              </w:rPr>
            </w:pPr>
            <w:r w:rsidRPr="003F23AC">
              <w:rPr>
                <w:rFonts w:ascii="Times New Roman" w:hAnsi="Times New Roman" w:cs="Times New Roman"/>
                <w:noProof/>
                <w:lang w:val="sk-SK"/>
              </w:rPr>
              <w:t>Najmenej 5000 študentov integrovaného magisterského štúdia sa zúčastňuje na učebných osnovách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využitím digitálneho prostredia alebo lekárskej simulácie. Na tento účel sa použijú zariadenia, ako sú figuríny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vysokou vernosťou alebo simulátory virtuálnej reality.</w:t>
            </w:r>
          </w:p>
          <w:p w14:paraId="03728086" w14:textId="38789FB6"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Najmenej 7500 zdravotníckych pracovníkov sa zúčastňuje na lekárskej odbornej príprave zameranej na technologickú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digitálnu modernizáciu sektora zdravotnej starostlivosti. Ponúkajú sa tri druhy odbornej prípravy: krátke vysokoškolské kurzy, odborné magisterské štúdium a/alebo mikrocertifikáty.</w:t>
            </w:r>
          </w:p>
        </w:tc>
      </w:tr>
      <w:tr w:rsidR="00387C70" w:rsidRPr="003F23AC" w14:paraId="7E7C518B" w14:textId="77777777" w:rsidTr="00A26F8D">
        <w:trPr>
          <w:trHeight w:val="640"/>
        </w:trPr>
        <w:tc>
          <w:tcPr>
            <w:tcW w:w="1135" w:type="dxa"/>
            <w:shd w:val="clear" w:color="auto" w:fill="C5EFCE"/>
            <w:tcMar>
              <w:left w:w="28" w:type="dxa"/>
              <w:right w:w="28" w:type="dxa"/>
            </w:tcMar>
            <w:vAlign w:val="center"/>
          </w:tcPr>
          <w:p w14:paraId="7342B9AB" w14:textId="4D1C1BE5"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6.23</w:t>
            </w:r>
          </w:p>
        </w:tc>
        <w:tc>
          <w:tcPr>
            <w:tcW w:w="1276" w:type="dxa"/>
            <w:shd w:val="clear" w:color="auto" w:fill="C4EFCE"/>
            <w:noWrap/>
            <w:tcMar>
              <w:left w:w="28" w:type="dxa"/>
              <w:right w:w="28" w:type="dxa"/>
            </w:tcMar>
            <w:vAlign w:val="center"/>
          </w:tcPr>
          <w:p w14:paraId="61D9CF67" w14:textId="12E495E1"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C06-i07</w:t>
            </w:r>
          </w:p>
        </w:tc>
        <w:tc>
          <w:tcPr>
            <w:tcW w:w="1134" w:type="dxa"/>
            <w:shd w:val="clear" w:color="auto" w:fill="C4EFCE"/>
            <w:noWrap/>
            <w:tcMar>
              <w:left w:w="28" w:type="dxa"/>
              <w:right w:w="28" w:type="dxa"/>
            </w:tcMar>
            <w:vAlign w:val="center"/>
          </w:tcPr>
          <w:p w14:paraId="7BF68D0A" w14:textId="5EA83C83" w:rsidR="00387C70" w:rsidRPr="003F23AC" w:rsidRDefault="00C32C63"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3C8DA4AE" w14:textId="30954B10"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Posilnenie digitálnych zručností</w:t>
            </w:r>
          </w:p>
        </w:tc>
        <w:tc>
          <w:tcPr>
            <w:tcW w:w="1275" w:type="dxa"/>
            <w:shd w:val="clear" w:color="auto" w:fill="C4EFCE"/>
            <w:noWrap/>
            <w:tcMar>
              <w:left w:w="28" w:type="dxa"/>
              <w:right w:w="28" w:type="dxa"/>
            </w:tcMar>
            <w:vAlign w:val="center"/>
          </w:tcPr>
          <w:p w14:paraId="20F37E5B"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808" w:type="dxa"/>
            <w:shd w:val="clear" w:color="auto" w:fill="C4EFCE"/>
            <w:noWrap/>
            <w:tcMar>
              <w:left w:w="28" w:type="dxa"/>
              <w:right w:w="28" w:type="dxa"/>
            </w:tcMar>
            <w:vAlign w:val="center"/>
          </w:tcPr>
          <w:p w14:paraId="3843260D" w14:textId="7E687270"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xml:space="preserve"> Počet</w:t>
            </w:r>
          </w:p>
        </w:tc>
        <w:tc>
          <w:tcPr>
            <w:tcW w:w="1177" w:type="dxa"/>
            <w:shd w:val="clear" w:color="auto" w:fill="C4EFCE"/>
            <w:noWrap/>
            <w:tcMar>
              <w:left w:w="28" w:type="dxa"/>
              <w:right w:w="28" w:type="dxa"/>
            </w:tcMar>
            <w:vAlign w:val="center"/>
          </w:tcPr>
          <w:p w14:paraId="03179505" w14:textId="02D7BE6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tcPr>
          <w:p w14:paraId="3ABCA18E" w14:textId="5D6BAAE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11 750</w:t>
            </w:r>
          </w:p>
        </w:tc>
        <w:tc>
          <w:tcPr>
            <w:tcW w:w="771" w:type="dxa"/>
            <w:shd w:val="clear" w:color="auto" w:fill="C4EFCE"/>
            <w:noWrap/>
            <w:tcMar>
              <w:left w:w="28" w:type="dxa"/>
              <w:right w:w="28" w:type="dxa"/>
            </w:tcMar>
            <w:vAlign w:val="center"/>
          </w:tcPr>
          <w:p w14:paraId="718E9C07" w14:textId="71B379E8"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0704A86A" w14:textId="763D598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2026</w:t>
            </w:r>
          </w:p>
        </w:tc>
        <w:tc>
          <w:tcPr>
            <w:tcW w:w="4395" w:type="dxa"/>
            <w:shd w:val="clear" w:color="auto" w:fill="C4EFCE"/>
            <w:tcMar>
              <w:left w:w="28" w:type="dxa"/>
              <w:right w:w="28" w:type="dxa"/>
            </w:tcMar>
            <w:vAlign w:val="center"/>
          </w:tcPr>
          <w:p w14:paraId="58BDA553" w14:textId="712EF16B"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Na programoch na posilnenie digitálnych zručností sa zúčastňuje 11750 mladých ľudí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dospelých</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oblastí mimo STEAM.</w:t>
            </w:r>
          </w:p>
        </w:tc>
      </w:tr>
      <w:tr w:rsidR="00387C70" w:rsidRPr="003F23AC" w14:paraId="4D94B093" w14:textId="77777777" w:rsidTr="00A26F8D">
        <w:trPr>
          <w:trHeight w:val="640"/>
        </w:trPr>
        <w:tc>
          <w:tcPr>
            <w:tcW w:w="1135" w:type="dxa"/>
            <w:shd w:val="clear" w:color="auto" w:fill="C5EFCE"/>
            <w:tcMar>
              <w:left w:w="28" w:type="dxa"/>
              <w:right w:w="28" w:type="dxa"/>
            </w:tcMar>
            <w:vAlign w:val="center"/>
          </w:tcPr>
          <w:p w14:paraId="34E64220" w14:textId="772B93AE"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6.24</w:t>
            </w:r>
          </w:p>
        </w:tc>
        <w:tc>
          <w:tcPr>
            <w:tcW w:w="1276" w:type="dxa"/>
            <w:shd w:val="clear" w:color="auto" w:fill="C4EFCE"/>
            <w:noWrap/>
            <w:tcMar>
              <w:left w:w="28" w:type="dxa"/>
              <w:right w:w="28" w:type="dxa"/>
            </w:tcMar>
            <w:vAlign w:val="center"/>
          </w:tcPr>
          <w:p w14:paraId="0083973A" w14:textId="21A707A5"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C06-i07</w:t>
            </w:r>
          </w:p>
        </w:tc>
        <w:tc>
          <w:tcPr>
            <w:tcW w:w="1134" w:type="dxa"/>
            <w:shd w:val="clear" w:color="auto" w:fill="C4EFCE"/>
            <w:noWrap/>
            <w:tcMar>
              <w:left w:w="28" w:type="dxa"/>
              <w:right w:w="28" w:type="dxa"/>
            </w:tcMar>
            <w:vAlign w:val="center"/>
          </w:tcPr>
          <w:p w14:paraId="534D3821" w14:textId="716BA925"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546F1C56" w14:textId="14535B59"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Inovácia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pedagogická modernizácia vysokoškolského vzdelávania</w:t>
            </w:r>
          </w:p>
        </w:tc>
        <w:tc>
          <w:tcPr>
            <w:tcW w:w="1275" w:type="dxa"/>
            <w:shd w:val="clear" w:color="auto" w:fill="C4EFCE"/>
            <w:noWrap/>
            <w:tcMar>
              <w:left w:w="28" w:type="dxa"/>
              <w:right w:w="28" w:type="dxa"/>
            </w:tcMar>
            <w:vAlign w:val="center"/>
          </w:tcPr>
          <w:p w14:paraId="459EE616"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808" w:type="dxa"/>
            <w:shd w:val="clear" w:color="auto" w:fill="C4EFCE"/>
            <w:noWrap/>
            <w:tcMar>
              <w:left w:w="28" w:type="dxa"/>
              <w:right w:w="28" w:type="dxa"/>
            </w:tcMar>
            <w:vAlign w:val="center"/>
          </w:tcPr>
          <w:p w14:paraId="7BEDA178" w14:textId="53F4813C"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xml:space="preserve"> Počet</w:t>
            </w:r>
          </w:p>
        </w:tc>
        <w:tc>
          <w:tcPr>
            <w:tcW w:w="1177" w:type="dxa"/>
            <w:shd w:val="clear" w:color="auto" w:fill="C4EFCE"/>
            <w:noWrap/>
            <w:tcMar>
              <w:left w:w="28" w:type="dxa"/>
              <w:right w:w="28" w:type="dxa"/>
            </w:tcMar>
            <w:vAlign w:val="center"/>
          </w:tcPr>
          <w:p w14:paraId="665883BC" w14:textId="2EC998C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tcPr>
          <w:p w14:paraId="6CC2A8F9" w14:textId="06F7ECA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w:t>
            </w:r>
          </w:p>
        </w:tc>
        <w:tc>
          <w:tcPr>
            <w:tcW w:w="771" w:type="dxa"/>
            <w:shd w:val="clear" w:color="auto" w:fill="C4EFCE"/>
            <w:noWrap/>
            <w:tcMar>
              <w:left w:w="28" w:type="dxa"/>
              <w:right w:w="28" w:type="dxa"/>
            </w:tcMar>
            <w:vAlign w:val="center"/>
          </w:tcPr>
          <w:p w14:paraId="02D944F5" w14:textId="2B638D64"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4. štvrťrok</w:t>
            </w:r>
            <w:r w:rsidR="000F5AA4" w:rsidRPr="003F23AC">
              <w:rPr>
                <w:rFonts w:ascii="Times New Roman" w:hAnsi="Times New Roman" w:cs="Times New Roman"/>
                <w:noProof/>
                <w:lang w:val="sk-SK"/>
              </w:rPr>
              <w:t xml:space="preserve"> </w:t>
            </w:r>
          </w:p>
        </w:tc>
        <w:tc>
          <w:tcPr>
            <w:tcW w:w="504" w:type="dxa"/>
            <w:shd w:val="clear" w:color="auto" w:fill="C4EFCE"/>
            <w:noWrap/>
            <w:tcMar>
              <w:left w:w="28" w:type="dxa"/>
              <w:right w:w="28" w:type="dxa"/>
            </w:tcMar>
            <w:vAlign w:val="center"/>
          </w:tcPr>
          <w:p w14:paraId="64371F14" w14:textId="0A68E79D"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2024</w:t>
            </w:r>
          </w:p>
        </w:tc>
        <w:tc>
          <w:tcPr>
            <w:tcW w:w="4395" w:type="dxa"/>
            <w:shd w:val="clear" w:color="auto" w:fill="C4EFCE"/>
            <w:tcMar>
              <w:left w:w="28" w:type="dxa"/>
              <w:right w:w="28" w:type="dxa"/>
            </w:tcMar>
            <w:vAlign w:val="center"/>
          </w:tcPr>
          <w:p w14:paraId="31B02553" w14:textId="37339C61"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Zriadi sa päť centier excelentnosti pedagogickej inovácie so zameraním na netechnologické oblasti (sociálne vedy, humanitné vedy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umenie). Zriadi sa Národná rada pedagogickej inovácie vo vysokoškolskom vzdelávaní. </w:t>
            </w:r>
          </w:p>
        </w:tc>
      </w:tr>
      <w:tr w:rsidR="00387C70" w:rsidRPr="003F23AC" w14:paraId="5EDD3E14" w14:textId="77777777" w:rsidTr="00A26F8D">
        <w:trPr>
          <w:trHeight w:val="640"/>
        </w:trPr>
        <w:tc>
          <w:tcPr>
            <w:tcW w:w="1135" w:type="dxa"/>
            <w:shd w:val="clear" w:color="auto" w:fill="C5EFCE"/>
            <w:tcMar>
              <w:left w:w="28" w:type="dxa"/>
              <w:right w:w="28" w:type="dxa"/>
            </w:tcMar>
            <w:vAlign w:val="center"/>
          </w:tcPr>
          <w:p w14:paraId="42FF49FC" w14:textId="25C76D14"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shd w:val="clear" w:color="auto" w:fill="E6E6E6"/>
                <w:lang w:val="sk-SK"/>
              </w:rPr>
              <w:t>6.2</w:t>
            </w:r>
            <w:r w:rsidRPr="003F23AC">
              <w:rPr>
                <w:rFonts w:ascii="Times New Roman" w:hAnsi="Times New Roman" w:cs="Times New Roman"/>
                <w:noProof/>
                <w:lang w:val="sk-SK"/>
              </w:rPr>
              <w:t>5</w:t>
            </w:r>
          </w:p>
        </w:tc>
        <w:tc>
          <w:tcPr>
            <w:tcW w:w="1276" w:type="dxa"/>
            <w:shd w:val="clear" w:color="auto" w:fill="C4EFCE"/>
            <w:noWrap/>
            <w:tcMar>
              <w:left w:w="28" w:type="dxa"/>
              <w:right w:w="28" w:type="dxa"/>
            </w:tcMar>
            <w:vAlign w:val="center"/>
          </w:tcPr>
          <w:p w14:paraId="56C60FE1" w14:textId="7EFBA6F5"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C06-i07</w:t>
            </w:r>
          </w:p>
        </w:tc>
        <w:tc>
          <w:tcPr>
            <w:tcW w:w="1134" w:type="dxa"/>
            <w:shd w:val="clear" w:color="auto" w:fill="C4EFCE"/>
            <w:noWrap/>
            <w:tcMar>
              <w:left w:w="28" w:type="dxa"/>
              <w:right w:w="28" w:type="dxa"/>
            </w:tcMar>
            <w:vAlign w:val="center"/>
          </w:tcPr>
          <w:p w14:paraId="075C0195" w14:textId="123BBC63" w:rsidR="00387C70" w:rsidRPr="003F23AC" w:rsidRDefault="00C32C63"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6FB5789C" w14:textId="58413CA3"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Inovácia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pedagogická modernizácia vysokoškolského vzdelávania</w:t>
            </w:r>
          </w:p>
        </w:tc>
        <w:tc>
          <w:tcPr>
            <w:tcW w:w="1275" w:type="dxa"/>
            <w:shd w:val="clear" w:color="auto" w:fill="C4EFCE"/>
            <w:noWrap/>
            <w:tcMar>
              <w:left w:w="28" w:type="dxa"/>
              <w:right w:w="28" w:type="dxa"/>
            </w:tcMar>
            <w:vAlign w:val="center"/>
          </w:tcPr>
          <w:p w14:paraId="1FE0DD74"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808" w:type="dxa"/>
            <w:shd w:val="clear" w:color="auto" w:fill="C4EFCE"/>
            <w:noWrap/>
            <w:tcMar>
              <w:left w:w="28" w:type="dxa"/>
              <w:right w:w="28" w:type="dxa"/>
            </w:tcMar>
            <w:vAlign w:val="center"/>
          </w:tcPr>
          <w:p w14:paraId="109C6A75" w14:textId="6DC07688"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Percentuálny podiel</w:t>
            </w:r>
          </w:p>
        </w:tc>
        <w:tc>
          <w:tcPr>
            <w:tcW w:w="1177" w:type="dxa"/>
            <w:shd w:val="clear" w:color="auto" w:fill="C4EFCE"/>
            <w:noWrap/>
            <w:tcMar>
              <w:left w:w="28" w:type="dxa"/>
              <w:right w:w="28" w:type="dxa"/>
            </w:tcMar>
            <w:vAlign w:val="center"/>
          </w:tcPr>
          <w:p w14:paraId="5BACD0A3" w14:textId="2B76B72B"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24</w:t>
            </w:r>
          </w:p>
        </w:tc>
        <w:tc>
          <w:tcPr>
            <w:tcW w:w="850" w:type="dxa"/>
            <w:shd w:val="clear" w:color="auto" w:fill="C4EFCE"/>
            <w:noWrap/>
            <w:tcMar>
              <w:left w:w="28" w:type="dxa"/>
              <w:right w:w="28" w:type="dxa"/>
            </w:tcMar>
            <w:vAlign w:val="center"/>
          </w:tcPr>
          <w:p w14:paraId="0FCCD7A8" w14:textId="17E68BD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22</w:t>
            </w:r>
          </w:p>
        </w:tc>
        <w:tc>
          <w:tcPr>
            <w:tcW w:w="771" w:type="dxa"/>
            <w:shd w:val="clear" w:color="auto" w:fill="C4EFCE"/>
            <w:noWrap/>
            <w:tcMar>
              <w:left w:w="28" w:type="dxa"/>
              <w:right w:w="28" w:type="dxa"/>
            </w:tcMar>
            <w:vAlign w:val="center"/>
          </w:tcPr>
          <w:p w14:paraId="407A04B9" w14:textId="1CD11E40"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 štvrťrok</w:t>
            </w:r>
            <w:r w:rsidR="000F5AA4" w:rsidRPr="003F23AC">
              <w:rPr>
                <w:rFonts w:ascii="Times New Roman" w:hAnsi="Times New Roman" w:cs="Times New Roman"/>
                <w:noProof/>
                <w:lang w:val="sk-SK"/>
              </w:rPr>
              <w:t xml:space="preserve"> </w:t>
            </w:r>
          </w:p>
        </w:tc>
        <w:tc>
          <w:tcPr>
            <w:tcW w:w="504" w:type="dxa"/>
            <w:shd w:val="clear" w:color="auto" w:fill="C4EFCE"/>
            <w:noWrap/>
            <w:tcMar>
              <w:left w:w="28" w:type="dxa"/>
              <w:right w:w="28" w:type="dxa"/>
            </w:tcMar>
            <w:vAlign w:val="center"/>
          </w:tcPr>
          <w:p w14:paraId="24140BFE" w14:textId="49106AB4"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2026</w:t>
            </w:r>
          </w:p>
        </w:tc>
        <w:tc>
          <w:tcPr>
            <w:tcW w:w="4395" w:type="dxa"/>
            <w:shd w:val="clear" w:color="auto" w:fill="C4EFCE"/>
            <w:tcMar>
              <w:left w:w="28" w:type="dxa"/>
              <w:right w:w="28" w:type="dxa"/>
            </w:tcMar>
            <w:vAlign w:val="center"/>
          </w:tcPr>
          <w:p w14:paraId="301CE07F" w14:textId="6EFD1CFF"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Priemerná miera predčasného ukončenia školskej dochádzky študentov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prvom ročníku a</w:t>
            </w:r>
            <w:r w:rsidRPr="003F23AC">
              <w:rPr>
                <w:rFonts w:ascii="Times New Roman" w:hAnsi="Times New Roman" w:cs="Times New Roman"/>
                <w:noProof/>
                <w:vertAlign w:val="superscript"/>
                <w:lang w:val="sk-SK"/>
              </w:rPr>
              <w:t>študentov</w:t>
            </w:r>
            <w:r w:rsidRPr="003F23AC">
              <w:rPr>
                <w:rFonts w:ascii="Times New Roman" w:hAnsi="Times New Roman" w:cs="Times New Roman"/>
                <w:noProof/>
                <w:lang w:val="sk-SK"/>
              </w:rPr>
              <w:t>, ktorí sa prvýkrát zúčastňujú na počiatočnej odbornej príprave, sa zníži</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24</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na 22</w:t>
            </w:r>
            <w:r w:rsidR="00A75B3C" w:rsidRPr="003F23AC">
              <w:rPr>
                <w:rFonts w:ascii="Times New Roman" w:hAnsi="Times New Roman" w:cs="Times New Roman"/>
                <w:noProof/>
                <w:lang w:val="sk-SK"/>
              </w:rPr>
              <w:t> % v </w:t>
            </w:r>
            <w:r w:rsidRPr="003F23AC">
              <w:rPr>
                <w:rFonts w:ascii="Times New Roman" w:hAnsi="Times New Roman" w:cs="Times New Roman"/>
                <w:noProof/>
                <w:lang w:val="sk-SK"/>
              </w:rPr>
              <w:t xml:space="preserve">porovnaní so školským rokom 2020/2021. </w:t>
            </w:r>
          </w:p>
        </w:tc>
      </w:tr>
      <w:tr w:rsidR="00387C70" w:rsidRPr="003F23AC" w14:paraId="1B6CC263" w14:textId="77777777" w:rsidTr="00A26F8D">
        <w:trPr>
          <w:trHeight w:val="1200"/>
        </w:trPr>
        <w:tc>
          <w:tcPr>
            <w:tcW w:w="1135" w:type="dxa"/>
            <w:shd w:val="clear" w:color="auto" w:fill="C5EFCE"/>
            <w:tcMar>
              <w:left w:w="28" w:type="dxa"/>
              <w:right w:w="28" w:type="dxa"/>
            </w:tcMar>
            <w:vAlign w:val="center"/>
          </w:tcPr>
          <w:p w14:paraId="17852A2F" w14:textId="4BC71954"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6.26</w:t>
            </w:r>
          </w:p>
        </w:tc>
        <w:tc>
          <w:tcPr>
            <w:tcW w:w="1276" w:type="dxa"/>
            <w:shd w:val="clear" w:color="auto" w:fill="C4EFCE"/>
            <w:noWrap/>
            <w:tcMar>
              <w:left w:w="28" w:type="dxa"/>
              <w:right w:w="28" w:type="dxa"/>
            </w:tcMar>
            <w:vAlign w:val="center"/>
          </w:tcPr>
          <w:p w14:paraId="6AB0021F" w14:textId="3338422C" w:rsidR="00387C70" w:rsidRPr="003F23AC" w:rsidRDefault="00F218FC" w:rsidP="003F23AC">
            <w:pPr>
              <w:pStyle w:val="P68B1DB1-Normal12"/>
              <w:spacing w:after="0" w:line="240" w:lineRule="auto"/>
              <w:jc w:val="center"/>
              <w:rPr>
                <w:rFonts w:ascii="Times New Roman" w:hAnsi="Times New Roman" w:cs="Times New Roman"/>
                <w:noProof/>
                <w:highlight w:val="yellow"/>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C06-i08-RAM</w:t>
            </w:r>
          </w:p>
        </w:tc>
        <w:tc>
          <w:tcPr>
            <w:tcW w:w="1134" w:type="dxa"/>
            <w:shd w:val="clear" w:color="auto" w:fill="C4EFCE"/>
            <w:noWrap/>
            <w:tcMar>
              <w:left w:w="28" w:type="dxa"/>
              <w:right w:w="28" w:type="dxa"/>
            </w:tcMar>
            <w:vAlign w:val="center"/>
          </w:tcPr>
          <w:p w14:paraId="7D4E502D" w14:textId="257DAB64" w:rsidR="00387C70" w:rsidRPr="003F23AC" w:rsidRDefault="000F5AA4" w:rsidP="003F23AC">
            <w:pPr>
              <w:pStyle w:val="P68B1DB1-Normal12"/>
              <w:spacing w:after="0" w:line="240" w:lineRule="auto"/>
              <w:jc w:val="center"/>
              <w:rPr>
                <w:rFonts w:ascii="Times New Roman" w:hAnsi="Times New Roman" w:cs="Times New Roman"/>
                <w:noProof/>
                <w:highlight w:val="yellow"/>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4066C449" w14:textId="17CD1875" w:rsidR="00387C70" w:rsidRPr="003F23AC" w:rsidRDefault="000F5AA4" w:rsidP="003F23AC">
            <w:pPr>
              <w:pStyle w:val="P68B1DB1-Normal12"/>
              <w:spacing w:after="0" w:line="240" w:lineRule="auto"/>
              <w:jc w:val="center"/>
              <w:rPr>
                <w:rFonts w:ascii="Times New Roman" w:hAnsi="Times New Roman" w:cs="Times New Roman"/>
                <w:noProof/>
                <w:highlight w:val="yellow"/>
                <w:lang w:val="sk-SK"/>
              </w:rPr>
            </w:pPr>
            <w:r w:rsidRPr="003F23AC">
              <w:rPr>
                <w:rFonts w:ascii="Times New Roman" w:hAnsi="Times New Roman" w:cs="Times New Roman"/>
                <w:noProof/>
                <w:lang w:val="sk-SK"/>
              </w:rPr>
              <w:t>Podpísaná zmluva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rozšírení budovy CITMA</w:t>
            </w:r>
          </w:p>
        </w:tc>
        <w:tc>
          <w:tcPr>
            <w:tcW w:w="1275" w:type="dxa"/>
            <w:shd w:val="clear" w:color="auto" w:fill="C4EFCE"/>
            <w:noWrap/>
            <w:tcMar>
              <w:left w:w="28" w:type="dxa"/>
              <w:right w:w="28" w:type="dxa"/>
            </w:tcMar>
            <w:vAlign w:val="center"/>
          </w:tcPr>
          <w:p w14:paraId="4184FAC3" w14:textId="71EF9A6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Zmluva podpísaná</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dodávateľom</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rozšírení budovy CITMA</w:t>
            </w:r>
          </w:p>
        </w:tc>
        <w:tc>
          <w:tcPr>
            <w:tcW w:w="808" w:type="dxa"/>
            <w:shd w:val="clear" w:color="auto" w:fill="C4EFCE"/>
            <w:noWrap/>
            <w:tcMar>
              <w:left w:w="28" w:type="dxa"/>
              <w:right w:w="28" w:type="dxa"/>
            </w:tcMar>
            <w:vAlign w:val="center"/>
          </w:tcPr>
          <w:p w14:paraId="2594E74E" w14:textId="77777777" w:rsidR="00387C70" w:rsidRPr="003F23AC" w:rsidRDefault="00387C70" w:rsidP="003F23AC">
            <w:pPr>
              <w:spacing w:after="0" w:line="240" w:lineRule="auto"/>
              <w:jc w:val="center"/>
              <w:rPr>
                <w:rFonts w:ascii="Times New Roman" w:hAnsi="Times New Roman" w:cs="Times New Roman"/>
                <w:noProof/>
                <w:sz w:val="16"/>
                <w:highlight w:val="yellow"/>
                <w:lang w:val="sk-SK"/>
              </w:rPr>
            </w:pPr>
          </w:p>
        </w:tc>
        <w:tc>
          <w:tcPr>
            <w:tcW w:w="1177" w:type="dxa"/>
            <w:shd w:val="clear" w:color="auto" w:fill="C4EFCE"/>
            <w:noWrap/>
            <w:tcMar>
              <w:left w:w="28" w:type="dxa"/>
              <w:right w:w="28" w:type="dxa"/>
            </w:tcMar>
            <w:vAlign w:val="center"/>
          </w:tcPr>
          <w:p w14:paraId="5C7A545B" w14:textId="77777777" w:rsidR="00387C70" w:rsidRPr="003F23AC" w:rsidRDefault="00387C70" w:rsidP="003F23AC">
            <w:pPr>
              <w:spacing w:after="0" w:line="240" w:lineRule="auto"/>
              <w:jc w:val="center"/>
              <w:rPr>
                <w:rFonts w:ascii="Times New Roman" w:hAnsi="Times New Roman" w:cs="Times New Roman"/>
                <w:noProof/>
                <w:sz w:val="16"/>
                <w:highlight w:val="yellow"/>
                <w:lang w:val="sk-SK"/>
              </w:rPr>
            </w:pPr>
          </w:p>
        </w:tc>
        <w:tc>
          <w:tcPr>
            <w:tcW w:w="850" w:type="dxa"/>
            <w:shd w:val="clear" w:color="auto" w:fill="C4EFCE"/>
            <w:noWrap/>
            <w:tcMar>
              <w:left w:w="28" w:type="dxa"/>
              <w:right w:w="28" w:type="dxa"/>
            </w:tcMar>
            <w:vAlign w:val="center"/>
          </w:tcPr>
          <w:p w14:paraId="5C0309AA" w14:textId="77777777" w:rsidR="00387C70" w:rsidRPr="003F23AC" w:rsidRDefault="00387C70" w:rsidP="003F23AC">
            <w:pPr>
              <w:spacing w:after="0" w:line="240" w:lineRule="auto"/>
              <w:jc w:val="center"/>
              <w:rPr>
                <w:rFonts w:ascii="Times New Roman" w:hAnsi="Times New Roman" w:cs="Times New Roman"/>
                <w:noProof/>
                <w:sz w:val="16"/>
                <w:highlight w:val="yellow"/>
                <w:lang w:val="sk-SK"/>
              </w:rPr>
            </w:pPr>
          </w:p>
        </w:tc>
        <w:tc>
          <w:tcPr>
            <w:tcW w:w="771" w:type="dxa"/>
            <w:shd w:val="clear" w:color="auto" w:fill="C4EFCE"/>
            <w:noWrap/>
            <w:tcMar>
              <w:left w:w="28" w:type="dxa"/>
              <w:right w:w="28" w:type="dxa"/>
            </w:tcMar>
            <w:vAlign w:val="center"/>
          </w:tcPr>
          <w:p w14:paraId="7B969A18" w14:textId="56DDF152" w:rsidR="00387C70" w:rsidRPr="003F23AC" w:rsidRDefault="00FF0A91" w:rsidP="003F23AC">
            <w:pPr>
              <w:pStyle w:val="P68B1DB1-Normal12"/>
              <w:spacing w:after="0" w:line="240" w:lineRule="auto"/>
              <w:jc w:val="center"/>
              <w:rPr>
                <w:rFonts w:ascii="Times New Roman" w:hAnsi="Times New Roman" w:cs="Times New Roman"/>
                <w:noProof/>
                <w:highlight w:val="yellow"/>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tcPr>
          <w:p w14:paraId="5BA274AA" w14:textId="7294986B" w:rsidR="00387C70" w:rsidRPr="003F23AC" w:rsidRDefault="000F5AA4" w:rsidP="003F23AC">
            <w:pPr>
              <w:pStyle w:val="P68B1DB1-Normal12"/>
              <w:spacing w:after="0" w:line="240" w:lineRule="auto"/>
              <w:jc w:val="center"/>
              <w:rPr>
                <w:rFonts w:ascii="Times New Roman" w:hAnsi="Times New Roman" w:cs="Times New Roman"/>
                <w:noProof/>
                <w:highlight w:val="yellow"/>
                <w:lang w:val="sk-SK"/>
              </w:rPr>
            </w:pPr>
            <w:r w:rsidRPr="003F23AC">
              <w:rPr>
                <w:rFonts w:ascii="Times New Roman" w:hAnsi="Times New Roman" w:cs="Times New Roman"/>
                <w:noProof/>
                <w:lang w:val="sk-SK"/>
              </w:rPr>
              <w:t>2024</w:t>
            </w:r>
          </w:p>
        </w:tc>
        <w:tc>
          <w:tcPr>
            <w:tcW w:w="4395" w:type="dxa"/>
            <w:shd w:val="clear" w:color="auto" w:fill="C4EFCE"/>
            <w:tcMar>
              <w:left w:w="28" w:type="dxa"/>
              <w:right w:w="28" w:type="dxa"/>
            </w:tcMar>
          </w:tcPr>
          <w:p w14:paraId="026297F8" w14:textId="588FAF64" w:rsidR="00387C70" w:rsidRPr="003F23AC" w:rsidRDefault="000F5AA4" w:rsidP="003F23AC">
            <w:pPr>
              <w:pStyle w:val="P68B1DB1-Bodytext1013"/>
              <w:spacing w:line="240" w:lineRule="auto"/>
              <w:jc w:val="both"/>
              <w:rPr>
                <w:rFonts w:ascii="Times New Roman" w:hAnsi="Times New Roman" w:cs="Times New Roman"/>
                <w:noProof/>
                <w:lang w:val="sk-SK"/>
              </w:rPr>
            </w:pPr>
            <w:r w:rsidRPr="003F23AC">
              <w:rPr>
                <w:rFonts w:ascii="Times New Roman" w:hAnsi="Times New Roman" w:cs="Times New Roman"/>
                <w:noProof/>
                <w:lang w:val="sk-SK"/>
              </w:rPr>
              <w:t>Podpísaná zmluva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rozšírení budovy Vedeckého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technologického centra Madeiry (CITMA). Rozšírenie pozostáva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pridania troch poschodí</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súčasnej budove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rozšírenia prízemia. Budova sa prispôsobí potrebám osôb so zníženou pohyblivosťou.</w:t>
            </w:r>
          </w:p>
        </w:tc>
      </w:tr>
      <w:tr w:rsidR="00387C70" w:rsidRPr="003F23AC" w14:paraId="26661FA7" w14:textId="77777777" w:rsidTr="00A26F8D">
        <w:trPr>
          <w:trHeight w:val="640"/>
        </w:trPr>
        <w:tc>
          <w:tcPr>
            <w:tcW w:w="1135" w:type="dxa"/>
            <w:shd w:val="clear" w:color="auto" w:fill="C5EFCE"/>
            <w:tcMar>
              <w:left w:w="28" w:type="dxa"/>
              <w:right w:w="28" w:type="dxa"/>
            </w:tcMar>
            <w:vAlign w:val="center"/>
          </w:tcPr>
          <w:p w14:paraId="16FCC56E" w14:textId="432F4705"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6.27</w:t>
            </w:r>
          </w:p>
        </w:tc>
        <w:tc>
          <w:tcPr>
            <w:tcW w:w="1276" w:type="dxa"/>
            <w:shd w:val="clear" w:color="auto" w:fill="C4EFCE"/>
            <w:noWrap/>
            <w:tcMar>
              <w:left w:w="28" w:type="dxa"/>
              <w:right w:w="28" w:type="dxa"/>
            </w:tcMar>
            <w:vAlign w:val="center"/>
          </w:tcPr>
          <w:p w14:paraId="7A2ED63D" w14:textId="52416B50" w:rsidR="00387C70" w:rsidRPr="003F23AC" w:rsidRDefault="00F218FC" w:rsidP="003F23AC">
            <w:pPr>
              <w:pStyle w:val="P68B1DB1-Normal12"/>
              <w:spacing w:after="0" w:line="240" w:lineRule="auto"/>
              <w:jc w:val="center"/>
              <w:rPr>
                <w:rFonts w:ascii="Times New Roman" w:hAnsi="Times New Roman" w:cs="Times New Roman"/>
                <w:noProof/>
                <w:highlight w:val="yellow"/>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C06-i08-RAM</w:t>
            </w:r>
          </w:p>
        </w:tc>
        <w:tc>
          <w:tcPr>
            <w:tcW w:w="1134" w:type="dxa"/>
            <w:shd w:val="clear" w:color="auto" w:fill="C4EFCE"/>
            <w:noWrap/>
            <w:tcMar>
              <w:left w:w="28" w:type="dxa"/>
              <w:right w:w="28" w:type="dxa"/>
            </w:tcMar>
            <w:vAlign w:val="center"/>
          </w:tcPr>
          <w:p w14:paraId="71DDD4B9" w14:textId="39C25ABD" w:rsidR="00387C70" w:rsidRPr="003F23AC" w:rsidRDefault="00C32C63" w:rsidP="003F23AC">
            <w:pPr>
              <w:pStyle w:val="P68B1DB1-Normal12"/>
              <w:spacing w:after="0" w:line="240" w:lineRule="auto"/>
              <w:jc w:val="center"/>
              <w:rPr>
                <w:rFonts w:ascii="Times New Roman" w:hAnsi="Times New Roman" w:cs="Times New Roman"/>
                <w:noProof/>
                <w:highlight w:val="yellow"/>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6636B311" w14:textId="0722EF78" w:rsidR="00387C70" w:rsidRPr="003F23AC" w:rsidRDefault="000F5AA4" w:rsidP="003F23AC">
            <w:pPr>
              <w:pStyle w:val="P68B1DB1-Normal12"/>
              <w:spacing w:after="0" w:line="240" w:lineRule="auto"/>
              <w:jc w:val="center"/>
              <w:rPr>
                <w:rFonts w:ascii="Times New Roman" w:hAnsi="Times New Roman" w:cs="Times New Roman"/>
                <w:noProof/>
                <w:highlight w:val="yellow"/>
                <w:lang w:val="sk-SK"/>
              </w:rPr>
            </w:pPr>
            <w:r w:rsidRPr="003F23AC">
              <w:rPr>
                <w:rFonts w:ascii="Times New Roman" w:hAnsi="Times New Roman" w:cs="Times New Roman"/>
                <w:noProof/>
                <w:lang w:val="sk-SK"/>
              </w:rPr>
              <w:t>Dokončenie rozšírenia budovy CITMA</w:t>
            </w:r>
          </w:p>
        </w:tc>
        <w:tc>
          <w:tcPr>
            <w:tcW w:w="1275" w:type="dxa"/>
            <w:shd w:val="clear" w:color="auto" w:fill="C4EFCE"/>
            <w:noWrap/>
            <w:tcMar>
              <w:left w:w="28" w:type="dxa"/>
              <w:right w:w="28" w:type="dxa"/>
            </w:tcMar>
            <w:vAlign w:val="center"/>
          </w:tcPr>
          <w:p w14:paraId="5B8088BD"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808" w:type="dxa"/>
            <w:shd w:val="clear" w:color="auto" w:fill="C4EFCE"/>
            <w:noWrap/>
            <w:tcMar>
              <w:left w:w="28" w:type="dxa"/>
              <w:right w:w="28" w:type="dxa"/>
            </w:tcMar>
            <w:vAlign w:val="center"/>
          </w:tcPr>
          <w:p w14:paraId="6D0A9446" w14:textId="77152A4E" w:rsidR="00387C70" w:rsidRPr="003F23AC" w:rsidRDefault="000F5AA4" w:rsidP="003F23AC">
            <w:pPr>
              <w:pStyle w:val="P68B1DB1-Normal12"/>
              <w:spacing w:after="0" w:line="240" w:lineRule="auto"/>
              <w:jc w:val="center"/>
              <w:rPr>
                <w:rFonts w:ascii="Times New Roman" w:hAnsi="Times New Roman" w:cs="Times New Roman"/>
                <w:noProof/>
                <w:highlight w:val="yellow"/>
                <w:lang w:val="sk-SK"/>
              </w:rPr>
            </w:pPr>
            <w:r w:rsidRPr="003F23AC">
              <w:rPr>
                <w:rFonts w:ascii="Times New Roman" w:hAnsi="Times New Roman" w:cs="Times New Roman"/>
                <w:noProof/>
                <w:lang w:val="sk-SK"/>
              </w:rPr>
              <w:t>m² (brutto)</w:t>
            </w:r>
          </w:p>
        </w:tc>
        <w:tc>
          <w:tcPr>
            <w:tcW w:w="1177" w:type="dxa"/>
            <w:shd w:val="clear" w:color="auto" w:fill="C4EFCE"/>
            <w:noWrap/>
            <w:tcMar>
              <w:left w:w="28" w:type="dxa"/>
              <w:right w:w="28" w:type="dxa"/>
            </w:tcMar>
            <w:vAlign w:val="center"/>
          </w:tcPr>
          <w:p w14:paraId="49E7248F" w14:textId="0204F5B0" w:rsidR="00387C70" w:rsidRPr="003F23AC" w:rsidRDefault="000F5AA4" w:rsidP="003F23AC">
            <w:pPr>
              <w:pStyle w:val="P68B1DB1-Normal12"/>
              <w:spacing w:after="0" w:line="240" w:lineRule="auto"/>
              <w:jc w:val="center"/>
              <w:rPr>
                <w:rFonts w:ascii="Times New Roman" w:hAnsi="Times New Roman" w:cs="Times New Roman"/>
                <w:noProof/>
                <w:highlight w:val="yellow"/>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tcPr>
          <w:p w14:paraId="437267C7" w14:textId="13522473" w:rsidR="00387C70" w:rsidRPr="003F23AC" w:rsidRDefault="000F5AA4" w:rsidP="003F23AC">
            <w:pPr>
              <w:pStyle w:val="P68B1DB1-Normal12"/>
              <w:spacing w:after="0" w:line="240" w:lineRule="auto"/>
              <w:jc w:val="center"/>
              <w:rPr>
                <w:rFonts w:ascii="Times New Roman" w:hAnsi="Times New Roman" w:cs="Times New Roman"/>
                <w:noProof/>
                <w:highlight w:val="yellow"/>
                <w:lang w:val="sk-SK"/>
              </w:rPr>
            </w:pPr>
            <w:r w:rsidRPr="003F23AC">
              <w:rPr>
                <w:rFonts w:ascii="Times New Roman" w:hAnsi="Times New Roman" w:cs="Times New Roman"/>
                <w:noProof/>
                <w:lang w:val="sk-SK"/>
              </w:rPr>
              <w:t>9.030</w:t>
            </w:r>
          </w:p>
        </w:tc>
        <w:tc>
          <w:tcPr>
            <w:tcW w:w="771" w:type="dxa"/>
            <w:shd w:val="clear" w:color="auto" w:fill="C4EFCE"/>
            <w:noWrap/>
            <w:tcMar>
              <w:left w:w="28" w:type="dxa"/>
              <w:right w:w="28" w:type="dxa"/>
            </w:tcMar>
            <w:vAlign w:val="center"/>
          </w:tcPr>
          <w:p w14:paraId="1704115E" w14:textId="2A6E14E3" w:rsidR="00387C70" w:rsidRPr="003F23AC" w:rsidRDefault="00FF0A91" w:rsidP="003F23AC">
            <w:pPr>
              <w:pStyle w:val="P68B1DB1-Normal12"/>
              <w:spacing w:after="0" w:line="240" w:lineRule="auto"/>
              <w:jc w:val="center"/>
              <w:rPr>
                <w:rFonts w:ascii="Times New Roman" w:hAnsi="Times New Roman" w:cs="Times New Roman"/>
                <w:noProof/>
                <w:highlight w:val="yellow"/>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121AEEFC" w14:textId="164B71B5" w:rsidR="00387C70" w:rsidRPr="003F23AC" w:rsidRDefault="000F5AA4" w:rsidP="003F23AC">
            <w:pPr>
              <w:pStyle w:val="P68B1DB1-Normal12"/>
              <w:spacing w:after="0" w:line="240" w:lineRule="auto"/>
              <w:jc w:val="center"/>
              <w:rPr>
                <w:rFonts w:ascii="Times New Roman" w:hAnsi="Times New Roman" w:cs="Times New Roman"/>
                <w:noProof/>
                <w:highlight w:val="yellow"/>
                <w:lang w:val="sk-SK"/>
              </w:rPr>
            </w:pPr>
            <w:r w:rsidRPr="003F23AC">
              <w:rPr>
                <w:rFonts w:ascii="Times New Roman" w:hAnsi="Times New Roman" w:cs="Times New Roman"/>
                <w:noProof/>
                <w:lang w:val="sk-SK"/>
              </w:rPr>
              <w:t>2026</w:t>
            </w:r>
          </w:p>
        </w:tc>
        <w:tc>
          <w:tcPr>
            <w:tcW w:w="4395" w:type="dxa"/>
            <w:shd w:val="clear" w:color="auto" w:fill="C4EFCE"/>
            <w:tcMar>
              <w:left w:w="28" w:type="dxa"/>
              <w:right w:w="28" w:type="dxa"/>
            </w:tcMar>
          </w:tcPr>
          <w:p w14:paraId="757C9ED8" w14:textId="1CA0A600" w:rsidR="00A75B3C"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Dokončenie všetkých zmluvných prác súvisiacich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rozšírením budovy CITMA, ako sa uvádza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M6.26</w:t>
            </w:r>
            <w:r w:rsidR="00A75B3C" w:rsidRPr="003F23AC">
              <w:rPr>
                <w:rFonts w:ascii="Times New Roman" w:hAnsi="Times New Roman" w:cs="Times New Roman"/>
                <w:noProof/>
                <w:lang w:val="sk-SK"/>
              </w:rPr>
              <w:t>.</w:t>
            </w:r>
          </w:p>
          <w:p w14:paraId="2E4EF6FD" w14:textId="7CC288D1" w:rsidR="00387C70" w:rsidRPr="003F23AC" w:rsidRDefault="000F5AA4" w:rsidP="003F23AC">
            <w:pPr>
              <w:pStyle w:val="P68B1DB1-Bodytext1013"/>
              <w:spacing w:after="0" w:line="240" w:lineRule="auto"/>
              <w:jc w:val="both"/>
              <w:rPr>
                <w:rFonts w:ascii="Times New Roman" w:hAnsi="Times New Roman" w:cs="Times New Roman"/>
                <w:noProof/>
                <w:highlight w:val="yellow"/>
                <w:lang w:val="sk-SK"/>
              </w:rPr>
            </w:pPr>
            <w:r w:rsidRPr="003F23AC">
              <w:rPr>
                <w:rFonts w:ascii="Times New Roman" w:hAnsi="Times New Roman" w:cs="Times New Roman"/>
                <w:noProof/>
                <w:lang w:val="sk-SK"/>
              </w:rPr>
              <w:t>Spotreba primárnej energie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budove je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nižšia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bl>
    <w:p w14:paraId="703445A0"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E00EDD">
          <w:headerReference w:type="even" r:id="rId126"/>
          <w:headerReference w:type="default" r:id="rId127"/>
          <w:footerReference w:type="even" r:id="rId128"/>
          <w:footerReference w:type="default" r:id="rId129"/>
          <w:headerReference w:type="first" r:id="rId130"/>
          <w:footerReference w:type="first" r:id="rId131"/>
          <w:pgSz w:w="16839" w:h="11907" w:orient="landscape"/>
          <w:pgMar w:top="1134" w:right="1134" w:bottom="1134" w:left="1134" w:header="567" w:footer="567" w:gutter="0"/>
          <w:cols w:space="720"/>
          <w:docGrid w:linePitch="360"/>
        </w:sectPr>
      </w:pPr>
    </w:p>
    <w:p w14:paraId="0B57B546" w14:textId="326F02A4" w:rsidR="00387C70" w:rsidRPr="003F23AC" w:rsidRDefault="000F5AA4" w:rsidP="003F23AC">
      <w:pPr>
        <w:pStyle w:val="P68B1DB1-Normal3"/>
        <w:spacing w:before="40" w:after="120" w:line="259" w:lineRule="auto"/>
        <w:ind w:left="130" w:firstLine="720"/>
        <w:jc w:val="both"/>
        <w:outlineLvl w:val="2"/>
        <w:rPr>
          <w:rFonts w:eastAsiaTheme="minorEastAsia" w:cs="Times New Roman"/>
          <w:noProof/>
          <w:lang w:val="sk-SK"/>
        </w:rPr>
      </w:pPr>
      <w:r w:rsidRPr="003F23AC">
        <w:rPr>
          <w:rFonts w:cs="Times New Roman"/>
          <w:noProof/>
          <w:lang w:val="sk-SK"/>
        </w:rPr>
        <w:t>F.3.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úverového financovania</w:t>
      </w:r>
    </w:p>
    <w:p w14:paraId="4E706AE3" w14:textId="4DA0BAD4" w:rsidR="00387C70" w:rsidRPr="003F23AC" w:rsidRDefault="000F5AA4" w:rsidP="003F23AC">
      <w:pPr>
        <w:pStyle w:val="P68B1DB1-Heading214"/>
        <w:keepNext w:val="0"/>
        <w:rPr>
          <w:noProof/>
          <w:lang w:val="sk-SK"/>
        </w:rPr>
      </w:pPr>
      <w:bookmarkStart w:id="21" w:name="_Toc137472455"/>
      <w:r w:rsidRPr="003F23AC">
        <w:rPr>
          <w:noProof/>
          <w:lang w:val="sk-SK"/>
        </w:rPr>
        <w:t>Investície RE-C06-i09: Nové alebo renovované školy</w:t>
      </w:r>
      <w:bookmarkEnd w:id="21"/>
    </w:p>
    <w:p w14:paraId="49C17223" w14:textId="3D59C7D7" w:rsidR="00387C70" w:rsidRPr="003F23AC" w:rsidRDefault="000F5AA4" w:rsidP="003F23AC">
      <w:pPr>
        <w:pStyle w:val="P68B1DB1-Normal4"/>
        <w:spacing w:after="0" w:line="259" w:lineRule="auto"/>
        <w:jc w:val="both"/>
        <w:rPr>
          <w:rFonts w:cs="Times New Roman"/>
          <w:noProof/>
          <w:lang w:val="sk-SK"/>
        </w:rPr>
      </w:pPr>
      <w:r w:rsidRPr="003F23AC">
        <w:rPr>
          <w:rFonts w:cs="Times New Roman"/>
          <w:noProof/>
          <w:lang w:val="sk-SK"/>
        </w:rPr>
        <w:t>Cieľom opatrenia je zabezpečiť rovnaký prístup ku kvalitným verejným školám,</w:t>
      </w:r>
      <w:r w:rsidR="00A75B3C" w:rsidRPr="003F23AC">
        <w:rPr>
          <w:rFonts w:cs="Times New Roman"/>
          <w:noProof/>
          <w:lang w:val="sk-SK"/>
        </w:rPr>
        <w:t xml:space="preserve"> a </w:t>
      </w:r>
      <w:r w:rsidRPr="003F23AC">
        <w:rPr>
          <w:rFonts w:cs="Times New Roman"/>
          <w:noProof/>
          <w:lang w:val="sk-SK"/>
        </w:rPr>
        <w:t>tým zvýšiť ich atraktívnosť</w:t>
      </w:r>
      <w:r w:rsidR="00A75B3C" w:rsidRPr="003F23AC">
        <w:rPr>
          <w:rFonts w:cs="Times New Roman"/>
          <w:noProof/>
          <w:lang w:val="sk-SK"/>
        </w:rPr>
        <w:t xml:space="preserve"> a </w:t>
      </w:r>
      <w:r w:rsidRPr="003F23AC">
        <w:rPr>
          <w:rFonts w:cs="Times New Roman"/>
          <w:noProof/>
          <w:lang w:val="sk-SK"/>
        </w:rPr>
        <w:t>inkluzívnosť</w:t>
      </w:r>
      <w:r w:rsidR="00A75B3C" w:rsidRPr="003F23AC">
        <w:rPr>
          <w:rFonts w:cs="Times New Roman"/>
          <w:noProof/>
          <w:lang w:val="sk-SK"/>
        </w:rPr>
        <w:t xml:space="preserve"> a </w:t>
      </w:r>
      <w:r w:rsidRPr="003F23AC">
        <w:rPr>
          <w:rFonts w:cs="Times New Roman"/>
          <w:noProof/>
          <w:lang w:val="sk-SK"/>
        </w:rPr>
        <w:t>znížiť územné rozdiely.</w:t>
      </w:r>
    </w:p>
    <w:p w14:paraId="18C57D2F" w14:textId="1658DBC4" w:rsidR="00A75B3C" w:rsidRPr="003F23AC" w:rsidRDefault="000F5AA4" w:rsidP="003F23AC">
      <w:pPr>
        <w:pStyle w:val="P68B1DB1-Normal4"/>
        <w:spacing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výstavby nových škôl alebo renovácie existujúcich škôl. Investície sa zamerajú na 75 základných</w:t>
      </w:r>
      <w:r w:rsidR="00A75B3C" w:rsidRPr="003F23AC">
        <w:rPr>
          <w:rFonts w:cs="Times New Roman"/>
          <w:noProof/>
          <w:lang w:val="sk-SK"/>
        </w:rPr>
        <w:t xml:space="preserve"> a </w:t>
      </w:r>
      <w:r w:rsidRPr="003F23AC">
        <w:rPr>
          <w:rFonts w:cs="Times New Roman"/>
          <w:noProof/>
          <w:lang w:val="sk-SK"/>
        </w:rPr>
        <w:t>stredných škôl, ktoré boli identifikované ako školy vyžadujúce si prioritný zásah</w:t>
      </w:r>
      <w:r w:rsidR="00A75B3C" w:rsidRPr="003F23AC">
        <w:rPr>
          <w:rFonts w:cs="Times New Roman"/>
          <w:noProof/>
          <w:lang w:val="sk-SK"/>
        </w:rPr>
        <w:t>.</w:t>
      </w:r>
    </w:p>
    <w:p w14:paraId="4983461D" w14:textId="55C03AE5" w:rsidR="00387C70" w:rsidRPr="003F23AC" w:rsidRDefault="000F5AA4" w:rsidP="003F23AC">
      <w:pPr>
        <w:pStyle w:val="P68B1DB1-Normal4"/>
        <w:spacing w:after="0" w:line="259" w:lineRule="auto"/>
        <w:jc w:val="both"/>
        <w:rPr>
          <w:rFonts w:cs="Times New Roman"/>
          <w:noProof/>
          <w:lang w:val="sk-SK"/>
        </w:rPr>
        <w:sectPr w:rsidR="00387C70" w:rsidRPr="003F23AC" w:rsidSect="00E00EDD">
          <w:headerReference w:type="even" r:id="rId132"/>
          <w:headerReference w:type="default" r:id="rId133"/>
          <w:footerReference w:type="even" r:id="rId134"/>
          <w:footerReference w:type="default" r:id="rId135"/>
          <w:headerReference w:type="first" r:id="rId136"/>
          <w:footerReference w:type="first" r:id="rId137"/>
          <w:pgSz w:w="11907" w:h="16839"/>
          <w:pgMar w:top="1134" w:right="1134" w:bottom="1134" w:left="1134" w:header="567" w:footer="567" w:gutter="0"/>
          <w:cols w:space="720"/>
          <w:docGrid w:linePitch="360"/>
        </w:sect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7558F518" w14:textId="52E247F4" w:rsidR="00387C70" w:rsidRPr="003F23AC" w:rsidRDefault="000F5AA4" w:rsidP="003F23AC">
      <w:pPr>
        <w:pStyle w:val="P68B1DB1-Normal3"/>
        <w:spacing w:before="40" w:after="120" w:line="259" w:lineRule="auto"/>
        <w:ind w:left="130" w:firstLine="720"/>
        <w:jc w:val="both"/>
        <w:outlineLvl w:val="2"/>
        <w:rPr>
          <w:rFonts w:eastAsiaTheme="minorEastAsia" w:cs="Times New Roman"/>
          <w:noProof/>
          <w:lang w:val="sk-SK"/>
        </w:rPr>
      </w:pPr>
      <w:r w:rsidRPr="003F23AC">
        <w:rPr>
          <w:rFonts w:cs="Times New Roman"/>
          <w:noProof/>
          <w:lang w:val="sk-SK"/>
        </w:rPr>
        <w:t>F.4.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w:t>
      </w:r>
      <w:r w:rsidR="00A75B3C" w:rsidRPr="003F23AC">
        <w:rPr>
          <w:rFonts w:cs="Times New Roman"/>
          <w:noProof/>
          <w:lang w:val="sk-SK"/>
        </w:rPr>
        <w:t xml:space="preserve"> v </w:t>
      </w:r>
      <w:r w:rsidRPr="003F23AC">
        <w:rPr>
          <w:rFonts w:cs="Times New Roman"/>
          <w:noProof/>
          <w:lang w:val="sk-SK"/>
        </w:rPr>
        <w:t>súvislosti</w:t>
      </w:r>
      <w:r w:rsidR="00A75B3C" w:rsidRPr="003F23AC">
        <w:rPr>
          <w:rFonts w:cs="Times New Roman"/>
          <w:noProof/>
          <w:lang w:val="sk-SK"/>
        </w:rPr>
        <w:t xml:space="preserve"> s </w:t>
      </w:r>
      <w:r w:rsidRPr="003F23AC">
        <w:rPr>
          <w:rFonts w:cs="Times New Roman"/>
          <w:noProof/>
          <w:lang w:val="sk-SK"/>
        </w:rPr>
        <w:t>úverom</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5"/>
        <w:gridCol w:w="1133"/>
        <w:gridCol w:w="1701"/>
        <w:gridCol w:w="1275"/>
        <w:gridCol w:w="771"/>
        <w:gridCol w:w="1021"/>
        <w:gridCol w:w="875"/>
        <w:gridCol w:w="6"/>
        <w:gridCol w:w="883"/>
        <w:gridCol w:w="691"/>
        <w:gridCol w:w="4261"/>
      </w:tblGrid>
      <w:tr w:rsidR="00387C70" w:rsidRPr="003F23AC" w14:paraId="35CBC765" w14:textId="77777777" w:rsidTr="009E4E5C">
        <w:trPr>
          <w:trHeight w:val="910"/>
        </w:trPr>
        <w:tc>
          <w:tcPr>
            <w:tcW w:w="1135" w:type="dxa"/>
            <w:vMerge w:val="restart"/>
            <w:shd w:val="clear" w:color="auto" w:fill="BDD6EE"/>
            <w:tcMar>
              <w:left w:w="28" w:type="dxa"/>
              <w:right w:w="28" w:type="dxa"/>
            </w:tcMar>
            <w:vAlign w:val="center"/>
            <w:hideMark/>
          </w:tcPr>
          <w:p w14:paraId="1828903B"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76" w:type="dxa"/>
            <w:vMerge w:val="restart"/>
            <w:shd w:val="clear" w:color="auto" w:fill="BDD6EE"/>
            <w:tcMar>
              <w:left w:w="28" w:type="dxa"/>
              <w:right w:w="28" w:type="dxa"/>
            </w:tcMar>
            <w:vAlign w:val="center"/>
            <w:hideMark/>
          </w:tcPr>
          <w:p w14:paraId="6731E7DF"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34" w:type="dxa"/>
            <w:vMerge w:val="restart"/>
            <w:shd w:val="clear" w:color="auto" w:fill="BDD6EE"/>
            <w:tcMar>
              <w:left w:w="28" w:type="dxa"/>
              <w:right w:w="28" w:type="dxa"/>
            </w:tcMar>
            <w:vAlign w:val="center"/>
            <w:hideMark/>
          </w:tcPr>
          <w:p w14:paraId="009937F2"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1701" w:type="dxa"/>
            <w:vMerge w:val="restart"/>
            <w:shd w:val="clear" w:color="auto" w:fill="BDD6EE"/>
            <w:tcMar>
              <w:left w:w="28" w:type="dxa"/>
              <w:right w:w="28" w:type="dxa"/>
            </w:tcMar>
            <w:vAlign w:val="center"/>
            <w:hideMark/>
          </w:tcPr>
          <w:p w14:paraId="110401E7"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275" w:type="dxa"/>
            <w:vMerge w:val="restart"/>
            <w:shd w:val="clear" w:color="auto" w:fill="BDD6EE"/>
            <w:tcMar>
              <w:left w:w="28" w:type="dxa"/>
              <w:right w:w="28" w:type="dxa"/>
            </w:tcMar>
            <w:vAlign w:val="center"/>
            <w:hideMark/>
          </w:tcPr>
          <w:p w14:paraId="61C9BD3B"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673" w:type="dxa"/>
            <w:gridSpan w:val="4"/>
            <w:shd w:val="clear" w:color="auto" w:fill="BDD6EE"/>
            <w:tcMar>
              <w:left w:w="28" w:type="dxa"/>
              <w:right w:w="28" w:type="dxa"/>
            </w:tcMar>
            <w:vAlign w:val="center"/>
            <w:hideMark/>
          </w:tcPr>
          <w:p w14:paraId="136D5C43"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574" w:type="dxa"/>
            <w:gridSpan w:val="2"/>
            <w:shd w:val="clear" w:color="auto" w:fill="BDD6EE"/>
            <w:tcMar>
              <w:left w:w="28" w:type="dxa"/>
              <w:right w:w="28" w:type="dxa"/>
            </w:tcMar>
            <w:vAlign w:val="center"/>
            <w:hideMark/>
          </w:tcPr>
          <w:p w14:paraId="65792DA3"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4258" w:type="dxa"/>
            <w:shd w:val="clear" w:color="auto" w:fill="BDD6EE"/>
            <w:noWrap/>
            <w:tcMar>
              <w:left w:w="28" w:type="dxa"/>
              <w:right w:w="28" w:type="dxa"/>
            </w:tcMar>
            <w:vAlign w:val="center"/>
            <w:hideMark/>
          </w:tcPr>
          <w:p w14:paraId="74D8A200" w14:textId="6EE39BF6"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0BB373E4" w14:textId="77777777" w:rsidTr="009E4E5C">
        <w:trPr>
          <w:trHeight w:val="470"/>
        </w:trPr>
        <w:tc>
          <w:tcPr>
            <w:tcW w:w="1135" w:type="dxa"/>
            <w:vMerge/>
            <w:tcMar>
              <w:left w:w="28" w:type="dxa"/>
              <w:right w:w="28" w:type="dxa"/>
            </w:tcMar>
            <w:vAlign w:val="center"/>
            <w:hideMark/>
          </w:tcPr>
          <w:p w14:paraId="65AD4F05"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6" w:type="dxa"/>
            <w:vMerge/>
            <w:tcMar>
              <w:left w:w="28" w:type="dxa"/>
              <w:right w:w="28" w:type="dxa"/>
            </w:tcMar>
            <w:vAlign w:val="center"/>
            <w:hideMark/>
          </w:tcPr>
          <w:p w14:paraId="44BD7125"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34" w:type="dxa"/>
            <w:vMerge/>
            <w:tcMar>
              <w:left w:w="28" w:type="dxa"/>
              <w:right w:w="28" w:type="dxa"/>
            </w:tcMar>
            <w:vAlign w:val="center"/>
            <w:hideMark/>
          </w:tcPr>
          <w:p w14:paraId="32AA7BB9" w14:textId="77777777"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701" w:type="dxa"/>
            <w:vMerge/>
            <w:tcMar>
              <w:left w:w="28" w:type="dxa"/>
              <w:right w:w="28" w:type="dxa"/>
            </w:tcMar>
            <w:vAlign w:val="center"/>
            <w:hideMark/>
          </w:tcPr>
          <w:p w14:paraId="51593588"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5" w:type="dxa"/>
            <w:vMerge/>
            <w:tcMar>
              <w:left w:w="28" w:type="dxa"/>
              <w:right w:w="28" w:type="dxa"/>
            </w:tcMar>
            <w:vAlign w:val="center"/>
            <w:hideMark/>
          </w:tcPr>
          <w:p w14:paraId="66678DA0"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771" w:type="dxa"/>
            <w:shd w:val="clear" w:color="auto" w:fill="BDD6EE"/>
            <w:tcMar>
              <w:left w:w="28" w:type="dxa"/>
              <w:right w:w="28" w:type="dxa"/>
            </w:tcMar>
            <w:vAlign w:val="center"/>
            <w:hideMark/>
          </w:tcPr>
          <w:p w14:paraId="2DB1308E"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1021" w:type="dxa"/>
            <w:shd w:val="clear" w:color="auto" w:fill="BDD6EE"/>
            <w:tcMar>
              <w:left w:w="28" w:type="dxa"/>
              <w:right w:w="28" w:type="dxa"/>
            </w:tcMar>
            <w:vAlign w:val="center"/>
            <w:hideMark/>
          </w:tcPr>
          <w:p w14:paraId="01A093FA" w14:textId="482283C1"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875" w:type="dxa"/>
            <w:shd w:val="clear" w:color="auto" w:fill="BDD6EE"/>
            <w:tcMar>
              <w:left w:w="28" w:type="dxa"/>
              <w:right w:w="28" w:type="dxa"/>
            </w:tcMar>
            <w:vAlign w:val="center"/>
            <w:hideMark/>
          </w:tcPr>
          <w:p w14:paraId="08598FE0" w14:textId="1FEB4A7B"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889" w:type="dxa"/>
            <w:gridSpan w:val="2"/>
            <w:shd w:val="clear" w:color="auto" w:fill="BDD6EE"/>
            <w:tcMar>
              <w:left w:w="28" w:type="dxa"/>
              <w:right w:w="28" w:type="dxa"/>
            </w:tcMar>
            <w:vAlign w:val="center"/>
            <w:hideMark/>
          </w:tcPr>
          <w:p w14:paraId="6EF144BD" w14:textId="62B14487"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687" w:type="dxa"/>
            <w:shd w:val="clear" w:color="auto" w:fill="BDD6EE"/>
            <w:tcMar>
              <w:left w:w="28" w:type="dxa"/>
              <w:right w:w="28" w:type="dxa"/>
            </w:tcMar>
            <w:vAlign w:val="center"/>
            <w:hideMark/>
          </w:tcPr>
          <w:p w14:paraId="38E6ED2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4262" w:type="dxa"/>
            <w:tcMar>
              <w:left w:w="28" w:type="dxa"/>
              <w:right w:w="28" w:type="dxa"/>
            </w:tcMar>
            <w:vAlign w:val="center"/>
            <w:hideMark/>
          </w:tcPr>
          <w:p w14:paraId="0E23BA6C"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9E4E5C" w:rsidRPr="003F23AC" w14:paraId="3D20A5EA" w14:textId="77777777" w:rsidTr="009E4E5C">
        <w:trPr>
          <w:trHeight w:val="640"/>
        </w:trPr>
        <w:tc>
          <w:tcPr>
            <w:tcW w:w="1135" w:type="dxa"/>
            <w:shd w:val="clear" w:color="auto" w:fill="C5EFCE"/>
            <w:tcMar>
              <w:left w:w="28" w:type="dxa"/>
              <w:right w:w="28" w:type="dxa"/>
            </w:tcMar>
            <w:vAlign w:val="center"/>
          </w:tcPr>
          <w:p w14:paraId="6A531982" w14:textId="77777777"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6.28</w:t>
            </w:r>
          </w:p>
        </w:tc>
        <w:tc>
          <w:tcPr>
            <w:tcW w:w="1276" w:type="dxa"/>
            <w:shd w:val="clear" w:color="auto" w:fill="C4EFCE"/>
            <w:noWrap/>
            <w:tcMar>
              <w:left w:w="28" w:type="dxa"/>
              <w:right w:w="28" w:type="dxa"/>
            </w:tcMar>
            <w:vAlign w:val="center"/>
          </w:tcPr>
          <w:p w14:paraId="110672C3" w14:textId="7E201354"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C06-i09</w:t>
            </w:r>
          </w:p>
        </w:tc>
        <w:tc>
          <w:tcPr>
            <w:tcW w:w="1134" w:type="dxa"/>
            <w:shd w:val="clear" w:color="auto" w:fill="C4EFCE"/>
            <w:noWrap/>
            <w:tcMar>
              <w:left w:w="28" w:type="dxa"/>
              <w:right w:w="28" w:type="dxa"/>
            </w:tcMar>
            <w:vAlign w:val="center"/>
          </w:tcPr>
          <w:p w14:paraId="3F6D50D9" w14:textId="12BB99C2" w:rsidR="00387C70" w:rsidRPr="003F23AC" w:rsidRDefault="00C32C63"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5FC35C89" w14:textId="20856222"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Podpísanie zmlúv na výstavbu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renováciu verejných škôl</w:t>
            </w:r>
          </w:p>
        </w:tc>
        <w:tc>
          <w:tcPr>
            <w:tcW w:w="1275" w:type="dxa"/>
            <w:shd w:val="clear" w:color="auto" w:fill="C4EFCE"/>
            <w:noWrap/>
            <w:tcMar>
              <w:left w:w="28" w:type="dxa"/>
              <w:right w:w="28" w:type="dxa"/>
            </w:tcMar>
            <w:vAlign w:val="center"/>
          </w:tcPr>
          <w:p w14:paraId="64C1ED73" w14:textId="7777777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xml:space="preserve"> Počet podpísaných zmlúv </w:t>
            </w:r>
          </w:p>
        </w:tc>
        <w:tc>
          <w:tcPr>
            <w:tcW w:w="771" w:type="dxa"/>
            <w:shd w:val="clear" w:color="auto" w:fill="C4EFCE"/>
            <w:noWrap/>
            <w:tcMar>
              <w:left w:w="28" w:type="dxa"/>
              <w:right w:w="28" w:type="dxa"/>
            </w:tcMar>
            <w:vAlign w:val="center"/>
          </w:tcPr>
          <w:p w14:paraId="7EBF5460" w14:textId="7777777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Počet</w:t>
            </w:r>
          </w:p>
        </w:tc>
        <w:tc>
          <w:tcPr>
            <w:tcW w:w="1021" w:type="dxa"/>
            <w:shd w:val="clear" w:color="auto" w:fill="C4EFCE"/>
            <w:noWrap/>
            <w:tcMar>
              <w:left w:w="28" w:type="dxa"/>
              <w:right w:w="28" w:type="dxa"/>
            </w:tcMar>
            <w:vAlign w:val="center"/>
          </w:tcPr>
          <w:p w14:paraId="0D14F3E5" w14:textId="7777777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0</w:t>
            </w:r>
          </w:p>
        </w:tc>
        <w:tc>
          <w:tcPr>
            <w:tcW w:w="875" w:type="dxa"/>
            <w:shd w:val="clear" w:color="auto" w:fill="C4EFCE"/>
            <w:noWrap/>
            <w:tcMar>
              <w:left w:w="28" w:type="dxa"/>
              <w:right w:w="28" w:type="dxa"/>
            </w:tcMar>
            <w:vAlign w:val="center"/>
          </w:tcPr>
          <w:p w14:paraId="77DD45F8" w14:textId="7777777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75</w:t>
            </w:r>
          </w:p>
        </w:tc>
        <w:tc>
          <w:tcPr>
            <w:tcW w:w="889" w:type="dxa"/>
            <w:gridSpan w:val="2"/>
            <w:shd w:val="clear" w:color="auto" w:fill="C4EFCE"/>
            <w:noWrap/>
            <w:tcMar>
              <w:left w:w="28" w:type="dxa"/>
              <w:right w:w="28" w:type="dxa"/>
            </w:tcMar>
            <w:vAlign w:val="center"/>
          </w:tcPr>
          <w:p w14:paraId="7ED23A9E" w14:textId="28978402"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4. štvrťrok</w:t>
            </w:r>
          </w:p>
        </w:tc>
        <w:tc>
          <w:tcPr>
            <w:tcW w:w="687" w:type="dxa"/>
            <w:shd w:val="clear" w:color="auto" w:fill="C4EFCE"/>
            <w:noWrap/>
            <w:tcMar>
              <w:left w:w="28" w:type="dxa"/>
              <w:right w:w="28" w:type="dxa"/>
            </w:tcMar>
            <w:vAlign w:val="center"/>
          </w:tcPr>
          <w:p w14:paraId="621FC598" w14:textId="7777777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2024</w:t>
            </w:r>
          </w:p>
        </w:tc>
        <w:tc>
          <w:tcPr>
            <w:tcW w:w="4262" w:type="dxa"/>
            <w:shd w:val="clear" w:color="auto" w:fill="C4EFCE"/>
            <w:tcMar>
              <w:left w:w="28" w:type="dxa"/>
              <w:right w:w="28" w:type="dxa"/>
            </w:tcMar>
          </w:tcPr>
          <w:p w14:paraId="77EC3E58" w14:textId="07602DDA"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Podpisujú sa zmluvy na výstavbu alebo renováciu základných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stredných verejných škôl. Výber škôl, ktoré sa majú renovovať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kde sú potrebné nové školy, sa zakladá na posúdení potrieb.</w:t>
            </w:r>
            <w:r w:rsidR="00A75B3C" w:rsidRPr="003F23AC">
              <w:rPr>
                <w:rFonts w:ascii="Times New Roman" w:hAnsi="Times New Roman" w:cs="Times New Roman"/>
                <w:noProof/>
                <w:lang w:val="sk-SK"/>
              </w:rPr>
              <w:t xml:space="preserve"> </w:t>
            </w:r>
          </w:p>
        </w:tc>
      </w:tr>
      <w:tr w:rsidR="009E4E5C" w:rsidRPr="003F23AC" w14:paraId="37FA4D82" w14:textId="77777777" w:rsidTr="009E4E5C">
        <w:trPr>
          <w:trHeight w:val="640"/>
        </w:trPr>
        <w:tc>
          <w:tcPr>
            <w:tcW w:w="1135" w:type="dxa"/>
            <w:shd w:val="clear" w:color="auto" w:fill="C5EFCE"/>
            <w:tcMar>
              <w:left w:w="28" w:type="dxa"/>
              <w:right w:w="28" w:type="dxa"/>
            </w:tcMar>
            <w:vAlign w:val="center"/>
          </w:tcPr>
          <w:p w14:paraId="2889C3DF" w14:textId="77777777"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6.29</w:t>
            </w:r>
          </w:p>
        </w:tc>
        <w:tc>
          <w:tcPr>
            <w:tcW w:w="1276" w:type="dxa"/>
            <w:shd w:val="clear" w:color="auto" w:fill="C4EFCE"/>
            <w:noWrap/>
            <w:tcMar>
              <w:left w:w="28" w:type="dxa"/>
              <w:right w:w="28" w:type="dxa"/>
            </w:tcMar>
            <w:vAlign w:val="center"/>
          </w:tcPr>
          <w:p w14:paraId="482C0EE3" w14:textId="1FDA0598" w:rsidR="00387C70" w:rsidRPr="003F23AC" w:rsidRDefault="00F218FC"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C06-i09</w:t>
            </w:r>
          </w:p>
        </w:tc>
        <w:tc>
          <w:tcPr>
            <w:tcW w:w="1134" w:type="dxa"/>
            <w:shd w:val="clear" w:color="auto" w:fill="C4EFCE"/>
            <w:noWrap/>
            <w:tcMar>
              <w:left w:w="28" w:type="dxa"/>
              <w:right w:w="28" w:type="dxa"/>
            </w:tcMar>
            <w:vAlign w:val="center"/>
          </w:tcPr>
          <w:p w14:paraId="5D44023D" w14:textId="0CC4674F" w:rsidR="00387C70" w:rsidRPr="003F23AC" w:rsidRDefault="00C32C63"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1516CDF5" w14:textId="7777777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Vybudované alebo renovované školy</w:t>
            </w:r>
          </w:p>
        </w:tc>
        <w:tc>
          <w:tcPr>
            <w:tcW w:w="1275" w:type="dxa"/>
            <w:shd w:val="clear" w:color="auto" w:fill="C4EFCE"/>
            <w:noWrap/>
            <w:tcMar>
              <w:left w:w="28" w:type="dxa"/>
              <w:right w:w="28" w:type="dxa"/>
            </w:tcMar>
            <w:vAlign w:val="center"/>
          </w:tcPr>
          <w:p w14:paraId="26E7E3C8"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771" w:type="dxa"/>
            <w:shd w:val="clear" w:color="auto" w:fill="C4EFCE"/>
            <w:noWrap/>
            <w:tcMar>
              <w:left w:w="28" w:type="dxa"/>
              <w:right w:w="28" w:type="dxa"/>
            </w:tcMar>
            <w:vAlign w:val="center"/>
          </w:tcPr>
          <w:p w14:paraId="291A36D7" w14:textId="0D94A62A"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Počet vybudovaných alebo zrenovovaných škôl</w:t>
            </w:r>
          </w:p>
        </w:tc>
        <w:tc>
          <w:tcPr>
            <w:tcW w:w="1021" w:type="dxa"/>
            <w:shd w:val="clear" w:color="auto" w:fill="C4EFCE"/>
            <w:noWrap/>
            <w:tcMar>
              <w:left w:w="28" w:type="dxa"/>
              <w:right w:w="28" w:type="dxa"/>
            </w:tcMar>
            <w:vAlign w:val="center"/>
          </w:tcPr>
          <w:p w14:paraId="6DB69F02" w14:textId="7777777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0</w:t>
            </w:r>
          </w:p>
        </w:tc>
        <w:tc>
          <w:tcPr>
            <w:tcW w:w="875" w:type="dxa"/>
            <w:shd w:val="clear" w:color="auto" w:fill="C4EFCE"/>
            <w:noWrap/>
            <w:tcMar>
              <w:left w:w="28" w:type="dxa"/>
              <w:right w:w="28" w:type="dxa"/>
            </w:tcMar>
            <w:vAlign w:val="center"/>
          </w:tcPr>
          <w:p w14:paraId="11FF05D1" w14:textId="7777777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75</w:t>
            </w:r>
          </w:p>
        </w:tc>
        <w:tc>
          <w:tcPr>
            <w:tcW w:w="889" w:type="dxa"/>
            <w:gridSpan w:val="2"/>
            <w:shd w:val="clear" w:color="auto" w:fill="C4EFCE"/>
            <w:noWrap/>
            <w:tcMar>
              <w:left w:w="28" w:type="dxa"/>
              <w:right w:w="28" w:type="dxa"/>
            </w:tcMar>
            <w:vAlign w:val="center"/>
          </w:tcPr>
          <w:p w14:paraId="7F8EE097" w14:textId="08351713"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 štvrťrok</w:t>
            </w:r>
          </w:p>
        </w:tc>
        <w:tc>
          <w:tcPr>
            <w:tcW w:w="687" w:type="dxa"/>
            <w:shd w:val="clear" w:color="auto" w:fill="C4EFCE"/>
            <w:noWrap/>
            <w:tcMar>
              <w:left w:w="28" w:type="dxa"/>
              <w:right w:w="28" w:type="dxa"/>
            </w:tcMar>
            <w:vAlign w:val="center"/>
          </w:tcPr>
          <w:p w14:paraId="274AED81" w14:textId="7777777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2026</w:t>
            </w:r>
          </w:p>
        </w:tc>
        <w:tc>
          <w:tcPr>
            <w:tcW w:w="4262" w:type="dxa"/>
            <w:shd w:val="clear" w:color="auto" w:fill="C4EFCE"/>
            <w:tcMar>
              <w:left w:w="28" w:type="dxa"/>
              <w:right w:w="28" w:type="dxa"/>
            </w:tcMar>
          </w:tcPr>
          <w:p w14:paraId="576CE9AF" w14:textId="77777777" w:rsidR="00A75B3C"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Vybuduje sa alebo zrenovuje 75 verejných škôl, ktoré sú pripravené na použitie. To zahŕňa nákup vybavenia, ako sú digitálne médiá, ktoré sú potrebné na fungovanie nových/renovovaných škôl</w:t>
            </w:r>
            <w:r w:rsidR="00A75B3C" w:rsidRPr="003F23AC">
              <w:rPr>
                <w:rFonts w:ascii="Times New Roman" w:hAnsi="Times New Roman" w:cs="Times New Roman"/>
                <w:noProof/>
                <w:lang w:val="sk-SK"/>
              </w:rPr>
              <w:t>.</w:t>
            </w:r>
          </w:p>
          <w:p w14:paraId="2C06E562" w14:textId="36054443" w:rsidR="00A75B3C"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r w:rsidR="00A75B3C" w:rsidRPr="003F23AC">
              <w:rPr>
                <w:rFonts w:ascii="Times New Roman" w:hAnsi="Times New Roman" w:cs="Times New Roman"/>
                <w:noProof/>
                <w:lang w:val="sk-SK"/>
              </w:rPr>
              <w:t>.</w:t>
            </w:r>
          </w:p>
          <w:p w14:paraId="469407C1" w14:textId="16B23CE7"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Obnovy musia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dosiahnuť aspoň strednú hĺbkovú obnovu vymedzenú</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bl>
    <w:p w14:paraId="710B72CF" w14:textId="77777777" w:rsidR="00387C70" w:rsidRPr="003F23AC" w:rsidRDefault="00387C70" w:rsidP="003F23AC">
      <w:pPr>
        <w:spacing w:before="40" w:after="0" w:line="259" w:lineRule="auto"/>
        <w:jc w:val="both"/>
        <w:outlineLvl w:val="2"/>
        <w:rPr>
          <w:rFonts w:ascii="Times New Roman" w:eastAsiaTheme="minorEastAsia" w:hAnsi="Times New Roman" w:cs="Times New Roman"/>
          <w:b/>
          <w:noProof/>
          <w:sz w:val="24"/>
          <w:u w:val="single"/>
          <w:lang w:val="sk-SK"/>
        </w:rPr>
      </w:pPr>
    </w:p>
    <w:p w14:paraId="4D8543A1" w14:textId="77777777" w:rsidR="00387C70" w:rsidRPr="003F23AC" w:rsidRDefault="00387C70" w:rsidP="003F23AC">
      <w:pPr>
        <w:spacing w:before="40" w:after="0" w:line="259" w:lineRule="auto"/>
        <w:jc w:val="both"/>
        <w:outlineLvl w:val="1"/>
        <w:rPr>
          <w:rFonts w:ascii="Times New Roman" w:eastAsiaTheme="minorEastAsia" w:hAnsi="Times New Roman" w:cs="Times New Roman"/>
          <w:b/>
          <w:noProof/>
          <w:sz w:val="24"/>
          <w:u w:val="single"/>
          <w:lang w:val="sk-SK"/>
        </w:rPr>
        <w:sectPr w:rsidR="00387C70" w:rsidRPr="003F23AC" w:rsidSect="00EE3DC7">
          <w:headerReference w:type="even" r:id="rId138"/>
          <w:headerReference w:type="default" r:id="rId139"/>
          <w:footerReference w:type="even" r:id="rId140"/>
          <w:footerReference w:type="default" r:id="rId141"/>
          <w:headerReference w:type="first" r:id="rId142"/>
          <w:footerReference w:type="first" r:id="rId143"/>
          <w:pgSz w:w="16839" w:h="11907" w:orient="landscape"/>
          <w:pgMar w:top="1134" w:right="1134" w:bottom="1134" w:left="1134" w:header="567" w:footer="567" w:gutter="0"/>
          <w:cols w:space="720"/>
          <w:docGrid w:linePitch="360"/>
        </w:sectPr>
      </w:pPr>
    </w:p>
    <w:p w14:paraId="0E562F21" w14:textId="77777777" w:rsidR="00A75B3C" w:rsidRPr="003F23AC" w:rsidRDefault="000F5AA4" w:rsidP="003F23AC">
      <w:pPr>
        <w:pStyle w:val="P68B1DB1-Normal3"/>
        <w:spacing w:before="40" w:after="0" w:line="259" w:lineRule="auto"/>
        <w:ind w:left="130" w:firstLine="720"/>
        <w:jc w:val="both"/>
        <w:outlineLvl w:val="1"/>
        <w:rPr>
          <w:rFonts w:cs="Times New Roman"/>
          <w:noProof/>
          <w:lang w:val="sk-SK"/>
        </w:rPr>
      </w:pPr>
      <w:r w:rsidRPr="003F23AC">
        <w:rPr>
          <w:rFonts w:cs="Times New Roman"/>
          <w:noProof/>
          <w:lang w:val="sk-SK"/>
        </w:rPr>
        <w:t>G</w:t>
      </w:r>
      <w:r w:rsidR="00C32C63" w:rsidRPr="003F23AC">
        <w:rPr>
          <w:rFonts w:cs="Times New Roman"/>
          <w:noProof/>
          <w:lang w:val="sk-SK"/>
        </w:rPr>
        <w:t>. KOMPONENT</w:t>
      </w:r>
      <w:r w:rsidRPr="003F23AC">
        <w:rPr>
          <w:rFonts w:cs="Times New Roman"/>
          <w:noProof/>
          <w:lang w:val="sk-SK"/>
        </w:rPr>
        <w:t xml:space="preserve"> 7: Infraštruktúry</w:t>
      </w:r>
    </w:p>
    <w:p w14:paraId="3A9FEF12" w14:textId="767F57BF"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w:t>
      </w:r>
      <w:r w:rsidRPr="003F23AC">
        <w:rPr>
          <w:rFonts w:cs="Times New Roman"/>
          <w:i/>
          <w:noProof/>
          <w:lang w:val="sk-SK"/>
        </w:rPr>
        <w:t xml:space="preserve"> </w:t>
      </w:r>
      <w:r w:rsidRPr="003F23AC">
        <w:rPr>
          <w:rFonts w:cs="Times New Roman"/>
          <w:noProof/>
          <w:lang w:val="sk-SK"/>
        </w:rPr>
        <w:t>zložka portugalského plánu obnovy</w:t>
      </w:r>
      <w:r w:rsidR="00A75B3C" w:rsidRPr="003F23AC">
        <w:rPr>
          <w:rFonts w:cs="Times New Roman"/>
          <w:noProof/>
          <w:lang w:val="sk-SK"/>
        </w:rPr>
        <w:t xml:space="preserve"> a </w:t>
      </w:r>
      <w:r w:rsidRPr="003F23AC">
        <w:rPr>
          <w:rFonts w:cs="Times New Roman"/>
          <w:noProof/>
          <w:lang w:val="sk-SK"/>
        </w:rPr>
        <w:t>odolnosti</w:t>
      </w:r>
      <w:r w:rsidRPr="003F23AC">
        <w:rPr>
          <w:rFonts w:cs="Times New Roman"/>
          <w:i/>
          <w:noProof/>
          <w:lang w:val="sk-SK"/>
        </w:rPr>
        <w:t xml:space="preserve"> </w:t>
      </w:r>
      <w:r w:rsidRPr="003F23AC">
        <w:rPr>
          <w:rFonts w:cs="Times New Roman"/>
          <w:noProof/>
          <w:lang w:val="sk-SK"/>
        </w:rPr>
        <w:t>rieši problém nízkej územnej súdržnosti</w:t>
      </w:r>
      <w:r w:rsidR="00A75B3C" w:rsidRPr="003F23AC">
        <w:rPr>
          <w:rFonts w:cs="Times New Roman"/>
          <w:noProof/>
          <w:lang w:val="sk-SK"/>
        </w:rPr>
        <w:t xml:space="preserve"> a </w:t>
      </w:r>
      <w:r w:rsidRPr="003F23AC">
        <w:rPr>
          <w:rFonts w:cs="Times New Roman"/>
          <w:noProof/>
          <w:lang w:val="sk-SK"/>
        </w:rPr>
        <w:t>nízkej konkurencieschopnosti podnikov vo vnútrozemských regiónoch</w:t>
      </w:r>
      <w:r w:rsidR="00A75B3C" w:rsidRPr="003F23AC">
        <w:rPr>
          <w:rFonts w:cs="Times New Roman"/>
          <w:noProof/>
          <w:lang w:val="sk-SK"/>
        </w:rPr>
        <w:t xml:space="preserve"> v </w:t>
      </w:r>
      <w:r w:rsidRPr="003F23AC">
        <w:rPr>
          <w:rFonts w:cs="Times New Roman"/>
          <w:noProof/>
          <w:lang w:val="sk-SK"/>
        </w:rPr>
        <w:t>dôsledku nedostatočných prepojení</w:t>
      </w:r>
      <w:r w:rsidR="00A75B3C" w:rsidRPr="003F23AC">
        <w:rPr>
          <w:rFonts w:cs="Times New Roman"/>
          <w:noProof/>
          <w:lang w:val="sk-SK"/>
        </w:rPr>
        <w:t xml:space="preserve"> s </w:t>
      </w:r>
      <w:r w:rsidRPr="003F23AC">
        <w:rPr>
          <w:rFonts w:cs="Times New Roman"/>
          <w:noProof/>
          <w:lang w:val="sk-SK"/>
        </w:rPr>
        <w:t>cestnou sieťou. To vedie</w:t>
      </w:r>
      <w:r w:rsidR="00A75B3C" w:rsidRPr="003F23AC">
        <w:rPr>
          <w:rFonts w:cs="Times New Roman"/>
          <w:noProof/>
          <w:lang w:val="sk-SK"/>
        </w:rPr>
        <w:t xml:space="preserve"> k </w:t>
      </w:r>
      <w:r w:rsidRPr="003F23AC">
        <w:rPr>
          <w:rFonts w:cs="Times New Roman"/>
          <w:noProof/>
          <w:lang w:val="sk-SK"/>
        </w:rPr>
        <w:t>súvisiacim nákladom pre podniky, ako sú náklady na dopravu prostredníctvom nízkej cestnej prepojenosti alebo ťažkosti prilákať kvalifikovaných pracovníkov. Ďalšou výzvou je potreba znížiť emisie</w:t>
      </w:r>
      <w:r w:rsidR="00A75B3C" w:rsidRPr="003F23AC">
        <w:rPr>
          <w:rFonts w:cs="Times New Roman"/>
          <w:noProof/>
          <w:lang w:val="sk-SK"/>
        </w:rPr>
        <w:t xml:space="preserve"> v </w:t>
      </w:r>
      <w:r w:rsidRPr="003F23AC">
        <w:rPr>
          <w:rFonts w:cs="Times New Roman"/>
          <w:noProof/>
          <w:lang w:val="sk-SK"/>
        </w:rPr>
        <w:t>odvetví dopravy</w:t>
      </w:r>
      <w:r w:rsidR="00A75B3C" w:rsidRPr="003F23AC">
        <w:rPr>
          <w:rFonts w:cs="Times New Roman"/>
          <w:noProof/>
          <w:lang w:val="sk-SK"/>
        </w:rPr>
        <w:t xml:space="preserve"> a v </w:t>
      </w:r>
      <w:r w:rsidRPr="003F23AC">
        <w:rPr>
          <w:rFonts w:cs="Times New Roman"/>
          <w:noProof/>
          <w:lang w:val="sk-SK"/>
        </w:rPr>
        <w:t>podnikateľských parkoch</w:t>
      </w:r>
      <w:r w:rsidR="00A75B3C" w:rsidRPr="003F23AC">
        <w:rPr>
          <w:rFonts w:cs="Times New Roman"/>
          <w:noProof/>
          <w:lang w:val="sk-SK"/>
        </w:rPr>
        <w:t>.</w:t>
      </w:r>
    </w:p>
    <w:p w14:paraId="2997A909" w14:textId="2B74823C"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zložky je zvýšiť územnú súdržnosť</w:t>
      </w:r>
      <w:r w:rsidR="00A75B3C" w:rsidRPr="003F23AC">
        <w:rPr>
          <w:rFonts w:cs="Times New Roman"/>
          <w:noProof/>
          <w:lang w:val="sk-SK"/>
        </w:rPr>
        <w:t xml:space="preserve"> a </w:t>
      </w:r>
      <w:r w:rsidRPr="003F23AC">
        <w:rPr>
          <w:rFonts w:cs="Times New Roman"/>
          <w:noProof/>
          <w:lang w:val="sk-SK"/>
        </w:rPr>
        <w:t>zlepšiť konkurencieschopnosť</w:t>
      </w:r>
      <w:r w:rsidR="00A75B3C" w:rsidRPr="003F23AC">
        <w:rPr>
          <w:rFonts w:cs="Times New Roman"/>
          <w:noProof/>
          <w:lang w:val="sk-SK"/>
        </w:rPr>
        <w:t xml:space="preserve"> s </w:t>
      </w:r>
      <w:r w:rsidRPr="003F23AC">
        <w:rPr>
          <w:rFonts w:cs="Times New Roman"/>
          <w:noProof/>
          <w:lang w:val="sk-SK"/>
        </w:rPr>
        <w:t>cieľom podporiť hospodársky rozvoj vnútrozemských regiónov. Jeho cieľom je prostredníctvom zavádzania nabíjacích staníc podporiť dekarbonizáciu cestnej dopravy</w:t>
      </w:r>
      <w:r w:rsidR="00A75B3C" w:rsidRPr="003F23AC">
        <w:rPr>
          <w:rFonts w:cs="Times New Roman"/>
          <w:noProof/>
          <w:lang w:val="sk-SK"/>
        </w:rPr>
        <w:t>.</w:t>
      </w:r>
    </w:p>
    <w:p w14:paraId="3D31EF0F" w14:textId="4509E3BF"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Na tento účel je cieľom zložky zvýšiť udržateľnosť</w:t>
      </w:r>
      <w:r w:rsidR="00A75B3C" w:rsidRPr="003F23AC">
        <w:rPr>
          <w:rFonts w:cs="Times New Roman"/>
          <w:noProof/>
          <w:lang w:val="sk-SK"/>
        </w:rPr>
        <w:t xml:space="preserve"> a </w:t>
      </w:r>
      <w:r w:rsidRPr="003F23AC">
        <w:rPr>
          <w:rFonts w:cs="Times New Roman"/>
          <w:noProof/>
          <w:lang w:val="sk-SK"/>
        </w:rPr>
        <w:t>digitalizáciu obchodných parkov</w:t>
      </w:r>
      <w:r w:rsidR="00A75B3C" w:rsidRPr="003F23AC">
        <w:rPr>
          <w:rFonts w:cs="Times New Roman"/>
          <w:noProof/>
          <w:lang w:val="sk-SK"/>
        </w:rPr>
        <w:t xml:space="preserve"> a </w:t>
      </w:r>
      <w:r w:rsidRPr="003F23AC">
        <w:rPr>
          <w:rFonts w:cs="Times New Roman"/>
          <w:noProof/>
          <w:lang w:val="sk-SK"/>
        </w:rPr>
        <w:t>poskytnúť im lepší prístup</w:t>
      </w:r>
      <w:r w:rsidR="00A75B3C" w:rsidRPr="003F23AC">
        <w:rPr>
          <w:rFonts w:cs="Times New Roman"/>
          <w:noProof/>
          <w:lang w:val="sk-SK"/>
        </w:rPr>
        <w:t xml:space="preserve"> k </w:t>
      </w:r>
      <w:r w:rsidRPr="003F23AC">
        <w:rPr>
          <w:rFonts w:cs="Times New Roman"/>
          <w:noProof/>
          <w:lang w:val="sk-SK"/>
        </w:rPr>
        <w:t>cestnej sieti. Jeho cieľom je tiež zlepšiť prepojenosť cestnej dopravy rozšírením cestnej siete, napr. riešením chýbajúcich prepojení,</w:t>
      </w:r>
      <w:r w:rsidR="00A75B3C" w:rsidRPr="003F23AC">
        <w:rPr>
          <w:rFonts w:cs="Times New Roman"/>
          <w:noProof/>
          <w:lang w:val="sk-SK"/>
        </w:rPr>
        <w:t xml:space="preserve"> a </w:t>
      </w:r>
      <w:r w:rsidRPr="003F23AC">
        <w:rPr>
          <w:rFonts w:cs="Times New Roman"/>
          <w:noProof/>
          <w:lang w:val="sk-SK"/>
        </w:rPr>
        <w:t>to aj na Azorských ostrovoch,</w:t>
      </w:r>
      <w:r w:rsidR="00A75B3C" w:rsidRPr="003F23AC">
        <w:rPr>
          <w:rFonts w:cs="Times New Roman"/>
          <w:noProof/>
          <w:lang w:val="sk-SK"/>
        </w:rPr>
        <w:t xml:space="preserve"> a </w:t>
      </w:r>
      <w:r w:rsidRPr="003F23AC">
        <w:rPr>
          <w:rFonts w:cs="Times New Roman"/>
          <w:noProof/>
          <w:lang w:val="sk-SK"/>
        </w:rPr>
        <w:t>zabezpečením štyroch cezhraničných spojení. Očakáva sa, že zrýchlenie rozširovania siete verejne prístupných nabíjacích staníc pre elektrické vozidlá pomôže znížiť uhlíkovú stopu odvetvia cestnej dopravy</w:t>
      </w:r>
      <w:r w:rsidR="00A75B3C" w:rsidRPr="003F23AC">
        <w:rPr>
          <w:rFonts w:cs="Times New Roman"/>
          <w:noProof/>
          <w:lang w:val="sk-SK"/>
        </w:rPr>
        <w:t xml:space="preserve"> v </w:t>
      </w:r>
      <w:r w:rsidRPr="003F23AC">
        <w:rPr>
          <w:rFonts w:cs="Times New Roman"/>
          <w:noProof/>
          <w:lang w:val="sk-SK"/>
        </w:rPr>
        <w:t>Portugalsku</w:t>
      </w:r>
      <w:r w:rsidR="00A75B3C" w:rsidRPr="003F23AC">
        <w:rPr>
          <w:rFonts w:cs="Times New Roman"/>
          <w:noProof/>
          <w:lang w:val="sk-SK"/>
        </w:rPr>
        <w:t xml:space="preserve"> a </w:t>
      </w:r>
      <w:r w:rsidRPr="003F23AC">
        <w:rPr>
          <w:rFonts w:cs="Times New Roman"/>
          <w:noProof/>
          <w:lang w:val="sk-SK"/>
        </w:rPr>
        <w:t>zvýšiť jeho udržateľnosť. Táto investícia je sprievodným opatrením na rozšírenie cestnej infraštruktúry</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Komisie týkajúcim sa zásady „výrazne nenarušiť“ (2021/C58/01)</w:t>
      </w:r>
      <w:r w:rsidR="00A75B3C" w:rsidRPr="003F23AC">
        <w:rPr>
          <w:rFonts w:cs="Times New Roman"/>
          <w:noProof/>
          <w:lang w:val="sk-SK"/>
        </w:rPr>
        <w:t>.</w:t>
      </w:r>
    </w:p>
    <w:p w14:paraId="26F8A281" w14:textId="1C8073E1"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V rámci tejto zložky sa podporuje plnenie odporúčania pre jednotlivé krajiny</w:t>
      </w:r>
      <w:r w:rsidR="00A75B3C" w:rsidRPr="003F23AC">
        <w:rPr>
          <w:rFonts w:cs="Times New Roman"/>
          <w:noProof/>
          <w:lang w:val="sk-SK"/>
        </w:rPr>
        <w:t xml:space="preserve"> o </w:t>
      </w:r>
      <w:r w:rsidRPr="003F23AC">
        <w:rPr>
          <w:rFonts w:cs="Times New Roman"/>
          <w:noProof/>
          <w:lang w:val="sk-SK"/>
        </w:rPr>
        <w:t>zameraní investícií na zelenú transformáciu</w:t>
      </w:r>
      <w:r w:rsidR="00A75B3C" w:rsidRPr="003F23AC">
        <w:rPr>
          <w:rFonts w:cs="Times New Roman"/>
          <w:noProof/>
          <w:lang w:val="sk-SK"/>
        </w:rPr>
        <w:t xml:space="preserve"> s </w:t>
      </w:r>
      <w:r w:rsidRPr="003F23AC">
        <w:rPr>
          <w:rFonts w:cs="Times New Roman"/>
          <w:noProof/>
          <w:lang w:val="sk-SK"/>
        </w:rPr>
        <w:t>prihliadnutím na regionálne rozdiely (odporúčanie pre jednotlivé krajiny 3 2019</w:t>
      </w:r>
      <w:r w:rsidR="00A75B3C" w:rsidRPr="003F23AC">
        <w:rPr>
          <w:rFonts w:cs="Times New Roman"/>
          <w:noProof/>
          <w:lang w:val="sk-SK"/>
        </w:rPr>
        <w:t xml:space="preserve"> a </w:t>
      </w:r>
      <w:r w:rsidRPr="003F23AC">
        <w:rPr>
          <w:rFonts w:cs="Times New Roman"/>
          <w:noProof/>
          <w:lang w:val="sk-SK"/>
        </w:rPr>
        <w:t xml:space="preserve">odporúčanie pre jednotlivé krajiny </w:t>
      </w:r>
      <w:r w:rsidR="00A75B3C" w:rsidRPr="003F23AC">
        <w:rPr>
          <w:rFonts w:cs="Times New Roman"/>
          <w:noProof/>
          <w:lang w:val="sk-SK"/>
        </w:rPr>
        <w:t>č. </w:t>
      </w:r>
      <w:r w:rsidRPr="003F23AC">
        <w:rPr>
          <w:rFonts w:cs="Times New Roman"/>
          <w:noProof/>
          <w:lang w:val="sk-SK"/>
        </w:rPr>
        <w:t>3 2020)</w:t>
      </w:r>
      <w:r w:rsidR="00A75B3C" w:rsidRPr="003F23AC">
        <w:rPr>
          <w:rFonts w:cs="Times New Roman"/>
          <w:noProof/>
          <w:lang w:val="sk-SK"/>
        </w:rPr>
        <w:t xml:space="preserve"> a </w:t>
      </w:r>
      <w:r w:rsidRPr="003F23AC">
        <w:rPr>
          <w:rFonts w:cs="Times New Roman"/>
          <w:noProof/>
          <w:lang w:val="sk-SK"/>
        </w:rPr>
        <w:t>podpora využívania digitálnych technológií na zvýšenie konkurencieschopnosti podnikov (odporúčanie pre jednotlivé krajiny 2 2020).</w:t>
      </w:r>
    </w:p>
    <w:p w14:paraId="653A03D9" w14:textId="2714475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r w:rsidR="00A75B3C" w:rsidRPr="003F23AC">
        <w:rPr>
          <w:rFonts w:cs="Times New Roman"/>
          <w:noProof/>
          <w:lang w:val="sk-SK"/>
        </w:rPr>
        <w:t>.</w:t>
      </w:r>
    </w:p>
    <w:p w14:paraId="3E872C3A" w14:textId="3FACDA28"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62B87287" w14:textId="47ED5770" w:rsidR="00387C70" w:rsidRPr="003F23AC" w:rsidRDefault="000F5AA4" w:rsidP="003F23AC">
      <w:pPr>
        <w:spacing w:before="40" w:after="0" w:line="259" w:lineRule="auto"/>
        <w:ind w:left="130" w:firstLine="720"/>
        <w:jc w:val="both"/>
        <w:outlineLvl w:val="2"/>
        <w:rPr>
          <w:rFonts w:ascii="Times New Roman" w:eastAsiaTheme="minorEastAsia" w:hAnsi="Times New Roman" w:cs="Times New Roman"/>
          <w:b/>
          <w:i/>
          <w:noProof/>
          <w:sz w:val="24"/>
          <w:u w:val="single"/>
          <w:lang w:val="sk-SK"/>
        </w:rPr>
      </w:pPr>
      <w:r w:rsidRPr="003F23AC">
        <w:rPr>
          <w:rFonts w:ascii="Times New Roman" w:hAnsi="Times New Roman" w:cs="Times New Roman"/>
          <w:b/>
          <w:noProof/>
          <w:sz w:val="24"/>
          <w:u w:val="single"/>
          <w:lang w:val="sk-SK"/>
        </w:rPr>
        <w:t xml:space="preserve">G.1. </w:t>
      </w:r>
      <w:r w:rsidRPr="003F23AC">
        <w:rPr>
          <w:rFonts w:ascii="Times New Roman" w:hAnsi="Times New Roman" w:cs="Times New Roman"/>
          <w:noProof/>
          <w:lang w:val="sk-SK"/>
        </w:rPr>
        <w:tab/>
      </w:r>
      <w:r w:rsidRPr="003F23AC">
        <w:rPr>
          <w:rFonts w:ascii="Times New Roman" w:hAnsi="Times New Roman" w:cs="Times New Roman"/>
          <w:b/>
          <w:noProof/>
          <w:sz w:val="24"/>
          <w:u w:val="single"/>
          <w:lang w:val="sk-SK"/>
        </w:rPr>
        <w:t>Opis reforiem</w:t>
      </w:r>
      <w:r w:rsidR="00A75B3C" w:rsidRPr="003F23AC">
        <w:rPr>
          <w:rFonts w:ascii="Times New Roman" w:hAnsi="Times New Roman" w:cs="Times New Roman"/>
          <w:b/>
          <w:noProof/>
          <w:sz w:val="24"/>
          <w:u w:val="single"/>
          <w:lang w:val="sk-SK"/>
        </w:rPr>
        <w:t xml:space="preserve"> a </w:t>
      </w:r>
      <w:r w:rsidRPr="003F23AC">
        <w:rPr>
          <w:rFonts w:ascii="Times New Roman" w:hAnsi="Times New Roman" w:cs="Times New Roman"/>
          <w:b/>
          <w:noProof/>
          <w:sz w:val="24"/>
          <w:u w:val="single"/>
          <w:lang w:val="sk-SK"/>
        </w:rPr>
        <w:t>investícií</w:t>
      </w:r>
      <w:r w:rsidR="00A75B3C" w:rsidRPr="003F23AC">
        <w:rPr>
          <w:rFonts w:ascii="Times New Roman" w:hAnsi="Times New Roman" w:cs="Times New Roman"/>
          <w:b/>
          <w:noProof/>
          <w:sz w:val="24"/>
          <w:u w:val="single"/>
          <w:lang w:val="sk-SK"/>
        </w:rPr>
        <w:t xml:space="preserve"> v </w:t>
      </w:r>
      <w:r w:rsidRPr="003F23AC">
        <w:rPr>
          <w:rFonts w:ascii="Times New Roman" w:hAnsi="Times New Roman" w:cs="Times New Roman"/>
          <w:b/>
          <w:noProof/>
          <w:sz w:val="24"/>
          <w:u w:val="single"/>
          <w:lang w:val="sk-SK"/>
        </w:rPr>
        <w:t>rámci nenávratnej finančnej podpory</w:t>
      </w:r>
    </w:p>
    <w:p w14:paraId="590E8D7E" w14:textId="7777777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RE-C07-i00: Rozšírenie siete nabíjania elektrických vozidiel</w:t>
      </w:r>
    </w:p>
    <w:p w14:paraId="4801D7FA" w14:textId="618EEB66"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opatrenia je pokročiť</w:t>
      </w:r>
      <w:r w:rsidR="00A75B3C" w:rsidRPr="003F23AC">
        <w:rPr>
          <w:rFonts w:cs="Times New Roman"/>
          <w:noProof/>
          <w:lang w:val="sk-SK"/>
        </w:rPr>
        <w:t xml:space="preserve"> v </w:t>
      </w:r>
      <w:r w:rsidRPr="003F23AC">
        <w:rPr>
          <w:rFonts w:cs="Times New Roman"/>
          <w:noProof/>
          <w:lang w:val="sk-SK"/>
        </w:rPr>
        <w:t>dekarbonizácii cestnej dopravy prostredníctvom podpory elektrickej mobility</w:t>
      </w:r>
      <w:r w:rsidR="00A75B3C" w:rsidRPr="003F23AC">
        <w:rPr>
          <w:rFonts w:cs="Times New Roman"/>
          <w:noProof/>
          <w:lang w:val="sk-SK"/>
        </w:rPr>
        <w:t>.</w:t>
      </w:r>
    </w:p>
    <w:p w14:paraId="0A23AF01" w14:textId="50A3EC24"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Investícia spočíva</w:t>
      </w:r>
      <w:r w:rsidR="00A75B3C" w:rsidRPr="003F23AC">
        <w:rPr>
          <w:rFonts w:cs="Times New Roman"/>
          <w:noProof/>
          <w:lang w:val="sk-SK"/>
        </w:rPr>
        <w:t xml:space="preserve"> v </w:t>
      </w:r>
      <w:r w:rsidRPr="003F23AC">
        <w:rPr>
          <w:rFonts w:cs="Times New Roman"/>
          <w:noProof/>
          <w:lang w:val="sk-SK"/>
        </w:rPr>
        <w:t>zabezpečení toho, aby</w:t>
      </w:r>
      <w:r w:rsidR="00A75B3C" w:rsidRPr="003F23AC">
        <w:rPr>
          <w:rFonts w:cs="Times New Roman"/>
          <w:noProof/>
          <w:lang w:val="sk-SK"/>
        </w:rPr>
        <w:t xml:space="preserve"> v </w:t>
      </w:r>
      <w:r w:rsidRPr="003F23AC">
        <w:rPr>
          <w:rFonts w:cs="Times New Roman"/>
          <w:noProof/>
          <w:lang w:val="sk-SK"/>
        </w:rPr>
        <w:t>Portugalsku bolo</w:t>
      </w:r>
      <w:r w:rsidR="00A75B3C" w:rsidRPr="003F23AC">
        <w:rPr>
          <w:rFonts w:cs="Times New Roman"/>
          <w:noProof/>
          <w:lang w:val="sk-SK"/>
        </w:rPr>
        <w:t xml:space="preserve"> v </w:t>
      </w:r>
      <w:r w:rsidRPr="003F23AC">
        <w:rPr>
          <w:rFonts w:cs="Times New Roman"/>
          <w:noProof/>
          <w:lang w:val="sk-SK"/>
        </w:rPr>
        <w:t>prevádzke 15000 verejne prístupných nabíjacích staníc. Ide</w:t>
      </w:r>
      <w:r w:rsidR="00A75B3C" w:rsidRPr="003F23AC">
        <w:rPr>
          <w:rFonts w:cs="Times New Roman"/>
          <w:noProof/>
          <w:lang w:val="sk-SK"/>
        </w:rPr>
        <w:t xml:space="preserve"> o </w:t>
      </w:r>
      <w:r w:rsidRPr="003F23AC">
        <w:rPr>
          <w:rFonts w:cs="Times New Roman"/>
          <w:noProof/>
          <w:lang w:val="sk-SK"/>
        </w:rPr>
        <w:t>sprievodné opatrenie pre investície do cestnej infraštruktúry</w:t>
      </w:r>
      <w:r w:rsidR="00A75B3C" w:rsidRPr="003F23AC">
        <w:rPr>
          <w:rFonts w:cs="Times New Roman"/>
          <w:noProof/>
          <w:lang w:val="sk-SK"/>
        </w:rPr>
        <w:t xml:space="preserve"> v </w:t>
      </w:r>
      <w:r w:rsidRPr="003F23AC">
        <w:rPr>
          <w:rFonts w:cs="Times New Roman"/>
          <w:noProof/>
          <w:lang w:val="sk-SK"/>
        </w:rPr>
        <w:t>oblastiach C07-I02, I03, I04</w:t>
      </w:r>
      <w:r w:rsidR="00A75B3C" w:rsidRPr="003F23AC">
        <w:rPr>
          <w:rFonts w:cs="Times New Roman"/>
          <w:noProof/>
          <w:lang w:val="sk-SK"/>
        </w:rPr>
        <w:t xml:space="preserve"> a </w:t>
      </w:r>
      <w:r w:rsidRPr="003F23AC">
        <w:rPr>
          <w:rFonts w:cs="Times New Roman"/>
          <w:noProof/>
          <w:lang w:val="sk-SK"/>
        </w:rPr>
        <w:t>I05</w:t>
      </w:r>
      <w:r w:rsidR="00A75B3C" w:rsidRPr="003F23AC">
        <w:rPr>
          <w:rFonts w:cs="Times New Roman"/>
          <w:noProof/>
          <w:lang w:val="sk-SK"/>
        </w:rPr>
        <w:t xml:space="preserve"> s </w:t>
      </w:r>
      <w:r w:rsidRPr="003F23AC">
        <w:rPr>
          <w:rFonts w:cs="Times New Roman"/>
          <w:noProof/>
          <w:lang w:val="sk-SK"/>
        </w:rPr>
        <w:t>cieľom zabezpečiť súlad so zásadou „výrazne nenarušiť“, pokiaľ ide</w:t>
      </w:r>
      <w:r w:rsidR="00A75B3C" w:rsidRPr="003F23AC">
        <w:rPr>
          <w:rFonts w:cs="Times New Roman"/>
          <w:noProof/>
          <w:lang w:val="sk-SK"/>
        </w:rPr>
        <w:t xml:space="preserve"> o </w:t>
      </w:r>
      <w:r w:rsidRPr="003F23AC">
        <w:rPr>
          <w:rFonts w:cs="Times New Roman"/>
          <w:noProof/>
          <w:lang w:val="sk-SK"/>
        </w:rPr>
        <w:t>ciele zmierňovania zmeny klímy</w:t>
      </w:r>
      <w:r w:rsidR="00A75B3C" w:rsidRPr="003F23AC">
        <w:rPr>
          <w:rFonts w:cs="Times New Roman"/>
          <w:noProof/>
          <w:lang w:val="sk-SK"/>
        </w:rPr>
        <w:t xml:space="preserve"> a </w:t>
      </w:r>
      <w:r w:rsidRPr="003F23AC">
        <w:rPr>
          <w:rFonts w:cs="Times New Roman"/>
          <w:noProof/>
          <w:lang w:val="sk-SK"/>
        </w:rPr>
        <w:t>prevencie</w:t>
      </w:r>
      <w:r w:rsidR="00A75B3C" w:rsidRPr="003F23AC">
        <w:rPr>
          <w:rFonts w:cs="Times New Roman"/>
          <w:noProof/>
          <w:lang w:val="sk-SK"/>
        </w:rPr>
        <w:t xml:space="preserve"> a </w:t>
      </w:r>
      <w:r w:rsidRPr="003F23AC">
        <w:rPr>
          <w:rFonts w:cs="Times New Roman"/>
          <w:noProof/>
          <w:lang w:val="sk-SK"/>
        </w:rPr>
        <w:t>kontroly znečisťovania. Súkromné subjekty sa stali hlavnými aktérmi rozširovania siete. Portugalský štát zameria svoje investície na platformu riadenia siete Mobi.E</w:t>
      </w:r>
      <w:r w:rsidR="00A75B3C" w:rsidRPr="003F23AC">
        <w:rPr>
          <w:rFonts w:cs="Times New Roman"/>
          <w:noProof/>
          <w:lang w:val="sk-SK"/>
        </w:rPr>
        <w:t xml:space="preserve"> a </w:t>
      </w:r>
      <w:r w:rsidRPr="003F23AC">
        <w:rPr>
          <w:rFonts w:cs="Times New Roman"/>
          <w:noProof/>
          <w:lang w:val="sk-SK"/>
        </w:rPr>
        <w:t>na riešenie zlyhaní trhu podporou investícií</w:t>
      </w:r>
      <w:r w:rsidR="00A75B3C" w:rsidRPr="003F23AC">
        <w:rPr>
          <w:rFonts w:cs="Times New Roman"/>
          <w:noProof/>
          <w:lang w:val="sk-SK"/>
        </w:rPr>
        <w:t xml:space="preserve"> v </w:t>
      </w:r>
      <w:r w:rsidRPr="003F23AC">
        <w:rPr>
          <w:rFonts w:cs="Times New Roman"/>
          <w:noProof/>
          <w:lang w:val="sk-SK"/>
        </w:rPr>
        <w:t>regiónoch,</w:t>
      </w:r>
      <w:r w:rsidR="00A75B3C" w:rsidRPr="003F23AC">
        <w:rPr>
          <w:rFonts w:cs="Times New Roman"/>
          <w:noProof/>
          <w:lang w:val="sk-SK"/>
        </w:rPr>
        <w:t xml:space="preserve"> v </w:t>
      </w:r>
      <w:r w:rsidRPr="003F23AC">
        <w:rPr>
          <w:rFonts w:cs="Times New Roman"/>
          <w:noProof/>
          <w:lang w:val="sk-SK"/>
        </w:rPr>
        <w:t>ktorých súkromný sektor nezabezpečuje potrebné pokrytie.</w:t>
      </w:r>
    </w:p>
    <w:p w14:paraId="419F8DE5" w14:textId="519DE805"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Realizácia investície sa dokončí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33FAE029" w14:textId="09C765F8"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RE-C07-i01: Obchodné oblasti prijímania</w:t>
      </w:r>
    </w:p>
    <w:p w14:paraId="3A765AFD" w14:textId="0F652183"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opatrenia je modernizovať podnikateľské prijímacie priestory, ktoré sú oblasťou pozemku vybudovaného ako miesto pre kancelárie, továrne</w:t>
      </w:r>
      <w:r w:rsidR="00A75B3C" w:rsidRPr="003F23AC">
        <w:rPr>
          <w:rFonts w:cs="Times New Roman"/>
          <w:noProof/>
          <w:lang w:val="sk-SK"/>
        </w:rPr>
        <w:t xml:space="preserve"> a </w:t>
      </w:r>
      <w:r w:rsidRPr="003F23AC">
        <w:rPr>
          <w:rFonts w:cs="Times New Roman"/>
          <w:noProof/>
          <w:lang w:val="sk-SK"/>
        </w:rPr>
        <w:t>iné podniky. Modernizácia podnikateľských parkov sa takisto považuje za investičnú potrebu</w:t>
      </w:r>
      <w:r w:rsidR="00A75B3C" w:rsidRPr="003F23AC">
        <w:rPr>
          <w:rFonts w:cs="Times New Roman"/>
          <w:noProof/>
          <w:lang w:val="sk-SK"/>
        </w:rPr>
        <w:t xml:space="preserve"> v </w:t>
      </w:r>
      <w:r w:rsidRPr="003F23AC">
        <w:rPr>
          <w:rFonts w:cs="Times New Roman"/>
          <w:noProof/>
          <w:lang w:val="sk-SK"/>
        </w:rPr>
        <w:t>portugalskom národnom pláne infraštruktúry na rok 2030 (PNI 2030).</w:t>
      </w:r>
    </w:p>
    <w:p w14:paraId="00D18E7F" w14:textId="3E0D71A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intervencií vo vybraných podnikateľských parkoch, ktoré zahŕňajú podporu systémov výroby</w:t>
      </w:r>
      <w:r w:rsidR="00A75B3C" w:rsidRPr="003F23AC">
        <w:rPr>
          <w:rFonts w:cs="Times New Roman"/>
          <w:noProof/>
          <w:lang w:val="sk-SK"/>
        </w:rPr>
        <w:t xml:space="preserve"> a </w:t>
      </w:r>
      <w:r w:rsidRPr="003F23AC">
        <w:rPr>
          <w:rFonts w:cs="Times New Roman"/>
          <w:noProof/>
          <w:lang w:val="sk-SK"/>
        </w:rPr>
        <w:t>skladovania energie</w:t>
      </w:r>
      <w:r w:rsidR="00A75B3C" w:rsidRPr="003F23AC">
        <w:rPr>
          <w:rFonts w:cs="Times New Roman"/>
          <w:noProof/>
          <w:lang w:val="sk-SK"/>
        </w:rPr>
        <w:t xml:space="preserve"> z </w:t>
      </w:r>
      <w:r w:rsidRPr="003F23AC">
        <w:rPr>
          <w:rFonts w:cs="Times New Roman"/>
          <w:noProof/>
          <w:lang w:val="sk-SK"/>
        </w:rPr>
        <w:t>obnoviteľných zdrojov, pilotné intervencie na zlepšenie energetickej stability, inštaláciu elektrických</w:t>
      </w:r>
      <w:r w:rsidR="00A75B3C" w:rsidRPr="003F23AC">
        <w:rPr>
          <w:rFonts w:cs="Times New Roman"/>
          <w:noProof/>
          <w:lang w:val="sk-SK"/>
        </w:rPr>
        <w:t xml:space="preserve"> a </w:t>
      </w:r>
      <w:r w:rsidRPr="003F23AC">
        <w:rPr>
          <w:rFonts w:cs="Times New Roman"/>
          <w:noProof/>
          <w:lang w:val="sk-SK"/>
        </w:rPr>
        <w:t>vodíkových nabíjacích staníc, zvýšené pokrytie 5G</w:t>
      </w:r>
      <w:r w:rsidR="00A75B3C" w:rsidRPr="003F23AC">
        <w:rPr>
          <w:rFonts w:cs="Times New Roman"/>
          <w:noProof/>
          <w:lang w:val="sk-SK"/>
        </w:rPr>
        <w:t xml:space="preserve"> a </w:t>
      </w:r>
      <w:r w:rsidRPr="003F23AC">
        <w:rPr>
          <w:rFonts w:cs="Times New Roman"/>
          <w:noProof/>
          <w:lang w:val="sk-SK"/>
        </w:rPr>
        <w:t>aktívne protipožiarne opatrenia. Tieto intervencie zamerané na environmentálnu udržateľnosť</w:t>
      </w:r>
      <w:r w:rsidR="00A75B3C" w:rsidRPr="003F23AC">
        <w:rPr>
          <w:rFonts w:cs="Times New Roman"/>
          <w:noProof/>
          <w:lang w:val="sk-SK"/>
        </w:rPr>
        <w:t xml:space="preserve"> a </w:t>
      </w:r>
      <w:r w:rsidRPr="003F23AC">
        <w:rPr>
          <w:rFonts w:cs="Times New Roman"/>
          <w:noProof/>
          <w:lang w:val="sk-SK"/>
        </w:rPr>
        <w:t>digitalizáciu sa vykonávajú</w:t>
      </w:r>
      <w:r w:rsidR="00A75B3C" w:rsidRPr="003F23AC">
        <w:rPr>
          <w:rFonts w:cs="Times New Roman"/>
          <w:noProof/>
          <w:lang w:val="sk-SK"/>
        </w:rPr>
        <w:t xml:space="preserve"> v </w:t>
      </w:r>
      <w:r w:rsidRPr="003F23AC">
        <w:rPr>
          <w:rFonts w:cs="Times New Roman"/>
          <w:noProof/>
          <w:lang w:val="sk-SK"/>
        </w:rPr>
        <w:t>10 oblastiach prijímania podnikov vybraných prostredníctvom verejnej súťaže</w:t>
      </w:r>
      <w:r w:rsidR="00A75B3C" w:rsidRPr="003F23AC">
        <w:rPr>
          <w:rFonts w:cs="Times New Roman"/>
          <w:noProof/>
          <w:lang w:val="sk-SK"/>
        </w:rPr>
        <w:t>.</w:t>
      </w:r>
    </w:p>
    <w:p w14:paraId="71390BF3" w14:textId="35409981"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Očakáva sa, že realizácia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348C4B22" w14:textId="09AD7675"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RE-C07-i02: Chýbajúce prepojenia</w:t>
      </w:r>
      <w:r w:rsidR="00A75B3C" w:rsidRPr="003F23AC">
        <w:rPr>
          <w:rFonts w:cs="Times New Roman"/>
          <w:noProof/>
          <w:lang w:val="sk-SK"/>
        </w:rPr>
        <w:t xml:space="preserve"> a </w:t>
      </w:r>
      <w:r w:rsidRPr="003F23AC">
        <w:rPr>
          <w:rFonts w:cs="Times New Roman"/>
          <w:noProof/>
          <w:lang w:val="sk-SK"/>
        </w:rPr>
        <w:t>zvýšenie kapacity siete</w:t>
      </w:r>
    </w:p>
    <w:p w14:paraId="052B39E3" w14:textId="45E04060"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opatrenia je zlepšiť územnú súdržnosť</w:t>
      </w:r>
      <w:r w:rsidR="00A75B3C" w:rsidRPr="003F23AC">
        <w:rPr>
          <w:rFonts w:cs="Times New Roman"/>
          <w:noProof/>
          <w:lang w:val="sk-SK"/>
        </w:rPr>
        <w:t xml:space="preserve"> a </w:t>
      </w:r>
      <w:r w:rsidRPr="003F23AC">
        <w:rPr>
          <w:rFonts w:cs="Times New Roman"/>
          <w:noProof/>
          <w:lang w:val="sk-SK"/>
        </w:rPr>
        <w:t>konkurencieschopnosť riešením „chýbajúcich prepojení“</w:t>
      </w:r>
      <w:r w:rsidR="00A75B3C" w:rsidRPr="003F23AC">
        <w:rPr>
          <w:rFonts w:cs="Times New Roman"/>
          <w:noProof/>
          <w:lang w:val="sk-SK"/>
        </w:rPr>
        <w:t xml:space="preserve"> v </w:t>
      </w:r>
      <w:r w:rsidRPr="003F23AC">
        <w:rPr>
          <w:rFonts w:cs="Times New Roman"/>
          <w:noProof/>
          <w:lang w:val="sk-SK"/>
        </w:rPr>
        <w:t>cestnej sieti. Tieto chýbajúce prepojenia znižujú výkonnosť cestnej siete</w:t>
      </w:r>
      <w:r w:rsidR="00A75B3C" w:rsidRPr="003F23AC">
        <w:rPr>
          <w:rFonts w:cs="Times New Roman"/>
          <w:noProof/>
          <w:lang w:val="sk-SK"/>
        </w:rPr>
        <w:t xml:space="preserve"> a </w:t>
      </w:r>
      <w:r w:rsidRPr="003F23AC">
        <w:rPr>
          <w:rFonts w:cs="Times New Roman"/>
          <w:noProof/>
          <w:lang w:val="sk-SK"/>
        </w:rPr>
        <w:t>vedú</w:t>
      </w:r>
      <w:r w:rsidR="00A75B3C" w:rsidRPr="003F23AC">
        <w:rPr>
          <w:rFonts w:cs="Times New Roman"/>
          <w:noProof/>
          <w:lang w:val="sk-SK"/>
        </w:rPr>
        <w:t xml:space="preserve"> k </w:t>
      </w:r>
      <w:r w:rsidRPr="003F23AC">
        <w:rPr>
          <w:rFonts w:cs="Times New Roman"/>
          <w:noProof/>
          <w:lang w:val="sk-SK"/>
        </w:rPr>
        <w:t>strate konkurencieschopnosti podnikov. Cieľom investície je tiež riešiť dopravné zápchy, zlepšiť bezpečnosť cestnej premávky</w:t>
      </w:r>
      <w:r w:rsidR="00A75B3C" w:rsidRPr="003F23AC">
        <w:rPr>
          <w:rFonts w:cs="Times New Roman"/>
          <w:noProof/>
          <w:lang w:val="sk-SK"/>
        </w:rPr>
        <w:t xml:space="preserve"> a </w:t>
      </w:r>
      <w:r w:rsidRPr="003F23AC">
        <w:rPr>
          <w:rFonts w:cs="Times New Roman"/>
          <w:noProof/>
          <w:lang w:val="sk-SK"/>
        </w:rPr>
        <w:t>kvalitu ovzdušia</w:t>
      </w:r>
      <w:r w:rsidR="00A75B3C" w:rsidRPr="003F23AC">
        <w:rPr>
          <w:rFonts w:cs="Times New Roman"/>
          <w:noProof/>
          <w:lang w:val="sk-SK"/>
        </w:rPr>
        <w:t xml:space="preserve"> a </w:t>
      </w:r>
      <w:r w:rsidRPr="003F23AC">
        <w:rPr>
          <w:rFonts w:cs="Times New Roman"/>
          <w:noProof/>
          <w:lang w:val="sk-SK"/>
        </w:rPr>
        <w:t>znížiť hluk na miestach</w:t>
      </w:r>
      <w:r w:rsidR="00A75B3C" w:rsidRPr="003F23AC">
        <w:rPr>
          <w:rFonts w:cs="Times New Roman"/>
          <w:noProof/>
          <w:lang w:val="sk-SK"/>
        </w:rPr>
        <w:t xml:space="preserve"> v </w:t>
      </w:r>
      <w:r w:rsidRPr="003F23AC">
        <w:rPr>
          <w:rFonts w:cs="Times New Roman"/>
          <w:noProof/>
          <w:lang w:val="sk-SK"/>
        </w:rPr>
        <w:t>blízkosti ciest.</w:t>
      </w:r>
    </w:p>
    <w:p w14:paraId="758CDF92" w14:textId="6BA9716A"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výstavby</w:t>
      </w:r>
      <w:r w:rsidR="00A75B3C" w:rsidRPr="003F23AC">
        <w:rPr>
          <w:rFonts w:cs="Times New Roman"/>
          <w:noProof/>
          <w:lang w:val="sk-SK"/>
        </w:rPr>
        <w:t xml:space="preserve"> a </w:t>
      </w:r>
      <w:r w:rsidRPr="003F23AC">
        <w:rPr>
          <w:rFonts w:cs="Times New Roman"/>
          <w:noProof/>
          <w:lang w:val="sk-SK"/>
        </w:rPr>
        <w:t>modernizácie ciest. Intervencie zahŕňajú odstránenie mestských priechodov</w:t>
      </w:r>
      <w:r w:rsidR="00A75B3C" w:rsidRPr="003F23AC">
        <w:rPr>
          <w:rFonts w:cs="Times New Roman"/>
          <w:noProof/>
          <w:lang w:val="sk-SK"/>
        </w:rPr>
        <w:t xml:space="preserve"> a </w:t>
      </w:r>
      <w:r w:rsidRPr="003F23AC">
        <w:rPr>
          <w:rFonts w:cs="Times New Roman"/>
          <w:noProof/>
          <w:lang w:val="sk-SK"/>
        </w:rPr>
        <w:t>zabezpečenie primeranosti kapacity koľají, zvýšenie prístupnosti hlavných dopravných koridorov</w:t>
      </w:r>
      <w:r w:rsidR="00A75B3C" w:rsidRPr="003F23AC">
        <w:rPr>
          <w:rFonts w:cs="Times New Roman"/>
          <w:noProof/>
          <w:lang w:val="sk-SK"/>
        </w:rPr>
        <w:t xml:space="preserve"> a </w:t>
      </w:r>
      <w:r w:rsidRPr="003F23AC">
        <w:rPr>
          <w:rFonts w:cs="Times New Roman"/>
          <w:noProof/>
          <w:lang w:val="sk-SK"/>
        </w:rPr>
        <w:t>multimodálnych rozhraní. Intervencie zahŕňajú modernizáciu ciest, ktoré sú súčasťou siete TEN-T, ako je IP2 Évora východný obchvat, alebo investície do IP8</w:t>
      </w:r>
      <w:r w:rsidR="00A75B3C" w:rsidRPr="003F23AC">
        <w:rPr>
          <w:rFonts w:cs="Times New Roman"/>
          <w:noProof/>
          <w:lang w:val="sk-SK"/>
        </w:rPr>
        <w:t>.</w:t>
      </w:r>
    </w:p>
    <w:p w14:paraId="688654A9" w14:textId="6DF710D9"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tomto komponente výrazne nenaruší environmentálne ciele</w:t>
      </w:r>
      <w:r w:rsidR="00A75B3C" w:rsidRPr="003F23AC">
        <w:rPr>
          <w:rFonts w:cs="Times New Roman"/>
          <w:noProof/>
          <w:lang w:val="sk-SK"/>
        </w:rPr>
        <w:t xml:space="preserve"> v </w:t>
      </w:r>
      <w:r w:rsidRPr="003F23AC">
        <w:rPr>
          <w:rFonts w:cs="Times New Roman"/>
          <w:noProof/>
          <w:lang w:val="sk-SK"/>
        </w:rPr>
        <w:t>zmysle článku 17 nariadenia Európskeho parlamentu</w:t>
      </w:r>
      <w:r w:rsidR="00A75B3C" w:rsidRPr="003F23AC">
        <w:rPr>
          <w:rFonts w:cs="Times New Roman"/>
          <w:noProof/>
          <w:lang w:val="sk-SK"/>
        </w:rPr>
        <w:t xml:space="preserve"> a </w:t>
      </w:r>
      <w:r w:rsidRPr="003F23AC">
        <w:rPr>
          <w:rFonts w:cs="Times New Roman"/>
          <w:noProof/>
          <w:lang w:val="sk-SK"/>
        </w:rPr>
        <w:t>Rady (EÚ) 2020/852, berúc do úvahy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 obnovy</w:t>
      </w:r>
      <w:r w:rsidR="00A75B3C" w:rsidRPr="003F23AC">
        <w:rPr>
          <w:rFonts w:cs="Times New Roman"/>
          <w:noProof/>
          <w:lang w:val="sk-SK"/>
        </w:rPr>
        <w:t xml:space="preserve"> a </w:t>
      </w:r>
      <w:r w:rsidRPr="003F23AC">
        <w:rPr>
          <w:rFonts w:cs="Times New Roman"/>
          <w:noProof/>
          <w:lang w:val="sk-SK"/>
        </w:rPr>
        <w:t>odolnosti</w:t>
      </w:r>
      <w:r w:rsidR="00A75B3C" w:rsidRPr="003F23AC">
        <w:rPr>
          <w:rFonts w:cs="Times New Roman"/>
          <w:noProof/>
          <w:lang w:val="sk-SK"/>
        </w:rPr>
        <w:t xml:space="preserve"> v </w:t>
      </w:r>
      <w:r w:rsidRPr="003F23AC">
        <w:rPr>
          <w:rFonts w:cs="Times New Roman"/>
          <w:noProof/>
          <w:lang w:val="sk-SK"/>
        </w:rPr>
        <w:t>súlade so zásadou technického usmernia týkajúceho sa uplatňovania zásady „výrazne nenarušiť“ (DNHS) (2021/C58/01). Dodržiavanie zásady „výrazne nenarušiť“ sa zabezpečuje najmä prostredníctvom investície C07-I0 (rozšírenie siete nabíjania elektrických vozidiel) ako sprievodného opatrenia. Každý cestný projekt, ktorý môže mať významný negatívny vplyv na životné prostredie, podlieha posudzovaniu vplyvov na životné prostredie (EIA) podľa smernice 2011/92/EÚ</w:t>
      </w:r>
      <w:r w:rsidR="00A75B3C" w:rsidRPr="003F23AC">
        <w:rPr>
          <w:rFonts w:cs="Times New Roman"/>
          <w:noProof/>
          <w:lang w:val="sk-SK"/>
        </w:rPr>
        <w:t xml:space="preserve"> s </w:t>
      </w:r>
      <w:r w:rsidRPr="003F23AC">
        <w:rPr>
          <w:rFonts w:cs="Times New Roman"/>
          <w:noProof/>
          <w:lang w:val="sk-SK"/>
        </w:rPr>
        <w:t>cieľom zabezpečiť, aby sa súlad so zásadou „výrazne nenarušiť“ začlenil do projektu</w:t>
      </w:r>
      <w:r w:rsidR="00A75B3C" w:rsidRPr="003F23AC">
        <w:rPr>
          <w:rFonts w:cs="Times New Roman"/>
          <w:noProof/>
          <w:lang w:val="sk-SK"/>
        </w:rPr>
        <w:t xml:space="preserve"> a </w:t>
      </w:r>
      <w:r w:rsidRPr="003F23AC">
        <w:rPr>
          <w:rFonts w:cs="Times New Roman"/>
          <w:noProof/>
          <w:lang w:val="sk-SK"/>
        </w:rPr>
        <w:t>prísne dodržiaval vo fázach výstavby, prevádzky</w:t>
      </w:r>
      <w:r w:rsidR="00A75B3C" w:rsidRPr="003F23AC">
        <w:rPr>
          <w:rFonts w:cs="Times New Roman"/>
          <w:noProof/>
          <w:lang w:val="sk-SK"/>
        </w:rPr>
        <w:t xml:space="preserve"> a </w:t>
      </w:r>
      <w:r w:rsidRPr="003F23AC">
        <w:rPr>
          <w:rFonts w:cs="Times New Roman"/>
          <w:noProof/>
          <w:lang w:val="sk-SK"/>
        </w:rPr>
        <w:t>vyraďovania infraštruktúry</w:t>
      </w:r>
      <w:r w:rsidR="00A75B3C" w:rsidRPr="003F23AC">
        <w:rPr>
          <w:rFonts w:cs="Times New Roman"/>
          <w:noProof/>
          <w:lang w:val="sk-SK"/>
        </w:rPr>
        <w:t xml:space="preserve"> z </w:t>
      </w:r>
      <w:r w:rsidRPr="003F23AC">
        <w:rPr>
          <w:rFonts w:cs="Times New Roman"/>
          <w:noProof/>
          <w:lang w:val="sk-SK"/>
        </w:rPr>
        <w:t>prevádzky.</w:t>
      </w:r>
    </w:p>
    <w:p w14:paraId="7EE25272" w14:textId="7777777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Z uvedených ciest sa vybuduje alebo zmodernizuje 111 kilometrov</w:t>
      </w:r>
      <w:r w:rsidR="00A75B3C" w:rsidRPr="003F23AC">
        <w:rPr>
          <w:rFonts w:cs="Times New Roman"/>
          <w:noProof/>
          <w:lang w:val="sk-SK"/>
        </w:rPr>
        <w:t>:</w:t>
      </w:r>
    </w:p>
    <w:p w14:paraId="57CD2A94" w14:textId="70EB08A9" w:rsidR="00A75B3C" w:rsidRPr="003F23AC" w:rsidRDefault="000F5AA4" w:rsidP="003F23AC">
      <w:pPr>
        <w:pStyle w:val="P68B1DB1-Normal4"/>
        <w:numPr>
          <w:ilvl w:val="0"/>
          <w:numId w:val="22"/>
        </w:numPr>
        <w:spacing w:before="40" w:after="160" w:line="259" w:lineRule="auto"/>
        <w:contextualSpacing/>
        <w:jc w:val="both"/>
        <w:rPr>
          <w:rFonts w:cs="Times New Roman"/>
          <w:noProof/>
          <w:lang w:val="sk-SK"/>
        </w:rPr>
      </w:pPr>
      <w:r w:rsidRPr="003F23AC">
        <w:rPr>
          <w:rFonts w:cs="Times New Roman"/>
          <w:noProof/>
          <w:lang w:val="sk-SK"/>
        </w:rPr>
        <w:t>EN14: rozhranie cesta/železnica</w:t>
      </w:r>
      <w:r w:rsidR="00A75B3C" w:rsidRPr="003F23AC">
        <w:rPr>
          <w:rFonts w:cs="Times New Roman"/>
          <w:noProof/>
          <w:lang w:val="sk-SK"/>
        </w:rPr>
        <w:t xml:space="preserve"> v </w:t>
      </w:r>
      <w:r w:rsidRPr="003F23AC">
        <w:rPr>
          <w:rFonts w:cs="Times New Roman"/>
          <w:noProof/>
          <w:lang w:val="sk-SK"/>
        </w:rPr>
        <w:t>Trofa/Santane vrátane nového mosta cez rieku Ave</w:t>
      </w:r>
      <w:r w:rsidR="00A75B3C" w:rsidRPr="003F23AC">
        <w:rPr>
          <w:rFonts w:cs="Times New Roman"/>
          <w:noProof/>
          <w:lang w:val="sk-SK"/>
        </w:rPr>
        <w:t>;</w:t>
      </w:r>
    </w:p>
    <w:p w14:paraId="67759730" w14:textId="4C12C281" w:rsidR="00A75B3C" w:rsidRPr="003F23AC" w:rsidRDefault="000F5AA4" w:rsidP="003F23AC">
      <w:pPr>
        <w:pStyle w:val="P68B1DB1-Normal4"/>
        <w:numPr>
          <w:ilvl w:val="0"/>
          <w:numId w:val="22"/>
        </w:numPr>
        <w:spacing w:before="40" w:after="160" w:line="259" w:lineRule="auto"/>
        <w:contextualSpacing/>
        <w:jc w:val="both"/>
        <w:rPr>
          <w:rFonts w:cs="Times New Roman"/>
          <w:noProof/>
          <w:lang w:val="sk-SK"/>
        </w:rPr>
      </w:pPr>
      <w:r w:rsidRPr="003F23AC">
        <w:rPr>
          <w:rFonts w:cs="Times New Roman"/>
          <w:noProof/>
          <w:lang w:val="sk-SK"/>
        </w:rPr>
        <w:t>EN14: Maia (Via Diagonal)/cestné/železničné rozhranie</w:t>
      </w:r>
      <w:r w:rsidR="00A75B3C" w:rsidRPr="003F23AC">
        <w:rPr>
          <w:rFonts w:cs="Times New Roman"/>
          <w:noProof/>
          <w:lang w:val="sk-SK"/>
        </w:rPr>
        <w:t xml:space="preserve"> v </w:t>
      </w:r>
      <w:r w:rsidRPr="003F23AC">
        <w:rPr>
          <w:rFonts w:cs="Times New Roman"/>
          <w:noProof/>
          <w:lang w:val="sk-SK"/>
        </w:rPr>
        <w:t>Trofa</w:t>
      </w:r>
      <w:r w:rsidR="00A75B3C" w:rsidRPr="003F23AC">
        <w:rPr>
          <w:rFonts w:cs="Times New Roman"/>
          <w:noProof/>
          <w:lang w:val="sk-SK"/>
        </w:rPr>
        <w:t>;</w:t>
      </w:r>
    </w:p>
    <w:p w14:paraId="20AA79A3" w14:textId="77777777" w:rsidR="00A75B3C" w:rsidRPr="003F23AC" w:rsidRDefault="000F5AA4" w:rsidP="003F23AC">
      <w:pPr>
        <w:pStyle w:val="P68B1DB1-Normal4"/>
        <w:numPr>
          <w:ilvl w:val="0"/>
          <w:numId w:val="22"/>
        </w:numPr>
        <w:spacing w:before="40" w:after="160" w:line="259" w:lineRule="auto"/>
        <w:contextualSpacing/>
        <w:jc w:val="both"/>
        <w:rPr>
          <w:rFonts w:cs="Times New Roman"/>
          <w:noProof/>
          <w:lang w:val="sk-SK"/>
        </w:rPr>
      </w:pPr>
      <w:r w:rsidRPr="003F23AC">
        <w:rPr>
          <w:rFonts w:cs="Times New Roman"/>
          <w:noProof/>
          <w:lang w:val="sk-SK"/>
        </w:rPr>
        <w:t>EN4: Obchvat Atalaia</w:t>
      </w:r>
      <w:r w:rsidR="00A75B3C" w:rsidRPr="003F23AC">
        <w:rPr>
          <w:rFonts w:cs="Times New Roman"/>
          <w:noProof/>
          <w:lang w:val="sk-SK"/>
        </w:rPr>
        <w:t>;</w:t>
      </w:r>
    </w:p>
    <w:p w14:paraId="474F0266" w14:textId="77777777" w:rsidR="00A75B3C" w:rsidRPr="003F23AC" w:rsidRDefault="000F5AA4" w:rsidP="003F23AC">
      <w:pPr>
        <w:pStyle w:val="P68B1DB1-Normal4"/>
        <w:numPr>
          <w:ilvl w:val="0"/>
          <w:numId w:val="22"/>
        </w:numPr>
        <w:spacing w:before="40" w:after="160" w:line="259" w:lineRule="auto"/>
        <w:contextualSpacing/>
        <w:jc w:val="both"/>
        <w:rPr>
          <w:rFonts w:cs="Times New Roman"/>
          <w:noProof/>
          <w:lang w:val="sk-SK"/>
        </w:rPr>
      </w:pPr>
      <w:r w:rsidRPr="003F23AC">
        <w:rPr>
          <w:rFonts w:cs="Times New Roman"/>
          <w:noProof/>
          <w:lang w:val="sk-SK"/>
        </w:rPr>
        <w:t>IC35: Penafiel (EN15)/Rans</w:t>
      </w:r>
      <w:r w:rsidR="00A75B3C" w:rsidRPr="003F23AC">
        <w:rPr>
          <w:rFonts w:cs="Times New Roman"/>
          <w:noProof/>
          <w:lang w:val="sk-SK"/>
        </w:rPr>
        <w:t>;</w:t>
      </w:r>
    </w:p>
    <w:p w14:paraId="6EFC259F" w14:textId="77777777" w:rsidR="00A75B3C" w:rsidRPr="003F23AC" w:rsidRDefault="000F5AA4" w:rsidP="003F23AC">
      <w:pPr>
        <w:pStyle w:val="P68B1DB1-Normal4"/>
        <w:numPr>
          <w:ilvl w:val="0"/>
          <w:numId w:val="22"/>
        </w:numPr>
        <w:spacing w:before="40" w:after="160" w:line="259" w:lineRule="auto"/>
        <w:contextualSpacing/>
        <w:jc w:val="both"/>
        <w:rPr>
          <w:rFonts w:cs="Times New Roman"/>
          <w:noProof/>
          <w:lang w:val="sk-SK"/>
        </w:rPr>
      </w:pPr>
      <w:r w:rsidRPr="003F23AC">
        <w:rPr>
          <w:rFonts w:cs="Times New Roman"/>
          <w:noProof/>
          <w:lang w:val="sk-SK"/>
        </w:rPr>
        <w:t>IC35: Rans/Entre-os Rios</w:t>
      </w:r>
      <w:r w:rsidR="00A75B3C" w:rsidRPr="003F23AC">
        <w:rPr>
          <w:rFonts w:cs="Times New Roman"/>
          <w:noProof/>
          <w:lang w:val="sk-SK"/>
        </w:rPr>
        <w:t>;</w:t>
      </w:r>
    </w:p>
    <w:p w14:paraId="54935076" w14:textId="77777777" w:rsidR="00A75B3C" w:rsidRPr="003F23AC" w:rsidRDefault="000F5AA4" w:rsidP="003F23AC">
      <w:pPr>
        <w:pStyle w:val="P68B1DB1-Normal4"/>
        <w:numPr>
          <w:ilvl w:val="0"/>
          <w:numId w:val="22"/>
        </w:numPr>
        <w:spacing w:before="40" w:after="160" w:line="259" w:lineRule="auto"/>
        <w:contextualSpacing/>
        <w:jc w:val="both"/>
        <w:rPr>
          <w:rFonts w:cs="Times New Roman"/>
          <w:noProof/>
          <w:lang w:val="sk-SK"/>
        </w:rPr>
      </w:pPr>
      <w:r w:rsidRPr="003F23AC">
        <w:rPr>
          <w:rFonts w:cs="Times New Roman"/>
          <w:noProof/>
          <w:lang w:val="sk-SK"/>
        </w:rPr>
        <w:t>IP2: Východný obchvat Évora</w:t>
      </w:r>
      <w:r w:rsidR="00A75B3C" w:rsidRPr="003F23AC">
        <w:rPr>
          <w:rFonts w:cs="Times New Roman"/>
          <w:noProof/>
          <w:lang w:val="sk-SK"/>
        </w:rPr>
        <w:t>;</w:t>
      </w:r>
    </w:p>
    <w:p w14:paraId="56FE0B5D" w14:textId="2D9EC9DD" w:rsidR="00A75B3C" w:rsidRPr="003F23AC" w:rsidRDefault="000F5AA4" w:rsidP="003F23AC">
      <w:pPr>
        <w:pStyle w:val="P68B1DB1-Normal4"/>
        <w:numPr>
          <w:ilvl w:val="0"/>
          <w:numId w:val="22"/>
        </w:numPr>
        <w:spacing w:before="40" w:after="160" w:line="259" w:lineRule="auto"/>
        <w:contextualSpacing/>
        <w:jc w:val="both"/>
        <w:rPr>
          <w:rFonts w:cs="Times New Roman"/>
          <w:noProof/>
          <w:lang w:val="sk-SK"/>
        </w:rPr>
      </w:pPr>
      <w:r w:rsidRPr="003F23AC">
        <w:rPr>
          <w:rFonts w:cs="Times New Roman"/>
          <w:noProof/>
          <w:lang w:val="sk-SK"/>
        </w:rPr>
        <w:t>Spojenie</w:t>
      </w:r>
      <w:r w:rsidR="00A75B3C" w:rsidRPr="003F23AC">
        <w:rPr>
          <w:rFonts w:cs="Times New Roman"/>
          <w:noProof/>
          <w:lang w:val="sk-SK"/>
        </w:rPr>
        <w:t xml:space="preserve"> z </w:t>
      </w:r>
      <w:r w:rsidRPr="003F23AC">
        <w:rPr>
          <w:rFonts w:cs="Times New Roman"/>
          <w:noProof/>
          <w:lang w:val="sk-SK"/>
        </w:rPr>
        <w:t>Baião na most Ermida</w:t>
      </w:r>
      <w:r w:rsidR="00A75B3C" w:rsidRPr="003F23AC">
        <w:rPr>
          <w:rFonts w:cs="Times New Roman"/>
          <w:noProof/>
          <w:lang w:val="sk-SK"/>
        </w:rPr>
        <w:t>;</w:t>
      </w:r>
    </w:p>
    <w:p w14:paraId="01BDEC19" w14:textId="77777777" w:rsidR="00A75B3C" w:rsidRPr="003F23AC" w:rsidRDefault="000F5AA4" w:rsidP="003F23AC">
      <w:pPr>
        <w:pStyle w:val="P68B1DB1-Normal4"/>
        <w:numPr>
          <w:ilvl w:val="0"/>
          <w:numId w:val="22"/>
        </w:numPr>
        <w:spacing w:before="40" w:after="160" w:line="259" w:lineRule="auto"/>
        <w:contextualSpacing/>
        <w:jc w:val="both"/>
        <w:rPr>
          <w:rFonts w:cs="Times New Roman"/>
          <w:noProof/>
          <w:lang w:val="sk-SK"/>
        </w:rPr>
      </w:pPr>
      <w:r w:rsidRPr="003F23AC">
        <w:rPr>
          <w:rFonts w:cs="Times New Roman"/>
          <w:noProof/>
          <w:lang w:val="sk-SK"/>
        </w:rPr>
        <w:t>Cestná os Aveiro – Águeda</w:t>
      </w:r>
      <w:r w:rsidR="00A75B3C" w:rsidRPr="003F23AC">
        <w:rPr>
          <w:rFonts w:cs="Times New Roman"/>
          <w:noProof/>
          <w:lang w:val="sk-SK"/>
        </w:rPr>
        <w:t>;</w:t>
      </w:r>
    </w:p>
    <w:p w14:paraId="0A7334DA" w14:textId="77777777" w:rsidR="00A75B3C" w:rsidRPr="003F23AC" w:rsidRDefault="000F5AA4" w:rsidP="003F23AC">
      <w:pPr>
        <w:pStyle w:val="P68B1DB1-Normal4"/>
        <w:numPr>
          <w:ilvl w:val="0"/>
          <w:numId w:val="22"/>
        </w:numPr>
        <w:spacing w:before="40" w:after="160" w:line="259" w:lineRule="auto"/>
        <w:contextualSpacing/>
        <w:jc w:val="both"/>
        <w:rPr>
          <w:rFonts w:cs="Times New Roman"/>
          <w:noProof/>
          <w:lang w:val="sk-SK"/>
        </w:rPr>
      </w:pPr>
      <w:r w:rsidRPr="003F23AC">
        <w:rPr>
          <w:rFonts w:cs="Times New Roman"/>
          <w:noProof/>
          <w:lang w:val="sk-SK"/>
        </w:rPr>
        <w:t>EN344: km 67 až km 75 – Pampilhosa da Serra</w:t>
      </w:r>
      <w:r w:rsidR="00A75B3C" w:rsidRPr="003F23AC">
        <w:rPr>
          <w:rFonts w:cs="Times New Roman"/>
          <w:noProof/>
          <w:lang w:val="sk-SK"/>
        </w:rPr>
        <w:t>;</w:t>
      </w:r>
    </w:p>
    <w:p w14:paraId="441D15C7" w14:textId="77777777" w:rsidR="00A75B3C" w:rsidRPr="003F23AC" w:rsidRDefault="000F5AA4" w:rsidP="003F23AC">
      <w:pPr>
        <w:pStyle w:val="P68B1DB1-Normal4"/>
        <w:numPr>
          <w:ilvl w:val="0"/>
          <w:numId w:val="22"/>
        </w:numPr>
        <w:spacing w:before="40" w:after="160" w:line="259" w:lineRule="auto"/>
        <w:contextualSpacing/>
        <w:jc w:val="both"/>
        <w:rPr>
          <w:rFonts w:cs="Times New Roman"/>
          <w:noProof/>
          <w:lang w:val="sk-SK"/>
        </w:rPr>
      </w:pPr>
      <w:r w:rsidRPr="003F23AC">
        <w:rPr>
          <w:rFonts w:cs="Times New Roman"/>
          <w:noProof/>
          <w:lang w:val="sk-SK"/>
        </w:rPr>
        <w:t>EN125: Východný obchvat Olhão</w:t>
      </w:r>
      <w:r w:rsidR="00A75B3C" w:rsidRPr="003F23AC">
        <w:rPr>
          <w:rFonts w:cs="Times New Roman"/>
          <w:noProof/>
          <w:lang w:val="sk-SK"/>
        </w:rPr>
        <w:t>;</w:t>
      </w:r>
    </w:p>
    <w:p w14:paraId="6D6B2EBE" w14:textId="77777777" w:rsidR="00A75B3C" w:rsidRPr="003F23AC" w:rsidRDefault="000F5AA4" w:rsidP="003F23AC">
      <w:pPr>
        <w:pStyle w:val="P68B1DB1-Normal4"/>
        <w:numPr>
          <w:ilvl w:val="0"/>
          <w:numId w:val="22"/>
        </w:numPr>
        <w:spacing w:before="40" w:after="160" w:line="259" w:lineRule="auto"/>
        <w:contextualSpacing/>
        <w:jc w:val="both"/>
        <w:rPr>
          <w:rFonts w:cs="Times New Roman"/>
          <w:noProof/>
          <w:lang w:val="sk-SK"/>
        </w:rPr>
      </w:pPr>
      <w:r w:rsidRPr="003F23AC">
        <w:rPr>
          <w:rFonts w:cs="Times New Roman"/>
          <w:noProof/>
          <w:lang w:val="sk-SK"/>
        </w:rPr>
        <w:t>IC2 (EN1): Meirinhas (km 136)/Pombal (148 km)</w:t>
      </w:r>
      <w:r w:rsidR="00A75B3C" w:rsidRPr="003F23AC">
        <w:rPr>
          <w:rFonts w:cs="Times New Roman"/>
          <w:noProof/>
          <w:lang w:val="sk-SK"/>
        </w:rPr>
        <w:t>;</w:t>
      </w:r>
    </w:p>
    <w:p w14:paraId="7D30F620" w14:textId="77777777" w:rsidR="00A75B3C" w:rsidRPr="003F23AC" w:rsidRDefault="000F5AA4" w:rsidP="003F23AC">
      <w:pPr>
        <w:pStyle w:val="P68B1DB1-Normal4"/>
        <w:numPr>
          <w:ilvl w:val="0"/>
          <w:numId w:val="22"/>
        </w:numPr>
        <w:spacing w:before="40" w:after="160" w:line="259" w:lineRule="auto"/>
        <w:contextualSpacing/>
        <w:jc w:val="both"/>
        <w:rPr>
          <w:rFonts w:cs="Times New Roman"/>
          <w:noProof/>
          <w:lang w:val="sk-SK"/>
        </w:rPr>
      </w:pPr>
      <w:r w:rsidRPr="003F23AC">
        <w:rPr>
          <w:rFonts w:cs="Times New Roman"/>
          <w:noProof/>
          <w:lang w:val="sk-SK"/>
        </w:rPr>
        <w:t>IP8 (EN121): Ferreira do Alentejo/Beja vrátane obchvatu Beringelu</w:t>
      </w:r>
      <w:r w:rsidR="00A75B3C" w:rsidRPr="003F23AC">
        <w:rPr>
          <w:rFonts w:cs="Times New Roman"/>
          <w:noProof/>
          <w:lang w:val="sk-SK"/>
        </w:rPr>
        <w:t>;</w:t>
      </w:r>
    </w:p>
    <w:p w14:paraId="119D8747" w14:textId="77777777" w:rsidR="00A75B3C" w:rsidRPr="003F23AC" w:rsidRDefault="000F5AA4" w:rsidP="003F23AC">
      <w:pPr>
        <w:pStyle w:val="P68B1DB1-Normal4"/>
        <w:numPr>
          <w:ilvl w:val="0"/>
          <w:numId w:val="22"/>
        </w:numPr>
        <w:spacing w:before="40" w:after="160" w:line="259" w:lineRule="auto"/>
        <w:contextualSpacing/>
        <w:jc w:val="both"/>
        <w:rPr>
          <w:rFonts w:cs="Times New Roman"/>
          <w:noProof/>
          <w:lang w:val="sk-SK"/>
        </w:rPr>
      </w:pPr>
      <w:r w:rsidRPr="003F23AC">
        <w:rPr>
          <w:rFonts w:cs="Times New Roman"/>
          <w:noProof/>
          <w:lang w:val="sk-SK"/>
        </w:rPr>
        <w:t>IP8 (EN259): STA. Margarida do Sado/Ferreira do Alentejo vrátane obchvatu Figueira de Cavaleiros</w:t>
      </w:r>
      <w:r w:rsidR="00A75B3C" w:rsidRPr="003F23AC">
        <w:rPr>
          <w:rFonts w:cs="Times New Roman"/>
          <w:noProof/>
          <w:lang w:val="sk-SK"/>
        </w:rPr>
        <w:t>;</w:t>
      </w:r>
    </w:p>
    <w:p w14:paraId="456550C3" w14:textId="669D5491" w:rsidR="00A75B3C" w:rsidRPr="003F23AC" w:rsidRDefault="000F5AA4" w:rsidP="003F23AC">
      <w:pPr>
        <w:pStyle w:val="P68B1DB1-Normal4"/>
        <w:numPr>
          <w:ilvl w:val="0"/>
          <w:numId w:val="22"/>
        </w:numPr>
        <w:spacing w:before="40" w:after="160" w:line="259" w:lineRule="auto"/>
        <w:contextualSpacing/>
        <w:jc w:val="both"/>
        <w:rPr>
          <w:rFonts w:cs="Times New Roman"/>
          <w:noProof/>
          <w:lang w:val="sk-SK"/>
        </w:rPr>
      </w:pPr>
      <w:r w:rsidRPr="003F23AC">
        <w:rPr>
          <w:rFonts w:cs="Times New Roman"/>
          <w:noProof/>
          <w:lang w:val="sk-SK"/>
        </w:rPr>
        <w:t>IP8 (A26): Zvýšenie kapacity spojenia medzi Sinesmi</w:t>
      </w:r>
      <w:r w:rsidR="00A75B3C" w:rsidRPr="003F23AC">
        <w:rPr>
          <w:rFonts w:cs="Times New Roman"/>
          <w:noProof/>
          <w:lang w:val="sk-SK"/>
        </w:rPr>
        <w:t xml:space="preserve"> a </w:t>
      </w:r>
      <w:r w:rsidRPr="003F23AC">
        <w:rPr>
          <w:rFonts w:cs="Times New Roman"/>
          <w:noProof/>
          <w:lang w:val="sk-SK"/>
        </w:rPr>
        <w:t>A2</w:t>
      </w:r>
      <w:r w:rsidR="00A75B3C" w:rsidRPr="003F23AC">
        <w:rPr>
          <w:rFonts w:cs="Times New Roman"/>
          <w:noProof/>
          <w:lang w:val="sk-SK"/>
        </w:rPr>
        <w:t>;</w:t>
      </w:r>
    </w:p>
    <w:p w14:paraId="5016F84C" w14:textId="635B6CAF" w:rsidR="00A75B3C" w:rsidRPr="003F23AC" w:rsidRDefault="000F5AA4" w:rsidP="003F23AC">
      <w:pPr>
        <w:pStyle w:val="P68B1DB1-Normal4"/>
        <w:numPr>
          <w:ilvl w:val="0"/>
          <w:numId w:val="22"/>
        </w:numPr>
        <w:spacing w:before="40" w:after="160" w:line="259" w:lineRule="auto"/>
        <w:contextualSpacing/>
        <w:jc w:val="both"/>
        <w:rPr>
          <w:rFonts w:cs="Times New Roman"/>
          <w:noProof/>
          <w:lang w:val="sk-SK"/>
        </w:rPr>
      </w:pPr>
      <w:r w:rsidRPr="003F23AC">
        <w:rPr>
          <w:rFonts w:cs="Times New Roman"/>
          <w:noProof/>
          <w:lang w:val="sk-SK"/>
        </w:rPr>
        <w:t>EN211 – obtok Quintã/Mesquinhata</w:t>
      </w:r>
      <w:r w:rsidR="00A75B3C" w:rsidRPr="003F23AC">
        <w:rPr>
          <w:rFonts w:cs="Times New Roman"/>
          <w:noProof/>
          <w:lang w:val="sk-SK"/>
        </w:rPr>
        <w:t>.</w:t>
      </w:r>
    </w:p>
    <w:p w14:paraId="21CD1717" w14:textId="65483754"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4CD69178" w14:textId="77777777" w:rsidR="00387C70" w:rsidRPr="003F23AC" w:rsidRDefault="000F5AA4" w:rsidP="009E4E5C">
      <w:pPr>
        <w:pStyle w:val="P68B1DB1-Normal5"/>
        <w:keepNext/>
        <w:keepLines/>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RE-C07-i05-RAA: Logistické obvody – Regionálna sieť Azorských ostrovov</w:t>
      </w:r>
    </w:p>
    <w:p w14:paraId="5E978CC5" w14:textId="02CDB118" w:rsidR="00387C70" w:rsidRPr="003F23AC" w:rsidRDefault="000F5AA4" w:rsidP="009E4E5C">
      <w:pPr>
        <w:pStyle w:val="P68B1DB1-Normal4"/>
        <w:keepNext/>
        <w:keepLines/>
        <w:spacing w:before="40" w:after="0" w:line="259" w:lineRule="auto"/>
        <w:jc w:val="both"/>
        <w:rPr>
          <w:rFonts w:eastAsiaTheme="minorEastAsia" w:cs="Times New Roman"/>
          <w:noProof/>
          <w:lang w:val="sk-SK"/>
        </w:rPr>
      </w:pPr>
      <w:r w:rsidRPr="003F23AC">
        <w:rPr>
          <w:rFonts w:cs="Times New Roman"/>
          <w:noProof/>
          <w:lang w:val="sk-SK"/>
        </w:rPr>
        <w:t>Cieľom opatrenia je vytvoriť podmienky pre vyváženejší hospodársky rozvoj prostredníctvom podpory hospodárskych subjektov mimo veľkých mestských centier. Cieľom intervencií je aj skrátenie cestovných vzdialeností, skrátenie dĺžky trvania cesty</w:t>
      </w:r>
      <w:r w:rsidR="00A75B3C" w:rsidRPr="003F23AC">
        <w:rPr>
          <w:rFonts w:cs="Times New Roman"/>
          <w:noProof/>
          <w:lang w:val="sk-SK"/>
        </w:rPr>
        <w:t xml:space="preserve"> a </w:t>
      </w:r>
      <w:r w:rsidRPr="003F23AC">
        <w:rPr>
          <w:rFonts w:cs="Times New Roman"/>
          <w:noProof/>
          <w:lang w:val="sk-SK"/>
        </w:rPr>
        <w:t>zápch.</w:t>
      </w:r>
    </w:p>
    <w:p w14:paraId="6A20D9B3" w14:textId="1C640C1A" w:rsidR="00A75B3C" w:rsidRPr="003F23AC" w:rsidRDefault="000F5AA4" w:rsidP="009E4E5C">
      <w:pPr>
        <w:pStyle w:val="P68B1DB1-Normal4"/>
        <w:keepNext/>
        <w:keepLines/>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rozšírenia</w:t>
      </w:r>
      <w:r w:rsidR="00A75B3C" w:rsidRPr="003F23AC">
        <w:rPr>
          <w:rFonts w:cs="Times New Roman"/>
          <w:noProof/>
          <w:lang w:val="sk-SK"/>
        </w:rPr>
        <w:t xml:space="preserve"> a </w:t>
      </w:r>
      <w:r w:rsidRPr="003F23AC">
        <w:rPr>
          <w:rFonts w:cs="Times New Roman"/>
          <w:noProof/>
          <w:lang w:val="sk-SK"/>
        </w:rPr>
        <w:t>modernizácie cestnej infraštruktúry na Azorských ostrovoch. Jeho cieľom je zlepšiť dostupnosť populačných centier</w:t>
      </w:r>
      <w:r w:rsidR="00A75B3C" w:rsidRPr="003F23AC">
        <w:rPr>
          <w:rFonts w:cs="Times New Roman"/>
          <w:noProof/>
          <w:lang w:val="sk-SK"/>
        </w:rPr>
        <w:t xml:space="preserve"> a </w:t>
      </w:r>
      <w:r w:rsidRPr="003F23AC">
        <w:rPr>
          <w:rFonts w:cs="Times New Roman"/>
          <w:noProof/>
          <w:lang w:val="sk-SK"/>
        </w:rPr>
        <w:t>centier hospodárskej činnosti</w:t>
      </w:r>
      <w:r w:rsidR="00A75B3C" w:rsidRPr="003F23AC">
        <w:rPr>
          <w:rFonts w:cs="Times New Roman"/>
          <w:noProof/>
          <w:lang w:val="sk-SK"/>
        </w:rPr>
        <w:t xml:space="preserve"> a </w:t>
      </w:r>
      <w:r w:rsidRPr="003F23AC">
        <w:rPr>
          <w:rFonts w:cs="Times New Roman"/>
          <w:noProof/>
          <w:lang w:val="sk-SK"/>
        </w:rPr>
        <w:t>hlavných vstupných infraštruktúr na každom ostrove. Jeho cieľom je tiež zasiahnuť do výstavby okružných ciest do hlavných mestských centier</w:t>
      </w:r>
      <w:r w:rsidR="00A75B3C" w:rsidRPr="003F23AC">
        <w:rPr>
          <w:rFonts w:cs="Times New Roman"/>
          <w:noProof/>
          <w:lang w:val="sk-SK"/>
        </w:rPr>
        <w:t xml:space="preserve"> a </w:t>
      </w:r>
      <w:r w:rsidRPr="003F23AC">
        <w:rPr>
          <w:rFonts w:cs="Times New Roman"/>
          <w:noProof/>
          <w:lang w:val="sk-SK"/>
        </w:rPr>
        <w:t>obmedziť počet mestských križovatiek</w:t>
      </w:r>
      <w:r w:rsidR="00A75B3C" w:rsidRPr="003F23AC">
        <w:rPr>
          <w:rFonts w:cs="Times New Roman"/>
          <w:noProof/>
          <w:lang w:val="sk-SK"/>
        </w:rPr>
        <w:t>.</w:t>
      </w:r>
    </w:p>
    <w:p w14:paraId="63DBFDF0" w14:textId="487762A6"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tomto komponente výrazne nenaruší environmentálne ciele</w:t>
      </w:r>
      <w:r w:rsidR="00A75B3C" w:rsidRPr="003F23AC">
        <w:rPr>
          <w:rFonts w:cs="Times New Roman"/>
          <w:noProof/>
          <w:lang w:val="sk-SK"/>
        </w:rPr>
        <w:t xml:space="preserve"> v </w:t>
      </w:r>
      <w:r w:rsidRPr="003F23AC">
        <w:rPr>
          <w:rFonts w:cs="Times New Roman"/>
          <w:noProof/>
          <w:lang w:val="sk-SK"/>
        </w:rPr>
        <w:t>zmysle článku 17 nariadenia Európskeho parlamentu</w:t>
      </w:r>
      <w:r w:rsidR="00A75B3C" w:rsidRPr="003F23AC">
        <w:rPr>
          <w:rFonts w:cs="Times New Roman"/>
          <w:noProof/>
          <w:lang w:val="sk-SK"/>
        </w:rPr>
        <w:t xml:space="preserve"> a </w:t>
      </w:r>
      <w:r w:rsidRPr="003F23AC">
        <w:rPr>
          <w:rFonts w:cs="Times New Roman"/>
          <w:noProof/>
          <w:lang w:val="sk-SK"/>
        </w:rPr>
        <w:t>Rady (EÚ) 2020/852, berúc do úvahy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 obnovy</w:t>
      </w:r>
      <w:r w:rsidR="00A75B3C" w:rsidRPr="003F23AC">
        <w:rPr>
          <w:rFonts w:cs="Times New Roman"/>
          <w:noProof/>
          <w:lang w:val="sk-SK"/>
        </w:rPr>
        <w:t xml:space="preserve"> a </w:t>
      </w:r>
      <w:r w:rsidRPr="003F23AC">
        <w:rPr>
          <w:rFonts w:cs="Times New Roman"/>
          <w:noProof/>
          <w:lang w:val="sk-SK"/>
        </w:rPr>
        <w:t>odolnosti</w:t>
      </w:r>
      <w:r w:rsidR="00A75B3C" w:rsidRPr="003F23AC">
        <w:rPr>
          <w:rFonts w:cs="Times New Roman"/>
          <w:noProof/>
          <w:lang w:val="sk-SK"/>
        </w:rPr>
        <w:t xml:space="preserve"> v </w:t>
      </w:r>
      <w:r w:rsidRPr="003F23AC">
        <w:rPr>
          <w:rFonts w:cs="Times New Roman"/>
          <w:noProof/>
          <w:lang w:val="sk-SK"/>
        </w:rPr>
        <w:t>súlade so zásadou technického usmernia týkajúceho sa uplatňovania zásady „výrazne nenarušiť“ (DNHS) (2021/C58/01). Dodržiavanie zásady „výrazne nenarušiť“ sa zabezpečuje najmä prostredníctvom investície C07-I0 (rozšírenie siete nabíjania elektrických vozidiel) ako sprievodného opatrenia. Každý cestný projekt, ktorý môže mať významný negatívny vplyv na životné prostredie, podlieha posudzovaniu vplyvov na životné prostredie (EIA) podľa smernice 2011/92/EÚ</w:t>
      </w:r>
      <w:r w:rsidR="00A75B3C" w:rsidRPr="003F23AC">
        <w:rPr>
          <w:rFonts w:cs="Times New Roman"/>
          <w:noProof/>
          <w:lang w:val="sk-SK"/>
        </w:rPr>
        <w:t xml:space="preserve"> s </w:t>
      </w:r>
      <w:r w:rsidRPr="003F23AC">
        <w:rPr>
          <w:rFonts w:cs="Times New Roman"/>
          <w:noProof/>
          <w:lang w:val="sk-SK"/>
        </w:rPr>
        <w:t>cieľom zabezpečiť, aby sa súlad so zásadou „výrazne nenarušiť“ začlenil do projektu</w:t>
      </w:r>
      <w:r w:rsidR="00A75B3C" w:rsidRPr="003F23AC">
        <w:rPr>
          <w:rFonts w:cs="Times New Roman"/>
          <w:noProof/>
          <w:lang w:val="sk-SK"/>
        </w:rPr>
        <w:t xml:space="preserve"> a </w:t>
      </w:r>
      <w:r w:rsidRPr="003F23AC">
        <w:rPr>
          <w:rFonts w:cs="Times New Roman"/>
          <w:noProof/>
          <w:lang w:val="sk-SK"/>
        </w:rPr>
        <w:t>prísne dodržiaval vo fázach výstavby, prevádzky</w:t>
      </w:r>
      <w:r w:rsidR="00A75B3C" w:rsidRPr="003F23AC">
        <w:rPr>
          <w:rFonts w:cs="Times New Roman"/>
          <w:noProof/>
          <w:lang w:val="sk-SK"/>
        </w:rPr>
        <w:t xml:space="preserve"> a </w:t>
      </w:r>
      <w:r w:rsidRPr="003F23AC">
        <w:rPr>
          <w:rFonts w:cs="Times New Roman"/>
          <w:noProof/>
          <w:lang w:val="sk-SK"/>
        </w:rPr>
        <w:t>vyraďovania infraštruktúry</w:t>
      </w:r>
      <w:r w:rsidR="00A75B3C" w:rsidRPr="003F23AC">
        <w:rPr>
          <w:rFonts w:cs="Times New Roman"/>
          <w:noProof/>
          <w:lang w:val="sk-SK"/>
        </w:rPr>
        <w:t xml:space="preserve"> z </w:t>
      </w:r>
      <w:r w:rsidRPr="003F23AC">
        <w:rPr>
          <w:rFonts w:cs="Times New Roman"/>
          <w:noProof/>
          <w:lang w:val="sk-SK"/>
        </w:rPr>
        <w:t>prevádzky. Celkovo sa vybuduje alebo zmodernizuje 34 kilometrov ciest. Plánujú sa tieto cestné zásahy:</w:t>
      </w:r>
    </w:p>
    <w:p w14:paraId="09A9BBD4" w14:textId="77777777" w:rsidR="00387C70" w:rsidRPr="003F23AC" w:rsidRDefault="000F5AA4" w:rsidP="003F23AC">
      <w:pPr>
        <w:pStyle w:val="P68B1DB1-Normal4"/>
        <w:numPr>
          <w:ilvl w:val="0"/>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Ilha de Santa Maria</w:t>
      </w:r>
    </w:p>
    <w:p w14:paraId="4F976D1C" w14:textId="77777777" w:rsidR="00387C70" w:rsidRPr="003F23AC" w:rsidRDefault="000F5AA4" w:rsidP="003F23AC">
      <w:pPr>
        <w:pStyle w:val="P68B1DB1-Normal4"/>
        <w:numPr>
          <w:ilvl w:val="1"/>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Obchvat Vila do Porto</w:t>
      </w:r>
    </w:p>
    <w:p w14:paraId="7F41B4BE" w14:textId="77777777" w:rsidR="00387C70" w:rsidRPr="003F23AC" w:rsidRDefault="000F5AA4" w:rsidP="003F23AC">
      <w:pPr>
        <w:pStyle w:val="P68B1DB1-Normal4"/>
        <w:numPr>
          <w:ilvl w:val="0"/>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Ilha de São Miguel</w:t>
      </w:r>
    </w:p>
    <w:p w14:paraId="16BFDA9B" w14:textId="77777777" w:rsidR="00387C70" w:rsidRPr="003F23AC" w:rsidRDefault="000F5AA4" w:rsidP="003F23AC">
      <w:pPr>
        <w:pStyle w:val="P68B1DB1-Normal4"/>
        <w:numPr>
          <w:ilvl w:val="1"/>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Zlepšenie prístupnosti Furnas/Povoação –</w:t>
      </w:r>
      <w:r w:rsidRPr="003F23AC">
        <w:rPr>
          <w:rFonts w:cs="Times New Roman"/>
          <w:noProof/>
          <w:vertAlign w:val="superscript"/>
          <w:lang w:val="sk-SK"/>
        </w:rPr>
        <w:t>1</w:t>
      </w:r>
      <w:r w:rsidRPr="003F23AC">
        <w:rPr>
          <w:rFonts w:cs="Times New Roman"/>
          <w:noProof/>
          <w:lang w:val="sk-SK"/>
        </w:rPr>
        <w:t xml:space="preserve"> etapa: Obchvat Furnas</w:t>
      </w:r>
    </w:p>
    <w:p w14:paraId="59323044" w14:textId="0DE503D9" w:rsidR="00387C70" w:rsidRPr="003F23AC" w:rsidRDefault="000F5AA4" w:rsidP="003F23AC">
      <w:pPr>
        <w:pStyle w:val="P68B1DB1-Normal4"/>
        <w:numPr>
          <w:ilvl w:val="1"/>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Obchvat</w:t>
      </w:r>
      <w:r w:rsidR="00A75B3C" w:rsidRPr="003F23AC">
        <w:rPr>
          <w:rFonts w:cs="Times New Roman"/>
          <w:noProof/>
          <w:lang w:val="sk-SK"/>
        </w:rPr>
        <w:t xml:space="preserve"> z </w:t>
      </w:r>
      <w:r w:rsidRPr="003F23AC">
        <w:rPr>
          <w:rFonts w:cs="Times New Roman"/>
          <w:noProof/>
          <w:lang w:val="sk-SK"/>
        </w:rPr>
        <w:t>mylasu</w:t>
      </w:r>
    </w:p>
    <w:p w14:paraId="7572973D" w14:textId="77777777" w:rsidR="00387C70" w:rsidRPr="003F23AC" w:rsidRDefault="000F5AA4" w:rsidP="003F23AC">
      <w:pPr>
        <w:pStyle w:val="P68B1DB1-Normal4"/>
        <w:numPr>
          <w:ilvl w:val="1"/>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Obchvat São Roque</w:t>
      </w:r>
    </w:p>
    <w:p w14:paraId="4820E6A3" w14:textId="77777777" w:rsidR="00387C70" w:rsidRPr="003F23AC" w:rsidRDefault="000F5AA4" w:rsidP="003F23AC">
      <w:pPr>
        <w:pStyle w:val="P68B1DB1-Normal4"/>
        <w:numPr>
          <w:ilvl w:val="1"/>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Portál do Vento bypass</w:t>
      </w:r>
    </w:p>
    <w:p w14:paraId="313CCF36" w14:textId="77777777" w:rsidR="00387C70" w:rsidRPr="003F23AC" w:rsidRDefault="000F5AA4" w:rsidP="003F23AC">
      <w:pPr>
        <w:pStyle w:val="P68B1DB1-Normal4"/>
        <w:numPr>
          <w:ilvl w:val="0"/>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Ilha Terceira</w:t>
      </w:r>
    </w:p>
    <w:p w14:paraId="04E615D9" w14:textId="2F994B9B" w:rsidR="00387C70" w:rsidRPr="003F23AC" w:rsidRDefault="000F5AA4" w:rsidP="003F23AC">
      <w:pPr>
        <w:pStyle w:val="P68B1DB1-Normal4"/>
        <w:numPr>
          <w:ilvl w:val="1"/>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Podpora prístupnosti, mobility</w:t>
      </w:r>
      <w:r w:rsidR="00A75B3C" w:rsidRPr="003F23AC">
        <w:rPr>
          <w:rFonts w:cs="Times New Roman"/>
          <w:noProof/>
          <w:lang w:val="sk-SK"/>
        </w:rPr>
        <w:t xml:space="preserve"> a </w:t>
      </w:r>
      <w:r w:rsidRPr="003F23AC">
        <w:rPr>
          <w:rFonts w:cs="Times New Roman"/>
          <w:noProof/>
          <w:lang w:val="sk-SK"/>
        </w:rPr>
        <w:t>bezpečnosti cestnej premávky – prepojenie medzi Via Vitorino Nemésio</w:t>
      </w:r>
      <w:r w:rsidR="00A75B3C" w:rsidRPr="003F23AC">
        <w:rPr>
          <w:rFonts w:cs="Times New Roman"/>
          <w:noProof/>
          <w:lang w:val="sk-SK"/>
        </w:rPr>
        <w:t xml:space="preserve"> a </w:t>
      </w:r>
      <w:r w:rsidRPr="003F23AC">
        <w:rPr>
          <w:rFonts w:cs="Times New Roman"/>
          <w:noProof/>
          <w:lang w:val="sk-SK"/>
        </w:rPr>
        <w:t>obežníkom Angra</w:t>
      </w:r>
    </w:p>
    <w:p w14:paraId="09E0E766" w14:textId="77777777" w:rsidR="00387C70" w:rsidRPr="003F23AC" w:rsidRDefault="000F5AA4" w:rsidP="003F23AC">
      <w:pPr>
        <w:pStyle w:val="P68B1DB1-Normal4"/>
        <w:numPr>
          <w:ilvl w:val="0"/>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Ilha Graciosa</w:t>
      </w:r>
    </w:p>
    <w:p w14:paraId="1419E510" w14:textId="50EC80FB" w:rsidR="00387C70" w:rsidRPr="003F23AC" w:rsidRDefault="000F5AA4" w:rsidP="003F23AC">
      <w:pPr>
        <w:pStyle w:val="P68B1DB1-Normal4"/>
        <w:numPr>
          <w:ilvl w:val="1"/>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Spojenie medzi E.R. 3 – 2)</w:t>
      </w:r>
      <w:r w:rsidR="00A75B3C" w:rsidRPr="003F23AC">
        <w:rPr>
          <w:rFonts w:cs="Times New Roman"/>
          <w:noProof/>
          <w:lang w:val="sk-SK"/>
        </w:rPr>
        <w:t xml:space="preserve"> a </w:t>
      </w:r>
      <w:r w:rsidRPr="003F23AC">
        <w:rPr>
          <w:rFonts w:cs="Times New Roman"/>
          <w:noProof/>
          <w:lang w:val="sk-SK"/>
        </w:rPr>
        <w:t>E.R. 4 – 2:</w:t>
      </w:r>
    </w:p>
    <w:p w14:paraId="40754259" w14:textId="77777777" w:rsidR="00387C70" w:rsidRPr="003F23AC" w:rsidRDefault="000F5AA4" w:rsidP="003F23AC">
      <w:pPr>
        <w:pStyle w:val="P68B1DB1-Normal4"/>
        <w:numPr>
          <w:ilvl w:val="0"/>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Ilha de São Jorge</w:t>
      </w:r>
    </w:p>
    <w:p w14:paraId="6D7F1843" w14:textId="1C660810" w:rsidR="00387C70" w:rsidRPr="003F23AC" w:rsidRDefault="000F5AA4" w:rsidP="003F23AC">
      <w:pPr>
        <w:pStyle w:val="P68B1DB1-Normal4"/>
        <w:numPr>
          <w:ilvl w:val="1"/>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Podpora prístupnosti, mobility</w:t>
      </w:r>
      <w:r w:rsidR="00A75B3C" w:rsidRPr="003F23AC">
        <w:rPr>
          <w:rFonts w:cs="Times New Roman"/>
          <w:noProof/>
          <w:lang w:val="sk-SK"/>
        </w:rPr>
        <w:t xml:space="preserve"> a </w:t>
      </w:r>
      <w:r w:rsidRPr="003F23AC">
        <w:rPr>
          <w:rFonts w:cs="Times New Roman"/>
          <w:noProof/>
          <w:lang w:val="sk-SK"/>
        </w:rPr>
        <w:t>bezpečnosti cestnej premávky – prepojenie severu juhu</w:t>
      </w:r>
    </w:p>
    <w:p w14:paraId="02637EE8" w14:textId="77777777" w:rsidR="00A75B3C" w:rsidRPr="003F23AC" w:rsidRDefault="000F5AA4" w:rsidP="003F23AC">
      <w:pPr>
        <w:pStyle w:val="P68B1DB1-Normal4"/>
        <w:numPr>
          <w:ilvl w:val="0"/>
          <w:numId w:val="25"/>
        </w:numPr>
        <w:spacing w:before="40" w:after="160" w:line="259" w:lineRule="auto"/>
        <w:contextualSpacing/>
        <w:jc w:val="both"/>
        <w:rPr>
          <w:rFonts w:cs="Times New Roman"/>
          <w:noProof/>
          <w:lang w:val="sk-SK"/>
        </w:rPr>
      </w:pPr>
      <w:r w:rsidRPr="003F23AC">
        <w:rPr>
          <w:rFonts w:cs="Times New Roman"/>
          <w:noProof/>
          <w:lang w:val="sk-SK"/>
        </w:rPr>
        <w:t>Ilha do Pico</w:t>
      </w:r>
    </w:p>
    <w:p w14:paraId="0FE649A1" w14:textId="1B5AB877" w:rsidR="00387C70" w:rsidRPr="003F23AC" w:rsidRDefault="000F5AA4" w:rsidP="003F23AC">
      <w:pPr>
        <w:pStyle w:val="P68B1DB1-Normal4"/>
        <w:numPr>
          <w:ilvl w:val="1"/>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Výstavba okružnej cesty do Vila da Madalena</w:t>
      </w:r>
    </w:p>
    <w:p w14:paraId="10A36DDF" w14:textId="77777777" w:rsidR="00387C70" w:rsidRPr="003F23AC" w:rsidRDefault="000F5AA4" w:rsidP="003F23AC">
      <w:pPr>
        <w:pStyle w:val="P68B1DB1-Normal4"/>
        <w:numPr>
          <w:ilvl w:val="0"/>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Ilha do Faial</w:t>
      </w:r>
    </w:p>
    <w:p w14:paraId="68BAC951" w14:textId="77777777" w:rsidR="00387C70" w:rsidRPr="003F23AC" w:rsidRDefault="000F5AA4" w:rsidP="003F23AC">
      <w:pPr>
        <w:pStyle w:val="P68B1DB1-Normal4"/>
        <w:numPr>
          <w:ilvl w:val="1"/>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Výstavba druhej</w:t>
      </w:r>
      <w:r w:rsidRPr="003F23AC">
        <w:rPr>
          <w:rFonts w:cs="Times New Roman"/>
          <w:noProof/>
          <w:vertAlign w:val="superscript"/>
          <w:lang w:val="sk-SK"/>
        </w:rPr>
        <w:t>etapy</w:t>
      </w:r>
      <w:r w:rsidRPr="003F23AC">
        <w:rPr>
          <w:rFonts w:cs="Times New Roman"/>
          <w:noProof/>
          <w:lang w:val="sk-SK"/>
        </w:rPr>
        <w:t xml:space="preserve"> obchvatu Cidade da Horta</w:t>
      </w:r>
    </w:p>
    <w:p w14:paraId="5A803078" w14:textId="3D5AB17C" w:rsidR="00387C70" w:rsidRPr="003F23AC" w:rsidRDefault="000F5AA4" w:rsidP="003F23AC">
      <w:pPr>
        <w:pStyle w:val="P68B1DB1-Normal4"/>
        <w:spacing w:before="40" w:after="0" w:line="259" w:lineRule="auto"/>
        <w:jc w:val="both"/>
        <w:rPr>
          <w:rFonts w:eastAsiaTheme="minorEastAsia" w:cs="Times New Roman"/>
          <w:noProof/>
          <w:lang w:val="sk-SK"/>
        </w:rPr>
        <w:sectPr w:rsidR="00387C70" w:rsidRPr="003F23AC" w:rsidSect="00E00EDD">
          <w:headerReference w:type="even" r:id="rId144"/>
          <w:headerReference w:type="default" r:id="rId145"/>
          <w:footerReference w:type="even" r:id="rId146"/>
          <w:footerReference w:type="default" r:id="rId147"/>
          <w:headerReference w:type="first" r:id="rId148"/>
          <w:footerReference w:type="first" r:id="rId149"/>
          <w:pgSz w:w="11907" w:h="16839"/>
          <w:pgMar w:top="1134" w:right="1134" w:bottom="1134" w:left="1134" w:header="567" w:footer="567" w:gutter="0"/>
          <w:cols w:space="720"/>
          <w:docGrid w:linePitch="360"/>
        </w:sect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02D059F8"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0E182190" w14:textId="7B86433F" w:rsidR="00387C70" w:rsidRPr="003F23AC" w:rsidRDefault="000F5AA4" w:rsidP="003F23AC">
      <w:pPr>
        <w:pStyle w:val="P68B1DB1-Normal3"/>
        <w:spacing w:before="40" w:after="120" w:line="259" w:lineRule="auto"/>
        <w:ind w:left="130" w:firstLine="720"/>
        <w:jc w:val="both"/>
        <w:outlineLvl w:val="2"/>
        <w:rPr>
          <w:rFonts w:eastAsiaTheme="minorEastAsia" w:cs="Times New Roman"/>
          <w:noProof/>
          <w:lang w:val="sk-SK"/>
        </w:rPr>
      </w:pPr>
      <w:r w:rsidRPr="003F23AC">
        <w:rPr>
          <w:rFonts w:cs="Times New Roman"/>
          <w:noProof/>
          <w:lang w:val="sk-SK"/>
        </w:rPr>
        <w:t xml:space="preserve">G.2. </w:t>
      </w:r>
      <w:r w:rsidRPr="003F23AC">
        <w:rPr>
          <w:rFonts w:cs="Times New Roman"/>
          <w:noProof/>
          <w:lang w:val="sk-SK"/>
        </w:rPr>
        <w:tab/>
        <w:t>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134"/>
        <w:gridCol w:w="1701"/>
        <w:gridCol w:w="1275"/>
        <w:gridCol w:w="993"/>
        <w:gridCol w:w="992"/>
        <w:gridCol w:w="709"/>
        <w:gridCol w:w="567"/>
        <w:gridCol w:w="708"/>
        <w:gridCol w:w="3969"/>
      </w:tblGrid>
      <w:tr w:rsidR="00387C70" w:rsidRPr="009E4E5C" w14:paraId="76204668" w14:textId="77777777" w:rsidTr="009E4E5C">
        <w:trPr>
          <w:trHeight w:val="910"/>
          <w:tblHeader/>
        </w:trPr>
        <w:tc>
          <w:tcPr>
            <w:tcW w:w="1135" w:type="dxa"/>
            <w:vMerge w:val="restart"/>
            <w:shd w:val="clear" w:color="auto" w:fill="BDD6EE"/>
            <w:tcMar>
              <w:left w:w="28" w:type="dxa"/>
              <w:right w:w="28" w:type="dxa"/>
            </w:tcMar>
            <w:vAlign w:val="center"/>
            <w:hideMark/>
          </w:tcPr>
          <w:p w14:paraId="10A83D55" w14:textId="77777777" w:rsidR="00387C70" w:rsidRPr="009E4E5C" w:rsidRDefault="000F5AA4" w:rsidP="003F23AC">
            <w:pPr>
              <w:pStyle w:val="P68B1DB1-Normal6"/>
              <w:spacing w:after="0" w:line="240" w:lineRule="auto"/>
              <w:jc w:val="center"/>
              <w:rPr>
                <w:rFonts w:eastAsia="Times New Roman" w:cs="Times New Roman"/>
                <w:noProof/>
                <w:spacing w:val="-8"/>
                <w:lang w:val="sk-SK"/>
              </w:rPr>
            </w:pPr>
            <w:r w:rsidRPr="009E4E5C">
              <w:rPr>
                <w:rFonts w:cs="Times New Roman"/>
                <w:noProof/>
                <w:spacing w:val="-8"/>
                <w:lang w:val="sk-SK"/>
              </w:rPr>
              <w:t>Poradové číslo</w:t>
            </w:r>
          </w:p>
        </w:tc>
        <w:tc>
          <w:tcPr>
            <w:tcW w:w="1276" w:type="dxa"/>
            <w:vMerge w:val="restart"/>
            <w:shd w:val="clear" w:color="auto" w:fill="BDD6EE"/>
            <w:tcMar>
              <w:left w:w="28" w:type="dxa"/>
              <w:right w:w="28" w:type="dxa"/>
            </w:tcMar>
            <w:vAlign w:val="center"/>
            <w:hideMark/>
          </w:tcPr>
          <w:p w14:paraId="2145A2B9" w14:textId="77777777" w:rsidR="00387C70" w:rsidRPr="009E4E5C" w:rsidRDefault="000F5AA4" w:rsidP="003F23AC">
            <w:pPr>
              <w:pStyle w:val="P68B1DB1-Normal6"/>
              <w:spacing w:after="0" w:line="240" w:lineRule="auto"/>
              <w:jc w:val="center"/>
              <w:rPr>
                <w:rFonts w:eastAsia="Times New Roman" w:cs="Times New Roman"/>
                <w:noProof/>
                <w:spacing w:val="-8"/>
                <w:lang w:val="sk-SK"/>
              </w:rPr>
            </w:pPr>
            <w:r w:rsidRPr="009E4E5C">
              <w:rPr>
                <w:rFonts w:cs="Times New Roman"/>
                <w:noProof/>
                <w:spacing w:val="-8"/>
                <w:lang w:val="sk-SK"/>
              </w:rPr>
              <w:t>Opatrenie (reforma alebo investícia)</w:t>
            </w:r>
          </w:p>
        </w:tc>
        <w:tc>
          <w:tcPr>
            <w:tcW w:w="1134" w:type="dxa"/>
            <w:vMerge w:val="restart"/>
            <w:shd w:val="clear" w:color="auto" w:fill="BDD6EE"/>
            <w:tcMar>
              <w:left w:w="28" w:type="dxa"/>
              <w:right w:w="28" w:type="dxa"/>
            </w:tcMar>
            <w:vAlign w:val="center"/>
            <w:hideMark/>
          </w:tcPr>
          <w:p w14:paraId="07805992" w14:textId="7DA60548" w:rsidR="00387C70" w:rsidRPr="009E4E5C" w:rsidRDefault="000F5AA4" w:rsidP="003F23AC">
            <w:pPr>
              <w:pStyle w:val="P68B1DB1-Normal6"/>
              <w:spacing w:after="0" w:line="240" w:lineRule="auto"/>
              <w:jc w:val="center"/>
              <w:rPr>
                <w:rFonts w:eastAsia="Times New Roman" w:cs="Times New Roman"/>
                <w:noProof/>
                <w:spacing w:val="-8"/>
                <w:lang w:val="sk-SK"/>
              </w:rPr>
            </w:pPr>
            <w:r w:rsidRPr="009E4E5C">
              <w:rPr>
                <w:rFonts w:cs="Times New Roman"/>
                <w:noProof/>
                <w:spacing w:val="-8"/>
                <w:lang w:val="sk-SK"/>
              </w:rPr>
              <w:t>Míľnik/cieľ</w:t>
            </w:r>
          </w:p>
        </w:tc>
        <w:tc>
          <w:tcPr>
            <w:tcW w:w="1701" w:type="dxa"/>
            <w:vMerge w:val="restart"/>
            <w:shd w:val="clear" w:color="auto" w:fill="BDD6EE"/>
            <w:tcMar>
              <w:left w:w="28" w:type="dxa"/>
              <w:right w:w="28" w:type="dxa"/>
            </w:tcMar>
            <w:vAlign w:val="center"/>
            <w:hideMark/>
          </w:tcPr>
          <w:p w14:paraId="61F8D8A7" w14:textId="77777777" w:rsidR="00387C70" w:rsidRPr="009E4E5C" w:rsidRDefault="000F5AA4" w:rsidP="003F23AC">
            <w:pPr>
              <w:pStyle w:val="P68B1DB1-Normal6"/>
              <w:spacing w:after="0" w:line="240" w:lineRule="auto"/>
              <w:jc w:val="center"/>
              <w:rPr>
                <w:rFonts w:eastAsia="Times New Roman" w:cs="Times New Roman"/>
                <w:noProof/>
                <w:spacing w:val="-8"/>
                <w:lang w:val="sk-SK"/>
              </w:rPr>
            </w:pPr>
            <w:r w:rsidRPr="009E4E5C">
              <w:rPr>
                <w:rFonts w:cs="Times New Roman"/>
                <w:noProof/>
                <w:spacing w:val="-8"/>
                <w:lang w:val="sk-SK"/>
              </w:rPr>
              <w:t>Názov</w:t>
            </w:r>
          </w:p>
        </w:tc>
        <w:tc>
          <w:tcPr>
            <w:tcW w:w="1275" w:type="dxa"/>
            <w:vMerge w:val="restart"/>
            <w:shd w:val="clear" w:color="auto" w:fill="BDD6EE"/>
            <w:tcMar>
              <w:left w:w="28" w:type="dxa"/>
              <w:right w:w="28" w:type="dxa"/>
            </w:tcMar>
            <w:vAlign w:val="center"/>
            <w:hideMark/>
          </w:tcPr>
          <w:p w14:paraId="229C7BBA" w14:textId="77777777" w:rsidR="00387C70" w:rsidRPr="009E4E5C" w:rsidRDefault="000F5AA4" w:rsidP="003F23AC">
            <w:pPr>
              <w:pStyle w:val="P68B1DB1-Normal6"/>
              <w:spacing w:after="0" w:line="240" w:lineRule="auto"/>
              <w:jc w:val="center"/>
              <w:rPr>
                <w:rFonts w:eastAsia="Times New Roman" w:cs="Times New Roman"/>
                <w:noProof/>
                <w:spacing w:val="-8"/>
                <w:lang w:val="sk-SK"/>
              </w:rPr>
            </w:pPr>
            <w:r w:rsidRPr="009E4E5C">
              <w:rPr>
                <w:rFonts w:cs="Times New Roman"/>
                <w:noProof/>
                <w:spacing w:val="-8"/>
                <w:lang w:val="sk-SK"/>
              </w:rPr>
              <w:t>Kvalitatívne ukazovatele (pre míľniky)</w:t>
            </w:r>
          </w:p>
        </w:tc>
        <w:tc>
          <w:tcPr>
            <w:tcW w:w="2694" w:type="dxa"/>
            <w:gridSpan w:val="3"/>
            <w:shd w:val="clear" w:color="auto" w:fill="BDD6EE"/>
            <w:tcMar>
              <w:left w:w="28" w:type="dxa"/>
              <w:right w:w="28" w:type="dxa"/>
            </w:tcMar>
            <w:vAlign w:val="center"/>
            <w:hideMark/>
          </w:tcPr>
          <w:p w14:paraId="6843481D" w14:textId="77777777" w:rsidR="00387C70" w:rsidRPr="009E4E5C" w:rsidRDefault="000F5AA4" w:rsidP="003F23AC">
            <w:pPr>
              <w:pStyle w:val="P68B1DB1-Normal6"/>
              <w:spacing w:after="0" w:line="240" w:lineRule="auto"/>
              <w:jc w:val="center"/>
              <w:rPr>
                <w:rFonts w:eastAsia="Times New Roman" w:cs="Times New Roman"/>
                <w:noProof/>
                <w:spacing w:val="-8"/>
                <w:lang w:val="sk-SK"/>
              </w:rPr>
            </w:pPr>
            <w:r w:rsidRPr="009E4E5C">
              <w:rPr>
                <w:rFonts w:cs="Times New Roman"/>
                <w:noProof/>
                <w:spacing w:val="-8"/>
                <w:lang w:val="sk-SK"/>
              </w:rPr>
              <w:t>Kvantitatívne ukazovatele (pre ciele)</w:t>
            </w:r>
          </w:p>
        </w:tc>
        <w:tc>
          <w:tcPr>
            <w:tcW w:w="1275" w:type="dxa"/>
            <w:gridSpan w:val="2"/>
            <w:shd w:val="clear" w:color="auto" w:fill="BDD6EE"/>
            <w:tcMar>
              <w:left w:w="28" w:type="dxa"/>
              <w:right w:w="28" w:type="dxa"/>
            </w:tcMar>
            <w:vAlign w:val="center"/>
            <w:hideMark/>
          </w:tcPr>
          <w:p w14:paraId="78326D8D" w14:textId="77777777" w:rsidR="00387C70" w:rsidRPr="009E4E5C" w:rsidRDefault="000F5AA4" w:rsidP="003F23AC">
            <w:pPr>
              <w:pStyle w:val="P68B1DB1-Normal6"/>
              <w:spacing w:after="0" w:line="240" w:lineRule="auto"/>
              <w:jc w:val="center"/>
              <w:rPr>
                <w:rFonts w:eastAsia="Times New Roman" w:cs="Times New Roman"/>
                <w:noProof/>
                <w:spacing w:val="-8"/>
                <w:lang w:val="sk-SK"/>
              </w:rPr>
            </w:pPr>
            <w:r w:rsidRPr="009E4E5C">
              <w:rPr>
                <w:rFonts w:cs="Times New Roman"/>
                <w:noProof/>
                <w:spacing w:val="-8"/>
                <w:lang w:val="sk-SK"/>
              </w:rPr>
              <w:t>Orientačný harmonogram splnenia</w:t>
            </w:r>
          </w:p>
        </w:tc>
        <w:tc>
          <w:tcPr>
            <w:tcW w:w="3969" w:type="dxa"/>
            <w:vMerge w:val="restart"/>
            <w:shd w:val="clear" w:color="auto" w:fill="BDD6EE"/>
            <w:tcMar>
              <w:left w:w="28" w:type="dxa"/>
              <w:right w:w="28" w:type="dxa"/>
            </w:tcMar>
            <w:vAlign w:val="center"/>
            <w:hideMark/>
          </w:tcPr>
          <w:p w14:paraId="41A1C571" w14:textId="0DDD70E5" w:rsidR="00387C70" w:rsidRPr="009E4E5C" w:rsidRDefault="000F5AA4" w:rsidP="003F23AC">
            <w:pPr>
              <w:pStyle w:val="P68B1DB1-Normal6"/>
              <w:spacing w:after="0" w:line="240" w:lineRule="auto"/>
              <w:jc w:val="center"/>
              <w:rPr>
                <w:rFonts w:eastAsia="Times New Roman" w:cs="Times New Roman"/>
                <w:noProof/>
                <w:spacing w:val="-8"/>
                <w:lang w:val="sk-SK"/>
              </w:rPr>
            </w:pPr>
            <w:r w:rsidRPr="009E4E5C">
              <w:rPr>
                <w:rFonts w:cs="Times New Roman"/>
                <w:noProof/>
                <w:spacing w:val="-8"/>
                <w:lang w:val="sk-SK"/>
              </w:rPr>
              <w:t>Opis</w:t>
            </w:r>
            <w:r w:rsidR="00A75B3C" w:rsidRPr="009E4E5C">
              <w:rPr>
                <w:rFonts w:cs="Times New Roman"/>
                <w:noProof/>
                <w:spacing w:val="-8"/>
                <w:lang w:val="sk-SK"/>
              </w:rPr>
              <w:t xml:space="preserve"> a </w:t>
            </w:r>
            <w:r w:rsidRPr="009E4E5C">
              <w:rPr>
                <w:rFonts w:cs="Times New Roman"/>
                <w:noProof/>
                <w:spacing w:val="-8"/>
                <w:lang w:val="sk-SK"/>
              </w:rPr>
              <w:t>jasné vymedzenie jednotlivých míľnikov</w:t>
            </w:r>
            <w:r w:rsidR="00A75B3C" w:rsidRPr="009E4E5C">
              <w:rPr>
                <w:rFonts w:cs="Times New Roman"/>
                <w:noProof/>
                <w:spacing w:val="-8"/>
                <w:lang w:val="sk-SK"/>
              </w:rPr>
              <w:t xml:space="preserve"> a </w:t>
            </w:r>
            <w:r w:rsidRPr="009E4E5C">
              <w:rPr>
                <w:rFonts w:cs="Times New Roman"/>
                <w:noProof/>
                <w:spacing w:val="-8"/>
                <w:lang w:val="sk-SK"/>
              </w:rPr>
              <w:t>cieľov</w:t>
            </w:r>
          </w:p>
        </w:tc>
      </w:tr>
      <w:tr w:rsidR="00387C70" w:rsidRPr="009E4E5C" w14:paraId="76EB62E6" w14:textId="77777777" w:rsidTr="009E4E5C">
        <w:trPr>
          <w:trHeight w:val="470"/>
          <w:tblHeader/>
        </w:trPr>
        <w:tc>
          <w:tcPr>
            <w:tcW w:w="1135" w:type="dxa"/>
            <w:vMerge/>
            <w:tcMar>
              <w:left w:w="28" w:type="dxa"/>
              <w:right w:w="28" w:type="dxa"/>
            </w:tcMar>
            <w:vAlign w:val="center"/>
            <w:hideMark/>
          </w:tcPr>
          <w:p w14:paraId="4F39F320" w14:textId="77777777" w:rsidR="00387C70" w:rsidRPr="009E4E5C" w:rsidRDefault="00387C70" w:rsidP="003F23AC">
            <w:pPr>
              <w:spacing w:after="0" w:line="240" w:lineRule="auto"/>
              <w:rPr>
                <w:rFonts w:ascii="Times New Roman" w:eastAsia="Times New Roman" w:hAnsi="Times New Roman" w:cs="Times New Roman"/>
                <w:b/>
                <w:noProof/>
                <w:spacing w:val="-8"/>
                <w:sz w:val="18"/>
                <w:lang w:val="sk-SK"/>
              </w:rPr>
            </w:pPr>
          </w:p>
        </w:tc>
        <w:tc>
          <w:tcPr>
            <w:tcW w:w="1276" w:type="dxa"/>
            <w:vMerge/>
            <w:tcMar>
              <w:left w:w="28" w:type="dxa"/>
              <w:right w:w="28" w:type="dxa"/>
            </w:tcMar>
            <w:vAlign w:val="center"/>
            <w:hideMark/>
          </w:tcPr>
          <w:p w14:paraId="7D30E977" w14:textId="77777777" w:rsidR="00387C70" w:rsidRPr="009E4E5C" w:rsidRDefault="00387C70" w:rsidP="003F23AC">
            <w:pPr>
              <w:spacing w:after="0" w:line="240" w:lineRule="auto"/>
              <w:rPr>
                <w:rFonts w:ascii="Times New Roman" w:eastAsia="Times New Roman" w:hAnsi="Times New Roman" w:cs="Times New Roman"/>
                <w:b/>
                <w:noProof/>
                <w:spacing w:val="-8"/>
                <w:sz w:val="18"/>
                <w:lang w:val="sk-SK"/>
              </w:rPr>
            </w:pPr>
          </w:p>
        </w:tc>
        <w:tc>
          <w:tcPr>
            <w:tcW w:w="1134" w:type="dxa"/>
            <w:vMerge/>
            <w:tcMar>
              <w:left w:w="28" w:type="dxa"/>
              <w:right w:w="28" w:type="dxa"/>
            </w:tcMar>
            <w:vAlign w:val="center"/>
            <w:hideMark/>
          </w:tcPr>
          <w:p w14:paraId="58796813" w14:textId="7999AEB8" w:rsidR="00387C70" w:rsidRPr="009E4E5C" w:rsidRDefault="00387C70" w:rsidP="003F23AC">
            <w:pPr>
              <w:spacing w:after="0" w:line="240" w:lineRule="auto"/>
              <w:jc w:val="center"/>
              <w:rPr>
                <w:rFonts w:ascii="Times New Roman" w:eastAsia="Times New Roman" w:hAnsi="Times New Roman" w:cs="Times New Roman"/>
                <w:b/>
                <w:noProof/>
                <w:spacing w:val="-8"/>
                <w:sz w:val="14"/>
                <w:lang w:val="sk-SK"/>
              </w:rPr>
            </w:pPr>
          </w:p>
        </w:tc>
        <w:tc>
          <w:tcPr>
            <w:tcW w:w="1701" w:type="dxa"/>
            <w:vMerge/>
            <w:tcMar>
              <w:left w:w="28" w:type="dxa"/>
              <w:right w:w="28" w:type="dxa"/>
            </w:tcMar>
            <w:vAlign w:val="center"/>
            <w:hideMark/>
          </w:tcPr>
          <w:p w14:paraId="449A85D5" w14:textId="77777777" w:rsidR="00387C70" w:rsidRPr="009E4E5C" w:rsidRDefault="00387C70" w:rsidP="003F23AC">
            <w:pPr>
              <w:spacing w:after="0" w:line="240" w:lineRule="auto"/>
              <w:rPr>
                <w:rFonts w:ascii="Times New Roman" w:eastAsia="Times New Roman" w:hAnsi="Times New Roman" w:cs="Times New Roman"/>
                <w:b/>
                <w:noProof/>
                <w:spacing w:val="-8"/>
                <w:sz w:val="18"/>
                <w:lang w:val="sk-SK"/>
              </w:rPr>
            </w:pPr>
          </w:p>
        </w:tc>
        <w:tc>
          <w:tcPr>
            <w:tcW w:w="1275" w:type="dxa"/>
            <w:vMerge/>
            <w:tcMar>
              <w:left w:w="28" w:type="dxa"/>
              <w:right w:w="28" w:type="dxa"/>
            </w:tcMar>
            <w:vAlign w:val="center"/>
            <w:hideMark/>
          </w:tcPr>
          <w:p w14:paraId="770D098D" w14:textId="77777777" w:rsidR="00387C70" w:rsidRPr="009E4E5C" w:rsidRDefault="00387C70" w:rsidP="003F23AC">
            <w:pPr>
              <w:spacing w:after="0" w:line="240" w:lineRule="auto"/>
              <w:rPr>
                <w:rFonts w:ascii="Times New Roman" w:eastAsia="Times New Roman" w:hAnsi="Times New Roman" w:cs="Times New Roman"/>
                <w:b/>
                <w:noProof/>
                <w:spacing w:val="-8"/>
                <w:sz w:val="18"/>
                <w:lang w:val="sk-SK"/>
              </w:rPr>
            </w:pPr>
          </w:p>
        </w:tc>
        <w:tc>
          <w:tcPr>
            <w:tcW w:w="993" w:type="dxa"/>
            <w:shd w:val="clear" w:color="auto" w:fill="BDD6EE"/>
            <w:tcMar>
              <w:left w:w="28" w:type="dxa"/>
              <w:right w:w="28" w:type="dxa"/>
            </w:tcMar>
            <w:vAlign w:val="center"/>
            <w:hideMark/>
          </w:tcPr>
          <w:p w14:paraId="4A3469DF" w14:textId="77777777" w:rsidR="00387C70" w:rsidRPr="009E4E5C" w:rsidRDefault="000F5AA4" w:rsidP="003F23AC">
            <w:pPr>
              <w:pStyle w:val="P68B1DB1-Normal6"/>
              <w:spacing w:after="0" w:line="240" w:lineRule="auto"/>
              <w:jc w:val="center"/>
              <w:rPr>
                <w:rFonts w:eastAsia="Times New Roman" w:cs="Times New Roman"/>
                <w:noProof/>
                <w:spacing w:val="-8"/>
                <w:lang w:val="sk-SK"/>
              </w:rPr>
            </w:pPr>
            <w:r w:rsidRPr="009E4E5C">
              <w:rPr>
                <w:rFonts w:cs="Times New Roman"/>
                <w:noProof/>
                <w:spacing w:val="-8"/>
                <w:lang w:val="sk-SK"/>
              </w:rPr>
              <w:t>Merná jednotka</w:t>
            </w:r>
          </w:p>
        </w:tc>
        <w:tc>
          <w:tcPr>
            <w:tcW w:w="992" w:type="dxa"/>
            <w:shd w:val="clear" w:color="auto" w:fill="BDD6EE"/>
            <w:tcMar>
              <w:left w:w="28" w:type="dxa"/>
              <w:right w:w="28" w:type="dxa"/>
            </w:tcMar>
            <w:vAlign w:val="center"/>
            <w:hideMark/>
          </w:tcPr>
          <w:p w14:paraId="57CE6F65" w14:textId="09153B2D" w:rsidR="00387C70" w:rsidRPr="009E4E5C" w:rsidRDefault="00680FF6" w:rsidP="003F23AC">
            <w:pPr>
              <w:pStyle w:val="P68B1DB1-Normal6"/>
              <w:spacing w:after="0" w:line="240" w:lineRule="auto"/>
              <w:jc w:val="center"/>
              <w:rPr>
                <w:rFonts w:eastAsia="Times New Roman" w:cs="Times New Roman"/>
                <w:noProof/>
                <w:spacing w:val="-8"/>
                <w:lang w:val="sk-SK"/>
              </w:rPr>
            </w:pPr>
            <w:r w:rsidRPr="009E4E5C">
              <w:rPr>
                <w:rFonts w:cs="Times New Roman"/>
                <w:noProof/>
                <w:spacing w:val="-8"/>
                <w:lang w:val="sk-SK"/>
              </w:rPr>
              <w:t>Východisková hodnota</w:t>
            </w:r>
          </w:p>
        </w:tc>
        <w:tc>
          <w:tcPr>
            <w:tcW w:w="709" w:type="dxa"/>
            <w:shd w:val="clear" w:color="auto" w:fill="BDD6EE"/>
            <w:tcMar>
              <w:left w:w="28" w:type="dxa"/>
              <w:right w:w="28" w:type="dxa"/>
            </w:tcMar>
            <w:vAlign w:val="center"/>
            <w:hideMark/>
          </w:tcPr>
          <w:p w14:paraId="2594584D" w14:textId="1051A49F" w:rsidR="00387C70" w:rsidRPr="009E4E5C" w:rsidRDefault="00680FF6" w:rsidP="003F23AC">
            <w:pPr>
              <w:pStyle w:val="P68B1DB1-Normal6"/>
              <w:spacing w:after="0" w:line="240" w:lineRule="auto"/>
              <w:jc w:val="center"/>
              <w:rPr>
                <w:rFonts w:eastAsia="Times New Roman" w:cs="Times New Roman"/>
                <w:noProof/>
                <w:spacing w:val="-8"/>
                <w:lang w:val="sk-SK"/>
              </w:rPr>
            </w:pPr>
            <w:r w:rsidRPr="009E4E5C">
              <w:rPr>
                <w:rFonts w:cs="Times New Roman"/>
                <w:noProof/>
                <w:spacing w:val="-8"/>
                <w:lang w:val="sk-SK"/>
              </w:rPr>
              <w:t>Cieľová hodnota</w:t>
            </w:r>
          </w:p>
        </w:tc>
        <w:tc>
          <w:tcPr>
            <w:tcW w:w="567" w:type="dxa"/>
            <w:shd w:val="clear" w:color="auto" w:fill="BDD6EE"/>
            <w:tcMar>
              <w:left w:w="28" w:type="dxa"/>
              <w:right w:w="28" w:type="dxa"/>
            </w:tcMar>
            <w:vAlign w:val="center"/>
            <w:hideMark/>
          </w:tcPr>
          <w:p w14:paraId="470C36F2" w14:textId="7D0258EB" w:rsidR="00387C70" w:rsidRPr="009E4E5C" w:rsidRDefault="00680FF6" w:rsidP="003F23AC">
            <w:pPr>
              <w:pStyle w:val="P68B1DB1-Normal6"/>
              <w:spacing w:after="0" w:line="240" w:lineRule="auto"/>
              <w:jc w:val="center"/>
              <w:rPr>
                <w:rFonts w:eastAsia="Times New Roman" w:cs="Times New Roman"/>
                <w:noProof/>
                <w:spacing w:val="-8"/>
                <w:lang w:val="sk-SK"/>
              </w:rPr>
            </w:pPr>
            <w:r w:rsidRPr="009E4E5C">
              <w:rPr>
                <w:rFonts w:cs="Times New Roman"/>
                <w:noProof/>
                <w:spacing w:val="-8"/>
                <w:lang w:val="sk-SK"/>
              </w:rPr>
              <w:t>Štvrťrok</w:t>
            </w:r>
          </w:p>
        </w:tc>
        <w:tc>
          <w:tcPr>
            <w:tcW w:w="708" w:type="dxa"/>
            <w:shd w:val="clear" w:color="auto" w:fill="BDD6EE"/>
            <w:tcMar>
              <w:left w:w="28" w:type="dxa"/>
              <w:right w:w="28" w:type="dxa"/>
            </w:tcMar>
            <w:vAlign w:val="center"/>
            <w:hideMark/>
          </w:tcPr>
          <w:p w14:paraId="3AA4CBDD" w14:textId="77777777" w:rsidR="00387C70" w:rsidRPr="009E4E5C" w:rsidRDefault="000F5AA4" w:rsidP="003F23AC">
            <w:pPr>
              <w:pStyle w:val="P68B1DB1-Normal6"/>
              <w:spacing w:after="0" w:line="240" w:lineRule="auto"/>
              <w:jc w:val="center"/>
              <w:rPr>
                <w:rFonts w:eastAsia="Times New Roman" w:cs="Times New Roman"/>
                <w:noProof/>
                <w:spacing w:val="-8"/>
                <w:lang w:val="sk-SK"/>
              </w:rPr>
            </w:pPr>
            <w:r w:rsidRPr="009E4E5C">
              <w:rPr>
                <w:rFonts w:cs="Times New Roman"/>
                <w:noProof/>
                <w:spacing w:val="-8"/>
                <w:lang w:val="sk-SK"/>
              </w:rPr>
              <w:t>Rok</w:t>
            </w:r>
          </w:p>
        </w:tc>
        <w:tc>
          <w:tcPr>
            <w:tcW w:w="3969" w:type="dxa"/>
            <w:vMerge/>
            <w:tcMar>
              <w:left w:w="28" w:type="dxa"/>
              <w:right w:w="28" w:type="dxa"/>
            </w:tcMar>
            <w:vAlign w:val="center"/>
            <w:hideMark/>
          </w:tcPr>
          <w:p w14:paraId="5F2DB0FA" w14:textId="77777777" w:rsidR="00387C70" w:rsidRPr="009E4E5C" w:rsidRDefault="00387C70" w:rsidP="003F23AC">
            <w:pPr>
              <w:spacing w:after="0" w:line="240" w:lineRule="auto"/>
              <w:rPr>
                <w:rFonts w:ascii="Times New Roman" w:eastAsia="Times New Roman" w:hAnsi="Times New Roman" w:cs="Times New Roman"/>
                <w:b/>
                <w:noProof/>
                <w:spacing w:val="-8"/>
                <w:sz w:val="18"/>
                <w:lang w:val="sk-SK"/>
              </w:rPr>
            </w:pPr>
          </w:p>
        </w:tc>
      </w:tr>
      <w:tr w:rsidR="00387C70" w:rsidRPr="009E4E5C" w14:paraId="7CFEA922" w14:textId="77777777" w:rsidTr="009E4E5C">
        <w:trPr>
          <w:trHeight w:val="300"/>
        </w:trPr>
        <w:tc>
          <w:tcPr>
            <w:tcW w:w="1135" w:type="dxa"/>
            <w:shd w:val="clear" w:color="auto" w:fill="C4EFCE"/>
            <w:tcMar>
              <w:left w:w="28" w:type="dxa"/>
              <w:right w:w="28" w:type="dxa"/>
            </w:tcMar>
            <w:vAlign w:val="center"/>
            <w:hideMark/>
          </w:tcPr>
          <w:p w14:paraId="3F3E09F7" w14:textId="77777777" w:rsidR="00387C70" w:rsidRPr="009E4E5C" w:rsidRDefault="000F5AA4" w:rsidP="003F23AC">
            <w:pPr>
              <w:pStyle w:val="P68B1DB1-Normal7"/>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7.1</w:t>
            </w:r>
          </w:p>
        </w:tc>
        <w:tc>
          <w:tcPr>
            <w:tcW w:w="1276" w:type="dxa"/>
            <w:shd w:val="clear" w:color="auto" w:fill="C4EFCE"/>
            <w:noWrap/>
            <w:tcMar>
              <w:left w:w="28" w:type="dxa"/>
              <w:right w:w="28" w:type="dxa"/>
            </w:tcMar>
            <w:vAlign w:val="center"/>
            <w:hideMark/>
          </w:tcPr>
          <w:p w14:paraId="4A111EAC" w14:textId="0198AEE9" w:rsidR="00387C70" w:rsidRPr="009E4E5C" w:rsidRDefault="00F218FC"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RE-</w:t>
            </w:r>
            <w:r w:rsidR="000F5AA4" w:rsidRPr="009E4E5C">
              <w:rPr>
                <w:rFonts w:ascii="Times New Roman" w:hAnsi="Times New Roman" w:cs="Times New Roman"/>
                <w:noProof/>
                <w:spacing w:val="-8"/>
                <w:lang w:val="sk-SK"/>
              </w:rPr>
              <w:t>C07-i00</w:t>
            </w:r>
          </w:p>
        </w:tc>
        <w:tc>
          <w:tcPr>
            <w:tcW w:w="1134" w:type="dxa"/>
            <w:shd w:val="clear" w:color="auto" w:fill="C4EFCE"/>
            <w:noWrap/>
            <w:tcMar>
              <w:left w:w="28" w:type="dxa"/>
              <w:right w:w="28" w:type="dxa"/>
            </w:tcMar>
            <w:vAlign w:val="center"/>
            <w:hideMark/>
          </w:tcPr>
          <w:p w14:paraId="0DD29370" w14:textId="7A34A8ED" w:rsidR="00387C70" w:rsidRPr="009E4E5C" w:rsidRDefault="00C32C63"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C</w:t>
            </w:r>
          </w:p>
        </w:tc>
        <w:tc>
          <w:tcPr>
            <w:tcW w:w="1701" w:type="dxa"/>
            <w:shd w:val="clear" w:color="auto" w:fill="C4EFCE"/>
            <w:noWrap/>
            <w:tcMar>
              <w:left w:w="28" w:type="dxa"/>
              <w:right w:w="28" w:type="dxa"/>
            </w:tcMar>
            <w:vAlign w:val="center"/>
            <w:hideMark/>
          </w:tcPr>
          <w:p w14:paraId="626EF931" w14:textId="10CF120E"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Verejne prístupné nabíjacie stanice pre elektrické vozidlá</w:t>
            </w:r>
          </w:p>
        </w:tc>
        <w:tc>
          <w:tcPr>
            <w:tcW w:w="1275" w:type="dxa"/>
            <w:shd w:val="clear" w:color="auto" w:fill="C4EFCE"/>
            <w:noWrap/>
            <w:tcMar>
              <w:left w:w="28" w:type="dxa"/>
              <w:right w:w="28" w:type="dxa"/>
            </w:tcMar>
            <w:vAlign w:val="center"/>
            <w:hideMark/>
          </w:tcPr>
          <w:p w14:paraId="565AADE8"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993" w:type="dxa"/>
            <w:shd w:val="clear" w:color="auto" w:fill="C4EFCE"/>
            <w:noWrap/>
            <w:tcMar>
              <w:left w:w="28" w:type="dxa"/>
              <w:right w:w="28" w:type="dxa"/>
            </w:tcMar>
            <w:vAlign w:val="center"/>
            <w:hideMark/>
          </w:tcPr>
          <w:p w14:paraId="6FCE86B4"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xml:space="preserve">Počet </w:t>
            </w:r>
          </w:p>
        </w:tc>
        <w:tc>
          <w:tcPr>
            <w:tcW w:w="992" w:type="dxa"/>
            <w:shd w:val="clear" w:color="auto" w:fill="C4EFCE"/>
            <w:noWrap/>
            <w:tcMar>
              <w:left w:w="28" w:type="dxa"/>
              <w:right w:w="28" w:type="dxa"/>
            </w:tcMar>
            <w:vAlign w:val="center"/>
            <w:hideMark/>
          </w:tcPr>
          <w:p w14:paraId="61129708"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3 520</w:t>
            </w:r>
          </w:p>
        </w:tc>
        <w:tc>
          <w:tcPr>
            <w:tcW w:w="709" w:type="dxa"/>
            <w:shd w:val="clear" w:color="auto" w:fill="C4EFCE"/>
            <w:noWrap/>
            <w:tcMar>
              <w:left w:w="28" w:type="dxa"/>
              <w:right w:w="28" w:type="dxa"/>
            </w:tcMar>
            <w:vAlign w:val="center"/>
            <w:hideMark/>
          </w:tcPr>
          <w:p w14:paraId="213900A0"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5 250</w:t>
            </w:r>
          </w:p>
        </w:tc>
        <w:tc>
          <w:tcPr>
            <w:tcW w:w="567" w:type="dxa"/>
            <w:shd w:val="clear" w:color="auto" w:fill="C4EFCE"/>
            <w:noWrap/>
            <w:tcMar>
              <w:left w:w="28" w:type="dxa"/>
              <w:right w:w="28" w:type="dxa"/>
            </w:tcMar>
            <w:vAlign w:val="center"/>
            <w:hideMark/>
          </w:tcPr>
          <w:p w14:paraId="22D9B120" w14:textId="0CAFF602" w:rsidR="00387C70" w:rsidRPr="009E4E5C" w:rsidRDefault="00FF0A91"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4. štvrťrok</w:t>
            </w:r>
          </w:p>
        </w:tc>
        <w:tc>
          <w:tcPr>
            <w:tcW w:w="708" w:type="dxa"/>
            <w:shd w:val="clear" w:color="auto" w:fill="C4EFCE"/>
            <w:noWrap/>
            <w:tcMar>
              <w:left w:w="28" w:type="dxa"/>
              <w:right w:w="28" w:type="dxa"/>
            </w:tcMar>
            <w:vAlign w:val="center"/>
            <w:hideMark/>
          </w:tcPr>
          <w:p w14:paraId="146CD88B"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2022</w:t>
            </w:r>
          </w:p>
        </w:tc>
        <w:tc>
          <w:tcPr>
            <w:tcW w:w="3969" w:type="dxa"/>
            <w:shd w:val="clear" w:color="auto" w:fill="C4EFCE"/>
            <w:tcMar>
              <w:left w:w="28" w:type="dxa"/>
              <w:right w:w="28" w:type="dxa"/>
            </w:tcMar>
            <w:vAlign w:val="center"/>
            <w:hideMark/>
          </w:tcPr>
          <w:p w14:paraId="2EBBFDA7" w14:textId="72F46DC9" w:rsidR="00387C70" w:rsidRPr="009E4E5C" w:rsidRDefault="000F5AA4" w:rsidP="003F23AC">
            <w:pPr>
              <w:pStyle w:val="P68B1DB1-Normal8"/>
              <w:spacing w:after="0" w:line="240" w:lineRule="auto"/>
              <w:jc w:val="both"/>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Počet verejne prístupných nabíjacích staníc pre elektrické vozidlá (v porovnaní so základným scenárom za 4. štvrťrok 2021)</w:t>
            </w:r>
          </w:p>
        </w:tc>
      </w:tr>
      <w:tr w:rsidR="00387C70" w:rsidRPr="009E4E5C" w14:paraId="411748AE" w14:textId="77777777" w:rsidTr="009E4E5C">
        <w:trPr>
          <w:trHeight w:val="300"/>
        </w:trPr>
        <w:tc>
          <w:tcPr>
            <w:tcW w:w="1135" w:type="dxa"/>
            <w:shd w:val="clear" w:color="auto" w:fill="C4EFCE"/>
            <w:tcMar>
              <w:left w:w="28" w:type="dxa"/>
              <w:right w:w="28" w:type="dxa"/>
            </w:tcMar>
            <w:vAlign w:val="center"/>
            <w:hideMark/>
          </w:tcPr>
          <w:p w14:paraId="50AB89C4" w14:textId="77777777" w:rsidR="00387C70" w:rsidRPr="009E4E5C" w:rsidRDefault="000F5AA4" w:rsidP="003F23AC">
            <w:pPr>
              <w:pStyle w:val="P68B1DB1-Normal7"/>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7.2</w:t>
            </w:r>
          </w:p>
        </w:tc>
        <w:tc>
          <w:tcPr>
            <w:tcW w:w="1276" w:type="dxa"/>
            <w:shd w:val="clear" w:color="auto" w:fill="C4EFCE"/>
            <w:noWrap/>
            <w:tcMar>
              <w:left w:w="28" w:type="dxa"/>
              <w:right w:w="28" w:type="dxa"/>
            </w:tcMar>
            <w:vAlign w:val="center"/>
            <w:hideMark/>
          </w:tcPr>
          <w:p w14:paraId="5FD10D53" w14:textId="56624F5E" w:rsidR="00387C70" w:rsidRPr="009E4E5C" w:rsidRDefault="00F218FC"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RE-</w:t>
            </w:r>
            <w:r w:rsidR="000F5AA4" w:rsidRPr="009E4E5C">
              <w:rPr>
                <w:rFonts w:ascii="Times New Roman" w:hAnsi="Times New Roman" w:cs="Times New Roman"/>
                <w:noProof/>
                <w:spacing w:val="-8"/>
                <w:lang w:val="sk-SK"/>
              </w:rPr>
              <w:t>C07-i00</w:t>
            </w:r>
          </w:p>
        </w:tc>
        <w:tc>
          <w:tcPr>
            <w:tcW w:w="1134" w:type="dxa"/>
            <w:shd w:val="clear" w:color="auto" w:fill="C4EFCE"/>
            <w:noWrap/>
            <w:tcMar>
              <w:left w:w="28" w:type="dxa"/>
              <w:right w:w="28" w:type="dxa"/>
            </w:tcMar>
            <w:vAlign w:val="center"/>
            <w:hideMark/>
          </w:tcPr>
          <w:p w14:paraId="71F92348" w14:textId="58E44C69" w:rsidR="00387C70" w:rsidRPr="009E4E5C" w:rsidRDefault="00C32C63"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C</w:t>
            </w:r>
          </w:p>
        </w:tc>
        <w:tc>
          <w:tcPr>
            <w:tcW w:w="1701" w:type="dxa"/>
            <w:shd w:val="clear" w:color="auto" w:fill="C4EFCE"/>
            <w:noWrap/>
            <w:tcMar>
              <w:left w:w="28" w:type="dxa"/>
              <w:right w:w="28" w:type="dxa"/>
            </w:tcMar>
            <w:vAlign w:val="center"/>
            <w:hideMark/>
          </w:tcPr>
          <w:p w14:paraId="7DCB8434" w14:textId="6A490E0A"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Verejne prístupné nabíjacie stanice pre elektrické vozidlá</w:t>
            </w:r>
          </w:p>
        </w:tc>
        <w:tc>
          <w:tcPr>
            <w:tcW w:w="1275" w:type="dxa"/>
            <w:shd w:val="clear" w:color="auto" w:fill="C4EFCE"/>
            <w:noWrap/>
            <w:tcMar>
              <w:left w:w="28" w:type="dxa"/>
              <w:right w:w="28" w:type="dxa"/>
            </w:tcMar>
            <w:vAlign w:val="center"/>
            <w:hideMark/>
          </w:tcPr>
          <w:p w14:paraId="039BB342"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993" w:type="dxa"/>
            <w:shd w:val="clear" w:color="auto" w:fill="C4EFCE"/>
            <w:noWrap/>
            <w:tcMar>
              <w:left w:w="28" w:type="dxa"/>
              <w:right w:w="28" w:type="dxa"/>
            </w:tcMar>
            <w:vAlign w:val="center"/>
            <w:hideMark/>
          </w:tcPr>
          <w:p w14:paraId="0738A1E7"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xml:space="preserve">Počet </w:t>
            </w:r>
          </w:p>
        </w:tc>
        <w:tc>
          <w:tcPr>
            <w:tcW w:w="992" w:type="dxa"/>
            <w:shd w:val="clear" w:color="auto" w:fill="C4EFCE"/>
            <w:noWrap/>
            <w:tcMar>
              <w:left w:w="28" w:type="dxa"/>
              <w:right w:w="28" w:type="dxa"/>
            </w:tcMar>
            <w:vAlign w:val="center"/>
            <w:hideMark/>
          </w:tcPr>
          <w:p w14:paraId="22A7D3DE"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5 250</w:t>
            </w:r>
          </w:p>
        </w:tc>
        <w:tc>
          <w:tcPr>
            <w:tcW w:w="709" w:type="dxa"/>
            <w:shd w:val="clear" w:color="auto" w:fill="C4EFCE"/>
            <w:noWrap/>
            <w:tcMar>
              <w:left w:w="28" w:type="dxa"/>
              <w:right w:w="28" w:type="dxa"/>
            </w:tcMar>
            <w:vAlign w:val="center"/>
            <w:hideMark/>
          </w:tcPr>
          <w:p w14:paraId="1B77A0ED"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10 450</w:t>
            </w:r>
          </w:p>
        </w:tc>
        <w:tc>
          <w:tcPr>
            <w:tcW w:w="567" w:type="dxa"/>
            <w:shd w:val="clear" w:color="auto" w:fill="C4EFCE"/>
            <w:noWrap/>
            <w:tcMar>
              <w:left w:w="28" w:type="dxa"/>
              <w:right w:w="28" w:type="dxa"/>
            </w:tcMar>
            <w:vAlign w:val="center"/>
            <w:hideMark/>
          </w:tcPr>
          <w:p w14:paraId="57655D31" w14:textId="480F05FB" w:rsidR="00387C70" w:rsidRPr="009E4E5C" w:rsidRDefault="00FF0A91"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4. štvrťrok</w:t>
            </w:r>
          </w:p>
        </w:tc>
        <w:tc>
          <w:tcPr>
            <w:tcW w:w="708" w:type="dxa"/>
            <w:shd w:val="clear" w:color="auto" w:fill="C4EFCE"/>
            <w:noWrap/>
            <w:tcMar>
              <w:left w:w="28" w:type="dxa"/>
              <w:right w:w="28" w:type="dxa"/>
            </w:tcMar>
            <w:vAlign w:val="center"/>
            <w:hideMark/>
          </w:tcPr>
          <w:p w14:paraId="66B50A5F"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2024</w:t>
            </w:r>
          </w:p>
        </w:tc>
        <w:tc>
          <w:tcPr>
            <w:tcW w:w="3969" w:type="dxa"/>
            <w:shd w:val="clear" w:color="auto" w:fill="C4EFCE"/>
            <w:tcMar>
              <w:left w:w="28" w:type="dxa"/>
              <w:right w:w="28" w:type="dxa"/>
            </w:tcMar>
            <w:vAlign w:val="center"/>
            <w:hideMark/>
          </w:tcPr>
          <w:p w14:paraId="4A5BDC17" w14:textId="0FAC8B46" w:rsidR="00387C70" w:rsidRPr="009E4E5C" w:rsidRDefault="000F5AA4" w:rsidP="003F23AC">
            <w:pPr>
              <w:pStyle w:val="P68B1DB1-Normal8"/>
              <w:spacing w:after="0" w:line="240" w:lineRule="auto"/>
              <w:jc w:val="both"/>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Počet verejne prístupných nabíjacích staníc pre elektrické vozidlá (v porovnaní so základným scenárom za 4. štvrťrok 2022)</w:t>
            </w:r>
          </w:p>
        </w:tc>
      </w:tr>
      <w:tr w:rsidR="00387C70" w:rsidRPr="009E4E5C" w14:paraId="0EAF8566" w14:textId="77777777" w:rsidTr="009E4E5C">
        <w:trPr>
          <w:trHeight w:val="300"/>
        </w:trPr>
        <w:tc>
          <w:tcPr>
            <w:tcW w:w="1135" w:type="dxa"/>
            <w:shd w:val="clear" w:color="auto" w:fill="C4EFCE"/>
            <w:tcMar>
              <w:left w:w="28" w:type="dxa"/>
              <w:right w:w="28" w:type="dxa"/>
            </w:tcMar>
            <w:vAlign w:val="center"/>
            <w:hideMark/>
          </w:tcPr>
          <w:p w14:paraId="354C0B63" w14:textId="77777777" w:rsidR="00387C70" w:rsidRPr="009E4E5C" w:rsidRDefault="000F5AA4" w:rsidP="003F23AC">
            <w:pPr>
              <w:pStyle w:val="P68B1DB1-Normal7"/>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7.3</w:t>
            </w:r>
          </w:p>
        </w:tc>
        <w:tc>
          <w:tcPr>
            <w:tcW w:w="1276" w:type="dxa"/>
            <w:shd w:val="clear" w:color="auto" w:fill="C4EFCE"/>
            <w:noWrap/>
            <w:tcMar>
              <w:left w:w="28" w:type="dxa"/>
              <w:right w:w="28" w:type="dxa"/>
            </w:tcMar>
            <w:vAlign w:val="center"/>
            <w:hideMark/>
          </w:tcPr>
          <w:p w14:paraId="415D9614" w14:textId="4D76E462" w:rsidR="00387C70" w:rsidRPr="009E4E5C" w:rsidRDefault="00F218FC"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RE-</w:t>
            </w:r>
            <w:r w:rsidR="000F5AA4" w:rsidRPr="009E4E5C">
              <w:rPr>
                <w:rFonts w:ascii="Times New Roman" w:hAnsi="Times New Roman" w:cs="Times New Roman"/>
                <w:noProof/>
                <w:spacing w:val="-8"/>
                <w:lang w:val="sk-SK"/>
              </w:rPr>
              <w:t>C07-i00</w:t>
            </w:r>
          </w:p>
        </w:tc>
        <w:tc>
          <w:tcPr>
            <w:tcW w:w="1134" w:type="dxa"/>
            <w:shd w:val="clear" w:color="auto" w:fill="C4EFCE"/>
            <w:noWrap/>
            <w:tcMar>
              <w:left w:w="28" w:type="dxa"/>
              <w:right w:w="28" w:type="dxa"/>
            </w:tcMar>
            <w:vAlign w:val="center"/>
            <w:hideMark/>
          </w:tcPr>
          <w:p w14:paraId="3E535130" w14:textId="401C6A8D" w:rsidR="00387C70" w:rsidRPr="009E4E5C" w:rsidRDefault="00C32C63"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C</w:t>
            </w:r>
          </w:p>
        </w:tc>
        <w:tc>
          <w:tcPr>
            <w:tcW w:w="1701" w:type="dxa"/>
            <w:shd w:val="clear" w:color="auto" w:fill="C4EFCE"/>
            <w:noWrap/>
            <w:tcMar>
              <w:left w:w="28" w:type="dxa"/>
              <w:right w:w="28" w:type="dxa"/>
            </w:tcMar>
            <w:vAlign w:val="center"/>
            <w:hideMark/>
          </w:tcPr>
          <w:p w14:paraId="1D5E62B3" w14:textId="4AD6DD50"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Verejne prístupné nabíjacie stanice pre elektrické vozidlá</w:t>
            </w:r>
          </w:p>
        </w:tc>
        <w:tc>
          <w:tcPr>
            <w:tcW w:w="1275" w:type="dxa"/>
            <w:shd w:val="clear" w:color="auto" w:fill="C4EFCE"/>
            <w:noWrap/>
            <w:tcMar>
              <w:left w:w="28" w:type="dxa"/>
              <w:right w:w="28" w:type="dxa"/>
            </w:tcMar>
            <w:vAlign w:val="center"/>
            <w:hideMark/>
          </w:tcPr>
          <w:p w14:paraId="48FD32B6"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993" w:type="dxa"/>
            <w:shd w:val="clear" w:color="auto" w:fill="C4EFCE"/>
            <w:noWrap/>
            <w:tcMar>
              <w:left w:w="28" w:type="dxa"/>
              <w:right w:w="28" w:type="dxa"/>
            </w:tcMar>
            <w:vAlign w:val="center"/>
            <w:hideMark/>
          </w:tcPr>
          <w:p w14:paraId="348F471C"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xml:space="preserve">Počet </w:t>
            </w:r>
          </w:p>
        </w:tc>
        <w:tc>
          <w:tcPr>
            <w:tcW w:w="992" w:type="dxa"/>
            <w:shd w:val="clear" w:color="auto" w:fill="C4EFCE"/>
            <w:noWrap/>
            <w:tcMar>
              <w:left w:w="28" w:type="dxa"/>
              <w:right w:w="28" w:type="dxa"/>
            </w:tcMar>
            <w:vAlign w:val="center"/>
            <w:hideMark/>
          </w:tcPr>
          <w:p w14:paraId="77A7D296"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10 450</w:t>
            </w:r>
          </w:p>
        </w:tc>
        <w:tc>
          <w:tcPr>
            <w:tcW w:w="709" w:type="dxa"/>
            <w:shd w:val="clear" w:color="auto" w:fill="C4EFCE"/>
            <w:noWrap/>
            <w:tcMar>
              <w:left w:w="28" w:type="dxa"/>
              <w:right w:w="28" w:type="dxa"/>
            </w:tcMar>
            <w:vAlign w:val="center"/>
            <w:hideMark/>
          </w:tcPr>
          <w:p w14:paraId="7C46C763"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15 000</w:t>
            </w:r>
          </w:p>
        </w:tc>
        <w:tc>
          <w:tcPr>
            <w:tcW w:w="567" w:type="dxa"/>
            <w:shd w:val="clear" w:color="auto" w:fill="C4EFCE"/>
            <w:noWrap/>
            <w:tcMar>
              <w:left w:w="28" w:type="dxa"/>
              <w:right w:w="28" w:type="dxa"/>
            </w:tcMar>
            <w:vAlign w:val="center"/>
            <w:hideMark/>
          </w:tcPr>
          <w:p w14:paraId="425C2DC1" w14:textId="60F5EF6D" w:rsidR="00387C70" w:rsidRPr="009E4E5C" w:rsidRDefault="00FF0A91"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4. štvrťrok</w:t>
            </w:r>
          </w:p>
        </w:tc>
        <w:tc>
          <w:tcPr>
            <w:tcW w:w="708" w:type="dxa"/>
            <w:shd w:val="clear" w:color="auto" w:fill="C4EFCE"/>
            <w:noWrap/>
            <w:tcMar>
              <w:left w:w="28" w:type="dxa"/>
              <w:right w:w="28" w:type="dxa"/>
            </w:tcMar>
            <w:vAlign w:val="center"/>
            <w:hideMark/>
          </w:tcPr>
          <w:p w14:paraId="65542AA4"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2025</w:t>
            </w:r>
          </w:p>
        </w:tc>
        <w:tc>
          <w:tcPr>
            <w:tcW w:w="3969" w:type="dxa"/>
            <w:shd w:val="clear" w:color="auto" w:fill="C4EFCE"/>
            <w:tcMar>
              <w:left w:w="28" w:type="dxa"/>
              <w:right w:w="28" w:type="dxa"/>
            </w:tcMar>
            <w:vAlign w:val="center"/>
            <w:hideMark/>
          </w:tcPr>
          <w:p w14:paraId="68F4B423" w14:textId="2FF52C31" w:rsidR="00387C70" w:rsidRPr="009E4E5C" w:rsidRDefault="000F5AA4" w:rsidP="003F23AC">
            <w:pPr>
              <w:pStyle w:val="P68B1DB1-Normal8"/>
              <w:spacing w:after="0" w:line="240" w:lineRule="auto"/>
              <w:jc w:val="both"/>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Počet verejne prístupných nabíjacích staníc pre elektrické vozidlá (v porovnaní so základným scenárom za 4. štvrťrok 2024)</w:t>
            </w:r>
          </w:p>
        </w:tc>
      </w:tr>
      <w:tr w:rsidR="00387C70" w:rsidRPr="009E4E5C" w14:paraId="6CDEF770" w14:textId="77777777" w:rsidTr="009E4E5C">
        <w:trPr>
          <w:trHeight w:val="640"/>
        </w:trPr>
        <w:tc>
          <w:tcPr>
            <w:tcW w:w="1135" w:type="dxa"/>
            <w:shd w:val="clear" w:color="auto" w:fill="C4EFCE"/>
            <w:tcMar>
              <w:left w:w="28" w:type="dxa"/>
              <w:right w:w="28" w:type="dxa"/>
            </w:tcMar>
            <w:vAlign w:val="center"/>
            <w:hideMark/>
          </w:tcPr>
          <w:p w14:paraId="7E9D55FE" w14:textId="77777777" w:rsidR="00387C70" w:rsidRPr="009E4E5C" w:rsidRDefault="000F5AA4" w:rsidP="003F23AC">
            <w:pPr>
              <w:pStyle w:val="P68B1DB1-Normal7"/>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7.4</w:t>
            </w:r>
          </w:p>
        </w:tc>
        <w:tc>
          <w:tcPr>
            <w:tcW w:w="1276" w:type="dxa"/>
            <w:shd w:val="clear" w:color="auto" w:fill="C4EFCE"/>
            <w:noWrap/>
            <w:tcMar>
              <w:left w:w="28" w:type="dxa"/>
              <w:right w:w="28" w:type="dxa"/>
            </w:tcMar>
            <w:vAlign w:val="center"/>
            <w:hideMark/>
          </w:tcPr>
          <w:p w14:paraId="74F8FD76" w14:textId="3D69BD83" w:rsidR="00387C70" w:rsidRPr="009E4E5C" w:rsidRDefault="00F218FC"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RE-</w:t>
            </w:r>
            <w:r w:rsidR="000F5AA4" w:rsidRPr="009E4E5C">
              <w:rPr>
                <w:rFonts w:ascii="Times New Roman" w:hAnsi="Times New Roman" w:cs="Times New Roman"/>
                <w:noProof/>
                <w:spacing w:val="-8"/>
                <w:lang w:val="sk-SK"/>
              </w:rPr>
              <w:t>C07-i01</w:t>
            </w:r>
          </w:p>
        </w:tc>
        <w:tc>
          <w:tcPr>
            <w:tcW w:w="1134" w:type="dxa"/>
            <w:shd w:val="clear" w:color="auto" w:fill="C4EFCE"/>
            <w:noWrap/>
            <w:tcMar>
              <w:left w:w="28" w:type="dxa"/>
              <w:right w:w="28" w:type="dxa"/>
            </w:tcMar>
            <w:vAlign w:val="center"/>
            <w:hideMark/>
          </w:tcPr>
          <w:p w14:paraId="0F209261"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M</w:t>
            </w:r>
          </w:p>
        </w:tc>
        <w:tc>
          <w:tcPr>
            <w:tcW w:w="1701" w:type="dxa"/>
            <w:shd w:val="clear" w:color="auto" w:fill="C4EFCE"/>
            <w:noWrap/>
            <w:tcMar>
              <w:left w:w="28" w:type="dxa"/>
              <w:right w:w="28" w:type="dxa"/>
            </w:tcMar>
            <w:vAlign w:val="center"/>
            <w:hideMark/>
          </w:tcPr>
          <w:p w14:paraId="6F9C461D" w14:textId="62910A9D"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Výber obchodných prijímacích oblastí pre intervencie na zlepšenie environmentálnej udržateľnosti</w:t>
            </w:r>
            <w:r w:rsidR="00A75B3C" w:rsidRPr="009E4E5C">
              <w:rPr>
                <w:rFonts w:ascii="Times New Roman" w:hAnsi="Times New Roman" w:cs="Times New Roman"/>
                <w:noProof/>
                <w:spacing w:val="-8"/>
                <w:lang w:val="sk-SK"/>
              </w:rPr>
              <w:t xml:space="preserve"> a </w:t>
            </w:r>
            <w:r w:rsidRPr="009E4E5C">
              <w:rPr>
                <w:rFonts w:ascii="Times New Roman" w:hAnsi="Times New Roman" w:cs="Times New Roman"/>
                <w:noProof/>
                <w:spacing w:val="-8"/>
                <w:lang w:val="sk-SK"/>
              </w:rPr>
              <w:t>digitalizácie</w:t>
            </w:r>
          </w:p>
        </w:tc>
        <w:tc>
          <w:tcPr>
            <w:tcW w:w="1275" w:type="dxa"/>
            <w:shd w:val="clear" w:color="auto" w:fill="C4EFCE"/>
            <w:noWrap/>
            <w:tcMar>
              <w:left w:w="28" w:type="dxa"/>
              <w:right w:w="28" w:type="dxa"/>
            </w:tcMar>
            <w:vAlign w:val="center"/>
            <w:hideMark/>
          </w:tcPr>
          <w:p w14:paraId="593AAD30"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Podpis verejného protokolu potvrdzujúceho výber prevádzkových priestorov prijímania</w:t>
            </w:r>
          </w:p>
        </w:tc>
        <w:tc>
          <w:tcPr>
            <w:tcW w:w="993" w:type="dxa"/>
            <w:shd w:val="clear" w:color="auto" w:fill="C4EFCE"/>
            <w:noWrap/>
            <w:tcMar>
              <w:left w:w="28" w:type="dxa"/>
              <w:right w:w="28" w:type="dxa"/>
            </w:tcMar>
            <w:vAlign w:val="center"/>
            <w:hideMark/>
          </w:tcPr>
          <w:p w14:paraId="3B12DE95"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992" w:type="dxa"/>
            <w:shd w:val="clear" w:color="auto" w:fill="C4EFCE"/>
            <w:noWrap/>
            <w:tcMar>
              <w:left w:w="28" w:type="dxa"/>
              <w:right w:w="28" w:type="dxa"/>
            </w:tcMar>
            <w:vAlign w:val="center"/>
            <w:hideMark/>
          </w:tcPr>
          <w:p w14:paraId="5DF1D34B"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709" w:type="dxa"/>
            <w:shd w:val="clear" w:color="auto" w:fill="C4EFCE"/>
            <w:noWrap/>
            <w:tcMar>
              <w:left w:w="28" w:type="dxa"/>
              <w:right w:w="28" w:type="dxa"/>
            </w:tcMar>
            <w:vAlign w:val="center"/>
            <w:hideMark/>
          </w:tcPr>
          <w:p w14:paraId="2143C3EF"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567" w:type="dxa"/>
            <w:shd w:val="clear" w:color="auto" w:fill="C4EFCE"/>
            <w:noWrap/>
            <w:tcMar>
              <w:left w:w="28" w:type="dxa"/>
              <w:right w:w="28" w:type="dxa"/>
            </w:tcMar>
            <w:vAlign w:val="center"/>
            <w:hideMark/>
          </w:tcPr>
          <w:p w14:paraId="3FC05994" w14:textId="1F689C25" w:rsidR="00387C70" w:rsidRPr="009E4E5C" w:rsidRDefault="00FF0A91"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2. štvrťrok</w:t>
            </w:r>
          </w:p>
        </w:tc>
        <w:tc>
          <w:tcPr>
            <w:tcW w:w="708" w:type="dxa"/>
            <w:shd w:val="clear" w:color="auto" w:fill="C4EFCE"/>
            <w:noWrap/>
            <w:tcMar>
              <w:left w:w="28" w:type="dxa"/>
              <w:right w:w="28" w:type="dxa"/>
            </w:tcMar>
            <w:vAlign w:val="center"/>
            <w:hideMark/>
          </w:tcPr>
          <w:p w14:paraId="51394D9E"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2021</w:t>
            </w:r>
          </w:p>
        </w:tc>
        <w:tc>
          <w:tcPr>
            <w:tcW w:w="3969" w:type="dxa"/>
            <w:shd w:val="clear" w:color="auto" w:fill="C4EFCE"/>
            <w:tcMar>
              <w:left w:w="28" w:type="dxa"/>
              <w:right w:w="28" w:type="dxa"/>
            </w:tcMar>
            <w:vAlign w:val="center"/>
            <w:hideMark/>
          </w:tcPr>
          <w:p w14:paraId="1E6391D9" w14:textId="4D89014C" w:rsidR="00387C70" w:rsidRPr="009E4E5C" w:rsidRDefault="000F5AA4" w:rsidP="003F23AC">
            <w:pPr>
              <w:pStyle w:val="P68B1DB1-Normal8"/>
              <w:spacing w:after="0" w:line="240" w:lineRule="auto"/>
              <w:jc w:val="both"/>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Podnikateľské prijímacie oblasti sa vyberajú</w:t>
            </w:r>
            <w:r w:rsidR="00A75B3C" w:rsidRPr="009E4E5C">
              <w:rPr>
                <w:rFonts w:ascii="Times New Roman" w:hAnsi="Times New Roman" w:cs="Times New Roman"/>
                <w:noProof/>
                <w:spacing w:val="-8"/>
                <w:lang w:val="sk-SK"/>
              </w:rPr>
              <w:t xml:space="preserve"> v </w:t>
            </w:r>
            <w:r w:rsidRPr="009E4E5C">
              <w:rPr>
                <w:rFonts w:ascii="Times New Roman" w:hAnsi="Times New Roman" w:cs="Times New Roman"/>
                <w:noProof/>
                <w:spacing w:val="-8"/>
                <w:lang w:val="sk-SK"/>
              </w:rPr>
              <w:t>rámci súťažného výberového konania. Podpísaný verejný protokol sa predloží Komisii,</w:t>
            </w:r>
            <w:r w:rsidR="00A75B3C" w:rsidRPr="009E4E5C">
              <w:rPr>
                <w:rFonts w:ascii="Times New Roman" w:hAnsi="Times New Roman" w:cs="Times New Roman"/>
                <w:noProof/>
                <w:spacing w:val="-8"/>
                <w:lang w:val="sk-SK"/>
              </w:rPr>
              <w:t xml:space="preserve"> v </w:t>
            </w:r>
            <w:r w:rsidRPr="009E4E5C">
              <w:rPr>
                <w:rFonts w:ascii="Times New Roman" w:hAnsi="Times New Roman" w:cs="Times New Roman"/>
                <w:noProof/>
                <w:spacing w:val="-8"/>
                <w:lang w:val="sk-SK"/>
              </w:rPr>
              <w:t>ktorom sa potvrdí, že výber podnikateľských prijímacích oblastí bol ukončený,</w:t>
            </w:r>
            <w:r w:rsidR="00A75B3C" w:rsidRPr="009E4E5C">
              <w:rPr>
                <w:rFonts w:ascii="Times New Roman" w:hAnsi="Times New Roman" w:cs="Times New Roman"/>
                <w:noProof/>
                <w:spacing w:val="-8"/>
                <w:lang w:val="sk-SK"/>
              </w:rPr>
              <w:t xml:space="preserve"> a </w:t>
            </w:r>
            <w:r w:rsidRPr="009E4E5C">
              <w:rPr>
                <w:rFonts w:ascii="Times New Roman" w:hAnsi="Times New Roman" w:cs="Times New Roman"/>
                <w:noProof/>
                <w:spacing w:val="-8"/>
                <w:lang w:val="sk-SK"/>
              </w:rPr>
              <w:t xml:space="preserve">identifikujú sa vybrané oblasti prijímania. </w:t>
            </w:r>
          </w:p>
        </w:tc>
      </w:tr>
      <w:tr w:rsidR="00387C70" w:rsidRPr="009E4E5C" w14:paraId="0512DFAB" w14:textId="77777777" w:rsidTr="009E4E5C">
        <w:trPr>
          <w:trHeight w:val="420"/>
        </w:trPr>
        <w:tc>
          <w:tcPr>
            <w:tcW w:w="1135" w:type="dxa"/>
            <w:shd w:val="clear" w:color="auto" w:fill="C4EFCE"/>
            <w:tcMar>
              <w:left w:w="28" w:type="dxa"/>
              <w:right w:w="28" w:type="dxa"/>
            </w:tcMar>
            <w:vAlign w:val="center"/>
            <w:hideMark/>
          </w:tcPr>
          <w:p w14:paraId="40C77A13" w14:textId="77777777" w:rsidR="00387C70" w:rsidRPr="009E4E5C" w:rsidRDefault="000F5AA4" w:rsidP="003F23AC">
            <w:pPr>
              <w:pStyle w:val="P68B1DB1-Normal7"/>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7.5</w:t>
            </w:r>
          </w:p>
        </w:tc>
        <w:tc>
          <w:tcPr>
            <w:tcW w:w="1276" w:type="dxa"/>
            <w:shd w:val="clear" w:color="auto" w:fill="C4EFCE"/>
            <w:noWrap/>
            <w:tcMar>
              <w:left w:w="28" w:type="dxa"/>
              <w:right w:w="28" w:type="dxa"/>
            </w:tcMar>
            <w:vAlign w:val="center"/>
            <w:hideMark/>
          </w:tcPr>
          <w:p w14:paraId="3FA30471" w14:textId="106A67CA" w:rsidR="00387C70" w:rsidRPr="009E4E5C" w:rsidRDefault="00F218FC"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RE-</w:t>
            </w:r>
            <w:r w:rsidR="000F5AA4" w:rsidRPr="009E4E5C">
              <w:rPr>
                <w:rFonts w:ascii="Times New Roman" w:hAnsi="Times New Roman" w:cs="Times New Roman"/>
                <w:noProof/>
                <w:spacing w:val="-8"/>
                <w:lang w:val="sk-SK"/>
              </w:rPr>
              <w:t>C07-i01</w:t>
            </w:r>
          </w:p>
        </w:tc>
        <w:tc>
          <w:tcPr>
            <w:tcW w:w="1134" w:type="dxa"/>
            <w:shd w:val="clear" w:color="auto" w:fill="C4EFCE"/>
            <w:noWrap/>
            <w:tcMar>
              <w:left w:w="28" w:type="dxa"/>
              <w:right w:w="28" w:type="dxa"/>
            </w:tcMar>
            <w:vAlign w:val="center"/>
            <w:hideMark/>
          </w:tcPr>
          <w:p w14:paraId="6BEE3F36" w14:textId="6A206AA0" w:rsidR="00387C70" w:rsidRPr="009E4E5C" w:rsidRDefault="00C32C63"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C</w:t>
            </w:r>
          </w:p>
        </w:tc>
        <w:tc>
          <w:tcPr>
            <w:tcW w:w="1701" w:type="dxa"/>
            <w:shd w:val="clear" w:color="auto" w:fill="C4EFCE"/>
            <w:noWrap/>
            <w:tcMar>
              <w:left w:w="28" w:type="dxa"/>
              <w:right w:w="28" w:type="dxa"/>
            </w:tcMar>
            <w:vAlign w:val="center"/>
            <w:hideMark/>
          </w:tcPr>
          <w:p w14:paraId="2DFBE47E"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xml:space="preserve">Ukončenie intervencií vo vybraných oblastiach prijímania podnikov </w:t>
            </w:r>
          </w:p>
        </w:tc>
        <w:tc>
          <w:tcPr>
            <w:tcW w:w="1275" w:type="dxa"/>
            <w:shd w:val="clear" w:color="auto" w:fill="C4EFCE"/>
            <w:noWrap/>
            <w:tcMar>
              <w:left w:w="28" w:type="dxa"/>
              <w:right w:w="28" w:type="dxa"/>
            </w:tcMar>
            <w:vAlign w:val="center"/>
            <w:hideMark/>
          </w:tcPr>
          <w:p w14:paraId="33798293"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993" w:type="dxa"/>
            <w:shd w:val="clear" w:color="auto" w:fill="C4EFCE"/>
            <w:noWrap/>
            <w:tcMar>
              <w:left w:w="28" w:type="dxa"/>
              <w:right w:w="28" w:type="dxa"/>
            </w:tcMar>
            <w:vAlign w:val="center"/>
            <w:hideMark/>
          </w:tcPr>
          <w:p w14:paraId="57932235"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Počet</w:t>
            </w:r>
          </w:p>
        </w:tc>
        <w:tc>
          <w:tcPr>
            <w:tcW w:w="992" w:type="dxa"/>
            <w:shd w:val="clear" w:color="auto" w:fill="C4EFCE"/>
            <w:noWrap/>
            <w:tcMar>
              <w:left w:w="28" w:type="dxa"/>
              <w:right w:w="28" w:type="dxa"/>
            </w:tcMar>
            <w:vAlign w:val="center"/>
            <w:hideMark/>
          </w:tcPr>
          <w:p w14:paraId="42943F2B"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0</w:t>
            </w:r>
          </w:p>
        </w:tc>
        <w:tc>
          <w:tcPr>
            <w:tcW w:w="709" w:type="dxa"/>
            <w:shd w:val="clear" w:color="auto" w:fill="C4EFCE"/>
            <w:noWrap/>
            <w:tcMar>
              <w:left w:w="28" w:type="dxa"/>
              <w:right w:w="28" w:type="dxa"/>
            </w:tcMar>
            <w:vAlign w:val="center"/>
            <w:hideMark/>
          </w:tcPr>
          <w:p w14:paraId="4C482E62"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10</w:t>
            </w:r>
          </w:p>
        </w:tc>
        <w:tc>
          <w:tcPr>
            <w:tcW w:w="567" w:type="dxa"/>
            <w:shd w:val="clear" w:color="auto" w:fill="C4EFCE"/>
            <w:noWrap/>
            <w:tcMar>
              <w:left w:w="28" w:type="dxa"/>
              <w:right w:w="28" w:type="dxa"/>
            </w:tcMar>
            <w:vAlign w:val="center"/>
            <w:hideMark/>
          </w:tcPr>
          <w:p w14:paraId="082856AC" w14:textId="4F3A1D78" w:rsidR="00387C70" w:rsidRPr="009E4E5C" w:rsidRDefault="00FF0A91"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4. štvrťrok</w:t>
            </w:r>
          </w:p>
        </w:tc>
        <w:tc>
          <w:tcPr>
            <w:tcW w:w="708" w:type="dxa"/>
            <w:shd w:val="clear" w:color="auto" w:fill="C4EFCE"/>
            <w:noWrap/>
            <w:tcMar>
              <w:left w:w="28" w:type="dxa"/>
              <w:right w:w="28" w:type="dxa"/>
            </w:tcMar>
            <w:vAlign w:val="center"/>
            <w:hideMark/>
          </w:tcPr>
          <w:p w14:paraId="0E91BBA3"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2025</w:t>
            </w:r>
          </w:p>
        </w:tc>
        <w:tc>
          <w:tcPr>
            <w:tcW w:w="3969" w:type="dxa"/>
            <w:shd w:val="clear" w:color="auto" w:fill="C4EFCE"/>
            <w:tcMar>
              <w:left w:w="28" w:type="dxa"/>
              <w:right w:w="28" w:type="dxa"/>
            </w:tcMar>
            <w:vAlign w:val="center"/>
            <w:hideMark/>
          </w:tcPr>
          <w:p w14:paraId="7014C79B" w14:textId="5251738D" w:rsidR="00A75B3C" w:rsidRPr="009E4E5C" w:rsidRDefault="000F5AA4" w:rsidP="003F23AC">
            <w:pPr>
              <w:pStyle w:val="P68B1DB1-Normal8"/>
              <w:spacing w:after="0" w:line="240" w:lineRule="auto"/>
              <w:jc w:val="both"/>
              <w:rPr>
                <w:rFonts w:ascii="Times New Roman" w:hAnsi="Times New Roman" w:cs="Times New Roman"/>
                <w:noProof/>
                <w:spacing w:val="-8"/>
                <w:lang w:val="sk-SK"/>
              </w:rPr>
            </w:pPr>
            <w:r w:rsidRPr="009E4E5C">
              <w:rPr>
                <w:rFonts w:ascii="Times New Roman" w:hAnsi="Times New Roman" w:cs="Times New Roman"/>
                <w:noProof/>
                <w:spacing w:val="-8"/>
                <w:lang w:val="sk-SK"/>
              </w:rPr>
              <w:t>Počet podnikových prijímacích priestorov</w:t>
            </w:r>
            <w:r w:rsidR="00A75B3C" w:rsidRPr="009E4E5C">
              <w:rPr>
                <w:rFonts w:ascii="Times New Roman" w:hAnsi="Times New Roman" w:cs="Times New Roman"/>
                <w:noProof/>
                <w:spacing w:val="-8"/>
                <w:lang w:val="sk-SK"/>
              </w:rPr>
              <w:t xml:space="preserve"> s </w:t>
            </w:r>
            <w:r w:rsidRPr="009E4E5C">
              <w:rPr>
                <w:rFonts w:ascii="Times New Roman" w:hAnsi="Times New Roman" w:cs="Times New Roman"/>
                <w:noProof/>
                <w:spacing w:val="-8"/>
                <w:lang w:val="sk-SK"/>
              </w:rPr>
              <w:t>dokončenými prácami na zlepšenie ich environmentálnej udržateľnosti</w:t>
            </w:r>
            <w:r w:rsidR="00A75B3C" w:rsidRPr="009E4E5C">
              <w:rPr>
                <w:rFonts w:ascii="Times New Roman" w:hAnsi="Times New Roman" w:cs="Times New Roman"/>
                <w:noProof/>
                <w:spacing w:val="-8"/>
                <w:lang w:val="sk-SK"/>
              </w:rPr>
              <w:t xml:space="preserve"> a </w:t>
            </w:r>
            <w:r w:rsidRPr="009E4E5C">
              <w:rPr>
                <w:rFonts w:ascii="Times New Roman" w:hAnsi="Times New Roman" w:cs="Times New Roman"/>
                <w:noProof/>
                <w:spacing w:val="-8"/>
                <w:lang w:val="sk-SK"/>
              </w:rPr>
              <w:t>digitalizácie</w:t>
            </w:r>
            <w:r w:rsidR="00A75B3C" w:rsidRPr="009E4E5C">
              <w:rPr>
                <w:rFonts w:ascii="Times New Roman" w:hAnsi="Times New Roman" w:cs="Times New Roman"/>
                <w:noProof/>
                <w:spacing w:val="-8"/>
                <w:lang w:val="sk-SK"/>
              </w:rPr>
              <w:t>.</w:t>
            </w:r>
          </w:p>
          <w:p w14:paraId="07D803B5" w14:textId="4B2E96CB" w:rsidR="00387C70" w:rsidRPr="009E4E5C" w:rsidRDefault="000F5AA4" w:rsidP="003F23AC">
            <w:pPr>
              <w:pStyle w:val="P68B1DB1-Normal8"/>
              <w:spacing w:after="0" w:line="240" w:lineRule="auto"/>
              <w:jc w:val="both"/>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Podnikateľské prijímacie priestory na intervenciu vybrané</w:t>
            </w:r>
            <w:r w:rsidR="00A75B3C" w:rsidRPr="009E4E5C">
              <w:rPr>
                <w:rFonts w:ascii="Times New Roman" w:hAnsi="Times New Roman" w:cs="Times New Roman"/>
                <w:noProof/>
                <w:spacing w:val="-8"/>
                <w:lang w:val="sk-SK"/>
              </w:rPr>
              <w:t xml:space="preserve"> v </w:t>
            </w:r>
            <w:r w:rsidRPr="009E4E5C">
              <w:rPr>
                <w:rFonts w:ascii="Times New Roman" w:hAnsi="Times New Roman" w:cs="Times New Roman"/>
                <w:noProof/>
                <w:spacing w:val="-8"/>
                <w:lang w:val="sk-SK"/>
              </w:rPr>
              <w:t>rámci súťažného výberového konania.</w:t>
            </w:r>
          </w:p>
        </w:tc>
      </w:tr>
      <w:tr w:rsidR="00387C70" w:rsidRPr="009E4E5C" w14:paraId="10CFA4E1" w14:textId="77777777" w:rsidTr="009E4E5C">
        <w:trPr>
          <w:trHeight w:val="420"/>
        </w:trPr>
        <w:tc>
          <w:tcPr>
            <w:tcW w:w="1135" w:type="dxa"/>
            <w:shd w:val="clear" w:color="auto" w:fill="C4EFCE"/>
            <w:tcMar>
              <w:left w:w="28" w:type="dxa"/>
              <w:right w:w="28" w:type="dxa"/>
            </w:tcMar>
            <w:vAlign w:val="center"/>
            <w:hideMark/>
          </w:tcPr>
          <w:p w14:paraId="6BA90D44" w14:textId="77777777" w:rsidR="00387C70" w:rsidRPr="009E4E5C" w:rsidRDefault="000F5AA4" w:rsidP="003F23AC">
            <w:pPr>
              <w:pStyle w:val="P68B1DB1-Normal7"/>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7.6</w:t>
            </w:r>
          </w:p>
        </w:tc>
        <w:tc>
          <w:tcPr>
            <w:tcW w:w="1276" w:type="dxa"/>
            <w:shd w:val="clear" w:color="auto" w:fill="C4EFCE"/>
            <w:noWrap/>
            <w:tcMar>
              <w:left w:w="28" w:type="dxa"/>
              <w:right w:w="28" w:type="dxa"/>
            </w:tcMar>
            <w:vAlign w:val="center"/>
            <w:hideMark/>
          </w:tcPr>
          <w:p w14:paraId="4F6EE5A3" w14:textId="235575EF" w:rsidR="00387C70" w:rsidRPr="009E4E5C" w:rsidRDefault="00F218FC"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RE-</w:t>
            </w:r>
            <w:r w:rsidR="000F5AA4" w:rsidRPr="009E4E5C">
              <w:rPr>
                <w:rFonts w:ascii="Times New Roman" w:hAnsi="Times New Roman" w:cs="Times New Roman"/>
                <w:noProof/>
                <w:spacing w:val="-8"/>
                <w:lang w:val="sk-SK"/>
              </w:rPr>
              <w:t>C07-i02</w:t>
            </w:r>
          </w:p>
        </w:tc>
        <w:tc>
          <w:tcPr>
            <w:tcW w:w="1134" w:type="dxa"/>
            <w:shd w:val="clear" w:color="auto" w:fill="C4EFCE"/>
            <w:noWrap/>
            <w:tcMar>
              <w:left w:w="28" w:type="dxa"/>
              <w:right w:w="28" w:type="dxa"/>
            </w:tcMar>
            <w:vAlign w:val="center"/>
            <w:hideMark/>
          </w:tcPr>
          <w:p w14:paraId="6C6C701C"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M</w:t>
            </w:r>
          </w:p>
        </w:tc>
        <w:tc>
          <w:tcPr>
            <w:tcW w:w="1701" w:type="dxa"/>
            <w:shd w:val="clear" w:color="auto" w:fill="C4EFCE"/>
            <w:noWrap/>
            <w:tcMar>
              <w:left w:w="28" w:type="dxa"/>
              <w:right w:w="28" w:type="dxa"/>
            </w:tcMar>
            <w:vAlign w:val="center"/>
            <w:hideMark/>
          </w:tcPr>
          <w:p w14:paraId="1715D078"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Zmluva podpísaná pre 1 cestný projekt</w:t>
            </w:r>
          </w:p>
        </w:tc>
        <w:tc>
          <w:tcPr>
            <w:tcW w:w="1275" w:type="dxa"/>
            <w:shd w:val="clear" w:color="auto" w:fill="C4EFCE"/>
            <w:noWrap/>
            <w:tcMar>
              <w:left w:w="28" w:type="dxa"/>
              <w:right w:w="28" w:type="dxa"/>
            </w:tcMar>
            <w:vAlign w:val="center"/>
            <w:hideMark/>
          </w:tcPr>
          <w:p w14:paraId="3AEB4D75" w14:textId="1328BAA8"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Zmluva podpísaná</w:t>
            </w:r>
            <w:r w:rsidR="00A75B3C" w:rsidRPr="009E4E5C">
              <w:rPr>
                <w:rFonts w:ascii="Times New Roman" w:hAnsi="Times New Roman" w:cs="Times New Roman"/>
                <w:noProof/>
                <w:spacing w:val="-8"/>
                <w:lang w:val="sk-SK"/>
              </w:rPr>
              <w:t xml:space="preserve"> s </w:t>
            </w:r>
            <w:r w:rsidRPr="009E4E5C">
              <w:rPr>
                <w:rFonts w:ascii="Times New Roman" w:hAnsi="Times New Roman" w:cs="Times New Roman"/>
                <w:noProof/>
                <w:spacing w:val="-8"/>
                <w:lang w:val="sk-SK"/>
              </w:rPr>
              <w:t>dodávateľom pre cestný projekt</w:t>
            </w:r>
          </w:p>
        </w:tc>
        <w:tc>
          <w:tcPr>
            <w:tcW w:w="993" w:type="dxa"/>
            <w:shd w:val="clear" w:color="auto" w:fill="C4EFCE"/>
            <w:noWrap/>
            <w:tcMar>
              <w:left w:w="28" w:type="dxa"/>
              <w:right w:w="28" w:type="dxa"/>
            </w:tcMar>
            <w:vAlign w:val="center"/>
            <w:hideMark/>
          </w:tcPr>
          <w:p w14:paraId="70074E61"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992" w:type="dxa"/>
            <w:shd w:val="clear" w:color="auto" w:fill="C4EFCE"/>
            <w:noWrap/>
            <w:tcMar>
              <w:left w:w="28" w:type="dxa"/>
              <w:right w:w="28" w:type="dxa"/>
            </w:tcMar>
            <w:vAlign w:val="center"/>
            <w:hideMark/>
          </w:tcPr>
          <w:p w14:paraId="6356C703"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709" w:type="dxa"/>
            <w:shd w:val="clear" w:color="auto" w:fill="C4EFCE"/>
            <w:noWrap/>
            <w:tcMar>
              <w:left w:w="28" w:type="dxa"/>
              <w:right w:w="28" w:type="dxa"/>
            </w:tcMar>
            <w:vAlign w:val="center"/>
            <w:hideMark/>
          </w:tcPr>
          <w:p w14:paraId="131DADF6"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567" w:type="dxa"/>
            <w:shd w:val="clear" w:color="auto" w:fill="C4EFCE"/>
            <w:noWrap/>
            <w:tcMar>
              <w:left w:w="28" w:type="dxa"/>
              <w:right w:w="28" w:type="dxa"/>
            </w:tcMar>
            <w:vAlign w:val="center"/>
            <w:hideMark/>
          </w:tcPr>
          <w:p w14:paraId="74A7711C" w14:textId="47D33BAD" w:rsidR="00387C70" w:rsidRPr="009E4E5C" w:rsidRDefault="00FF0A91"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4. štvrťrok</w:t>
            </w:r>
          </w:p>
        </w:tc>
        <w:tc>
          <w:tcPr>
            <w:tcW w:w="708" w:type="dxa"/>
            <w:shd w:val="clear" w:color="auto" w:fill="C4EFCE"/>
            <w:noWrap/>
            <w:tcMar>
              <w:left w:w="28" w:type="dxa"/>
              <w:right w:w="28" w:type="dxa"/>
            </w:tcMar>
            <w:vAlign w:val="center"/>
            <w:hideMark/>
          </w:tcPr>
          <w:p w14:paraId="56AB2898"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2021</w:t>
            </w:r>
          </w:p>
        </w:tc>
        <w:tc>
          <w:tcPr>
            <w:tcW w:w="3969" w:type="dxa"/>
            <w:shd w:val="clear" w:color="auto" w:fill="C4EFCE"/>
            <w:tcMar>
              <w:left w:w="28" w:type="dxa"/>
              <w:right w:w="28" w:type="dxa"/>
            </w:tcMar>
            <w:vAlign w:val="center"/>
            <w:hideMark/>
          </w:tcPr>
          <w:p w14:paraId="0518505D" w14:textId="3D5F782C" w:rsidR="00387C70" w:rsidRPr="009E4E5C" w:rsidRDefault="000F5AA4" w:rsidP="003F23AC">
            <w:pPr>
              <w:pStyle w:val="P68B1DB1-Normal8"/>
              <w:spacing w:after="0" w:line="240" w:lineRule="auto"/>
              <w:jc w:val="both"/>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Podpis zmluvných strán dokumentu, ktorým sa riadia ich záväzky</w:t>
            </w:r>
            <w:r w:rsidR="00A75B3C" w:rsidRPr="009E4E5C">
              <w:rPr>
                <w:rFonts w:ascii="Times New Roman" w:hAnsi="Times New Roman" w:cs="Times New Roman"/>
                <w:noProof/>
                <w:spacing w:val="-8"/>
                <w:lang w:val="sk-SK"/>
              </w:rPr>
              <w:t xml:space="preserve"> v </w:t>
            </w:r>
            <w:r w:rsidRPr="009E4E5C">
              <w:rPr>
                <w:rFonts w:ascii="Times New Roman" w:hAnsi="Times New Roman" w:cs="Times New Roman"/>
                <w:noProof/>
                <w:spacing w:val="-8"/>
                <w:lang w:val="sk-SK"/>
              </w:rPr>
              <w:t>súvislosti</w:t>
            </w:r>
            <w:r w:rsidR="00A75B3C" w:rsidRPr="009E4E5C">
              <w:rPr>
                <w:rFonts w:ascii="Times New Roman" w:hAnsi="Times New Roman" w:cs="Times New Roman"/>
                <w:noProof/>
                <w:spacing w:val="-8"/>
                <w:lang w:val="sk-SK"/>
              </w:rPr>
              <w:t xml:space="preserve"> s </w:t>
            </w:r>
            <w:r w:rsidRPr="009E4E5C">
              <w:rPr>
                <w:rFonts w:ascii="Times New Roman" w:hAnsi="Times New Roman" w:cs="Times New Roman"/>
                <w:noProof/>
                <w:spacing w:val="-8"/>
                <w:lang w:val="sk-SK"/>
              </w:rPr>
              <w:t>vykonaním prác, na základe postupu verejného obstarávania.</w:t>
            </w:r>
          </w:p>
        </w:tc>
      </w:tr>
      <w:tr w:rsidR="00387C70" w:rsidRPr="009E4E5C" w14:paraId="0CFF3903" w14:textId="77777777" w:rsidTr="009E4E5C">
        <w:trPr>
          <w:trHeight w:val="420"/>
        </w:trPr>
        <w:tc>
          <w:tcPr>
            <w:tcW w:w="1135" w:type="dxa"/>
            <w:shd w:val="clear" w:color="auto" w:fill="C4EFCE"/>
            <w:tcMar>
              <w:left w:w="28" w:type="dxa"/>
              <w:right w:w="28" w:type="dxa"/>
            </w:tcMar>
            <w:vAlign w:val="center"/>
            <w:hideMark/>
          </w:tcPr>
          <w:p w14:paraId="65D7863A" w14:textId="77777777" w:rsidR="00387C70" w:rsidRPr="009E4E5C" w:rsidRDefault="000F5AA4" w:rsidP="003F23AC">
            <w:pPr>
              <w:pStyle w:val="P68B1DB1-Normal7"/>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7.7</w:t>
            </w:r>
          </w:p>
        </w:tc>
        <w:tc>
          <w:tcPr>
            <w:tcW w:w="1276" w:type="dxa"/>
            <w:shd w:val="clear" w:color="auto" w:fill="C4EFCE"/>
            <w:noWrap/>
            <w:tcMar>
              <w:left w:w="28" w:type="dxa"/>
              <w:right w:w="28" w:type="dxa"/>
            </w:tcMar>
            <w:vAlign w:val="center"/>
            <w:hideMark/>
          </w:tcPr>
          <w:p w14:paraId="184546E3" w14:textId="53E35D71" w:rsidR="00387C70" w:rsidRPr="009E4E5C" w:rsidRDefault="00F218FC"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RE-</w:t>
            </w:r>
            <w:r w:rsidR="000F5AA4" w:rsidRPr="009E4E5C">
              <w:rPr>
                <w:rFonts w:ascii="Times New Roman" w:hAnsi="Times New Roman" w:cs="Times New Roman"/>
                <w:noProof/>
                <w:spacing w:val="-8"/>
                <w:lang w:val="sk-SK"/>
              </w:rPr>
              <w:t>C07-i02</w:t>
            </w:r>
          </w:p>
        </w:tc>
        <w:tc>
          <w:tcPr>
            <w:tcW w:w="1134" w:type="dxa"/>
            <w:shd w:val="clear" w:color="auto" w:fill="C4EFCE"/>
            <w:noWrap/>
            <w:tcMar>
              <w:left w:w="28" w:type="dxa"/>
              <w:right w:w="28" w:type="dxa"/>
            </w:tcMar>
            <w:vAlign w:val="center"/>
            <w:hideMark/>
          </w:tcPr>
          <w:p w14:paraId="34BD2C29"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M</w:t>
            </w:r>
          </w:p>
        </w:tc>
        <w:tc>
          <w:tcPr>
            <w:tcW w:w="1701" w:type="dxa"/>
            <w:shd w:val="clear" w:color="auto" w:fill="C4EFCE"/>
            <w:noWrap/>
            <w:tcMar>
              <w:left w:w="28" w:type="dxa"/>
              <w:right w:w="28" w:type="dxa"/>
            </w:tcMar>
            <w:vAlign w:val="center"/>
            <w:hideMark/>
          </w:tcPr>
          <w:p w14:paraId="5853F57D" w14:textId="06BDDEC5"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Zmluva podpísaná pre dva projekty</w:t>
            </w:r>
            <w:r w:rsidR="00A75B3C" w:rsidRPr="009E4E5C">
              <w:rPr>
                <w:rFonts w:ascii="Times New Roman" w:hAnsi="Times New Roman" w:cs="Times New Roman"/>
                <w:noProof/>
                <w:spacing w:val="-8"/>
                <w:lang w:val="sk-SK"/>
              </w:rPr>
              <w:t xml:space="preserve"> v </w:t>
            </w:r>
            <w:r w:rsidRPr="009E4E5C">
              <w:rPr>
                <w:rFonts w:ascii="Times New Roman" w:hAnsi="Times New Roman" w:cs="Times New Roman"/>
                <w:noProof/>
                <w:spacing w:val="-8"/>
                <w:lang w:val="sk-SK"/>
              </w:rPr>
              <w:t>oblasti cestnej dopravy</w:t>
            </w:r>
          </w:p>
        </w:tc>
        <w:tc>
          <w:tcPr>
            <w:tcW w:w="1275" w:type="dxa"/>
            <w:shd w:val="clear" w:color="auto" w:fill="C4EFCE"/>
            <w:noWrap/>
            <w:tcMar>
              <w:left w:w="28" w:type="dxa"/>
              <w:right w:w="28" w:type="dxa"/>
            </w:tcMar>
            <w:vAlign w:val="center"/>
            <w:hideMark/>
          </w:tcPr>
          <w:p w14:paraId="27FD9906" w14:textId="21824C46"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Zmluva podpísaná</w:t>
            </w:r>
            <w:r w:rsidR="00A75B3C" w:rsidRPr="009E4E5C">
              <w:rPr>
                <w:rFonts w:ascii="Times New Roman" w:hAnsi="Times New Roman" w:cs="Times New Roman"/>
                <w:noProof/>
                <w:spacing w:val="-8"/>
                <w:lang w:val="sk-SK"/>
              </w:rPr>
              <w:t xml:space="preserve"> s </w:t>
            </w:r>
            <w:r w:rsidRPr="009E4E5C">
              <w:rPr>
                <w:rFonts w:ascii="Times New Roman" w:hAnsi="Times New Roman" w:cs="Times New Roman"/>
                <w:noProof/>
                <w:spacing w:val="-8"/>
                <w:lang w:val="sk-SK"/>
              </w:rPr>
              <w:t>dodávateľom pre cestné projekty</w:t>
            </w:r>
          </w:p>
        </w:tc>
        <w:tc>
          <w:tcPr>
            <w:tcW w:w="993" w:type="dxa"/>
            <w:shd w:val="clear" w:color="auto" w:fill="C4EFCE"/>
            <w:noWrap/>
            <w:tcMar>
              <w:left w:w="28" w:type="dxa"/>
              <w:right w:w="28" w:type="dxa"/>
            </w:tcMar>
            <w:vAlign w:val="center"/>
            <w:hideMark/>
          </w:tcPr>
          <w:p w14:paraId="46E44223"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992" w:type="dxa"/>
            <w:shd w:val="clear" w:color="auto" w:fill="C4EFCE"/>
            <w:noWrap/>
            <w:tcMar>
              <w:left w:w="28" w:type="dxa"/>
              <w:right w:w="28" w:type="dxa"/>
            </w:tcMar>
            <w:vAlign w:val="center"/>
            <w:hideMark/>
          </w:tcPr>
          <w:p w14:paraId="3DCA1314"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709" w:type="dxa"/>
            <w:shd w:val="clear" w:color="auto" w:fill="C4EFCE"/>
            <w:noWrap/>
            <w:tcMar>
              <w:left w:w="28" w:type="dxa"/>
              <w:right w:w="28" w:type="dxa"/>
            </w:tcMar>
            <w:vAlign w:val="center"/>
            <w:hideMark/>
          </w:tcPr>
          <w:p w14:paraId="0C4AC25B"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567" w:type="dxa"/>
            <w:shd w:val="clear" w:color="auto" w:fill="C4EFCE"/>
            <w:noWrap/>
            <w:tcMar>
              <w:left w:w="28" w:type="dxa"/>
              <w:right w:w="28" w:type="dxa"/>
            </w:tcMar>
            <w:vAlign w:val="center"/>
            <w:hideMark/>
          </w:tcPr>
          <w:p w14:paraId="2B0ED99A" w14:textId="4998D804" w:rsidR="00387C70" w:rsidRPr="009E4E5C" w:rsidRDefault="00FF0A91"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3. štvrťrok</w:t>
            </w:r>
          </w:p>
        </w:tc>
        <w:tc>
          <w:tcPr>
            <w:tcW w:w="708" w:type="dxa"/>
            <w:shd w:val="clear" w:color="auto" w:fill="C4EFCE"/>
            <w:noWrap/>
            <w:tcMar>
              <w:left w:w="28" w:type="dxa"/>
              <w:right w:w="28" w:type="dxa"/>
            </w:tcMar>
            <w:vAlign w:val="center"/>
            <w:hideMark/>
          </w:tcPr>
          <w:p w14:paraId="73BEB9CA"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2022</w:t>
            </w:r>
          </w:p>
        </w:tc>
        <w:tc>
          <w:tcPr>
            <w:tcW w:w="3969" w:type="dxa"/>
            <w:shd w:val="clear" w:color="auto" w:fill="C4EFCE"/>
            <w:tcMar>
              <w:left w:w="28" w:type="dxa"/>
              <w:right w:w="28" w:type="dxa"/>
            </w:tcMar>
            <w:vAlign w:val="center"/>
            <w:hideMark/>
          </w:tcPr>
          <w:p w14:paraId="1C5F3EF7" w14:textId="56DA65EB" w:rsidR="00387C70" w:rsidRPr="009E4E5C" w:rsidRDefault="000F5AA4" w:rsidP="003F23AC">
            <w:pPr>
              <w:pStyle w:val="P68B1DB1-Normal8"/>
              <w:spacing w:after="0" w:line="240" w:lineRule="auto"/>
              <w:jc w:val="both"/>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Podpis zmluvných strán dokumentu, ktorým sa riadia ich záväzky</w:t>
            </w:r>
            <w:r w:rsidR="00A75B3C" w:rsidRPr="009E4E5C">
              <w:rPr>
                <w:rFonts w:ascii="Times New Roman" w:hAnsi="Times New Roman" w:cs="Times New Roman"/>
                <w:noProof/>
                <w:spacing w:val="-8"/>
                <w:lang w:val="sk-SK"/>
              </w:rPr>
              <w:t xml:space="preserve"> v </w:t>
            </w:r>
            <w:r w:rsidRPr="009E4E5C">
              <w:rPr>
                <w:rFonts w:ascii="Times New Roman" w:hAnsi="Times New Roman" w:cs="Times New Roman"/>
                <w:noProof/>
                <w:spacing w:val="-8"/>
                <w:lang w:val="sk-SK"/>
              </w:rPr>
              <w:t>súvislosti</w:t>
            </w:r>
            <w:r w:rsidR="00A75B3C" w:rsidRPr="009E4E5C">
              <w:rPr>
                <w:rFonts w:ascii="Times New Roman" w:hAnsi="Times New Roman" w:cs="Times New Roman"/>
                <w:noProof/>
                <w:spacing w:val="-8"/>
                <w:lang w:val="sk-SK"/>
              </w:rPr>
              <w:t xml:space="preserve"> s </w:t>
            </w:r>
            <w:r w:rsidRPr="009E4E5C">
              <w:rPr>
                <w:rFonts w:ascii="Times New Roman" w:hAnsi="Times New Roman" w:cs="Times New Roman"/>
                <w:noProof/>
                <w:spacing w:val="-8"/>
                <w:lang w:val="sk-SK"/>
              </w:rPr>
              <w:t>vykonaním prác, na základe postupu verejného obstarávania.</w:t>
            </w:r>
          </w:p>
        </w:tc>
      </w:tr>
      <w:tr w:rsidR="00387C70" w:rsidRPr="009E4E5C" w14:paraId="265A481C" w14:textId="77777777" w:rsidTr="009E4E5C">
        <w:trPr>
          <w:trHeight w:val="420"/>
        </w:trPr>
        <w:tc>
          <w:tcPr>
            <w:tcW w:w="1135" w:type="dxa"/>
            <w:shd w:val="clear" w:color="auto" w:fill="C4EFCE"/>
            <w:tcMar>
              <w:left w:w="28" w:type="dxa"/>
              <w:right w:w="28" w:type="dxa"/>
            </w:tcMar>
            <w:vAlign w:val="center"/>
            <w:hideMark/>
          </w:tcPr>
          <w:p w14:paraId="5CB9830A" w14:textId="77777777" w:rsidR="00387C70" w:rsidRPr="009E4E5C" w:rsidRDefault="000F5AA4" w:rsidP="003F23AC">
            <w:pPr>
              <w:pStyle w:val="P68B1DB1-Normal7"/>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7.8</w:t>
            </w:r>
          </w:p>
        </w:tc>
        <w:tc>
          <w:tcPr>
            <w:tcW w:w="1276" w:type="dxa"/>
            <w:shd w:val="clear" w:color="auto" w:fill="C4EFCE"/>
            <w:noWrap/>
            <w:tcMar>
              <w:left w:w="28" w:type="dxa"/>
              <w:right w:w="28" w:type="dxa"/>
            </w:tcMar>
            <w:vAlign w:val="center"/>
            <w:hideMark/>
          </w:tcPr>
          <w:p w14:paraId="53E4F8B7" w14:textId="7B98D81C" w:rsidR="00387C70" w:rsidRPr="009E4E5C" w:rsidRDefault="00F218FC"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RE-</w:t>
            </w:r>
            <w:r w:rsidR="000F5AA4" w:rsidRPr="009E4E5C">
              <w:rPr>
                <w:rFonts w:ascii="Times New Roman" w:hAnsi="Times New Roman" w:cs="Times New Roman"/>
                <w:noProof/>
                <w:spacing w:val="-8"/>
                <w:lang w:val="sk-SK"/>
              </w:rPr>
              <w:t>C07-i02</w:t>
            </w:r>
          </w:p>
        </w:tc>
        <w:tc>
          <w:tcPr>
            <w:tcW w:w="1134" w:type="dxa"/>
            <w:shd w:val="clear" w:color="auto" w:fill="C4EFCE"/>
            <w:noWrap/>
            <w:tcMar>
              <w:left w:w="28" w:type="dxa"/>
              <w:right w:w="28" w:type="dxa"/>
            </w:tcMar>
            <w:vAlign w:val="center"/>
            <w:hideMark/>
          </w:tcPr>
          <w:p w14:paraId="12265568" w14:textId="4B651F2E" w:rsidR="00387C70" w:rsidRPr="009E4E5C" w:rsidRDefault="00C32C63"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C</w:t>
            </w:r>
          </w:p>
        </w:tc>
        <w:tc>
          <w:tcPr>
            <w:tcW w:w="1701" w:type="dxa"/>
            <w:shd w:val="clear" w:color="auto" w:fill="C4EFCE"/>
            <w:noWrap/>
            <w:tcMar>
              <w:left w:w="28" w:type="dxa"/>
              <w:right w:w="28" w:type="dxa"/>
            </w:tcMar>
            <w:vAlign w:val="center"/>
            <w:hideMark/>
          </w:tcPr>
          <w:p w14:paraId="63A730D9"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Vybudované alebo rekultivované cesty</w:t>
            </w:r>
          </w:p>
        </w:tc>
        <w:tc>
          <w:tcPr>
            <w:tcW w:w="1275" w:type="dxa"/>
            <w:shd w:val="clear" w:color="auto" w:fill="C4EFCE"/>
            <w:noWrap/>
            <w:tcMar>
              <w:left w:w="28" w:type="dxa"/>
              <w:right w:w="28" w:type="dxa"/>
            </w:tcMar>
            <w:vAlign w:val="center"/>
            <w:hideMark/>
          </w:tcPr>
          <w:p w14:paraId="2009EC45"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993" w:type="dxa"/>
            <w:shd w:val="clear" w:color="auto" w:fill="C4EFCE"/>
            <w:noWrap/>
            <w:tcMar>
              <w:left w:w="28" w:type="dxa"/>
              <w:right w:w="28" w:type="dxa"/>
            </w:tcMar>
            <w:vAlign w:val="center"/>
            <w:hideMark/>
          </w:tcPr>
          <w:p w14:paraId="37B9DB13"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km</w:t>
            </w:r>
          </w:p>
        </w:tc>
        <w:tc>
          <w:tcPr>
            <w:tcW w:w="992" w:type="dxa"/>
            <w:shd w:val="clear" w:color="auto" w:fill="C4EFCE"/>
            <w:noWrap/>
            <w:tcMar>
              <w:left w:w="28" w:type="dxa"/>
              <w:right w:w="28" w:type="dxa"/>
            </w:tcMar>
            <w:vAlign w:val="center"/>
            <w:hideMark/>
          </w:tcPr>
          <w:p w14:paraId="701630BB"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0</w:t>
            </w:r>
          </w:p>
        </w:tc>
        <w:tc>
          <w:tcPr>
            <w:tcW w:w="709" w:type="dxa"/>
            <w:shd w:val="clear" w:color="auto" w:fill="C4EFCE"/>
            <w:noWrap/>
            <w:tcMar>
              <w:left w:w="28" w:type="dxa"/>
              <w:right w:w="28" w:type="dxa"/>
            </w:tcMar>
            <w:vAlign w:val="center"/>
            <w:hideMark/>
          </w:tcPr>
          <w:p w14:paraId="1E58650E"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111</w:t>
            </w:r>
          </w:p>
        </w:tc>
        <w:tc>
          <w:tcPr>
            <w:tcW w:w="567" w:type="dxa"/>
            <w:shd w:val="clear" w:color="auto" w:fill="C4EFCE"/>
            <w:noWrap/>
            <w:tcMar>
              <w:left w:w="28" w:type="dxa"/>
              <w:right w:w="28" w:type="dxa"/>
            </w:tcMar>
            <w:vAlign w:val="center"/>
            <w:hideMark/>
          </w:tcPr>
          <w:p w14:paraId="40298BF3" w14:textId="183FB923" w:rsidR="00387C70" w:rsidRPr="009E4E5C" w:rsidRDefault="00FF0A91"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4. štvrťrok</w:t>
            </w:r>
          </w:p>
        </w:tc>
        <w:tc>
          <w:tcPr>
            <w:tcW w:w="708" w:type="dxa"/>
            <w:shd w:val="clear" w:color="auto" w:fill="C4EFCE"/>
            <w:noWrap/>
            <w:tcMar>
              <w:left w:w="28" w:type="dxa"/>
              <w:right w:w="28" w:type="dxa"/>
            </w:tcMar>
            <w:vAlign w:val="center"/>
            <w:hideMark/>
          </w:tcPr>
          <w:p w14:paraId="14EAB628"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2025</w:t>
            </w:r>
          </w:p>
        </w:tc>
        <w:tc>
          <w:tcPr>
            <w:tcW w:w="3969" w:type="dxa"/>
            <w:shd w:val="clear" w:color="auto" w:fill="C4EFCE"/>
            <w:tcMar>
              <w:left w:w="28" w:type="dxa"/>
              <w:right w:w="28" w:type="dxa"/>
            </w:tcMar>
            <w:vAlign w:val="center"/>
            <w:hideMark/>
          </w:tcPr>
          <w:p w14:paraId="38015658" w14:textId="131EEA81" w:rsidR="00387C70" w:rsidRPr="009E4E5C" w:rsidRDefault="000F5AA4" w:rsidP="003F23AC">
            <w:pPr>
              <w:pStyle w:val="P68B1DB1-Normal8"/>
              <w:spacing w:after="0" w:line="240" w:lineRule="auto"/>
              <w:jc w:val="both"/>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Km ciest vybudovaných alebo rekonštruovaných</w:t>
            </w:r>
            <w:r w:rsidR="00A75B3C" w:rsidRPr="009E4E5C">
              <w:rPr>
                <w:rFonts w:ascii="Times New Roman" w:hAnsi="Times New Roman" w:cs="Times New Roman"/>
                <w:noProof/>
                <w:spacing w:val="-8"/>
                <w:lang w:val="sk-SK"/>
              </w:rPr>
              <w:t xml:space="preserve"> v </w:t>
            </w:r>
            <w:r w:rsidRPr="009E4E5C">
              <w:rPr>
                <w:rFonts w:ascii="Times New Roman" w:hAnsi="Times New Roman" w:cs="Times New Roman"/>
                <w:noProof/>
                <w:spacing w:val="-8"/>
                <w:lang w:val="sk-SK"/>
              </w:rPr>
              <w:t>súlade</w:t>
            </w:r>
            <w:r w:rsidR="00A75B3C" w:rsidRPr="009E4E5C">
              <w:rPr>
                <w:rFonts w:ascii="Times New Roman" w:hAnsi="Times New Roman" w:cs="Times New Roman"/>
                <w:noProof/>
                <w:spacing w:val="-8"/>
                <w:lang w:val="sk-SK"/>
              </w:rPr>
              <w:t xml:space="preserve"> s </w:t>
            </w:r>
            <w:r w:rsidRPr="009E4E5C">
              <w:rPr>
                <w:rFonts w:ascii="Times New Roman" w:hAnsi="Times New Roman" w:cs="Times New Roman"/>
                <w:noProof/>
                <w:spacing w:val="-8"/>
                <w:lang w:val="sk-SK"/>
              </w:rPr>
              <w:t>technickými špecifikáciami verejnej súťaže, ktoré</w:t>
            </w:r>
            <w:r w:rsidR="00A75B3C" w:rsidRPr="009E4E5C">
              <w:rPr>
                <w:rFonts w:ascii="Times New Roman" w:hAnsi="Times New Roman" w:cs="Times New Roman"/>
                <w:noProof/>
                <w:spacing w:val="-8"/>
                <w:lang w:val="sk-SK"/>
              </w:rPr>
              <w:t xml:space="preserve"> v </w:t>
            </w:r>
            <w:r w:rsidRPr="009E4E5C">
              <w:rPr>
                <w:rFonts w:ascii="Times New Roman" w:hAnsi="Times New Roman" w:cs="Times New Roman"/>
                <w:noProof/>
                <w:spacing w:val="-8"/>
                <w:lang w:val="sk-SK"/>
              </w:rPr>
              <w:t>plnej miere zahŕňajú všetky výsledky</w:t>
            </w:r>
            <w:r w:rsidR="00A75B3C" w:rsidRPr="009E4E5C">
              <w:rPr>
                <w:rFonts w:ascii="Times New Roman" w:hAnsi="Times New Roman" w:cs="Times New Roman"/>
                <w:noProof/>
                <w:spacing w:val="-8"/>
                <w:lang w:val="sk-SK"/>
              </w:rPr>
              <w:t xml:space="preserve"> a </w:t>
            </w:r>
            <w:r w:rsidRPr="009E4E5C">
              <w:rPr>
                <w:rFonts w:ascii="Times New Roman" w:hAnsi="Times New Roman" w:cs="Times New Roman"/>
                <w:noProof/>
                <w:spacing w:val="-8"/>
                <w:lang w:val="sk-SK"/>
              </w:rPr>
              <w:t>podmienky</w:t>
            </w:r>
            <w:r w:rsidR="00A75B3C" w:rsidRPr="009E4E5C">
              <w:rPr>
                <w:rFonts w:ascii="Times New Roman" w:hAnsi="Times New Roman" w:cs="Times New Roman"/>
                <w:noProof/>
                <w:spacing w:val="-8"/>
                <w:lang w:val="sk-SK"/>
              </w:rPr>
              <w:t xml:space="preserve"> z </w:t>
            </w:r>
            <w:r w:rsidRPr="009E4E5C">
              <w:rPr>
                <w:rFonts w:ascii="Times New Roman" w:hAnsi="Times New Roman" w:cs="Times New Roman"/>
                <w:noProof/>
                <w:spacing w:val="-8"/>
                <w:lang w:val="sk-SK"/>
              </w:rPr>
              <w:t>posúdenia vplyvov na životné prostredie.</w:t>
            </w:r>
          </w:p>
        </w:tc>
      </w:tr>
      <w:tr w:rsidR="00387C70" w:rsidRPr="009E4E5C" w14:paraId="2261DAAD" w14:textId="77777777" w:rsidTr="009E4E5C">
        <w:trPr>
          <w:trHeight w:val="420"/>
        </w:trPr>
        <w:tc>
          <w:tcPr>
            <w:tcW w:w="1135" w:type="dxa"/>
            <w:shd w:val="clear" w:color="auto" w:fill="C4EFCE"/>
            <w:tcMar>
              <w:left w:w="28" w:type="dxa"/>
              <w:right w:w="28" w:type="dxa"/>
            </w:tcMar>
            <w:vAlign w:val="center"/>
            <w:hideMark/>
          </w:tcPr>
          <w:p w14:paraId="4034FC64" w14:textId="77777777" w:rsidR="00387C70" w:rsidRPr="009E4E5C" w:rsidRDefault="000F5AA4" w:rsidP="003F23AC">
            <w:pPr>
              <w:pStyle w:val="P68B1DB1-Normal7"/>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7.13</w:t>
            </w:r>
          </w:p>
        </w:tc>
        <w:tc>
          <w:tcPr>
            <w:tcW w:w="1276" w:type="dxa"/>
            <w:shd w:val="clear" w:color="auto" w:fill="C4EFCE"/>
            <w:noWrap/>
            <w:tcMar>
              <w:left w:w="28" w:type="dxa"/>
              <w:right w:w="28" w:type="dxa"/>
            </w:tcMar>
            <w:vAlign w:val="center"/>
            <w:hideMark/>
          </w:tcPr>
          <w:p w14:paraId="4BC36517" w14:textId="08FACE25" w:rsidR="00387C70" w:rsidRPr="009E4E5C" w:rsidRDefault="00F218FC"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RE-</w:t>
            </w:r>
            <w:r w:rsidR="000F5AA4" w:rsidRPr="009E4E5C">
              <w:rPr>
                <w:rFonts w:ascii="Times New Roman" w:hAnsi="Times New Roman" w:cs="Times New Roman"/>
                <w:noProof/>
                <w:spacing w:val="-8"/>
                <w:lang w:val="sk-SK"/>
              </w:rPr>
              <w:t>C07-i05-RAA</w:t>
            </w:r>
          </w:p>
        </w:tc>
        <w:tc>
          <w:tcPr>
            <w:tcW w:w="1134" w:type="dxa"/>
            <w:shd w:val="clear" w:color="auto" w:fill="C4EFCE"/>
            <w:noWrap/>
            <w:tcMar>
              <w:left w:w="28" w:type="dxa"/>
              <w:right w:w="28" w:type="dxa"/>
            </w:tcMar>
            <w:vAlign w:val="center"/>
            <w:hideMark/>
          </w:tcPr>
          <w:p w14:paraId="2209F840"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M</w:t>
            </w:r>
          </w:p>
        </w:tc>
        <w:tc>
          <w:tcPr>
            <w:tcW w:w="1701" w:type="dxa"/>
            <w:shd w:val="clear" w:color="auto" w:fill="C4EFCE"/>
            <w:noWrap/>
            <w:tcMar>
              <w:left w:w="28" w:type="dxa"/>
              <w:right w:w="28" w:type="dxa"/>
            </w:tcMar>
            <w:vAlign w:val="center"/>
            <w:hideMark/>
          </w:tcPr>
          <w:p w14:paraId="7385815E" w14:textId="00E61A01"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Zmluva podpísaná pre dva projekty</w:t>
            </w:r>
            <w:r w:rsidR="00A75B3C" w:rsidRPr="009E4E5C">
              <w:rPr>
                <w:rFonts w:ascii="Times New Roman" w:hAnsi="Times New Roman" w:cs="Times New Roman"/>
                <w:noProof/>
                <w:spacing w:val="-8"/>
                <w:lang w:val="sk-SK"/>
              </w:rPr>
              <w:t xml:space="preserve"> v </w:t>
            </w:r>
            <w:r w:rsidRPr="009E4E5C">
              <w:rPr>
                <w:rFonts w:ascii="Times New Roman" w:hAnsi="Times New Roman" w:cs="Times New Roman"/>
                <w:noProof/>
                <w:spacing w:val="-8"/>
                <w:lang w:val="sk-SK"/>
              </w:rPr>
              <w:t>oblasti cestnej dopravy</w:t>
            </w:r>
          </w:p>
        </w:tc>
        <w:tc>
          <w:tcPr>
            <w:tcW w:w="1275" w:type="dxa"/>
            <w:shd w:val="clear" w:color="auto" w:fill="C4EFCE"/>
            <w:noWrap/>
            <w:tcMar>
              <w:left w:w="28" w:type="dxa"/>
              <w:right w:w="28" w:type="dxa"/>
            </w:tcMar>
            <w:vAlign w:val="center"/>
            <w:hideMark/>
          </w:tcPr>
          <w:p w14:paraId="63C0F659" w14:textId="228327D1"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Zmluva podpísaná</w:t>
            </w:r>
            <w:r w:rsidR="00A75B3C" w:rsidRPr="009E4E5C">
              <w:rPr>
                <w:rFonts w:ascii="Times New Roman" w:hAnsi="Times New Roman" w:cs="Times New Roman"/>
                <w:noProof/>
                <w:spacing w:val="-8"/>
                <w:lang w:val="sk-SK"/>
              </w:rPr>
              <w:t xml:space="preserve"> s </w:t>
            </w:r>
            <w:r w:rsidRPr="009E4E5C">
              <w:rPr>
                <w:rFonts w:ascii="Times New Roman" w:hAnsi="Times New Roman" w:cs="Times New Roman"/>
                <w:noProof/>
                <w:spacing w:val="-8"/>
                <w:lang w:val="sk-SK"/>
              </w:rPr>
              <w:t xml:space="preserve">dodávateľom pre cestné projekty </w:t>
            </w:r>
          </w:p>
        </w:tc>
        <w:tc>
          <w:tcPr>
            <w:tcW w:w="993" w:type="dxa"/>
            <w:shd w:val="clear" w:color="auto" w:fill="C4EFCE"/>
            <w:noWrap/>
            <w:tcMar>
              <w:left w:w="28" w:type="dxa"/>
              <w:right w:w="28" w:type="dxa"/>
            </w:tcMar>
            <w:vAlign w:val="center"/>
            <w:hideMark/>
          </w:tcPr>
          <w:p w14:paraId="7CB79044"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992" w:type="dxa"/>
            <w:shd w:val="clear" w:color="auto" w:fill="C4EFCE"/>
            <w:noWrap/>
            <w:tcMar>
              <w:left w:w="28" w:type="dxa"/>
              <w:right w:w="28" w:type="dxa"/>
            </w:tcMar>
            <w:vAlign w:val="center"/>
            <w:hideMark/>
          </w:tcPr>
          <w:p w14:paraId="29267C09"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709" w:type="dxa"/>
            <w:shd w:val="clear" w:color="auto" w:fill="C4EFCE"/>
            <w:noWrap/>
            <w:tcMar>
              <w:left w:w="28" w:type="dxa"/>
              <w:right w:w="28" w:type="dxa"/>
            </w:tcMar>
            <w:vAlign w:val="center"/>
            <w:hideMark/>
          </w:tcPr>
          <w:p w14:paraId="44713E82"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567" w:type="dxa"/>
            <w:shd w:val="clear" w:color="auto" w:fill="C4EFCE"/>
            <w:noWrap/>
            <w:tcMar>
              <w:left w:w="28" w:type="dxa"/>
              <w:right w:w="28" w:type="dxa"/>
            </w:tcMar>
            <w:vAlign w:val="center"/>
            <w:hideMark/>
          </w:tcPr>
          <w:p w14:paraId="4777E7E1" w14:textId="36227FFC" w:rsidR="00387C70" w:rsidRPr="009E4E5C" w:rsidRDefault="00FF0A91"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4. štvrťrok</w:t>
            </w:r>
          </w:p>
        </w:tc>
        <w:tc>
          <w:tcPr>
            <w:tcW w:w="708" w:type="dxa"/>
            <w:shd w:val="clear" w:color="auto" w:fill="C4EFCE"/>
            <w:noWrap/>
            <w:tcMar>
              <w:left w:w="28" w:type="dxa"/>
              <w:right w:w="28" w:type="dxa"/>
            </w:tcMar>
            <w:vAlign w:val="center"/>
            <w:hideMark/>
          </w:tcPr>
          <w:p w14:paraId="5E0776BB"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2021</w:t>
            </w:r>
          </w:p>
        </w:tc>
        <w:tc>
          <w:tcPr>
            <w:tcW w:w="3969" w:type="dxa"/>
            <w:shd w:val="clear" w:color="auto" w:fill="C4EFCE"/>
            <w:tcMar>
              <w:left w:w="28" w:type="dxa"/>
              <w:right w:w="28" w:type="dxa"/>
            </w:tcMar>
            <w:vAlign w:val="center"/>
            <w:hideMark/>
          </w:tcPr>
          <w:p w14:paraId="6DA65D9A" w14:textId="059E0A74" w:rsidR="00387C70" w:rsidRPr="009E4E5C" w:rsidRDefault="000F5AA4" w:rsidP="003F23AC">
            <w:pPr>
              <w:pStyle w:val="P68B1DB1-Normal8"/>
              <w:spacing w:after="0" w:line="240" w:lineRule="auto"/>
              <w:jc w:val="both"/>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Podpis zmluvných strán dokumentu, ktorým sa riadia ich záväzky</w:t>
            </w:r>
            <w:r w:rsidR="00A75B3C" w:rsidRPr="009E4E5C">
              <w:rPr>
                <w:rFonts w:ascii="Times New Roman" w:hAnsi="Times New Roman" w:cs="Times New Roman"/>
                <w:noProof/>
                <w:spacing w:val="-8"/>
                <w:lang w:val="sk-SK"/>
              </w:rPr>
              <w:t xml:space="preserve"> v </w:t>
            </w:r>
            <w:r w:rsidRPr="009E4E5C">
              <w:rPr>
                <w:rFonts w:ascii="Times New Roman" w:hAnsi="Times New Roman" w:cs="Times New Roman"/>
                <w:noProof/>
                <w:spacing w:val="-8"/>
                <w:lang w:val="sk-SK"/>
              </w:rPr>
              <w:t>súvislosti</w:t>
            </w:r>
            <w:r w:rsidR="00A75B3C" w:rsidRPr="009E4E5C">
              <w:rPr>
                <w:rFonts w:ascii="Times New Roman" w:hAnsi="Times New Roman" w:cs="Times New Roman"/>
                <w:noProof/>
                <w:spacing w:val="-8"/>
                <w:lang w:val="sk-SK"/>
              </w:rPr>
              <w:t xml:space="preserve"> s </w:t>
            </w:r>
            <w:r w:rsidRPr="009E4E5C">
              <w:rPr>
                <w:rFonts w:ascii="Times New Roman" w:hAnsi="Times New Roman" w:cs="Times New Roman"/>
                <w:noProof/>
                <w:spacing w:val="-8"/>
                <w:lang w:val="sk-SK"/>
              </w:rPr>
              <w:t>vykonaním prác, za cenu</w:t>
            </w:r>
            <w:r w:rsidR="00A75B3C" w:rsidRPr="009E4E5C">
              <w:rPr>
                <w:rFonts w:ascii="Times New Roman" w:hAnsi="Times New Roman" w:cs="Times New Roman"/>
                <w:noProof/>
                <w:spacing w:val="-8"/>
                <w:lang w:val="sk-SK"/>
              </w:rPr>
              <w:t xml:space="preserve"> v </w:t>
            </w:r>
            <w:r w:rsidRPr="009E4E5C">
              <w:rPr>
                <w:rFonts w:ascii="Times New Roman" w:hAnsi="Times New Roman" w:cs="Times New Roman"/>
                <w:noProof/>
                <w:spacing w:val="-8"/>
                <w:lang w:val="sk-SK"/>
              </w:rPr>
              <w:t>nadväznosti na verejnú súťaž.</w:t>
            </w:r>
          </w:p>
        </w:tc>
      </w:tr>
      <w:tr w:rsidR="00387C70" w:rsidRPr="009E4E5C" w14:paraId="0682BEE4" w14:textId="77777777" w:rsidTr="009E4E5C">
        <w:trPr>
          <w:trHeight w:val="401"/>
        </w:trPr>
        <w:tc>
          <w:tcPr>
            <w:tcW w:w="1135" w:type="dxa"/>
            <w:shd w:val="clear" w:color="auto" w:fill="C4EFCE"/>
            <w:tcMar>
              <w:left w:w="28" w:type="dxa"/>
              <w:right w:w="28" w:type="dxa"/>
            </w:tcMar>
            <w:vAlign w:val="center"/>
            <w:hideMark/>
          </w:tcPr>
          <w:p w14:paraId="1CA58A5D" w14:textId="77777777" w:rsidR="00387C70" w:rsidRPr="009E4E5C" w:rsidRDefault="000F5AA4" w:rsidP="003F23AC">
            <w:pPr>
              <w:pStyle w:val="P68B1DB1-Normal7"/>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7.14</w:t>
            </w:r>
          </w:p>
        </w:tc>
        <w:tc>
          <w:tcPr>
            <w:tcW w:w="1276" w:type="dxa"/>
            <w:shd w:val="clear" w:color="auto" w:fill="C4EFCE"/>
            <w:noWrap/>
            <w:tcMar>
              <w:left w:w="28" w:type="dxa"/>
              <w:right w:w="28" w:type="dxa"/>
            </w:tcMar>
            <w:vAlign w:val="center"/>
            <w:hideMark/>
          </w:tcPr>
          <w:p w14:paraId="15B9C650" w14:textId="0F0EECA9" w:rsidR="00387C70" w:rsidRPr="009E4E5C" w:rsidRDefault="00F218FC"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RE-</w:t>
            </w:r>
            <w:r w:rsidR="000F5AA4" w:rsidRPr="009E4E5C">
              <w:rPr>
                <w:rFonts w:ascii="Times New Roman" w:hAnsi="Times New Roman" w:cs="Times New Roman"/>
                <w:noProof/>
                <w:spacing w:val="-8"/>
                <w:lang w:val="sk-SK"/>
              </w:rPr>
              <w:t>C07-i05-RAA</w:t>
            </w:r>
          </w:p>
        </w:tc>
        <w:tc>
          <w:tcPr>
            <w:tcW w:w="1134" w:type="dxa"/>
            <w:shd w:val="clear" w:color="auto" w:fill="C4EFCE"/>
            <w:noWrap/>
            <w:tcMar>
              <w:left w:w="28" w:type="dxa"/>
              <w:right w:w="28" w:type="dxa"/>
            </w:tcMar>
            <w:vAlign w:val="center"/>
            <w:hideMark/>
          </w:tcPr>
          <w:p w14:paraId="12F9B6B5"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M</w:t>
            </w:r>
          </w:p>
        </w:tc>
        <w:tc>
          <w:tcPr>
            <w:tcW w:w="1701" w:type="dxa"/>
            <w:shd w:val="clear" w:color="auto" w:fill="C4EFCE"/>
            <w:noWrap/>
            <w:tcMar>
              <w:left w:w="28" w:type="dxa"/>
              <w:right w:w="28" w:type="dxa"/>
            </w:tcMar>
            <w:vAlign w:val="center"/>
            <w:hideMark/>
          </w:tcPr>
          <w:p w14:paraId="10E2EC1A" w14:textId="789C7A96"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Zmluva podpísaná pre 8 projektov</w:t>
            </w:r>
            <w:r w:rsidR="00A75B3C" w:rsidRPr="009E4E5C">
              <w:rPr>
                <w:rFonts w:ascii="Times New Roman" w:hAnsi="Times New Roman" w:cs="Times New Roman"/>
                <w:noProof/>
                <w:spacing w:val="-8"/>
                <w:lang w:val="sk-SK"/>
              </w:rPr>
              <w:t xml:space="preserve"> v </w:t>
            </w:r>
            <w:r w:rsidRPr="009E4E5C">
              <w:rPr>
                <w:rFonts w:ascii="Times New Roman" w:hAnsi="Times New Roman" w:cs="Times New Roman"/>
                <w:noProof/>
                <w:spacing w:val="-8"/>
                <w:lang w:val="sk-SK"/>
              </w:rPr>
              <w:t>oblasti cestnej dopravy</w:t>
            </w:r>
          </w:p>
        </w:tc>
        <w:tc>
          <w:tcPr>
            <w:tcW w:w="1275" w:type="dxa"/>
            <w:shd w:val="clear" w:color="auto" w:fill="C4EFCE"/>
            <w:noWrap/>
            <w:tcMar>
              <w:left w:w="28" w:type="dxa"/>
              <w:right w:w="28" w:type="dxa"/>
            </w:tcMar>
            <w:vAlign w:val="center"/>
            <w:hideMark/>
          </w:tcPr>
          <w:p w14:paraId="6C884EF6" w14:textId="22E2A8EF"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Zmluva podpísaná</w:t>
            </w:r>
            <w:r w:rsidR="00A75B3C" w:rsidRPr="009E4E5C">
              <w:rPr>
                <w:rFonts w:ascii="Times New Roman" w:hAnsi="Times New Roman" w:cs="Times New Roman"/>
                <w:noProof/>
                <w:spacing w:val="-8"/>
                <w:lang w:val="sk-SK"/>
              </w:rPr>
              <w:t xml:space="preserve"> s </w:t>
            </w:r>
            <w:r w:rsidRPr="009E4E5C">
              <w:rPr>
                <w:rFonts w:ascii="Times New Roman" w:hAnsi="Times New Roman" w:cs="Times New Roman"/>
                <w:noProof/>
                <w:spacing w:val="-8"/>
                <w:lang w:val="sk-SK"/>
              </w:rPr>
              <w:t xml:space="preserve">dodávateľom cestných projektov </w:t>
            </w:r>
          </w:p>
        </w:tc>
        <w:tc>
          <w:tcPr>
            <w:tcW w:w="993" w:type="dxa"/>
            <w:shd w:val="clear" w:color="auto" w:fill="C4EFCE"/>
            <w:noWrap/>
            <w:tcMar>
              <w:left w:w="28" w:type="dxa"/>
              <w:right w:w="28" w:type="dxa"/>
            </w:tcMar>
            <w:vAlign w:val="center"/>
            <w:hideMark/>
          </w:tcPr>
          <w:p w14:paraId="444A2DB0"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992" w:type="dxa"/>
            <w:shd w:val="clear" w:color="auto" w:fill="C4EFCE"/>
            <w:noWrap/>
            <w:tcMar>
              <w:left w:w="28" w:type="dxa"/>
              <w:right w:w="28" w:type="dxa"/>
            </w:tcMar>
            <w:vAlign w:val="center"/>
            <w:hideMark/>
          </w:tcPr>
          <w:p w14:paraId="6CC793F9"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709" w:type="dxa"/>
            <w:shd w:val="clear" w:color="auto" w:fill="C4EFCE"/>
            <w:noWrap/>
            <w:tcMar>
              <w:left w:w="28" w:type="dxa"/>
              <w:right w:w="28" w:type="dxa"/>
            </w:tcMar>
            <w:vAlign w:val="center"/>
            <w:hideMark/>
          </w:tcPr>
          <w:p w14:paraId="3F84ABE5"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567" w:type="dxa"/>
            <w:shd w:val="clear" w:color="auto" w:fill="C4EFCE"/>
            <w:noWrap/>
            <w:tcMar>
              <w:left w:w="28" w:type="dxa"/>
              <w:right w:w="28" w:type="dxa"/>
            </w:tcMar>
            <w:vAlign w:val="center"/>
            <w:hideMark/>
          </w:tcPr>
          <w:p w14:paraId="5FC35485" w14:textId="370D6583" w:rsidR="00387C70" w:rsidRPr="009E4E5C" w:rsidRDefault="00FF0A91"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4. štvrťrok</w:t>
            </w:r>
          </w:p>
        </w:tc>
        <w:tc>
          <w:tcPr>
            <w:tcW w:w="708" w:type="dxa"/>
            <w:shd w:val="clear" w:color="auto" w:fill="C4EFCE"/>
            <w:noWrap/>
            <w:tcMar>
              <w:left w:w="28" w:type="dxa"/>
              <w:right w:w="28" w:type="dxa"/>
            </w:tcMar>
            <w:vAlign w:val="center"/>
            <w:hideMark/>
          </w:tcPr>
          <w:p w14:paraId="638E5478"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2023</w:t>
            </w:r>
          </w:p>
        </w:tc>
        <w:tc>
          <w:tcPr>
            <w:tcW w:w="3969" w:type="dxa"/>
            <w:shd w:val="clear" w:color="auto" w:fill="C4EFCE"/>
            <w:tcMar>
              <w:left w:w="28" w:type="dxa"/>
              <w:right w:w="28" w:type="dxa"/>
            </w:tcMar>
            <w:vAlign w:val="center"/>
            <w:hideMark/>
          </w:tcPr>
          <w:p w14:paraId="7927CA24" w14:textId="52B6588B" w:rsidR="00387C70" w:rsidRPr="009E4E5C" w:rsidRDefault="000F5AA4" w:rsidP="003F23AC">
            <w:pPr>
              <w:pStyle w:val="P68B1DB1-Normal8"/>
              <w:spacing w:after="0" w:line="240" w:lineRule="auto"/>
              <w:jc w:val="both"/>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Podpis zmluvných strán dokumentu, ktorým sa riadia ich záväzky</w:t>
            </w:r>
            <w:r w:rsidR="00A75B3C" w:rsidRPr="009E4E5C">
              <w:rPr>
                <w:rFonts w:ascii="Times New Roman" w:hAnsi="Times New Roman" w:cs="Times New Roman"/>
                <w:noProof/>
                <w:spacing w:val="-8"/>
                <w:lang w:val="sk-SK"/>
              </w:rPr>
              <w:t xml:space="preserve"> v </w:t>
            </w:r>
            <w:r w:rsidRPr="009E4E5C">
              <w:rPr>
                <w:rFonts w:ascii="Times New Roman" w:hAnsi="Times New Roman" w:cs="Times New Roman"/>
                <w:noProof/>
                <w:spacing w:val="-8"/>
                <w:lang w:val="sk-SK"/>
              </w:rPr>
              <w:t>súvislosti</w:t>
            </w:r>
            <w:r w:rsidR="00A75B3C" w:rsidRPr="009E4E5C">
              <w:rPr>
                <w:rFonts w:ascii="Times New Roman" w:hAnsi="Times New Roman" w:cs="Times New Roman"/>
                <w:noProof/>
                <w:spacing w:val="-8"/>
                <w:lang w:val="sk-SK"/>
              </w:rPr>
              <w:t xml:space="preserve"> s </w:t>
            </w:r>
            <w:r w:rsidRPr="009E4E5C">
              <w:rPr>
                <w:rFonts w:ascii="Times New Roman" w:hAnsi="Times New Roman" w:cs="Times New Roman"/>
                <w:noProof/>
                <w:spacing w:val="-8"/>
                <w:lang w:val="sk-SK"/>
              </w:rPr>
              <w:t>vykonaním prác, za cenu</w:t>
            </w:r>
            <w:r w:rsidR="00A75B3C" w:rsidRPr="009E4E5C">
              <w:rPr>
                <w:rFonts w:ascii="Times New Roman" w:hAnsi="Times New Roman" w:cs="Times New Roman"/>
                <w:noProof/>
                <w:spacing w:val="-8"/>
                <w:lang w:val="sk-SK"/>
              </w:rPr>
              <w:t xml:space="preserve"> v </w:t>
            </w:r>
            <w:r w:rsidRPr="009E4E5C">
              <w:rPr>
                <w:rFonts w:ascii="Times New Roman" w:hAnsi="Times New Roman" w:cs="Times New Roman"/>
                <w:noProof/>
                <w:spacing w:val="-8"/>
                <w:lang w:val="sk-SK"/>
              </w:rPr>
              <w:t xml:space="preserve">nadväznosti na verejnú súťaž. </w:t>
            </w:r>
          </w:p>
        </w:tc>
      </w:tr>
      <w:tr w:rsidR="00387C70" w:rsidRPr="009E4E5C" w14:paraId="7B5B5CC1" w14:textId="77777777" w:rsidTr="009E4E5C">
        <w:trPr>
          <w:trHeight w:val="420"/>
        </w:trPr>
        <w:tc>
          <w:tcPr>
            <w:tcW w:w="1135" w:type="dxa"/>
            <w:shd w:val="clear" w:color="auto" w:fill="C4EFCE"/>
            <w:tcMar>
              <w:left w:w="28" w:type="dxa"/>
              <w:right w:w="28" w:type="dxa"/>
            </w:tcMar>
            <w:vAlign w:val="center"/>
            <w:hideMark/>
          </w:tcPr>
          <w:p w14:paraId="700C397C" w14:textId="77777777" w:rsidR="00387C70" w:rsidRPr="009E4E5C" w:rsidRDefault="000F5AA4" w:rsidP="003F23AC">
            <w:pPr>
              <w:pStyle w:val="P68B1DB1-Normal7"/>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7.15</w:t>
            </w:r>
          </w:p>
        </w:tc>
        <w:tc>
          <w:tcPr>
            <w:tcW w:w="1276" w:type="dxa"/>
            <w:shd w:val="clear" w:color="auto" w:fill="C4EFCE"/>
            <w:noWrap/>
            <w:tcMar>
              <w:left w:w="28" w:type="dxa"/>
              <w:right w:w="28" w:type="dxa"/>
            </w:tcMar>
            <w:vAlign w:val="center"/>
            <w:hideMark/>
          </w:tcPr>
          <w:p w14:paraId="20063F9D" w14:textId="05EA2CCD" w:rsidR="00387C70" w:rsidRPr="009E4E5C" w:rsidRDefault="00F218FC"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RE-</w:t>
            </w:r>
            <w:r w:rsidR="000F5AA4" w:rsidRPr="009E4E5C">
              <w:rPr>
                <w:rFonts w:ascii="Times New Roman" w:hAnsi="Times New Roman" w:cs="Times New Roman"/>
                <w:noProof/>
                <w:spacing w:val="-8"/>
                <w:lang w:val="sk-SK"/>
              </w:rPr>
              <w:t>C07-i05-RAA</w:t>
            </w:r>
          </w:p>
        </w:tc>
        <w:tc>
          <w:tcPr>
            <w:tcW w:w="1134" w:type="dxa"/>
            <w:shd w:val="clear" w:color="auto" w:fill="C4EFCE"/>
            <w:noWrap/>
            <w:tcMar>
              <w:left w:w="28" w:type="dxa"/>
              <w:right w:w="28" w:type="dxa"/>
            </w:tcMar>
            <w:vAlign w:val="center"/>
            <w:hideMark/>
          </w:tcPr>
          <w:p w14:paraId="2AC31D5D" w14:textId="5B7C87E0" w:rsidR="00387C70" w:rsidRPr="009E4E5C" w:rsidRDefault="00C32C63"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C</w:t>
            </w:r>
          </w:p>
        </w:tc>
        <w:tc>
          <w:tcPr>
            <w:tcW w:w="1701" w:type="dxa"/>
            <w:shd w:val="clear" w:color="auto" w:fill="C4EFCE"/>
            <w:noWrap/>
            <w:tcMar>
              <w:left w:w="28" w:type="dxa"/>
              <w:right w:w="28" w:type="dxa"/>
            </w:tcMar>
            <w:vAlign w:val="center"/>
            <w:hideMark/>
          </w:tcPr>
          <w:p w14:paraId="1A4A3C86"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Vybudované alebo rekultivované cesty</w:t>
            </w:r>
          </w:p>
        </w:tc>
        <w:tc>
          <w:tcPr>
            <w:tcW w:w="1275" w:type="dxa"/>
            <w:shd w:val="clear" w:color="auto" w:fill="C4EFCE"/>
            <w:noWrap/>
            <w:tcMar>
              <w:left w:w="28" w:type="dxa"/>
              <w:right w:w="28" w:type="dxa"/>
            </w:tcMar>
            <w:vAlign w:val="center"/>
            <w:hideMark/>
          </w:tcPr>
          <w:p w14:paraId="2D009BF3"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 </w:t>
            </w:r>
          </w:p>
        </w:tc>
        <w:tc>
          <w:tcPr>
            <w:tcW w:w="993" w:type="dxa"/>
            <w:shd w:val="clear" w:color="auto" w:fill="C4EFCE"/>
            <w:noWrap/>
            <w:tcMar>
              <w:left w:w="28" w:type="dxa"/>
              <w:right w:w="28" w:type="dxa"/>
            </w:tcMar>
            <w:vAlign w:val="center"/>
            <w:hideMark/>
          </w:tcPr>
          <w:p w14:paraId="0B6B86C2"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km</w:t>
            </w:r>
          </w:p>
        </w:tc>
        <w:tc>
          <w:tcPr>
            <w:tcW w:w="992" w:type="dxa"/>
            <w:shd w:val="clear" w:color="auto" w:fill="C4EFCE"/>
            <w:noWrap/>
            <w:tcMar>
              <w:left w:w="28" w:type="dxa"/>
              <w:right w:w="28" w:type="dxa"/>
            </w:tcMar>
            <w:vAlign w:val="center"/>
            <w:hideMark/>
          </w:tcPr>
          <w:p w14:paraId="371D6CE9"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0</w:t>
            </w:r>
          </w:p>
        </w:tc>
        <w:tc>
          <w:tcPr>
            <w:tcW w:w="709" w:type="dxa"/>
            <w:shd w:val="clear" w:color="auto" w:fill="C4EFCE"/>
            <w:noWrap/>
            <w:tcMar>
              <w:left w:w="28" w:type="dxa"/>
              <w:right w:w="28" w:type="dxa"/>
            </w:tcMar>
            <w:vAlign w:val="center"/>
            <w:hideMark/>
          </w:tcPr>
          <w:p w14:paraId="7EE7F577" w14:textId="77777777"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34.38</w:t>
            </w:r>
          </w:p>
        </w:tc>
        <w:tc>
          <w:tcPr>
            <w:tcW w:w="567" w:type="dxa"/>
            <w:shd w:val="clear" w:color="auto" w:fill="C4EFCE"/>
            <w:noWrap/>
            <w:tcMar>
              <w:left w:w="28" w:type="dxa"/>
              <w:right w:w="28" w:type="dxa"/>
            </w:tcMar>
            <w:vAlign w:val="center"/>
            <w:hideMark/>
          </w:tcPr>
          <w:p w14:paraId="23C0D9BB" w14:textId="6FF0F86B" w:rsidR="00387C70" w:rsidRPr="009E4E5C" w:rsidRDefault="00FF0A91"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2. štvrťrok</w:t>
            </w:r>
          </w:p>
        </w:tc>
        <w:tc>
          <w:tcPr>
            <w:tcW w:w="708" w:type="dxa"/>
            <w:shd w:val="clear" w:color="auto" w:fill="C4EFCE"/>
            <w:noWrap/>
            <w:tcMar>
              <w:left w:w="28" w:type="dxa"/>
              <w:right w:w="28" w:type="dxa"/>
            </w:tcMar>
            <w:vAlign w:val="center"/>
            <w:hideMark/>
          </w:tcPr>
          <w:p w14:paraId="386DAC62" w14:textId="196BF008" w:rsidR="00387C70" w:rsidRPr="009E4E5C" w:rsidRDefault="000F5AA4" w:rsidP="003F23AC">
            <w:pPr>
              <w:pStyle w:val="P68B1DB1-Normal8"/>
              <w:spacing w:after="0" w:line="240" w:lineRule="auto"/>
              <w:jc w:val="center"/>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2026</w:t>
            </w:r>
          </w:p>
        </w:tc>
        <w:tc>
          <w:tcPr>
            <w:tcW w:w="3969" w:type="dxa"/>
            <w:shd w:val="clear" w:color="auto" w:fill="C4EFCE"/>
            <w:tcMar>
              <w:left w:w="28" w:type="dxa"/>
              <w:right w:w="28" w:type="dxa"/>
            </w:tcMar>
            <w:vAlign w:val="center"/>
            <w:hideMark/>
          </w:tcPr>
          <w:p w14:paraId="21595695" w14:textId="240870DD" w:rsidR="00387C70" w:rsidRPr="009E4E5C" w:rsidRDefault="000F5AA4" w:rsidP="003F23AC">
            <w:pPr>
              <w:pStyle w:val="P68B1DB1-Normal8"/>
              <w:spacing w:after="0" w:line="240" w:lineRule="auto"/>
              <w:jc w:val="both"/>
              <w:rPr>
                <w:rFonts w:ascii="Times New Roman" w:eastAsia="Times New Roman" w:hAnsi="Times New Roman" w:cs="Times New Roman"/>
                <w:noProof/>
                <w:spacing w:val="-8"/>
                <w:lang w:val="sk-SK"/>
              </w:rPr>
            </w:pPr>
            <w:r w:rsidRPr="009E4E5C">
              <w:rPr>
                <w:rFonts w:ascii="Times New Roman" w:hAnsi="Times New Roman" w:cs="Times New Roman"/>
                <w:noProof/>
                <w:spacing w:val="-8"/>
                <w:lang w:val="sk-SK"/>
              </w:rPr>
              <w:t>Km ciest vybudovaných alebo rekonštruovaných</w:t>
            </w:r>
            <w:r w:rsidR="00A75B3C" w:rsidRPr="009E4E5C">
              <w:rPr>
                <w:rFonts w:ascii="Times New Roman" w:hAnsi="Times New Roman" w:cs="Times New Roman"/>
                <w:noProof/>
                <w:spacing w:val="-8"/>
                <w:lang w:val="sk-SK"/>
              </w:rPr>
              <w:t xml:space="preserve"> v </w:t>
            </w:r>
            <w:r w:rsidRPr="009E4E5C">
              <w:rPr>
                <w:rFonts w:ascii="Times New Roman" w:hAnsi="Times New Roman" w:cs="Times New Roman"/>
                <w:noProof/>
                <w:spacing w:val="-8"/>
                <w:lang w:val="sk-SK"/>
              </w:rPr>
              <w:t>súlade</w:t>
            </w:r>
            <w:r w:rsidR="00A75B3C" w:rsidRPr="009E4E5C">
              <w:rPr>
                <w:rFonts w:ascii="Times New Roman" w:hAnsi="Times New Roman" w:cs="Times New Roman"/>
                <w:noProof/>
                <w:spacing w:val="-8"/>
                <w:lang w:val="sk-SK"/>
              </w:rPr>
              <w:t xml:space="preserve"> s </w:t>
            </w:r>
            <w:r w:rsidRPr="009E4E5C">
              <w:rPr>
                <w:rFonts w:ascii="Times New Roman" w:hAnsi="Times New Roman" w:cs="Times New Roman"/>
                <w:noProof/>
                <w:spacing w:val="-8"/>
                <w:lang w:val="sk-SK"/>
              </w:rPr>
              <w:t>technickými špecifikáciami verejnej súťaže, ktoré</w:t>
            </w:r>
            <w:r w:rsidR="00A75B3C" w:rsidRPr="009E4E5C">
              <w:rPr>
                <w:rFonts w:ascii="Times New Roman" w:hAnsi="Times New Roman" w:cs="Times New Roman"/>
                <w:noProof/>
                <w:spacing w:val="-8"/>
                <w:lang w:val="sk-SK"/>
              </w:rPr>
              <w:t xml:space="preserve"> v </w:t>
            </w:r>
            <w:r w:rsidRPr="009E4E5C">
              <w:rPr>
                <w:rFonts w:ascii="Times New Roman" w:hAnsi="Times New Roman" w:cs="Times New Roman"/>
                <w:noProof/>
                <w:spacing w:val="-8"/>
                <w:lang w:val="sk-SK"/>
              </w:rPr>
              <w:t>plnej miere zahŕňajú všetky výsledky</w:t>
            </w:r>
            <w:r w:rsidR="00A75B3C" w:rsidRPr="009E4E5C">
              <w:rPr>
                <w:rFonts w:ascii="Times New Roman" w:hAnsi="Times New Roman" w:cs="Times New Roman"/>
                <w:noProof/>
                <w:spacing w:val="-8"/>
                <w:lang w:val="sk-SK"/>
              </w:rPr>
              <w:t xml:space="preserve"> a </w:t>
            </w:r>
            <w:r w:rsidRPr="009E4E5C">
              <w:rPr>
                <w:rFonts w:ascii="Times New Roman" w:hAnsi="Times New Roman" w:cs="Times New Roman"/>
                <w:noProof/>
                <w:spacing w:val="-8"/>
                <w:lang w:val="sk-SK"/>
              </w:rPr>
              <w:t>podmienky</w:t>
            </w:r>
            <w:r w:rsidR="00A75B3C" w:rsidRPr="009E4E5C">
              <w:rPr>
                <w:rFonts w:ascii="Times New Roman" w:hAnsi="Times New Roman" w:cs="Times New Roman"/>
                <w:noProof/>
                <w:spacing w:val="-8"/>
                <w:lang w:val="sk-SK"/>
              </w:rPr>
              <w:t xml:space="preserve"> z </w:t>
            </w:r>
            <w:r w:rsidRPr="009E4E5C">
              <w:rPr>
                <w:rFonts w:ascii="Times New Roman" w:hAnsi="Times New Roman" w:cs="Times New Roman"/>
                <w:noProof/>
                <w:spacing w:val="-8"/>
                <w:lang w:val="sk-SK"/>
              </w:rPr>
              <w:t>posúdenia vplyvov na životné prostredie.</w:t>
            </w:r>
          </w:p>
        </w:tc>
      </w:tr>
    </w:tbl>
    <w:p w14:paraId="215FEBDE" w14:textId="77777777" w:rsidR="00387C70" w:rsidRPr="003F23AC" w:rsidRDefault="00387C70" w:rsidP="003F23AC">
      <w:pPr>
        <w:spacing w:before="40" w:after="0" w:line="259" w:lineRule="auto"/>
        <w:ind w:left="130" w:firstLine="720"/>
        <w:jc w:val="both"/>
        <w:outlineLvl w:val="2"/>
        <w:rPr>
          <w:rFonts w:ascii="Times New Roman" w:eastAsiaTheme="minorEastAsia" w:hAnsi="Times New Roman" w:cs="Times New Roman"/>
          <w:b/>
          <w:noProof/>
          <w:sz w:val="24"/>
          <w:u w:val="single"/>
          <w:lang w:val="sk-SK"/>
        </w:rPr>
        <w:sectPr w:rsidR="00387C70" w:rsidRPr="003F23AC" w:rsidSect="00E00EDD">
          <w:headerReference w:type="even" r:id="rId150"/>
          <w:headerReference w:type="default" r:id="rId151"/>
          <w:footerReference w:type="even" r:id="rId152"/>
          <w:footerReference w:type="default" r:id="rId153"/>
          <w:headerReference w:type="first" r:id="rId154"/>
          <w:footerReference w:type="first" r:id="rId155"/>
          <w:pgSz w:w="16839" w:h="11907" w:orient="landscape"/>
          <w:pgMar w:top="1134" w:right="1134" w:bottom="1134" w:left="1134" w:header="567" w:footer="567" w:gutter="0"/>
          <w:cols w:space="720"/>
          <w:docGrid w:linePitch="360"/>
        </w:sectPr>
      </w:pPr>
    </w:p>
    <w:p w14:paraId="5FFBA500" w14:textId="76C38290" w:rsidR="00387C70" w:rsidRPr="003F23AC" w:rsidRDefault="000F5AA4" w:rsidP="003F23AC">
      <w:pPr>
        <w:pStyle w:val="P68B1DB1-Normal3"/>
        <w:spacing w:before="240" w:after="0" w:line="259" w:lineRule="auto"/>
        <w:ind w:left="851"/>
        <w:jc w:val="both"/>
        <w:outlineLvl w:val="3"/>
        <w:rPr>
          <w:rFonts w:eastAsiaTheme="minorEastAsia" w:cs="Times New Roman"/>
          <w:noProof/>
          <w:lang w:val="sk-SK"/>
        </w:rPr>
      </w:pPr>
      <w:r w:rsidRPr="003F23AC">
        <w:rPr>
          <w:rFonts w:cs="Times New Roman"/>
          <w:noProof/>
          <w:lang w:val="sk-SK"/>
        </w:rPr>
        <w:t>G.3.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úverového financovania</w:t>
      </w:r>
    </w:p>
    <w:p w14:paraId="5DC9AA23" w14:textId="7777777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RE-C07-i03: Cezhraničné prepojenia</w:t>
      </w:r>
    </w:p>
    <w:p w14:paraId="1C90E8F1" w14:textId="74CAC11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opatrenia je podporiť rozvoj cezhraničnej mobility</w:t>
      </w:r>
      <w:r w:rsidR="00A75B3C" w:rsidRPr="003F23AC">
        <w:rPr>
          <w:rFonts w:cs="Times New Roman"/>
          <w:noProof/>
          <w:lang w:val="sk-SK"/>
        </w:rPr>
        <w:t xml:space="preserve"> a </w:t>
      </w:r>
      <w:r w:rsidRPr="003F23AC">
        <w:rPr>
          <w:rFonts w:cs="Times New Roman"/>
          <w:noProof/>
          <w:lang w:val="sk-SK"/>
        </w:rPr>
        <w:t>zlepšiť konkurencieschopnosť podnikov, napríklad prostredníctvom podpory mobility pracovnej sily. Cieľom posilnenia vysokokapacitných koridorov je tiež umožniť spoločné využívanie infraštruktúry, ako je vysokorýchlostná železničná trať</w:t>
      </w:r>
      <w:r w:rsidR="00A75B3C" w:rsidRPr="003F23AC">
        <w:rPr>
          <w:rFonts w:cs="Times New Roman"/>
          <w:noProof/>
          <w:lang w:val="sk-SK"/>
        </w:rPr>
        <w:t xml:space="preserve"> v </w:t>
      </w:r>
      <w:r w:rsidRPr="003F23AC">
        <w:rPr>
          <w:rFonts w:cs="Times New Roman"/>
          <w:noProof/>
          <w:lang w:val="sk-SK"/>
        </w:rPr>
        <w:t>Sanabria alebo letisko Bragança,</w:t>
      </w:r>
      <w:r w:rsidR="00A75B3C" w:rsidRPr="003F23AC">
        <w:rPr>
          <w:rFonts w:cs="Times New Roman"/>
          <w:noProof/>
          <w:lang w:val="sk-SK"/>
        </w:rPr>
        <w:t xml:space="preserve"> a </w:t>
      </w:r>
      <w:r w:rsidRPr="003F23AC">
        <w:rPr>
          <w:rFonts w:cs="Times New Roman"/>
          <w:noProof/>
          <w:lang w:val="sk-SK"/>
        </w:rPr>
        <w:t>zlepšiť bezpečnosť cestnej premávky.</w:t>
      </w:r>
    </w:p>
    <w:p w14:paraId="067A3ECC" w14:textId="40F0329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vytvorenia</w:t>
      </w:r>
      <w:r w:rsidR="00A75B3C" w:rsidRPr="003F23AC">
        <w:rPr>
          <w:rFonts w:cs="Times New Roman"/>
          <w:noProof/>
          <w:lang w:val="sk-SK"/>
        </w:rPr>
        <w:t xml:space="preserve"> a </w:t>
      </w:r>
      <w:r w:rsidRPr="003F23AC">
        <w:rPr>
          <w:rFonts w:cs="Times New Roman"/>
          <w:noProof/>
          <w:lang w:val="sk-SK"/>
        </w:rPr>
        <w:t>modernizácie cestnej infraštruktúry</w:t>
      </w:r>
      <w:r w:rsidR="00A75B3C" w:rsidRPr="003F23AC">
        <w:rPr>
          <w:rFonts w:cs="Times New Roman"/>
          <w:noProof/>
          <w:lang w:val="sk-SK"/>
        </w:rPr>
        <w:t xml:space="preserve"> s </w:t>
      </w:r>
      <w:r w:rsidRPr="003F23AC">
        <w:rPr>
          <w:rFonts w:cs="Times New Roman"/>
          <w:noProof/>
          <w:lang w:val="sk-SK"/>
        </w:rPr>
        <w:t>cieľom posilniť cezhraničné prepojenia so Španielskom</w:t>
      </w:r>
      <w:r w:rsidR="00A75B3C" w:rsidRPr="003F23AC">
        <w:rPr>
          <w:rFonts w:cs="Times New Roman"/>
          <w:noProof/>
          <w:lang w:val="sk-SK"/>
        </w:rPr>
        <w:t>.</w:t>
      </w:r>
    </w:p>
    <w:p w14:paraId="7BF44104" w14:textId="1F7DEA8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tomto komponente výrazne nenaruší environmentálne ciele</w:t>
      </w:r>
      <w:r w:rsidR="00A75B3C" w:rsidRPr="003F23AC">
        <w:rPr>
          <w:rFonts w:cs="Times New Roman"/>
          <w:noProof/>
          <w:lang w:val="sk-SK"/>
        </w:rPr>
        <w:t xml:space="preserve"> v </w:t>
      </w:r>
      <w:r w:rsidRPr="003F23AC">
        <w:rPr>
          <w:rFonts w:cs="Times New Roman"/>
          <w:noProof/>
          <w:lang w:val="sk-SK"/>
        </w:rPr>
        <w:t>zmysle článku 17 nariadenia Európskeho parlamentu</w:t>
      </w:r>
      <w:r w:rsidR="00A75B3C" w:rsidRPr="003F23AC">
        <w:rPr>
          <w:rFonts w:cs="Times New Roman"/>
          <w:noProof/>
          <w:lang w:val="sk-SK"/>
        </w:rPr>
        <w:t xml:space="preserve"> a </w:t>
      </w:r>
      <w:r w:rsidRPr="003F23AC">
        <w:rPr>
          <w:rFonts w:cs="Times New Roman"/>
          <w:noProof/>
          <w:lang w:val="sk-SK"/>
        </w:rPr>
        <w:t>Rady (EÚ) 2020/852, berúc do úvahy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 obnovy</w:t>
      </w:r>
      <w:r w:rsidR="00A75B3C" w:rsidRPr="003F23AC">
        <w:rPr>
          <w:rFonts w:cs="Times New Roman"/>
          <w:noProof/>
          <w:lang w:val="sk-SK"/>
        </w:rPr>
        <w:t xml:space="preserve"> a </w:t>
      </w:r>
      <w:r w:rsidRPr="003F23AC">
        <w:rPr>
          <w:rFonts w:cs="Times New Roman"/>
          <w:noProof/>
          <w:lang w:val="sk-SK"/>
        </w:rPr>
        <w:t>odolnosti</w:t>
      </w:r>
      <w:r w:rsidR="00A75B3C" w:rsidRPr="003F23AC">
        <w:rPr>
          <w:rFonts w:cs="Times New Roman"/>
          <w:noProof/>
          <w:lang w:val="sk-SK"/>
        </w:rPr>
        <w:t xml:space="preserve"> v </w:t>
      </w:r>
      <w:r w:rsidRPr="003F23AC">
        <w:rPr>
          <w:rFonts w:cs="Times New Roman"/>
          <w:noProof/>
          <w:lang w:val="sk-SK"/>
        </w:rPr>
        <w:t>súlade so zásadou technického usmernia týkajúceho sa uplatňovania zásady „výrazne nenarušiť“ (DNHS) (2021/C58/01). Dodržiavanie zásady „výrazne nenarušiť“ sa zabezpečuje najmä prostredníctvom investície C07-I0 (rozšírenie siete nabíjania elektrických vozidiel) ako sprievodného opatrenia. Každý cestný projekt, ktorý môže mať významný negatívny vplyv na životné prostredie, podlieha posudzovaniu vplyvov na životné prostredie (EIA) podľa smernice 2011/92/EÚ</w:t>
      </w:r>
      <w:r w:rsidR="00A75B3C" w:rsidRPr="003F23AC">
        <w:rPr>
          <w:rFonts w:cs="Times New Roman"/>
          <w:noProof/>
          <w:lang w:val="sk-SK"/>
        </w:rPr>
        <w:t xml:space="preserve"> s </w:t>
      </w:r>
      <w:r w:rsidRPr="003F23AC">
        <w:rPr>
          <w:rFonts w:cs="Times New Roman"/>
          <w:noProof/>
          <w:lang w:val="sk-SK"/>
        </w:rPr>
        <w:t>cieľom zabezpečiť, aby sa súlad so zásadou „výrazne nenarušiť“ začlenil do projektu</w:t>
      </w:r>
      <w:r w:rsidR="00A75B3C" w:rsidRPr="003F23AC">
        <w:rPr>
          <w:rFonts w:cs="Times New Roman"/>
          <w:noProof/>
          <w:lang w:val="sk-SK"/>
        </w:rPr>
        <w:t xml:space="preserve"> a </w:t>
      </w:r>
      <w:r w:rsidRPr="003F23AC">
        <w:rPr>
          <w:rFonts w:cs="Times New Roman"/>
          <w:noProof/>
          <w:lang w:val="sk-SK"/>
        </w:rPr>
        <w:t>prísne dodržiaval vo fázach výstavby, prevádzky</w:t>
      </w:r>
      <w:r w:rsidR="00A75B3C" w:rsidRPr="003F23AC">
        <w:rPr>
          <w:rFonts w:cs="Times New Roman"/>
          <w:noProof/>
          <w:lang w:val="sk-SK"/>
        </w:rPr>
        <w:t xml:space="preserve"> a </w:t>
      </w:r>
      <w:r w:rsidRPr="003F23AC">
        <w:rPr>
          <w:rFonts w:cs="Times New Roman"/>
          <w:noProof/>
          <w:lang w:val="sk-SK"/>
        </w:rPr>
        <w:t>vyraďovania infraštruktúry</w:t>
      </w:r>
      <w:r w:rsidR="00A75B3C" w:rsidRPr="003F23AC">
        <w:rPr>
          <w:rFonts w:cs="Times New Roman"/>
          <w:noProof/>
          <w:lang w:val="sk-SK"/>
        </w:rPr>
        <w:t xml:space="preserve"> z </w:t>
      </w:r>
      <w:r w:rsidRPr="003F23AC">
        <w:rPr>
          <w:rFonts w:cs="Times New Roman"/>
          <w:noProof/>
          <w:lang w:val="sk-SK"/>
        </w:rPr>
        <w:t>prevádzky</w:t>
      </w:r>
      <w:r w:rsidR="00A75B3C" w:rsidRPr="003F23AC">
        <w:rPr>
          <w:rFonts w:cs="Times New Roman"/>
          <w:noProof/>
          <w:lang w:val="sk-SK"/>
        </w:rPr>
        <w:t>.</w:t>
      </w:r>
    </w:p>
    <w:p w14:paraId="54069761" w14:textId="1AC7BEED"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Z uvedených ciest sa 30 kilometrov vybuduje alebo zmodernizuje:</w:t>
      </w:r>
    </w:p>
    <w:p w14:paraId="1BEA4559" w14:textId="77777777" w:rsidR="00387C70" w:rsidRPr="003F23AC" w:rsidRDefault="000F5AA4" w:rsidP="003F23AC">
      <w:pPr>
        <w:pStyle w:val="P68B1DB1-Normal4"/>
        <w:numPr>
          <w:ilvl w:val="0"/>
          <w:numId w:val="23"/>
        </w:numPr>
        <w:spacing w:before="40" w:after="160" w:line="259" w:lineRule="auto"/>
        <w:contextualSpacing/>
        <w:jc w:val="both"/>
        <w:rPr>
          <w:rFonts w:eastAsiaTheme="minorEastAsia" w:cs="Times New Roman"/>
          <w:noProof/>
          <w:lang w:val="sk-SK"/>
        </w:rPr>
      </w:pPr>
      <w:r w:rsidRPr="003F23AC">
        <w:rPr>
          <w:rFonts w:cs="Times New Roman"/>
          <w:noProof/>
          <w:lang w:val="sk-SK"/>
        </w:rPr>
        <w:t>EN103: Vinhais/Bragança (obchvat);</w:t>
      </w:r>
    </w:p>
    <w:p w14:paraId="05732A66" w14:textId="77777777" w:rsidR="00387C70" w:rsidRPr="003F23AC" w:rsidRDefault="000F5AA4" w:rsidP="003F23AC">
      <w:pPr>
        <w:pStyle w:val="P68B1DB1-Normal4"/>
        <w:numPr>
          <w:ilvl w:val="0"/>
          <w:numId w:val="23"/>
        </w:numPr>
        <w:spacing w:before="40" w:after="160" w:line="259" w:lineRule="auto"/>
        <w:contextualSpacing/>
        <w:jc w:val="both"/>
        <w:rPr>
          <w:rFonts w:eastAsiaTheme="minorEastAsia" w:cs="Times New Roman"/>
          <w:noProof/>
          <w:lang w:val="sk-SK"/>
        </w:rPr>
      </w:pPr>
      <w:r w:rsidRPr="003F23AC">
        <w:rPr>
          <w:rFonts w:cs="Times New Roman"/>
          <w:noProof/>
          <w:lang w:val="sk-SK"/>
        </w:rPr>
        <w:t>Odkaz na mesto Bragança – Puebla de Sanabria (Španielsko);</w:t>
      </w:r>
    </w:p>
    <w:p w14:paraId="2E2E2DF9" w14:textId="77777777" w:rsidR="00387C70" w:rsidRPr="003F23AC" w:rsidRDefault="000F5AA4" w:rsidP="003F23AC">
      <w:pPr>
        <w:pStyle w:val="P68B1DB1-Normal4"/>
        <w:numPr>
          <w:ilvl w:val="0"/>
          <w:numId w:val="23"/>
        </w:numPr>
        <w:spacing w:before="40" w:after="160" w:line="259" w:lineRule="auto"/>
        <w:contextualSpacing/>
        <w:jc w:val="both"/>
        <w:rPr>
          <w:rFonts w:eastAsiaTheme="minorEastAsia" w:cs="Times New Roman"/>
          <w:noProof/>
          <w:lang w:val="sk-SK"/>
        </w:rPr>
      </w:pPr>
      <w:r w:rsidRPr="003F23AC">
        <w:rPr>
          <w:rFonts w:cs="Times New Roman"/>
          <w:noProof/>
          <w:lang w:val="sk-SK"/>
        </w:rPr>
        <w:t>Medzinárodný most cez rieku Sever;</w:t>
      </w:r>
    </w:p>
    <w:p w14:paraId="3CA675A9" w14:textId="77777777" w:rsidR="00387C70" w:rsidRPr="003F23AC" w:rsidRDefault="000F5AA4" w:rsidP="003F23AC">
      <w:pPr>
        <w:pStyle w:val="P68B1DB1-Normal4"/>
        <w:numPr>
          <w:ilvl w:val="0"/>
          <w:numId w:val="23"/>
        </w:numPr>
        <w:spacing w:before="40" w:after="160" w:line="259" w:lineRule="auto"/>
        <w:contextualSpacing/>
        <w:jc w:val="both"/>
        <w:rPr>
          <w:rFonts w:eastAsiaTheme="minorEastAsia" w:cs="Times New Roman"/>
          <w:noProof/>
          <w:lang w:val="sk-SK"/>
        </w:rPr>
      </w:pPr>
      <w:r w:rsidRPr="003F23AC">
        <w:rPr>
          <w:rFonts w:cs="Times New Roman"/>
          <w:noProof/>
          <w:lang w:val="sk-SK"/>
        </w:rPr>
        <w:t>Most Alcoutim – Saluncar de Guadiana (Španielsko).</w:t>
      </w:r>
    </w:p>
    <w:p w14:paraId="58FCA3D1" w14:textId="35CAD7CA"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6F257771" w14:textId="7777777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RE-C07-i04: Obchodné prijímacie oblasti – prístupnosť ciest</w:t>
      </w:r>
    </w:p>
    <w:p w14:paraId="0B64272F" w14:textId="0A93050C"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opatrení je zlepšiť konkurencieschopnosť podnikateľských parkov zlepšením ich prepojenosti cestnej siete, čím sa prispeje</w:t>
      </w:r>
      <w:r w:rsidR="00A75B3C" w:rsidRPr="003F23AC">
        <w:rPr>
          <w:rFonts w:cs="Times New Roman"/>
          <w:noProof/>
          <w:lang w:val="sk-SK"/>
        </w:rPr>
        <w:t xml:space="preserve"> k </w:t>
      </w:r>
      <w:r w:rsidRPr="003F23AC">
        <w:rPr>
          <w:rFonts w:cs="Times New Roman"/>
          <w:noProof/>
          <w:lang w:val="sk-SK"/>
        </w:rPr>
        <w:t>reindustrializácii vidieckych oblastí.</w:t>
      </w:r>
    </w:p>
    <w:p w14:paraId="1A627344" w14:textId="1FEFE5A5"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investícií do rozširovania</w:t>
      </w:r>
      <w:r w:rsidR="00A75B3C" w:rsidRPr="003F23AC">
        <w:rPr>
          <w:rFonts w:cs="Times New Roman"/>
          <w:noProof/>
          <w:lang w:val="sk-SK"/>
        </w:rPr>
        <w:t xml:space="preserve"> a </w:t>
      </w:r>
      <w:r w:rsidRPr="003F23AC">
        <w:rPr>
          <w:rFonts w:cs="Times New Roman"/>
          <w:noProof/>
          <w:lang w:val="sk-SK"/>
        </w:rPr>
        <w:t>modernizácie cestnej infraštruktúry. Dopĺňa investíciu RE-CCT-C7-I1, ktorej cieľom je modernizácia obchodných parkov</w:t>
      </w:r>
      <w:r w:rsidR="00A75B3C" w:rsidRPr="003F23AC">
        <w:rPr>
          <w:rFonts w:cs="Times New Roman"/>
          <w:noProof/>
          <w:lang w:val="sk-SK"/>
        </w:rPr>
        <w:t>.</w:t>
      </w:r>
    </w:p>
    <w:p w14:paraId="0C476BB0" w14:textId="52688EF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tomto komponente výrazne nenaruší environmentálne ciele</w:t>
      </w:r>
      <w:r w:rsidR="00A75B3C" w:rsidRPr="003F23AC">
        <w:rPr>
          <w:rFonts w:cs="Times New Roman"/>
          <w:noProof/>
          <w:lang w:val="sk-SK"/>
        </w:rPr>
        <w:t xml:space="preserve"> v </w:t>
      </w:r>
      <w:r w:rsidRPr="003F23AC">
        <w:rPr>
          <w:rFonts w:cs="Times New Roman"/>
          <w:noProof/>
          <w:lang w:val="sk-SK"/>
        </w:rPr>
        <w:t>zmysle článku 17 nariadenia Európskeho parlamentu</w:t>
      </w:r>
      <w:r w:rsidR="00A75B3C" w:rsidRPr="003F23AC">
        <w:rPr>
          <w:rFonts w:cs="Times New Roman"/>
          <w:noProof/>
          <w:lang w:val="sk-SK"/>
        </w:rPr>
        <w:t xml:space="preserve"> a </w:t>
      </w:r>
      <w:r w:rsidRPr="003F23AC">
        <w:rPr>
          <w:rFonts w:cs="Times New Roman"/>
          <w:noProof/>
          <w:lang w:val="sk-SK"/>
        </w:rPr>
        <w:t>Rady (EÚ) 2020/852, berúc do úvahy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 obnovy</w:t>
      </w:r>
      <w:r w:rsidR="00A75B3C" w:rsidRPr="003F23AC">
        <w:rPr>
          <w:rFonts w:cs="Times New Roman"/>
          <w:noProof/>
          <w:lang w:val="sk-SK"/>
        </w:rPr>
        <w:t xml:space="preserve"> a </w:t>
      </w:r>
      <w:r w:rsidRPr="003F23AC">
        <w:rPr>
          <w:rFonts w:cs="Times New Roman"/>
          <w:noProof/>
          <w:lang w:val="sk-SK"/>
        </w:rPr>
        <w:t>odolnosti</w:t>
      </w:r>
      <w:r w:rsidR="00A75B3C" w:rsidRPr="003F23AC">
        <w:rPr>
          <w:rFonts w:cs="Times New Roman"/>
          <w:noProof/>
          <w:lang w:val="sk-SK"/>
        </w:rPr>
        <w:t xml:space="preserve"> v </w:t>
      </w:r>
      <w:r w:rsidRPr="003F23AC">
        <w:rPr>
          <w:rFonts w:cs="Times New Roman"/>
          <w:noProof/>
          <w:lang w:val="sk-SK"/>
        </w:rPr>
        <w:t>súlade so zásadou technického usmernia týkajúceho sa uplatňovania zásady „výrazne nenarušiť“ (DNHS) (2021/C58/01). Dodržiavanie zásady „výrazne nenarušiť“ sa zabezpečuje najmä prostredníctvom investície C07-I0 (rozšírenie siete nabíjania elektrických vozidiel) ako sprievodného opatrenia. Každý cestný projekt, ktorý môže mať významný negatívny vplyv na životné prostredie, podlieha posudzovaniu vplyvov na životné prostredie (EIA) podľa smernice 2011/92/EÚ</w:t>
      </w:r>
      <w:r w:rsidR="00A75B3C" w:rsidRPr="003F23AC">
        <w:rPr>
          <w:rFonts w:cs="Times New Roman"/>
          <w:noProof/>
          <w:lang w:val="sk-SK"/>
        </w:rPr>
        <w:t xml:space="preserve"> s </w:t>
      </w:r>
      <w:r w:rsidRPr="003F23AC">
        <w:rPr>
          <w:rFonts w:cs="Times New Roman"/>
          <w:noProof/>
          <w:lang w:val="sk-SK"/>
        </w:rPr>
        <w:t>cieľom zabezpečiť, aby sa súlad so zásadou „výrazne nenarušiť“ začlenil do projektu</w:t>
      </w:r>
      <w:r w:rsidR="00A75B3C" w:rsidRPr="003F23AC">
        <w:rPr>
          <w:rFonts w:cs="Times New Roman"/>
          <w:noProof/>
          <w:lang w:val="sk-SK"/>
        </w:rPr>
        <w:t xml:space="preserve"> a </w:t>
      </w:r>
      <w:r w:rsidRPr="003F23AC">
        <w:rPr>
          <w:rFonts w:cs="Times New Roman"/>
          <w:noProof/>
          <w:lang w:val="sk-SK"/>
        </w:rPr>
        <w:t>prísne dodržiaval vo fázach výstavby, prevádzky</w:t>
      </w:r>
      <w:r w:rsidR="00A75B3C" w:rsidRPr="003F23AC">
        <w:rPr>
          <w:rFonts w:cs="Times New Roman"/>
          <w:noProof/>
          <w:lang w:val="sk-SK"/>
        </w:rPr>
        <w:t xml:space="preserve"> a </w:t>
      </w:r>
      <w:r w:rsidRPr="003F23AC">
        <w:rPr>
          <w:rFonts w:cs="Times New Roman"/>
          <w:noProof/>
          <w:lang w:val="sk-SK"/>
        </w:rPr>
        <w:t>vyraďovania infraštruktúry</w:t>
      </w:r>
      <w:r w:rsidR="00A75B3C" w:rsidRPr="003F23AC">
        <w:rPr>
          <w:rFonts w:cs="Times New Roman"/>
          <w:noProof/>
          <w:lang w:val="sk-SK"/>
        </w:rPr>
        <w:t xml:space="preserve"> z </w:t>
      </w:r>
      <w:r w:rsidRPr="003F23AC">
        <w:rPr>
          <w:rFonts w:cs="Times New Roman"/>
          <w:noProof/>
          <w:lang w:val="sk-SK"/>
        </w:rPr>
        <w:t>prevádzky</w:t>
      </w:r>
      <w:r w:rsidR="00A75B3C" w:rsidRPr="003F23AC">
        <w:rPr>
          <w:rFonts w:cs="Times New Roman"/>
          <w:noProof/>
          <w:lang w:val="sk-SK"/>
        </w:rPr>
        <w:t>.</w:t>
      </w:r>
    </w:p>
    <w:p w14:paraId="050BD257" w14:textId="4DECB0CC"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Z uvedených ciest sa 42 kilometrov vybuduje alebo zmodernizuje:</w:t>
      </w:r>
    </w:p>
    <w:p w14:paraId="24C84C40" w14:textId="353C2584" w:rsidR="00A75B3C" w:rsidRPr="003F23AC" w:rsidRDefault="000F5AA4" w:rsidP="003F23AC">
      <w:pPr>
        <w:pStyle w:val="P68B1DB1-Normal4"/>
        <w:numPr>
          <w:ilvl w:val="0"/>
          <w:numId w:val="24"/>
        </w:numPr>
        <w:spacing w:before="40" w:after="160" w:line="259" w:lineRule="auto"/>
        <w:contextualSpacing/>
        <w:jc w:val="both"/>
        <w:rPr>
          <w:rFonts w:cs="Times New Roman"/>
          <w:noProof/>
          <w:lang w:val="sk-SK"/>
        </w:rPr>
      </w:pPr>
      <w:r w:rsidRPr="003F23AC">
        <w:rPr>
          <w:rFonts w:cs="Times New Roman"/>
          <w:noProof/>
          <w:lang w:val="sk-SK"/>
        </w:rPr>
        <w:t>Spojenie</w:t>
      </w:r>
      <w:r w:rsidR="00A75B3C" w:rsidRPr="003F23AC">
        <w:rPr>
          <w:rFonts w:cs="Times New Roman"/>
          <w:noProof/>
          <w:lang w:val="sk-SK"/>
        </w:rPr>
        <w:t xml:space="preserve"> s </w:t>
      </w:r>
      <w:r w:rsidRPr="003F23AC">
        <w:rPr>
          <w:rFonts w:cs="Times New Roman"/>
          <w:noProof/>
          <w:lang w:val="sk-SK"/>
        </w:rPr>
        <w:t>priemyselným parkom Mundão: odstránenie obmedzení</w:t>
      </w:r>
      <w:r w:rsidR="00A75B3C" w:rsidRPr="003F23AC">
        <w:rPr>
          <w:rFonts w:cs="Times New Roman"/>
          <w:noProof/>
          <w:lang w:val="sk-SK"/>
        </w:rPr>
        <w:t xml:space="preserve"> v </w:t>
      </w:r>
      <w:r w:rsidRPr="003F23AC">
        <w:rPr>
          <w:rFonts w:cs="Times New Roman"/>
          <w:noProof/>
          <w:lang w:val="sk-SK"/>
        </w:rPr>
        <w:t>norme EN229 Viseu/Sátão</w:t>
      </w:r>
      <w:r w:rsidR="00A75B3C" w:rsidRPr="003F23AC">
        <w:rPr>
          <w:rFonts w:cs="Times New Roman"/>
          <w:noProof/>
          <w:lang w:val="sk-SK"/>
        </w:rPr>
        <w:t>;</w:t>
      </w:r>
    </w:p>
    <w:p w14:paraId="39719EA7" w14:textId="15040B5A" w:rsidR="00A75B3C" w:rsidRPr="003F23AC" w:rsidRDefault="000F5AA4" w:rsidP="003F23AC">
      <w:pPr>
        <w:pStyle w:val="P68B1DB1-Normal4"/>
        <w:numPr>
          <w:ilvl w:val="0"/>
          <w:numId w:val="24"/>
        </w:numPr>
        <w:spacing w:before="40" w:after="160" w:line="259" w:lineRule="auto"/>
        <w:contextualSpacing/>
        <w:jc w:val="both"/>
        <w:rPr>
          <w:rFonts w:cs="Times New Roman"/>
          <w:noProof/>
          <w:lang w:val="sk-SK"/>
        </w:rPr>
      </w:pPr>
      <w:r w:rsidRPr="003F23AC">
        <w:rPr>
          <w:rFonts w:cs="Times New Roman"/>
          <w:noProof/>
          <w:lang w:val="sk-SK"/>
        </w:rPr>
        <w:t>Spojenie</w:t>
      </w:r>
      <w:r w:rsidR="00A75B3C" w:rsidRPr="003F23AC">
        <w:rPr>
          <w:rFonts w:cs="Times New Roman"/>
          <w:noProof/>
          <w:lang w:val="sk-SK"/>
        </w:rPr>
        <w:t xml:space="preserve"> s </w:t>
      </w:r>
      <w:r w:rsidRPr="003F23AC">
        <w:rPr>
          <w:rFonts w:cs="Times New Roman"/>
          <w:noProof/>
          <w:lang w:val="sk-SK"/>
        </w:rPr>
        <w:t>priemyselným parkom Mundão: EN229 – bývalý priemyselný park Mundão</w:t>
      </w:r>
      <w:r w:rsidR="00A75B3C" w:rsidRPr="003F23AC">
        <w:rPr>
          <w:rFonts w:cs="Times New Roman"/>
          <w:noProof/>
          <w:lang w:val="sk-SK"/>
        </w:rPr>
        <w:t>;</w:t>
      </w:r>
    </w:p>
    <w:p w14:paraId="74850054" w14:textId="77777777" w:rsidR="00A75B3C" w:rsidRPr="003F23AC" w:rsidRDefault="000F5AA4" w:rsidP="003F23AC">
      <w:pPr>
        <w:pStyle w:val="P68B1DB1-Normal4"/>
        <w:numPr>
          <w:ilvl w:val="0"/>
          <w:numId w:val="24"/>
        </w:numPr>
        <w:spacing w:before="40" w:after="160" w:line="259" w:lineRule="auto"/>
        <w:contextualSpacing/>
        <w:jc w:val="both"/>
        <w:rPr>
          <w:rFonts w:cs="Times New Roman"/>
          <w:noProof/>
          <w:lang w:val="sk-SK"/>
        </w:rPr>
      </w:pPr>
      <w:r w:rsidRPr="003F23AC">
        <w:rPr>
          <w:rFonts w:cs="Times New Roman"/>
          <w:noProof/>
          <w:lang w:val="sk-SK"/>
        </w:rPr>
        <w:t>Dostupnosť priemyselnej zóny Riachos</w:t>
      </w:r>
      <w:r w:rsidR="00A75B3C" w:rsidRPr="003F23AC">
        <w:rPr>
          <w:rFonts w:cs="Times New Roman"/>
          <w:noProof/>
          <w:lang w:val="sk-SK"/>
        </w:rPr>
        <w:t>;</w:t>
      </w:r>
    </w:p>
    <w:p w14:paraId="6A4503B2" w14:textId="77777777" w:rsidR="00A75B3C" w:rsidRPr="003F23AC" w:rsidRDefault="000F5AA4" w:rsidP="003F23AC">
      <w:pPr>
        <w:pStyle w:val="P68B1DB1-Normal4"/>
        <w:numPr>
          <w:ilvl w:val="0"/>
          <w:numId w:val="24"/>
        </w:numPr>
        <w:spacing w:before="40" w:after="160" w:line="259" w:lineRule="auto"/>
        <w:contextualSpacing/>
        <w:jc w:val="both"/>
        <w:rPr>
          <w:rFonts w:cs="Times New Roman"/>
          <w:noProof/>
          <w:lang w:val="sk-SK"/>
        </w:rPr>
      </w:pPr>
      <w:r w:rsidRPr="003F23AC">
        <w:rPr>
          <w:rFonts w:cs="Times New Roman"/>
          <w:noProof/>
          <w:lang w:val="sk-SK"/>
        </w:rPr>
        <w:t>Prístup IC8 (Ansião) do obchodného parku Camporês</w:t>
      </w:r>
      <w:r w:rsidR="00A75B3C" w:rsidRPr="003F23AC">
        <w:rPr>
          <w:rFonts w:cs="Times New Roman"/>
          <w:noProof/>
          <w:lang w:val="sk-SK"/>
        </w:rPr>
        <w:t>;</w:t>
      </w:r>
    </w:p>
    <w:p w14:paraId="7AA0232C" w14:textId="77777777" w:rsidR="00A75B3C" w:rsidRPr="003F23AC" w:rsidRDefault="000F5AA4" w:rsidP="003F23AC">
      <w:pPr>
        <w:pStyle w:val="P68B1DB1-Normal4"/>
        <w:numPr>
          <w:ilvl w:val="0"/>
          <w:numId w:val="24"/>
        </w:numPr>
        <w:spacing w:before="40" w:after="160" w:line="259" w:lineRule="auto"/>
        <w:contextualSpacing/>
        <w:jc w:val="both"/>
        <w:rPr>
          <w:rFonts w:cs="Times New Roman"/>
          <w:noProof/>
          <w:lang w:val="sk-SK"/>
        </w:rPr>
      </w:pPr>
      <w:r w:rsidRPr="003F23AC">
        <w:rPr>
          <w:rFonts w:cs="Times New Roman"/>
          <w:noProof/>
          <w:lang w:val="sk-SK"/>
        </w:rPr>
        <w:t>EN10 – 4: Setúbal/Mitrena</w:t>
      </w:r>
      <w:r w:rsidR="00A75B3C" w:rsidRPr="003F23AC">
        <w:rPr>
          <w:rFonts w:cs="Times New Roman"/>
          <w:noProof/>
          <w:lang w:val="sk-SK"/>
        </w:rPr>
        <w:t>;</w:t>
      </w:r>
    </w:p>
    <w:p w14:paraId="79296C9C" w14:textId="2B34A3E8" w:rsidR="00A75B3C" w:rsidRPr="003F23AC" w:rsidRDefault="000F5AA4" w:rsidP="003F23AC">
      <w:pPr>
        <w:pStyle w:val="P68B1DB1-Normal4"/>
        <w:numPr>
          <w:ilvl w:val="0"/>
          <w:numId w:val="24"/>
        </w:numPr>
        <w:spacing w:before="40" w:after="160" w:line="259" w:lineRule="auto"/>
        <w:contextualSpacing/>
        <w:jc w:val="both"/>
        <w:rPr>
          <w:rFonts w:cs="Times New Roman"/>
          <w:noProof/>
          <w:lang w:val="sk-SK"/>
        </w:rPr>
      </w:pPr>
      <w:r w:rsidRPr="003F23AC">
        <w:rPr>
          <w:rFonts w:cs="Times New Roman"/>
          <w:noProof/>
          <w:lang w:val="sk-SK"/>
        </w:rPr>
        <w:t>Pripojenie</w:t>
      </w:r>
      <w:r w:rsidR="00A75B3C" w:rsidRPr="003F23AC">
        <w:rPr>
          <w:rFonts w:cs="Times New Roman"/>
          <w:noProof/>
          <w:lang w:val="sk-SK"/>
        </w:rPr>
        <w:t xml:space="preserve"> k </w:t>
      </w:r>
      <w:r w:rsidRPr="003F23AC">
        <w:rPr>
          <w:rFonts w:cs="Times New Roman"/>
          <w:noProof/>
          <w:lang w:val="sk-SK"/>
        </w:rPr>
        <w:t>priemyselnému parku Fontiscos</w:t>
      </w:r>
      <w:r w:rsidR="00A75B3C" w:rsidRPr="003F23AC">
        <w:rPr>
          <w:rFonts w:cs="Times New Roman"/>
          <w:noProof/>
          <w:lang w:val="sk-SK"/>
        </w:rPr>
        <w:t xml:space="preserve"> a </w:t>
      </w:r>
      <w:r w:rsidRPr="003F23AC">
        <w:rPr>
          <w:rFonts w:cs="Times New Roman"/>
          <w:noProof/>
          <w:lang w:val="sk-SK"/>
        </w:rPr>
        <w:t>obnova uzla Ermida (Santo Tirso)</w:t>
      </w:r>
      <w:r w:rsidR="00A75B3C" w:rsidRPr="003F23AC">
        <w:rPr>
          <w:rFonts w:cs="Times New Roman"/>
          <w:noProof/>
          <w:lang w:val="sk-SK"/>
        </w:rPr>
        <w:t>;</w:t>
      </w:r>
    </w:p>
    <w:p w14:paraId="292EC061" w14:textId="1A2881EF" w:rsidR="00A75B3C" w:rsidRPr="003F23AC" w:rsidRDefault="000F5AA4" w:rsidP="003F23AC">
      <w:pPr>
        <w:pStyle w:val="P68B1DB1-Normal4"/>
        <w:numPr>
          <w:ilvl w:val="0"/>
          <w:numId w:val="24"/>
        </w:numPr>
        <w:spacing w:before="40" w:after="160" w:line="259" w:lineRule="auto"/>
        <w:contextualSpacing/>
        <w:jc w:val="both"/>
        <w:rPr>
          <w:rFonts w:cs="Times New Roman"/>
          <w:noProof/>
          <w:lang w:val="sk-SK"/>
        </w:rPr>
      </w:pPr>
      <w:r w:rsidRPr="003F23AC">
        <w:rPr>
          <w:rFonts w:cs="Times New Roman"/>
          <w:noProof/>
          <w:lang w:val="sk-SK"/>
        </w:rPr>
        <w:t>Spojenie A8</w:t>
      </w:r>
      <w:r w:rsidR="00A75B3C" w:rsidRPr="003F23AC">
        <w:rPr>
          <w:rFonts w:cs="Times New Roman"/>
          <w:noProof/>
          <w:lang w:val="sk-SK"/>
        </w:rPr>
        <w:t xml:space="preserve"> s </w:t>
      </w:r>
      <w:r w:rsidRPr="003F23AC">
        <w:rPr>
          <w:rFonts w:cs="Times New Roman"/>
          <w:noProof/>
          <w:lang w:val="sk-SK"/>
        </w:rPr>
        <w:t>priemyselným parkom Palhagueiras</w:t>
      </w:r>
      <w:r w:rsidR="00A75B3C" w:rsidRPr="003F23AC">
        <w:rPr>
          <w:rFonts w:cs="Times New Roman"/>
          <w:noProof/>
          <w:lang w:val="sk-SK"/>
        </w:rPr>
        <w:t xml:space="preserve"> v </w:t>
      </w:r>
      <w:r w:rsidRPr="003F23AC">
        <w:rPr>
          <w:rFonts w:cs="Times New Roman"/>
          <w:noProof/>
          <w:lang w:val="sk-SK"/>
        </w:rPr>
        <w:t>Torres Vedras</w:t>
      </w:r>
      <w:r w:rsidR="00A75B3C" w:rsidRPr="003F23AC">
        <w:rPr>
          <w:rFonts w:cs="Times New Roman"/>
          <w:noProof/>
          <w:lang w:val="sk-SK"/>
        </w:rPr>
        <w:t>;</w:t>
      </w:r>
    </w:p>
    <w:p w14:paraId="07901DC1" w14:textId="73A9E239" w:rsidR="00387C70" w:rsidRPr="003F23AC" w:rsidRDefault="000F5AA4" w:rsidP="003F23AC">
      <w:pPr>
        <w:pStyle w:val="P68B1DB1-Normal4"/>
        <w:numPr>
          <w:ilvl w:val="0"/>
          <w:numId w:val="24"/>
        </w:numPr>
        <w:spacing w:before="40" w:after="160" w:line="259" w:lineRule="auto"/>
        <w:contextualSpacing/>
        <w:jc w:val="both"/>
        <w:rPr>
          <w:rFonts w:eastAsiaTheme="minorEastAsia" w:cs="Times New Roman"/>
          <w:noProof/>
          <w:lang w:val="sk-SK"/>
        </w:rPr>
      </w:pPr>
      <w:r w:rsidRPr="003F23AC">
        <w:rPr>
          <w:rFonts w:cs="Times New Roman"/>
          <w:noProof/>
          <w:lang w:val="sk-SK"/>
        </w:rPr>
        <w:t>Spojenie A11</w:t>
      </w:r>
      <w:r w:rsidR="00A75B3C" w:rsidRPr="003F23AC">
        <w:rPr>
          <w:rFonts w:cs="Times New Roman"/>
          <w:noProof/>
          <w:lang w:val="sk-SK"/>
        </w:rPr>
        <w:t xml:space="preserve"> s </w:t>
      </w:r>
      <w:r w:rsidRPr="003F23AC">
        <w:rPr>
          <w:rFonts w:cs="Times New Roman"/>
          <w:noProof/>
          <w:lang w:val="sk-SK"/>
        </w:rPr>
        <w:t>priemyselnou zónou Cabeça de Porca (Felgueiras);</w:t>
      </w:r>
    </w:p>
    <w:p w14:paraId="1DB96CFC" w14:textId="4F88BC8E" w:rsidR="00A75B3C" w:rsidRPr="003F23AC" w:rsidRDefault="000F5AA4" w:rsidP="003F23AC">
      <w:pPr>
        <w:pStyle w:val="P68B1DB1-Normal4"/>
        <w:numPr>
          <w:ilvl w:val="0"/>
          <w:numId w:val="24"/>
        </w:numPr>
        <w:spacing w:before="40" w:after="160" w:line="259" w:lineRule="auto"/>
        <w:contextualSpacing/>
        <w:jc w:val="both"/>
        <w:rPr>
          <w:rFonts w:cs="Times New Roman"/>
          <w:noProof/>
          <w:lang w:val="sk-SK"/>
        </w:rPr>
      </w:pPr>
      <w:r w:rsidRPr="003F23AC">
        <w:rPr>
          <w:rFonts w:cs="Times New Roman"/>
          <w:noProof/>
          <w:lang w:val="sk-SK"/>
        </w:rPr>
        <w:t>Pripojenie normy EN114</w:t>
      </w:r>
      <w:r w:rsidR="00A75B3C" w:rsidRPr="003F23AC">
        <w:rPr>
          <w:rFonts w:cs="Times New Roman"/>
          <w:noProof/>
          <w:lang w:val="sk-SK"/>
        </w:rPr>
        <w:t xml:space="preserve"> k </w:t>
      </w:r>
      <w:r w:rsidRPr="003F23AC">
        <w:rPr>
          <w:rFonts w:cs="Times New Roman"/>
          <w:noProof/>
          <w:lang w:val="sk-SK"/>
        </w:rPr>
        <w:t>priemyselnej zóne Rio Maior</w:t>
      </w:r>
      <w:r w:rsidR="00A75B3C" w:rsidRPr="003F23AC">
        <w:rPr>
          <w:rFonts w:cs="Times New Roman"/>
          <w:noProof/>
          <w:lang w:val="sk-SK"/>
        </w:rPr>
        <w:t>;</w:t>
      </w:r>
    </w:p>
    <w:p w14:paraId="4A645E96" w14:textId="77777777" w:rsidR="00A75B3C" w:rsidRPr="003F23AC" w:rsidRDefault="000F5AA4" w:rsidP="003F23AC">
      <w:pPr>
        <w:pStyle w:val="P68B1DB1-Normal4"/>
        <w:numPr>
          <w:ilvl w:val="0"/>
          <w:numId w:val="24"/>
        </w:numPr>
        <w:spacing w:before="40" w:after="160" w:line="259" w:lineRule="auto"/>
        <w:contextualSpacing/>
        <w:jc w:val="both"/>
        <w:rPr>
          <w:rFonts w:cs="Times New Roman"/>
          <w:noProof/>
          <w:lang w:val="sk-SK"/>
        </w:rPr>
      </w:pPr>
      <w:r w:rsidRPr="003F23AC">
        <w:rPr>
          <w:rFonts w:cs="Times New Roman"/>
          <w:noProof/>
          <w:lang w:val="sk-SK"/>
        </w:rPr>
        <w:t>Lepší prístup do oblasti Lavagueiras Business Location Area (Castelo de Paiva)</w:t>
      </w:r>
      <w:r w:rsidR="00A75B3C" w:rsidRPr="003F23AC">
        <w:rPr>
          <w:rFonts w:cs="Times New Roman"/>
          <w:noProof/>
          <w:lang w:val="sk-SK"/>
        </w:rPr>
        <w:t>;</w:t>
      </w:r>
    </w:p>
    <w:p w14:paraId="30092FC2" w14:textId="6D96B9D7" w:rsidR="00387C70" w:rsidRPr="003F23AC" w:rsidRDefault="000F5AA4" w:rsidP="003F23AC">
      <w:pPr>
        <w:pStyle w:val="P68B1DB1-Normal4"/>
        <w:numPr>
          <w:ilvl w:val="0"/>
          <w:numId w:val="24"/>
        </w:numPr>
        <w:spacing w:before="40" w:after="160" w:line="259" w:lineRule="auto"/>
        <w:contextualSpacing/>
        <w:jc w:val="both"/>
        <w:rPr>
          <w:rFonts w:eastAsiaTheme="minorEastAsia" w:cs="Times New Roman"/>
          <w:noProof/>
          <w:lang w:val="sk-SK"/>
        </w:rPr>
      </w:pPr>
      <w:r w:rsidRPr="003F23AC">
        <w:rPr>
          <w:rFonts w:cs="Times New Roman"/>
          <w:noProof/>
          <w:lang w:val="sk-SK"/>
        </w:rPr>
        <w:t>Zlepšenie prístupnosti priemyselnej oblasti Campo Maior;</w:t>
      </w:r>
    </w:p>
    <w:p w14:paraId="574ABB31" w14:textId="77777777" w:rsidR="00A75B3C" w:rsidRPr="003F23AC" w:rsidRDefault="000F5AA4" w:rsidP="003F23AC">
      <w:pPr>
        <w:pStyle w:val="P68B1DB1-Normal4"/>
        <w:numPr>
          <w:ilvl w:val="0"/>
          <w:numId w:val="24"/>
        </w:numPr>
        <w:spacing w:before="40" w:after="160" w:line="259" w:lineRule="auto"/>
        <w:contextualSpacing/>
        <w:jc w:val="both"/>
        <w:rPr>
          <w:rFonts w:cs="Times New Roman"/>
          <w:noProof/>
          <w:lang w:val="sk-SK"/>
        </w:rPr>
      </w:pPr>
      <w:r w:rsidRPr="003F23AC">
        <w:rPr>
          <w:rFonts w:cs="Times New Roman"/>
          <w:noProof/>
          <w:lang w:val="sk-SK"/>
        </w:rPr>
        <w:t>Obchvat EN248 (Arruda dos Vinhos)</w:t>
      </w:r>
      <w:r w:rsidR="00A75B3C" w:rsidRPr="003F23AC">
        <w:rPr>
          <w:rFonts w:cs="Times New Roman"/>
          <w:noProof/>
          <w:lang w:val="sk-SK"/>
        </w:rPr>
        <w:t>;</w:t>
      </w:r>
    </w:p>
    <w:p w14:paraId="2C297D7E" w14:textId="6EC8429C" w:rsidR="00A75B3C" w:rsidRPr="003F23AC" w:rsidRDefault="000F5AA4" w:rsidP="003F23AC">
      <w:pPr>
        <w:pStyle w:val="P68B1DB1-Normal4"/>
        <w:numPr>
          <w:ilvl w:val="0"/>
          <w:numId w:val="24"/>
        </w:numPr>
        <w:spacing w:before="40" w:after="160" w:line="259" w:lineRule="auto"/>
        <w:contextualSpacing/>
        <w:jc w:val="both"/>
        <w:rPr>
          <w:rFonts w:cs="Times New Roman"/>
          <w:noProof/>
          <w:lang w:val="sk-SK"/>
        </w:rPr>
      </w:pPr>
      <w:r w:rsidRPr="003F23AC">
        <w:rPr>
          <w:rFonts w:cs="Times New Roman"/>
          <w:noProof/>
          <w:lang w:val="sk-SK"/>
        </w:rPr>
        <w:t>Aljustrel bypass – zlepšenie prístupu do banského priestoru</w:t>
      </w:r>
      <w:r w:rsidR="00A75B3C" w:rsidRPr="003F23AC">
        <w:rPr>
          <w:rFonts w:cs="Times New Roman"/>
          <w:noProof/>
          <w:lang w:val="sk-SK"/>
        </w:rPr>
        <w:t xml:space="preserve"> a </w:t>
      </w:r>
      <w:r w:rsidRPr="003F23AC">
        <w:rPr>
          <w:rFonts w:cs="Times New Roman"/>
          <w:noProof/>
          <w:lang w:val="sk-SK"/>
        </w:rPr>
        <w:t>oblasti obchodných lokalít</w:t>
      </w:r>
      <w:r w:rsidR="00A75B3C" w:rsidRPr="003F23AC">
        <w:rPr>
          <w:rFonts w:cs="Times New Roman"/>
          <w:noProof/>
          <w:lang w:val="sk-SK"/>
        </w:rPr>
        <w:t>;</w:t>
      </w:r>
    </w:p>
    <w:p w14:paraId="39A8CAF8" w14:textId="77777777" w:rsidR="00A75B3C" w:rsidRPr="003F23AC" w:rsidRDefault="000F5AA4" w:rsidP="003F23AC">
      <w:pPr>
        <w:pStyle w:val="P68B1DB1-Normal4"/>
        <w:numPr>
          <w:ilvl w:val="0"/>
          <w:numId w:val="24"/>
        </w:numPr>
        <w:spacing w:before="40" w:after="160" w:line="259" w:lineRule="auto"/>
        <w:contextualSpacing/>
        <w:jc w:val="both"/>
        <w:rPr>
          <w:rFonts w:cs="Times New Roman"/>
          <w:noProof/>
          <w:lang w:val="sk-SK"/>
        </w:rPr>
      </w:pPr>
      <w:r w:rsidRPr="003F23AC">
        <w:rPr>
          <w:rFonts w:cs="Times New Roman"/>
          <w:noProof/>
          <w:lang w:val="sk-SK"/>
        </w:rPr>
        <w:t>VIa do Tâmega obchvatu EN210 (Celorico de Basto)</w:t>
      </w:r>
      <w:r w:rsidR="00A75B3C" w:rsidRPr="003F23AC">
        <w:rPr>
          <w:rFonts w:cs="Times New Roman"/>
          <w:noProof/>
          <w:lang w:val="sk-SK"/>
        </w:rPr>
        <w:t>;</w:t>
      </w:r>
    </w:p>
    <w:p w14:paraId="022E4B39" w14:textId="2FB36A3B" w:rsidR="00A75B3C" w:rsidRPr="003F23AC" w:rsidRDefault="000F5AA4" w:rsidP="003F23AC">
      <w:pPr>
        <w:pStyle w:val="P68B1DB1-Normal4"/>
        <w:numPr>
          <w:ilvl w:val="0"/>
          <w:numId w:val="24"/>
        </w:numPr>
        <w:spacing w:before="40" w:after="160" w:line="259" w:lineRule="auto"/>
        <w:contextualSpacing/>
        <w:jc w:val="both"/>
        <w:rPr>
          <w:rFonts w:cs="Times New Roman"/>
          <w:noProof/>
          <w:lang w:val="sk-SK"/>
        </w:rPr>
      </w:pPr>
      <w:r w:rsidRPr="003F23AC">
        <w:rPr>
          <w:rFonts w:cs="Times New Roman"/>
          <w:noProof/>
          <w:lang w:val="sk-SK"/>
        </w:rPr>
        <w:t>Pripojenie IC2</w:t>
      </w:r>
      <w:r w:rsidR="00A75B3C" w:rsidRPr="003F23AC">
        <w:rPr>
          <w:rFonts w:cs="Times New Roman"/>
          <w:noProof/>
          <w:lang w:val="sk-SK"/>
        </w:rPr>
        <w:t xml:space="preserve"> k </w:t>
      </w:r>
      <w:r w:rsidRPr="003F23AC">
        <w:rPr>
          <w:rFonts w:cs="Times New Roman"/>
          <w:noProof/>
          <w:lang w:val="sk-SK"/>
        </w:rPr>
        <w:t>priemyselnému parku Casarão</w:t>
      </w:r>
      <w:r w:rsidR="00A75B3C" w:rsidRPr="003F23AC">
        <w:rPr>
          <w:rFonts w:cs="Times New Roman"/>
          <w:noProof/>
          <w:lang w:val="sk-SK"/>
        </w:rPr>
        <w:t>;</w:t>
      </w:r>
    </w:p>
    <w:p w14:paraId="725DFE3F" w14:textId="6C5F3A5E" w:rsidR="00A75B3C" w:rsidRPr="003F23AC" w:rsidRDefault="000F5AA4" w:rsidP="003F23AC">
      <w:pPr>
        <w:pStyle w:val="P68B1DB1-Normal4"/>
        <w:numPr>
          <w:ilvl w:val="0"/>
          <w:numId w:val="24"/>
        </w:numPr>
        <w:spacing w:before="40" w:after="160" w:line="259" w:lineRule="auto"/>
        <w:contextualSpacing/>
        <w:jc w:val="both"/>
        <w:rPr>
          <w:rFonts w:cs="Times New Roman"/>
          <w:noProof/>
          <w:lang w:val="sk-SK"/>
        </w:rPr>
      </w:pPr>
      <w:r w:rsidRPr="003F23AC">
        <w:rPr>
          <w:rFonts w:cs="Times New Roman"/>
          <w:noProof/>
          <w:lang w:val="sk-SK"/>
        </w:rPr>
        <w:t>Nový prechod Rio Lima medzi EN203 – Deocriste</w:t>
      </w:r>
      <w:r w:rsidR="00A75B3C" w:rsidRPr="003F23AC">
        <w:rPr>
          <w:rFonts w:cs="Times New Roman"/>
          <w:noProof/>
          <w:lang w:val="sk-SK"/>
        </w:rPr>
        <w:t xml:space="preserve"> a </w:t>
      </w:r>
      <w:r w:rsidRPr="003F23AC">
        <w:rPr>
          <w:rFonts w:cs="Times New Roman"/>
          <w:noProof/>
          <w:lang w:val="sk-SK"/>
        </w:rPr>
        <w:t>EN202 – Nogueira</w:t>
      </w:r>
      <w:r w:rsidR="00A75B3C" w:rsidRPr="003F23AC">
        <w:rPr>
          <w:rFonts w:cs="Times New Roman"/>
          <w:noProof/>
          <w:lang w:val="sk-SK"/>
        </w:rPr>
        <w:t>;</w:t>
      </w:r>
    </w:p>
    <w:p w14:paraId="759E09B9" w14:textId="77777777" w:rsidR="00A75B3C" w:rsidRPr="003F23AC" w:rsidRDefault="000F5AA4" w:rsidP="003F23AC">
      <w:pPr>
        <w:pStyle w:val="P68B1DB1-Normal4"/>
        <w:numPr>
          <w:ilvl w:val="0"/>
          <w:numId w:val="24"/>
        </w:numPr>
        <w:spacing w:before="40" w:after="160" w:line="259" w:lineRule="auto"/>
        <w:contextualSpacing/>
        <w:jc w:val="both"/>
        <w:rPr>
          <w:rFonts w:cs="Times New Roman"/>
          <w:noProof/>
          <w:lang w:val="sk-SK"/>
        </w:rPr>
      </w:pPr>
      <w:r w:rsidRPr="003F23AC">
        <w:rPr>
          <w:rFonts w:cs="Times New Roman"/>
          <w:noProof/>
          <w:lang w:val="sk-SK"/>
        </w:rPr>
        <w:t>Kruhový objazd na EN 246 na prístup do priemyselnej zóny Portalegre</w:t>
      </w:r>
      <w:r w:rsidR="00A75B3C" w:rsidRPr="003F23AC">
        <w:rPr>
          <w:rFonts w:cs="Times New Roman"/>
          <w:noProof/>
          <w:lang w:val="sk-SK"/>
        </w:rPr>
        <w:t>;</w:t>
      </w:r>
    </w:p>
    <w:p w14:paraId="3F548845" w14:textId="77777777" w:rsidR="00A75B3C" w:rsidRPr="003F23AC" w:rsidRDefault="000F5AA4" w:rsidP="003F23AC">
      <w:pPr>
        <w:pStyle w:val="P68B1DB1-Normal4"/>
        <w:numPr>
          <w:ilvl w:val="0"/>
          <w:numId w:val="24"/>
        </w:numPr>
        <w:spacing w:before="40" w:after="160" w:line="259" w:lineRule="auto"/>
        <w:contextualSpacing/>
        <w:jc w:val="both"/>
        <w:rPr>
          <w:rFonts w:cs="Times New Roman"/>
          <w:noProof/>
          <w:lang w:val="sk-SK"/>
        </w:rPr>
      </w:pPr>
      <w:r w:rsidRPr="003F23AC">
        <w:rPr>
          <w:rFonts w:cs="Times New Roman"/>
          <w:noProof/>
          <w:lang w:val="sk-SK"/>
        </w:rPr>
        <w:t>Prístup do Aveparku – vedecko-technický park Taipas (Guimarães)</w:t>
      </w:r>
      <w:r w:rsidR="00A75B3C" w:rsidRPr="003F23AC">
        <w:rPr>
          <w:rFonts w:cs="Times New Roman"/>
          <w:noProof/>
          <w:lang w:val="sk-SK"/>
        </w:rPr>
        <w:t>;</w:t>
      </w:r>
    </w:p>
    <w:p w14:paraId="6594FA5B" w14:textId="5F68F7FF" w:rsidR="00387C70" w:rsidRPr="003F23AC" w:rsidRDefault="000F5AA4" w:rsidP="003F23AC">
      <w:pPr>
        <w:pStyle w:val="P68B1DB1-Normal4"/>
        <w:numPr>
          <w:ilvl w:val="0"/>
          <w:numId w:val="24"/>
        </w:numPr>
        <w:spacing w:before="40" w:after="160" w:line="259" w:lineRule="auto"/>
        <w:contextualSpacing/>
        <w:jc w:val="both"/>
        <w:rPr>
          <w:rFonts w:eastAsiaTheme="minorEastAsia" w:cs="Times New Roman"/>
          <w:noProof/>
          <w:lang w:val="sk-SK"/>
        </w:rPr>
      </w:pPr>
      <w:r w:rsidRPr="003F23AC">
        <w:rPr>
          <w:rFonts w:cs="Times New Roman"/>
          <w:noProof/>
          <w:lang w:val="sk-SK"/>
        </w:rPr>
        <w:t>Prístup do priemyselnej zóny Vale do Neiva</w:t>
      </w:r>
      <w:r w:rsidR="00A75B3C" w:rsidRPr="003F23AC">
        <w:rPr>
          <w:rFonts w:cs="Times New Roman"/>
          <w:noProof/>
          <w:lang w:val="sk-SK"/>
        </w:rPr>
        <w:t xml:space="preserve"> v </w:t>
      </w:r>
      <w:r w:rsidRPr="003F23AC">
        <w:rPr>
          <w:rFonts w:cs="Times New Roman"/>
          <w:noProof/>
          <w:lang w:val="sk-SK"/>
        </w:rPr>
        <w:t>uzle A28.</w:t>
      </w:r>
    </w:p>
    <w:p w14:paraId="77CE02B4" w14:textId="46490F0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529BEBFB" w14:textId="2AFAEFCB"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4B27D11F"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028DDE69"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BF3640">
          <w:headerReference w:type="even" r:id="rId156"/>
          <w:headerReference w:type="default" r:id="rId157"/>
          <w:footerReference w:type="even" r:id="rId158"/>
          <w:footerReference w:type="default" r:id="rId159"/>
          <w:headerReference w:type="first" r:id="rId160"/>
          <w:footerReference w:type="first" r:id="rId161"/>
          <w:type w:val="continuous"/>
          <w:pgSz w:w="11907" w:h="16839" w:code="9"/>
          <w:pgMar w:top="1134" w:right="1134" w:bottom="1134" w:left="1134" w:header="567" w:footer="567" w:gutter="0"/>
          <w:cols w:space="720"/>
          <w:docGrid w:linePitch="360"/>
        </w:sectPr>
      </w:pPr>
    </w:p>
    <w:p w14:paraId="6299134D" w14:textId="4A26BDD2"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G.4.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w:t>
      </w:r>
      <w:r w:rsidR="00A75B3C" w:rsidRPr="003F23AC">
        <w:rPr>
          <w:rFonts w:cs="Times New Roman"/>
          <w:noProof/>
          <w:lang w:val="sk-SK"/>
        </w:rPr>
        <w:t xml:space="preserve"> v </w:t>
      </w:r>
      <w:r w:rsidRPr="003F23AC">
        <w:rPr>
          <w:rFonts w:cs="Times New Roman"/>
          <w:noProof/>
          <w:lang w:val="sk-SK"/>
        </w:rPr>
        <w:t>súvislosti</w:t>
      </w:r>
      <w:r w:rsidR="00A75B3C" w:rsidRPr="003F23AC">
        <w:rPr>
          <w:rFonts w:cs="Times New Roman"/>
          <w:noProof/>
          <w:lang w:val="sk-SK"/>
        </w:rPr>
        <w:t xml:space="preserve"> s </w:t>
      </w:r>
      <w:r w:rsidRPr="003F23AC">
        <w:rPr>
          <w:rFonts w:cs="Times New Roman"/>
          <w:noProof/>
          <w:lang w:val="sk-SK"/>
        </w:rPr>
        <w:t>úverom</w:t>
      </w:r>
    </w:p>
    <w:p w14:paraId="2F2CB9FD"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134"/>
        <w:gridCol w:w="1701"/>
        <w:gridCol w:w="1275"/>
        <w:gridCol w:w="752"/>
        <w:gridCol w:w="1246"/>
        <w:gridCol w:w="696"/>
        <w:gridCol w:w="858"/>
        <w:gridCol w:w="417"/>
        <w:gridCol w:w="3969"/>
      </w:tblGrid>
      <w:tr w:rsidR="00387C70" w:rsidRPr="003F23AC" w14:paraId="36A011EF" w14:textId="77777777" w:rsidTr="009E4E5C">
        <w:trPr>
          <w:trHeight w:val="910"/>
          <w:tblHeader/>
        </w:trPr>
        <w:tc>
          <w:tcPr>
            <w:tcW w:w="1135" w:type="dxa"/>
            <w:vMerge w:val="restart"/>
            <w:shd w:val="clear" w:color="auto" w:fill="BDD6EE"/>
            <w:tcMar>
              <w:left w:w="28" w:type="dxa"/>
              <w:right w:w="28" w:type="dxa"/>
            </w:tcMar>
            <w:vAlign w:val="center"/>
            <w:hideMark/>
          </w:tcPr>
          <w:p w14:paraId="44FD47D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76" w:type="dxa"/>
            <w:vMerge w:val="restart"/>
            <w:shd w:val="clear" w:color="auto" w:fill="BDD6EE"/>
            <w:tcMar>
              <w:left w:w="28" w:type="dxa"/>
              <w:right w:w="28" w:type="dxa"/>
            </w:tcMar>
            <w:vAlign w:val="center"/>
            <w:hideMark/>
          </w:tcPr>
          <w:p w14:paraId="43B8D62C"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34" w:type="dxa"/>
            <w:vMerge w:val="restart"/>
            <w:shd w:val="clear" w:color="auto" w:fill="BDD6EE"/>
            <w:tcMar>
              <w:left w:w="28" w:type="dxa"/>
              <w:right w:w="28" w:type="dxa"/>
            </w:tcMar>
            <w:vAlign w:val="center"/>
            <w:hideMark/>
          </w:tcPr>
          <w:p w14:paraId="24FD2722"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1701" w:type="dxa"/>
            <w:vMerge w:val="restart"/>
            <w:shd w:val="clear" w:color="auto" w:fill="BDD6EE"/>
            <w:tcMar>
              <w:left w:w="28" w:type="dxa"/>
              <w:right w:w="28" w:type="dxa"/>
            </w:tcMar>
            <w:vAlign w:val="center"/>
            <w:hideMark/>
          </w:tcPr>
          <w:p w14:paraId="1ED31254"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275" w:type="dxa"/>
            <w:vMerge w:val="restart"/>
            <w:shd w:val="clear" w:color="auto" w:fill="BDD6EE"/>
            <w:tcMar>
              <w:left w:w="28" w:type="dxa"/>
              <w:right w:w="28" w:type="dxa"/>
            </w:tcMar>
            <w:vAlign w:val="center"/>
            <w:hideMark/>
          </w:tcPr>
          <w:p w14:paraId="2272E53A"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694" w:type="dxa"/>
            <w:gridSpan w:val="3"/>
            <w:shd w:val="clear" w:color="auto" w:fill="BDD6EE"/>
            <w:tcMar>
              <w:left w:w="28" w:type="dxa"/>
              <w:right w:w="28" w:type="dxa"/>
            </w:tcMar>
            <w:vAlign w:val="center"/>
            <w:hideMark/>
          </w:tcPr>
          <w:p w14:paraId="2CD0AB34"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75" w:type="dxa"/>
            <w:gridSpan w:val="2"/>
            <w:shd w:val="clear" w:color="auto" w:fill="BDD6EE"/>
            <w:tcMar>
              <w:left w:w="28" w:type="dxa"/>
              <w:right w:w="28" w:type="dxa"/>
            </w:tcMar>
            <w:vAlign w:val="center"/>
            <w:hideMark/>
          </w:tcPr>
          <w:p w14:paraId="5C44A828"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3969" w:type="dxa"/>
            <w:vMerge w:val="restart"/>
            <w:shd w:val="clear" w:color="auto" w:fill="BDD6EE"/>
            <w:tcMar>
              <w:left w:w="28" w:type="dxa"/>
              <w:right w:w="28" w:type="dxa"/>
            </w:tcMar>
            <w:vAlign w:val="center"/>
            <w:hideMark/>
          </w:tcPr>
          <w:p w14:paraId="50F3DE32" w14:textId="30ED25A5"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6E3E0C94" w14:textId="77777777" w:rsidTr="009E4E5C">
        <w:trPr>
          <w:trHeight w:val="470"/>
          <w:tblHeader/>
        </w:trPr>
        <w:tc>
          <w:tcPr>
            <w:tcW w:w="1135" w:type="dxa"/>
            <w:vMerge/>
            <w:tcMar>
              <w:left w:w="28" w:type="dxa"/>
              <w:right w:w="28" w:type="dxa"/>
            </w:tcMar>
            <w:vAlign w:val="center"/>
            <w:hideMark/>
          </w:tcPr>
          <w:p w14:paraId="35DCDBA3"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6" w:type="dxa"/>
            <w:vMerge/>
            <w:tcMar>
              <w:left w:w="28" w:type="dxa"/>
              <w:right w:w="28" w:type="dxa"/>
            </w:tcMar>
            <w:vAlign w:val="center"/>
            <w:hideMark/>
          </w:tcPr>
          <w:p w14:paraId="74E2BF93"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34" w:type="dxa"/>
            <w:vMerge/>
            <w:tcMar>
              <w:left w:w="28" w:type="dxa"/>
              <w:right w:w="28" w:type="dxa"/>
            </w:tcMar>
            <w:vAlign w:val="center"/>
            <w:hideMark/>
          </w:tcPr>
          <w:p w14:paraId="39DC4F8E" w14:textId="77777777" w:rsidR="00387C70" w:rsidRPr="003F23AC" w:rsidRDefault="00387C70" w:rsidP="003F23AC">
            <w:pPr>
              <w:spacing w:after="0" w:line="240" w:lineRule="auto"/>
              <w:jc w:val="center"/>
              <w:rPr>
                <w:rFonts w:ascii="Times New Roman" w:eastAsia="Times New Roman" w:hAnsi="Times New Roman" w:cs="Times New Roman"/>
                <w:b/>
                <w:noProof/>
                <w:sz w:val="14"/>
                <w:lang w:val="sk-SK"/>
              </w:rPr>
            </w:pPr>
          </w:p>
        </w:tc>
        <w:tc>
          <w:tcPr>
            <w:tcW w:w="1701" w:type="dxa"/>
            <w:vMerge/>
            <w:tcMar>
              <w:left w:w="28" w:type="dxa"/>
              <w:right w:w="28" w:type="dxa"/>
            </w:tcMar>
            <w:vAlign w:val="center"/>
            <w:hideMark/>
          </w:tcPr>
          <w:p w14:paraId="53E4DCD1"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5" w:type="dxa"/>
            <w:vMerge/>
            <w:tcMar>
              <w:left w:w="28" w:type="dxa"/>
              <w:right w:w="28" w:type="dxa"/>
            </w:tcMar>
            <w:vAlign w:val="center"/>
            <w:hideMark/>
          </w:tcPr>
          <w:p w14:paraId="0DF81CCA"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752" w:type="dxa"/>
            <w:shd w:val="clear" w:color="auto" w:fill="BDD6EE"/>
            <w:tcMar>
              <w:left w:w="28" w:type="dxa"/>
              <w:right w:w="28" w:type="dxa"/>
            </w:tcMar>
            <w:vAlign w:val="center"/>
            <w:hideMark/>
          </w:tcPr>
          <w:p w14:paraId="02752337"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1246" w:type="dxa"/>
            <w:shd w:val="clear" w:color="auto" w:fill="BDD6EE"/>
            <w:tcMar>
              <w:left w:w="28" w:type="dxa"/>
              <w:right w:w="28" w:type="dxa"/>
            </w:tcMar>
            <w:vAlign w:val="center"/>
            <w:hideMark/>
          </w:tcPr>
          <w:p w14:paraId="62D4A070" w14:textId="27C6CA1E"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696" w:type="dxa"/>
            <w:shd w:val="clear" w:color="auto" w:fill="BDD6EE"/>
            <w:tcMar>
              <w:left w:w="28" w:type="dxa"/>
              <w:right w:w="28" w:type="dxa"/>
            </w:tcMar>
            <w:vAlign w:val="center"/>
            <w:hideMark/>
          </w:tcPr>
          <w:p w14:paraId="121BD005" w14:textId="55D7C1BA"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858" w:type="dxa"/>
            <w:shd w:val="clear" w:color="auto" w:fill="BDD6EE"/>
            <w:tcMar>
              <w:left w:w="28" w:type="dxa"/>
              <w:right w:w="28" w:type="dxa"/>
            </w:tcMar>
            <w:vAlign w:val="center"/>
            <w:hideMark/>
          </w:tcPr>
          <w:p w14:paraId="50080670" w14:textId="2C5DFAA3"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417" w:type="dxa"/>
            <w:shd w:val="clear" w:color="auto" w:fill="BDD6EE"/>
            <w:tcMar>
              <w:left w:w="28" w:type="dxa"/>
              <w:right w:w="28" w:type="dxa"/>
            </w:tcMar>
            <w:vAlign w:val="center"/>
            <w:hideMark/>
          </w:tcPr>
          <w:p w14:paraId="5EEBE07C"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3969" w:type="dxa"/>
            <w:vMerge/>
            <w:tcMar>
              <w:left w:w="28" w:type="dxa"/>
              <w:right w:w="28" w:type="dxa"/>
            </w:tcMar>
            <w:vAlign w:val="center"/>
            <w:hideMark/>
          </w:tcPr>
          <w:p w14:paraId="1A0FE12C"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59915854" w14:textId="77777777" w:rsidTr="009E4E5C">
        <w:trPr>
          <w:trHeight w:val="503"/>
          <w:tblHeader/>
        </w:trPr>
        <w:tc>
          <w:tcPr>
            <w:tcW w:w="1135" w:type="dxa"/>
            <w:shd w:val="clear" w:color="auto" w:fill="C4EFCE"/>
            <w:tcMar>
              <w:left w:w="28" w:type="dxa"/>
              <w:right w:w="28" w:type="dxa"/>
            </w:tcMar>
            <w:vAlign w:val="center"/>
            <w:hideMark/>
          </w:tcPr>
          <w:p w14:paraId="01EFD0C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7.9</w:t>
            </w:r>
          </w:p>
        </w:tc>
        <w:tc>
          <w:tcPr>
            <w:tcW w:w="1276" w:type="dxa"/>
            <w:shd w:val="clear" w:color="auto" w:fill="C4EFCE"/>
            <w:noWrap/>
            <w:tcMar>
              <w:left w:w="28" w:type="dxa"/>
              <w:right w:w="28" w:type="dxa"/>
            </w:tcMar>
            <w:vAlign w:val="center"/>
            <w:hideMark/>
          </w:tcPr>
          <w:p w14:paraId="68287771" w14:textId="6EB778D8"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C07-i03</w:t>
            </w:r>
          </w:p>
        </w:tc>
        <w:tc>
          <w:tcPr>
            <w:tcW w:w="1134" w:type="dxa"/>
            <w:shd w:val="clear" w:color="auto" w:fill="C4EFCE"/>
            <w:noWrap/>
            <w:tcMar>
              <w:left w:w="28" w:type="dxa"/>
              <w:right w:w="28" w:type="dxa"/>
            </w:tcMar>
            <w:vAlign w:val="center"/>
            <w:hideMark/>
          </w:tcPr>
          <w:p w14:paraId="737B298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56F4299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Prvé posúdenie vplyvov na životné prostredie dokončené</w:t>
            </w:r>
          </w:p>
        </w:tc>
        <w:tc>
          <w:tcPr>
            <w:tcW w:w="1275" w:type="dxa"/>
            <w:shd w:val="clear" w:color="auto" w:fill="C4EFCE"/>
            <w:noWrap/>
            <w:tcMar>
              <w:left w:w="28" w:type="dxa"/>
              <w:right w:w="28" w:type="dxa"/>
            </w:tcMar>
            <w:vAlign w:val="center"/>
            <w:hideMark/>
          </w:tcPr>
          <w:p w14:paraId="6FEC0C5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Ukončenie posudzovania vplyvov na životné prostredie</w:t>
            </w:r>
          </w:p>
        </w:tc>
        <w:tc>
          <w:tcPr>
            <w:tcW w:w="752" w:type="dxa"/>
            <w:shd w:val="clear" w:color="auto" w:fill="C4EFCE"/>
            <w:noWrap/>
            <w:tcMar>
              <w:left w:w="28" w:type="dxa"/>
              <w:right w:w="28" w:type="dxa"/>
            </w:tcMar>
            <w:vAlign w:val="center"/>
            <w:hideMark/>
          </w:tcPr>
          <w:p w14:paraId="4DA3912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246" w:type="dxa"/>
            <w:shd w:val="clear" w:color="auto" w:fill="C4EFCE"/>
            <w:noWrap/>
            <w:tcMar>
              <w:left w:w="28" w:type="dxa"/>
              <w:right w:w="28" w:type="dxa"/>
            </w:tcMar>
            <w:vAlign w:val="center"/>
            <w:hideMark/>
          </w:tcPr>
          <w:p w14:paraId="1704235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696" w:type="dxa"/>
            <w:shd w:val="clear" w:color="auto" w:fill="C4EFCE"/>
            <w:noWrap/>
            <w:tcMar>
              <w:left w:w="28" w:type="dxa"/>
              <w:right w:w="28" w:type="dxa"/>
            </w:tcMar>
            <w:vAlign w:val="center"/>
            <w:hideMark/>
          </w:tcPr>
          <w:p w14:paraId="14CD885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58" w:type="dxa"/>
            <w:shd w:val="clear" w:color="auto" w:fill="C4EFCE"/>
            <w:noWrap/>
            <w:tcMar>
              <w:left w:w="28" w:type="dxa"/>
              <w:right w:w="28" w:type="dxa"/>
            </w:tcMar>
            <w:vAlign w:val="center"/>
            <w:hideMark/>
          </w:tcPr>
          <w:p w14:paraId="2BF45E7A" w14:textId="01F35FB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17" w:type="dxa"/>
            <w:shd w:val="clear" w:color="auto" w:fill="C4EFCE"/>
            <w:noWrap/>
            <w:tcMar>
              <w:left w:w="28" w:type="dxa"/>
              <w:right w:w="28" w:type="dxa"/>
            </w:tcMar>
            <w:vAlign w:val="center"/>
            <w:hideMark/>
          </w:tcPr>
          <w:p w14:paraId="58D9453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69" w:type="dxa"/>
            <w:shd w:val="clear" w:color="auto" w:fill="C4EFCE"/>
            <w:tcMar>
              <w:left w:w="28" w:type="dxa"/>
              <w:right w:w="28" w:type="dxa"/>
            </w:tcMar>
            <w:vAlign w:val="center"/>
            <w:hideMark/>
          </w:tcPr>
          <w:p w14:paraId="2242039D"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Dokončilo sa posudzovanie vplyvov jedného cestného projektu na životné prostredie.</w:t>
            </w:r>
          </w:p>
        </w:tc>
      </w:tr>
      <w:tr w:rsidR="00387C70" w:rsidRPr="003F23AC" w14:paraId="18BA168D" w14:textId="77777777" w:rsidTr="009E4E5C">
        <w:trPr>
          <w:trHeight w:val="420"/>
          <w:tblHeader/>
        </w:trPr>
        <w:tc>
          <w:tcPr>
            <w:tcW w:w="1135" w:type="dxa"/>
            <w:shd w:val="clear" w:color="auto" w:fill="C4EFCE"/>
            <w:tcMar>
              <w:left w:w="28" w:type="dxa"/>
              <w:right w:w="28" w:type="dxa"/>
            </w:tcMar>
            <w:vAlign w:val="center"/>
            <w:hideMark/>
          </w:tcPr>
          <w:p w14:paraId="37F6747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7.10</w:t>
            </w:r>
          </w:p>
        </w:tc>
        <w:tc>
          <w:tcPr>
            <w:tcW w:w="1276" w:type="dxa"/>
            <w:shd w:val="clear" w:color="auto" w:fill="C4EFCE"/>
            <w:noWrap/>
            <w:tcMar>
              <w:left w:w="28" w:type="dxa"/>
              <w:right w:w="28" w:type="dxa"/>
            </w:tcMar>
            <w:vAlign w:val="center"/>
            <w:hideMark/>
          </w:tcPr>
          <w:p w14:paraId="04DFE7C9" w14:textId="20EA4E4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C07-i03</w:t>
            </w:r>
          </w:p>
        </w:tc>
        <w:tc>
          <w:tcPr>
            <w:tcW w:w="1134" w:type="dxa"/>
            <w:shd w:val="clear" w:color="auto" w:fill="C4EFCE"/>
            <w:noWrap/>
            <w:tcMar>
              <w:left w:w="28" w:type="dxa"/>
              <w:right w:w="28" w:type="dxa"/>
            </w:tcMar>
            <w:vAlign w:val="center"/>
            <w:hideMark/>
          </w:tcPr>
          <w:p w14:paraId="1CCBAD9D" w14:textId="5E27E363"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4CD01E3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Vybudované alebo rekultivované cesty</w:t>
            </w:r>
          </w:p>
        </w:tc>
        <w:tc>
          <w:tcPr>
            <w:tcW w:w="1275" w:type="dxa"/>
            <w:shd w:val="clear" w:color="auto" w:fill="C4EFCE"/>
            <w:noWrap/>
            <w:tcMar>
              <w:left w:w="28" w:type="dxa"/>
              <w:right w:w="28" w:type="dxa"/>
            </w:tcMar>
            <w:vAlign w:val="center"/>
            <w:hideMark/>
          </w:tcPr>
          <w:p w14:paraId="672467C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52" w:type="dxa"/>
            <w:shd w:val="clear" w:color="auto" w:fill="C4EFCE"/>
            <w:noWrap/>
            <w:tcMar>
              <w:left w:w="28" w:type="dxa"/>
              <w:right w:w="28" w:type="dxa"/>
            </w:tcMar>
            <w:vAlign w:val="center"/>
            <w:hideMark/>
          </w:tcPr>
          <w:p w14:paraId="7AADBC1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km</w:t>
            </w:r>
          </w:p>
        </w:tc>
        <w:tc>
          <w:tcPr>
            <w:tcW w:w="1246" w:type="dxa"/>
            <w:shd w:val="clear" w:color="auto" w:fill="C4EFCE"/>
            <w:noWrap/>
            <w:tcMar>
              <w:left w:w="28" w:type="dxa"/>
              <w:right w:w="28" w:type="dxa"/>
            </w:tcMar>
            <w:vAlign w:val="center"/>
            <w:hideMark/>
          </w:tcPr>
          <w:p w14:paraId="7615C22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696" w:type="dxa"/>
            <w:shd w:val="clear" w:color="auto" w:fill="C4EFCE"/>
            <w:noWrap/>
            <w:tcMar>
              <w:left w:w="28" w:type="dxa"/>
              <w:right w:w="28" w:type="dxa"/>
            </w:tcMar>
            <w:vAlign w:val="center"/>
            <w:hideMark/>
          </w:tcPr>
          <w:p w14:paraId="3BC63F7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30</w:t>
            </w:r>
          </w:p>
        </w:tc>
        <w:tc>
          <w:tcPr>
            <w:tcW w:w="858" w:type="dxa"/>
            <w:shd w:val="clear" w:color="auto" w:fill="C4EFCE"/>
            <w:noWrap/>
            <w:tcMar>
              <w:left w:w="28" w:type="dxa"/>
              <w:right w:w="28" w:type="dxa"/>
            </w:tcMar>
            <w:vAlign w:val="center"/>
            <w:hideMark/>
          </w:tcPr>
          <w:p w14:paraId="3F7E78D9" w14:textId="52DD794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17" w:type="dxa"/>
            <w:shd w:val="clear" w:color="auto" w:fill="C4EFCE"/>
            <w:noWrap/>
            <w:tcMar>
              <w:left w:w="28" w:type="dxa"/>
              <w:right w:w="28" w:type="dxa"/>
            </w:tcMar>
            <w:vAlign w:val="center"/>
            <w:hideMark/>
          </w:tcPr>
          <w:p w14:paraId="71EEFFE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78DB863F" w14:textId="2085F39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Km ciest vybudovaných alebo rekonštruovaných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technickými špecifikáciami verejnej súťaže, ktoré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plnej miere zahŕňajú všetky výsledky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podmienky</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posúdenia vplyvov na životné prostredie.</w:t>
            </w:r>
          </w:p>
        </w:tc>
      </w:tr>
      <w:tr w:rsidR="00387C70" w:rsidRPr="003F23AC" w14:paraId="5BBC378C" w14:textId="77777777" w:rsidTr="009E4E5C">
        <w:trPr>
          <w:trHeight w:val="420"/>
          <w:tblHeader/>
        </w:trPr>
        <w:tc>
          <w:tcPr>
            <w:tcW w:w="1135" w:type="dxa"/>
            <w:shd w:val="clear" w:color="auto" w:fill="C4EFCE"/>
            <w:tcMar>
              <w:left w:w="28" w:type="dxa"/>
              <w:right w:w="28" w:type="dxa"/>
            </w:tcMar>
            <w:vAlign w:val="center"/>
            <w:hideMark/>
          </w:tcPr>
          <w:p w14:paraId="35FFD5D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7.11</w:t>
            </w:r>
          </w:p>
        </w:tc>
        <w:tc>
          <w:tcPr>
            <w:tcW w:w="1276" w:type="dxa"/>
            <w:shd w:val="clear" w:color="auto" w:fill="C4EFCE"/>
            <w:noWrap/>
            <w:tcMar>
              <w:left w:w="28" w:type="dxa"/>
              <w:right w:w="28" w:type="dxa"/>
            </w:tcMar>
            <w:vAlign w:val="center"/>
            <w:hideMark/>
          </w:tcPr>
          <w:p w14:paraId="32BBA945" w14:textId="660A8954"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C07-i04</w:t>
            </w:r>
          </w:p>
        </w:tc>
        <w:tc>
          <w:tcPr>
            <w:tcW w:w="1134" w:type="dxa"/>
            <w:shd w:val="clear" w:color="auto" w:fill="C4EFCE"/>
            <w:noWrap/>
            <w:tcMar>
              <w:left w:w="28" w:type="dxa"/>
              <w:right w:w="28" w:type="dxa"/>
            </w:tcMar>
            <w:vAlign w:val="center"/>
            <w:hideMark/>
          </w:tcPr>
          <w:p w14:paraId="645981D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58D6599C" w14:textId="4A6BA11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Zmluva podpísaná pre 10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cestnej dopravy</w:t>
            </w:r>
          </w:p>
        </w:tc>
        <w:tc>
          <w:tcPr>
            <w:tcW w:w="1275" w:type="dxa"/>
            <w:shd w:val="clear" w:color="auto" w:fill="C4EFCE"/>
            <w:noWrap/>
            <w:tcMar>
              <w:left w:w="28" w:type="dxa"/>
              <w:right w:w="28" w:type="dxa"/>
            </w:tcMar>
            <w:vAlign w:val="center"/>
            <w:hideMark/>
          </w:tcPr>
          <w:p w14:paraId="3238AD55" w14:textId="75C0857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Zmluva podpísaná</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dodávateľom pre cestné projekty</w:t>
            </w:r>
          </w:p>
        </w:tc>
        <w:tc>
          <w:tcPr>
            <w:tcW w:w="752" w:type="dxa"/>
            <w:shd w:val="clear" w:color="auto" w:fill="C4EFCE"/>
            <w:noWrap/>
            <w:tcMar>
              <w:left w:w="28" w:type="dxa"/>
              <w:right w:w="28" w:type="dxa"/>
            </w:tcMar>
            <w:vAlign w:val="center"/>
            <w:hideMark/>
          </w:tcPr>
          <w:p w14:paraId="435E72C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246" w:type="dxa"/>
            <w:shd w:val="clear" w:color="auto" w:fill="C4EFCE"/>
            <w:noWrap/>
            <w:tcMar>
              <w:left w:w="28" w:type="dxa"/>
              <w:right w:w="28" w:type="dxa"/>
            </w:tcMar>
            <w:vAlign w:val="center"/>
            <w:hideMark/>
          </w:tcPr>
          <w:p w14:paraId="1966923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696" w:type="dxa"/>
            <w:shd w:val="clear" w:color="auto" w:fill="C4EFCE"/>
            <w:noWrap/>
            <w:tcMar>
              <w:left w:w="28" w:type="dxa"/>
              <w:right w:w="28" w:type="dxa"/>
            </w:tcMar>
            <w:vAlign w:val="center"/>
            <w:hideMark/>
          </w:tcPr>
          <w:p w14:paraId="0F0411D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58" w:type="dxa"/>
            <w:shd w:val="clear" w:color="auto" w:fill="C4EFCE"/>
            <w:noWrap/>
            <w:tcMar>
              <w:left w:w="28" w:type="dxa"/>
              <w:right w:w="28" w:type="dxa"/>
            </w:tcMar>
            <w:vAlign w:val="center"/>
            <w:hideMark/>
          </w:tcPr>
          <w:p w14:paraId="2A2E0282" w14:textId="4C3613F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17" w:type="dxa"/>
            <w:shd w:val="clear" w:color="auto" w:fill="C4EFCE"/>
            <w:noWrap/>
            <w:tcMar>
              <w:left w:w="28" w:type="dxa"/>
              <w:right w:w="28" w:type="dxa"/>
            </w:tcMar>
            <w:vAlign w:val="center"/>
            <w:hideMark/>
          </w:tcPr>
          <w:p w14:paraId="42230A0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69" w:type="dxa"/>
            <w:shd w:val="clear" w:color="auto" w:fill="C4EFCE"/>
            <w:tcMar>
              <w:left w:w="28" w:type="dxa"/>
              <w:right w:w="28" w:type="dxa"/>
            </w:tcMar>
            <w:vAlign w:val="center"/>
            <w:hideMark/>
          </w:tcPr>
          <w:p w14:paraId="55453983" w14:textId="0A570DE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Podpis zmluvných strán dokumentu, ktorým sa riadia ich záväzky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súvislosti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vykonaním prác, za cenu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nadväznosti na verejnú súťaž.</w:t>
            </w:r>
          </w:p>
        </w:tc>
      </w:tr>
      <w:tr w:rsidR="00387C70" w:rsidRPr="003F23AC" w14:paraId="10AD745D" w14:textId="77777777" w:rsidTr="009E4E5C">
        <w:trPr>
          <w:trHeight w:val="420"/>
          <w:tblHeader/>
        </w:trPr>
        <w:tc>
          <w:tcPr>
            <w:tcW w:w="1135" w:type="dxa"/>
            <w:shd w:val="clear" w:color="auto" w:fill="C4EFCE"/>
            <w:tcMar>
              <w:left w:w="28" w:type="dxa"/>
              <w:right w:w="28" w:type="dxa"/>
            </w:tcMar>
            <w:vAlign w:val="center"/>
            <w:hideMark/>
          </w:tcPr>
          <w:p w14:paraId="5EABD15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7.12</w:t>
            </w:r>
          </w:p>
        </w:tc>
        <w:tc>
          <w:tcPr>
            <w:tcW w:w="1276" w:type="dxa"/>
            <w:shd w:val="clear" w:color="auto" w:fill="C4EFCE"/>
            <w:noWrap/>
            <w:tcMar>
              <w:left w:w="28" w:type="dxa"/>
              <w:right w:w="28" w:type="dxa"/>
            </w:tcMar>
            <w:vAlign w:val="center"/>
            <w:hideMark/>
          </w:tcPr>
          <w:p w14:paraId="008B14DC" w14:textId="56939388"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C07-i04</w:t>
            </w:r>
          </w:p>
        </w:tc>
        <w:tc>
          <w:tcPr>
            <w:tcW w:w="1134" w:type="dxa"/>
            <w:shd w:val="clear" w:color="auto" w:fill="C4EFCE"/>
            <w:noWrap/>
            <w:tcMar>
              <w:left w:w="28" w:type="dxa"/>
              <w:right w:w="28" w:type="dxa"/>
            </w:tcMar>
            <w:vAlign w:val="center"/>
            <w:hideMark/>
          </w:tcPr>
          <w:p w14:paraId="72ABE102" w14:textId="51526E03"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46E4068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Vybudované alebo rekultivované cesty</w:t>
            </w:r>
          </w:p>
        </w:tc>
        <w:tc>
          <w:tcPr>
            <w:tcW w:w="1275" w:type="dxa"/>
            <w:shd w:val="clear" w:color="auto" w:fill="C4EFCE"/>
            <w:noWrap/>
            <w:tcMar>
              <w:left w:w="28" w:type="dxa"/>
              <w:right w:w="28" w:type="dxa"/>
            </w:tcMar>
            <w:vAlign w:val="center"/>
            <w:hideMark/>
          </w:tcPr>
          <w:p w14:paraId="34DC727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52" w:type="dxa"/>
            <w:shd w:val="clear" w:color="auto" w:fill="C4EFCE"/>
            <w:noWrap/>
            <w:tcMar>
              <w:left w:w="28" w:type="dxa"/>
              <w:right w:w="28" w:type="dxa"/>
            </w:tcMar>
            <w:vAlign w:val="center"/>
            <w:hideMark/>
          </w:tcPr>
          <w:p w14:paraId="08211DC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km</w:t>
            </w:r>
          </w:p>
        </w:tc>
        <w:tc>
          <w:tcPr>
            <w:tcW w:w="1246" w:type="dxa"/>
            <w:shd w:val="clear" w:color="auto" w:fill="C4EFCE"/>
            <w:noWrap/>
            <w:tcMar>
              <w:left w:w="28" w:type="dxa"/>
              <w:right w:w="28" w:type="dxa"/>
            </w:tcMar>
            <w:vAlign w:val="center"/>
            <w:hideMark/>
          </w:tcPr>
          <w:p w14:paraId="797EF74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696" w:type="dxa"/>
            <w:shd w:val="clear" w:color="auto" w:fill="C4EFCE"/>
            <w:noWrap/>
            <w:tcMar>
              <w:left w:w="28" w:type="dxa"/>
              <w:right w:w="28" w:type="dxa"/>
            </w:tcMar>
            <w:vAlign w:val="center"/>
            <w:hideMark/>
          </w:tcPr>
          <w:p w14:paraId="16E18FA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42</w:t>
            </w:r>
          </w:p>
        </w:tc>
        <w:tc>
          <w:tcPr>
            <w:tcW w:w="858" w:type="dxa"/>
            <w:shd w:val="clear" w:color="auto" w:fill="C4EFCE"/>
            <w:noWrap/>
            <w:tcMar>
              <w:left w:w="28" w:type="dxa"/>
              <w:right w:w="28" w:type="dxa"/>
            </w:tcMar>
            <w:vAlign w:val="center"/>
            <w:hideMark/>
          </w:tcPr>
          <w:p w14:paraId="664FBA60" w14:textId="5B268B3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17" w:type="dxa"/>
            <w:shd w:val="clear" w:color="auto" w:fill="C4EFCE"/>
            <w:noWrap/>
            <w:tcMar>
              <w:left w:w="28" w:type="dxa"/>
              <w:right w:w="28" w:type="dxa"/>
            </w:tcMar>
            <w:vAlign w:val="center"/>
            <w:hideMark/>
          </w:tcPr>
          <w:p w14:paraId="1BADD92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776FA22C" w14:textId="13E27FF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Km ciest vybudovaných alebo rekonštruovaných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technickými špecifikáciami verejnej súťaže, ktoré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plnej miere zahŕňajú všetky výsledky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podmienky</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posúdenia vplyvov na životné prostredie.</w:t>
            </w:r>
          </w:p>
        </w:tc>
      </w:tr>
    </w:tbl>
    <w:p w14:paraId="7B849270"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29354AB7"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179A26C8"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FD562E">
          <w:headerReference w:type="even" r:id="rId162"/>
          <w:headerReference w:type="default" r:id="rId163"/>
          <w:footerReference w:type="even" r:id="rId164"/>
          <w:footerReference w:type="default" r:id="rId165"/>
          <w:headerReference w:type="first" r:id="rId166"/>
          <w:footerReference w:type="first" r:id="rId167"/>
          <w:pgSz w:w="16839" w:h="11907" w:orient="landscape"/>
          <w:pgMar w:top="1134" w:right="1134" w:bottom="1134" w:left="1134" w:header="567" w:footer="567" w:gutter="0"/>
          <w:cols w:space="720"/>
          <w:docGrid w:linePitch="360"/>
        </w:sectPr>
      </w:pPr>
    </w:p>
    <w:p w14:paraId="77E856F9" w14:textId="777B9141"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H</w:t>
      </w:r>
      <w:r w:rsidR="00C32C63" w:rsidRPr="003F23AC">
        <w:rPr>
          <w:rFonts w:cs="Times New Roman"/>
          <w:noProof/>
          <w:lang w:val="sk-SK"/>
        </w:rPr>
        <w:t>. KOMPONENT</w:t>
      </w:r>
      <w:r w:rsidRPr="003F23AC">
        <w:rPr>
          <w:rFonts w:cs="Times New Roman"/>
          <w:noProof/>
          <w:lang w:val="sk-SK"/>
        </w:rPr>
        <w:t xml:space="preserve"> 8: Lesy</w:t>
      </w:r>
    </w:p>
    <w:p w14:paraId="4A71D088" w14:textId="1E338A4B"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Zložka sa zaoberá týmito výzvami: sociálno-ekonomický</w:t>
      </w:r>
      <w:r w:rsidR="00A75B3C" w:rsidRPr="003F23AC">
        <w:rPr>
          <w:rFonts w:cs="Times New Roman"/>
          <w:noProof/>
          <w:lang w:val="sk-SK"/>
        </w:rPr>
        <w:t xml:space="preserve"> a </w:t>
      </w:r>
      <w:r w:rsidRPr="003F23AC">
        <w:rPr>
          <w:rFonts w:cs="Times New Roman"/>
          <w:noProof/>
          <w:lang w:val="sk-SK"/>
        </w:rPr>
        <w:t>demografický pokles vo vidieckych oblastiach, existencia rozsiahlych oblastí bez aktívneho riadenia</w:t>
      </w:r>
      <w:r w:rsidR="00A75B3C" w:rsidRPr="003F23AC">
        <w:rPr>
          <w:rFonts w:cs="Times New Roman"/>
          <w:noProof/>
          <w:lang w:val="sk-SK"/>
        </w:rPr>
        <w:t xml:space="preserve"> s </w:t>
      </w:r>
      <w:r w:rsidRPr="003F23AC">
        <w:rPr>
          <w:rFonts w:cs="Times New Roman"/>
          <w:noProof/>
          <w:lang w:val="sk-SK"/>
        </w:rPr>
        <w:t>cieľom predchádzať požiarom alebo chrániť biodiverzitu</w:t>
      </w:r>
      <w:r w:rsidR="00A75B3C" w:rsidRPr="003F23AC">
        <w:rPr>
          <w:rFonts w:cs="Times New Roman"/>
          <w:noProof/>
          <w:lang w:val="sk-SK"/>
        </w:rPr>
        <w:t xml:space="preserve"> a </w:t>
      </w:r>
      <w:r w:rsidRPr="003F23AC">
        <w:rPr>
          <w:rFonts w:cs="Times New Roman"/>
          <w:noProof/>
          <w:lang w:val="sk-SK"/>
        </w:rPr>
        <w:t>veľmi roztrieštené súkromné vlastníctvo pôdy. Odchod obyvateľstva do hlavných mestských centier</w:t>
      </w:r>
      <w:r w:rsidR="00A75B3C" w:rsidRPr="003F23AC">
        <w:rPr>
          <w:rFonts w:cs="Times New Roman"/>
          <w:noProof/>
          <w:lang w:val="sk-SK"/>
        </w:rPr>
        <w:t xml:space="preserve"> a </w:t>
      </w:r>
      <w:r w:rsidRPr="003F23AC">
        <w:rPr>
          <w:rFonts w:cs="Times New Roman"/>
          <w:noProof/>
          <w:lang w:val="sk-SK"/>
        </w:rPr>
        <w:t>postupné starnutie vidieckeho obyvateľstva viedli</w:t>
      </w:r>
      <w:r w:rsidR="00A75B3C" w:rsidRPr="003F23AC">
        <w:rPr>
          <w:rFonts w:cs="Times New Roman"/>
          <w:noProof/>
          <w:lang w:val="sk-SK"/>
        </w:rPr>
        <w:t xml:space="preserve"> k </w:t>
      </w:r>
      <w:r w:rsidRPr="003F23AC">
        <w:rPr>
          <w:rFonts w:cs="Times New Roman"/>
          <w:noProof/>
          <w:lang w:val="sk-SK"/>
        </w:rPr>
        <w:t>opúšťaniu vidieckych území</w:t>
      </w:r>
      <w:r w:rsidR="00A75B3C" w:rsidRPr="003F23AC">
        <w:rPr>
          <w:rFonts w:cs="Times New Roman"/>
          <w:noProof/>
          <w:lang w:val="sk-SK"/>
        </w:rPr>
        <w:t xml:space="preserve"> a </w:t>
      </w:r>
      <w:r w:rsidRPr="003F23AC">
        <w:rPr>
          <w:rFonts w:cs="Times New Roman"/>
          <w:noProof/>
          <w:lang w:val="sk-SK"/>
        </w:rPr>
        <w:t>tradičných primárnych hospodárskych odvetví. To viedlo</w:t>
      </w:r>
      <w:r w:rsidR="00A75B3C" w:rsidRPr="003F23AC">
        <w:rPr>
          <w:rFonts w:cs="Times New Roman"/>
          <w:noProof/>
          <w:lang w:val="sk-SK"/>
        </w:rPr>
        <w:t xml:space="preserve"> k </w:t>
      </w:r>
      <w:r w:rsidRPr="003F23AC">
        <w:rPr>
          <w:rFonts w:cs="Times New Roman"/>
          <w:noProof/>
          <w:lang w:val="sk-SK"/>
        </w:rPr>
        <w:t>postupnému rozširovaniu lesných oblastí, neplánovaných</w:t>
      </w:r>
      <w:r w:rsidR="00A75B3C" w:rsidRPr="003F23AC">
        <w:rPr>
          <w:rFonts w:cs="Times New Roman"/>
          <w:noProof/>
          <w:lang w:val="sk-SK"/>
        </w:rPr>
        <w:t xml:space="preserve"> a </w:t>
      </w:r>
      <w:r w:rsidRPr="003F23AC">
        <w:rPr>
          <w:rFonts w:cs="Times New Roman"/>
          <w:noProof/>
          <w:lang w:val="sk-SK"/>
        </w:rPr>
        <w:t>neobhospodarovaných</w:t>
      </w:r>
      <w:r w:rsidR="00A75B3C" w:rsidRPr="003F23AC">
        <w:rPr>
          <w:rFonts w:cs="Times New Roman"/>
          <w:noProof/>
          <w:lang w:val="sk-SK"/>
        </w:rPr>
        <w:t xml:space="preserve"> a s </w:t>
      </w:r>
      <w:r w:rsidRPr="003F23AC">
        <w:rPr>
          <w:rFonts w:cs="Times New Roman"/>
          <w:noProof/>
          <w:lang w:val="sk-SK"/>
        </w:rPr>
        <w:t>vysokou koncentráciou paliva. Tieto oblasti sú vo veľkej miere vystavené nebezpečenstvu požiarov na vidieku, ktoré môžu mať za následok straty na ľudských životoch, rozsiahle škody na pôde</w:t>
      </w:r>
      <w:r w:rsidR="00A75B3C" w:rsidRPr="003F23AC">
        <w:rPr>
          <w:rFonts w:cs="Times New Roman"/>
          <w:noProof/>
          <w:lang w:val="sk-SK"/>
        </w:rPr>
        <w:t xml:space="preserve"> a </w:t>
      </w:r>
      <w:r w:rsidRPr="003F23AC">
        <w:rPr>
          <w:rFonts w:cs="Times New Roman"/>
          <w:noProof/>
          <w:lang w:val="sk-SK"/>
        </w:rPr>
        <w:t>majetku</w:t>
      </w:r>
      <w:r w:rsidR="00A75B3C" w:rsidRPr="003F23AC">
        <w:rPr>
          <w:rFonts w:cs="Times New Roman"/>
          <w:noProof/>
          <w:lang w:val="sk-SK"/>
        </w:rPr>
        <w:t xml:space="preserve"> a </w:t>
      </w:r>
      <w:r w:rsidRPr="003F23AC">
        <w:rPr>
          <w:rFonts w:cs="Times New Roman"/>
          <w:noProof/>
          <w:lang w:val="sk-SK"/>
        </w:rPr>
        <w:t>ničenie lesov</w:t>
      </w:r>
      <w:r w:rsidR="00A75B3C" w:rsidRPr="003F23AC">
        <w:rPr>
          <w:rFonts w:cs="Times New Roman"/>
          <w:noProof/>
          <w:lang w:val="sk-SK"/>
        </w:rPr>
        <w:t xml:space="preserve"> a </w:t>
      </w:r>
      <w:r w:rsidRPr="003F23AC">
        <w:rPr>
          <w:rFonts w:cs="Times New Roman"/>
          <w:noProof/>
          <w:lang w:val="sk-SK"/>
        </w:rPr>
        <w:t>tovarov</w:t>
      </w:r>
      <w:r w:rsidR="00A75B3C" w:rsidRPr="003F23AC">
        <w:rPr>
          <w:rFonts w:cs="Times New Roman"/>
          <w:noProof/>
          <w:lang w:val="sk-SK"/>
        </w:rPr>
        <w:t xml:space="preserve"> a </w:t>
      </w:r>
      <w:r w:rsidRPr="003F23AC">
        <w:rPr>
          <w:rFonts w:cs="Times New Roman"/>
          <w:noProof/>
          <w:lang w:val="sk-SK"/>
        </w:rPr>
        <w:t>služieb, ktoré vytvárajú. Portugalsko je krajinou južnej Európy</w:t>
      </w:r>
      <w:r w:rsidR="00A75B3C" w:rsidRPr="003F23AC">
        <w:rPr>
          <w:rFonts w:cs="Times New Roman"/>
          <w:noProof/>
          <w:lang w:val="sk-SK"/>
        </w:rPr>
        <w:t xml:space="preserve"> s </w:t>
      </w:r>
      <w:r w:rsidRPr="003F23AC">
        <w:rPr>
          <w:rFonts w:cs="Times New Roman"/>
          <w:noProof/>
          <w:lang w:val="sk-SK"/>
        </w:rPr>
        <w:t>najväčším podielom spálenej oblasti na vidieku</w:t>
      </w:r>
      <w:r w:rsidR="00A75B3C" w:rsidRPr="003F23AC">
        <w:rPr>
          <w:rFonts w:cs="Times New Roman"/>
          <w:noProof/>
          <w:lang w:val="sk-SK"/>
        </w:rPr>
        <w:t xml:space="preserve"> a </w:t>
      </w:r>
      <w:r w:rsidRPr="003F23AC">
        <w:rPr>
          <w:rFonts w:cs="Times New Roman"/>
          <w:noProof/>
          <w:lang w:val="sk-SK"/>
        </w:rPr>
        <w:t>najvyšším priemerným počtom požiarov. Podľa Európskeho informačného systému</w:t>
      </w:r>
      <w:r w:rsidR="00A75B3C" w:rsidRPr="003F23AC">
        <w:rPr>
          <w:rFonts w:cs="Times New Roman"/>
          <w:noProof/>
          <w:lang w:val="sk-SK"/>
        </w:rPr>
        <w:t xml:space="preserve"> o </w:t>
      </w:r>
      <w:r w:rsidRPr="003F23AC">
        <w:rPr>
          <w:rFonts w:cs="Times New Roman"/>
          <w:noProof/>
          <w:lang w:val="sk-SK"/>
        </w:rPr>
        <w:t>lesných požiaroch (EFFIS) bolo</w:t>
      </w:r>
      <w:r w:rsidR="00A75B3C" w:rsidRPr="003F23AC">
        <w:rPr>
          <w:rFonts w:cs="Times New Roman"/>
          <w:noProof/>
          <w:lang w:val="sk-SK"/>
        </w:rPr>
        <w:t xml:space="preserve"> v </w:t>
      </w:r>
      <w:r w:rsidRPr="003F23AC">
        <w:rPr>
          <w:rFonts w:cs="Times New Roman"/>
          <w:noProof/>
          <w:lang w:val="sk-SK"/>
        </w:rPr>
        <w:t>rokoch 2015 až 2019 spálených</w:t>
      </w:r>
      <w:r w:rsidR="00A75B3C" w:rsidRPr="003F23AC">
        <w:rPr>
          <w:rFonts w:cs="Times New Roman"/>
          <w:noProof/>
          <w:lang w:val="sk-SK"/>
        </w:rPr>
        <w:t xml:space="preserve"> v </w:t>
      </w:r>
      <w:r w:rsidRPr="003F23AC">
        <w:rPr>
          <w:rFonts w:cs="Times New Roman"/>
          <w:noProof/>
          <w:lang w:val="sk-SK"/>
        </w:rPr>
        <w:t>priemere približne 169000 hektárov ročne</w:t>
      </w:r>
      <w:r w:rsidR="00A75B3C" w:rsidRPr="003F23AC">
        <w:rPr>
          <w:rFonts w:cs="Times New Roman"/>
          <w:noProof/>
          <w:lang w:val="sk-SK"/>
        </w:rPr>
        <w:t>.</w:t>
      </w:r>
    </w:p>
    <w:p w14:paraId="6BBC5F8A" w14:textId="7777777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Ciele tejto zložky sú</w:t>
      </w:r>
      <w:r w:rsidR="00A75B3C" w:rsidRPr="003F23AC">
        <w:rPr>
          <w:rFonts w:cs="Times New Roman"/>
          <w:noProof/>
          <w:lang w:val="sk-SK"/>
        </w:rPr>
        <w:t>:</w:t>
      </w:r>
    </w:p>
    <w:p w14:paraId="0989C646" w14:textId="5B9178CF" w:rsidR="00A75B3C" w:rsidRPr="003F23AC" w:rsidRDefault="000F5AA4" w:rsidP="003F23AC">
      <w:pPr>
        <w:pStyle w:val="P68B1DB1-Normal4"/>
        <w:numPr>
          <w:ilvl w:val="0"/>
          <w:numId w:val="25"/>
        </w:numPr>
        <w:spacing w:before="40" w:after="160" w:line="259" w:lineRule="auto"/>
        <w:contextualSpacing/>
        <w:jc w:val="both"/>
        <w:rPr>
          <w:rFonts w:cs="Times New Roman"/>
          <w:noProof/>
          <w:lang w:val="sk-SK"/>
        </w:rPr>
      </w:pPr>
      <w:r w:rsidRPr="003F23AC">
        <w:rPr>
          <w:rFonts w:cs="Times New Roman"/>
          <w:noProof/>
          <w:lang w:val="sk-SK"/>
        </w:rPr>
        <w:t>podporovať aktívne plánovanie</w:t>
      </w:r>
      <w:r w:rsidR="00A75B3C" w:rsidRPr="003F23AC">
        <w:rPr>
          <w:rFonts w:cs="Times New Roman"/>
          <w:noProof/>
          <w:lang w:val="sk-SK"/>
        </w:rPr>
        <w:t xml:space="preserve"> a </w:t>
      </w:r>
      <w:r w:rsidRPr="003F23AC">
        <w:rPr>
          <w:rFonts w:cs="Times New Roman"/>
          <w:noProof/>
          <w:lang w:val="sk-SK"/>
        </w:rPr>
        <w:t>obhospodarovanie zraniteľnej poľnohospodárskej</w:t>
      </w:r>
      <w:r w:rsidR="00A75B3C" w:rsidRPr="003F23AC">
        <w:rPr>
          <w:rFonts w:cs="Times New Roman"/>
          <w:noProof/>
          <w:lang w:val="sk-SK"/>
        </w:rPr>
        <w:t xml:space="preserve"> a </w:t>
      </w:r>
      <w:r w:rsidRPr="003F23AC">
        <w:rPr>
          <w:rFonts w:cs="Times New Roman"/>
          <w:noProof/>
          <w:lang w:val="sk-SK"/>
        </w:rPr>
        <w:t>lesnej pôdy</w:t>
      </w:r>
      <w:r w:rsidR="00A75B3C" w:rsidRPr="003F23AC">
        <w:rPr>
          <w:rFonts w:cs="Times New Roman"/>
          <w:noProof/>
          <w:lang w:val="sk-SK"/>
        </w:rPr>
        <w:t xml:space="preserve"> s </w:t>
      </w:r>
      <w:r w:rsidRPr="003F23AC">
        <w:rPr>
          <w:rFonts w:cs="Times New Roman"/>
          <w:noProof/>
          <w:lang w:val="sk-SK"/>
        </w:rPr>
        <w:t>vysokou environmentálnou hodnotou</w:t>
      </w:r>
      <w:r w:rsidR="00A75B3C" w:rsidRPr="003F23AC">
        <w:rPr>
          <w:rFonts w:cs="Times New Roman"/>
          <w:noProof/>
          <w:lang w:val="sk-SK"/>
        </w:rPr>
        <w:t>;</w:t>
      </w:r>
    </w:p>
    <w:p w14:paraId="54F09B1A" w14:textId="4FC50DDB" w:rsidR="00A75B3C" w:rsidRPr="003F23AC" w:rsidRDefault="000F5AA4" w:rsidP="003F23AC">
      <w:pPr>
        <w:pStyle w:val="P68B1DB1-Normal4"/>
        <w:numPr>
          <w:ilvl w:val="0"/>
          <w:numId w:val="25"/>
        </w:numPr>
        <w:spacing w:before="40" w:after="160" w:line="259" w:lineRule="auto"/>
        <w:contextualSpacing/>
        <w:jc w:val="both"/>
        <w:rPr>
          <w:rFonts w:cs="Times New Roman"/>
          <w:noProof/>
          <w:lang w:val="sk-SK"/>
        </w:rPr>
      </w:pPr>
      <w:r w:rsidRPr="003F23AC">
        <w:rPr>
          <w:rFonts w:cs="Times New Roman"/>
          <w:noProof/>
          <w:lang w:val="sk-SK"/>
        </w:rPr>
        <w:t>chrániť biodiverzitu podporou obnovy poľnohospodárskych</w:t>
      </w:r>
      <w:r w:rsidR="00A75B3C" w:rsidRPr="003F23AC">
        <w:rPr>
          <w:rFonts w:cs="Times New Roman"/>
          <w:noProof/>
          <w:lang w:val="sk-SK"/>
        </w:rPr>
        <w:t xml:space="preserve"> a </w:t>
      </w:r>
      <w:r w:rsidRPr="003F23AC">
        <w:rPr>
          <w:rFonts w:cs="Times New Roman"/>
          <w:noProof/>
          <w:lang w:val="sk-SK"/>
        </w:rPr>
        <w:t>lesných ekosystémov, najmä</w:t>
      </w:r>
      <w:r w:rsidR="00A75B3C" w:rsidRPr="003F23AC">
        <w:rPr>
          <w:rFonts w:cs="Times New Roman"/>
          <w:noProof/>
          <w:lang w:val="sk-SK"/>
        </w:rPr>
        <w:t xml:space="preserve"> v </w:t>
      </w:r>
      <w:r w:rsidRPr="003F23AC">
        <w:rPr>
          <w:rFonts w:cs="Times New Roman"/>
          <w:noProof/>
          <w:lang w:val="sk-SK"/>
        </w:rPr>
        <w:t>spálených oblastiach</w:t>
      </w:r>
      <w:r w:rsidR="00A75B3C" w:rsidRPr="003F23AC">
        <w:rPr>
          <w:rFonts w:cs="Times New Roman"/>
          <w:noProof/>
          <w:lang w:val="sk-SK"/>
        </w:rPr>
        <w:t>;</w:t>
      </w:r>
    </w:p>
    <w:p w14:paraId="37979139" w14:textId="77777777" w:rsidR="00A75B3C" w:rsidRPr="003F23AC" w:rsidRDefault="000F5AA4" w:rsidP="003F23AC">
      <w:pPr>
        <w:pStyle w:val="P68B1DB1-Normal4"/>
        <w:numPr>
          <w:ilvl w:val="0"/>
          <w:numId w:val="25"/>
        </w:numPr>
        <w:spacing w:before="40" w:after="160" w:line="259" w:lineRule="auto"/>
        <w:contextualSpacing/>
        <w:jc w:val="both"/>
        <w:rPr>
          <w:rFonts w:cs="Times New Roman"/>
          <w:noProof/>
          <w:lang w:val="sk-SK"/>
        </w:rPr>
      </w:pPr>
      <w:r w:rsidRPr="003F23AC">
        <w:rPr>
          <w:rFonts w:cs="Times New Roman"/>
          <w:noProof/>
          <w:lang w:val="sk-SK"/>
        </w:rPr>
        <w:t>prispievať</w:t>
      </w:r>
      <w:r w:rsidR="00A75B3C" w:rsidRPr="003F23AC">
        <w:rPr>
          <w:rFonts w:cs="Times New Roman"/>
          <w:noProof/>
          <w:lang w:val="sk-SK"/>
        </w:rPr>
        <w:t xml:space="preserve"> k </w:t>
      </w:r>
      <w:r w:rsidRPr="003F23AC">
        <w:rPr>
          <w:rFonts w:cs="Times New Roman"/>
          <w:noProof/>
          <w:lang w:val="sk-SK"/>
        </w:rPr>
        <w:t>územnej súdržnosti</w:t>
      </w:r>
      <w:r w:rsidR="00A75B3C" w:rsidRPr="003F23AC">
        <w:rPr>
          <w:rFonts w:cs="Times New Roman"/>
          <w:noProof/>
          <w:lang w:val="sk-SK"/>
        </w:rPr>
        <w:t xml:space="preserve"> a </w:t>
      </w:r>
      <w:r w:rsidRPr="003F23AC">
        <w:rPr>
          <w:rFonts w:cs="Times New Roman"/>
          <w:noProof/>
          <w:lang w:val="sk-SK"/>
        </w:rPr>
        <w:t>vytváraniu pracovných miest oživením hospodárskych činností vidieckych území;</w:t>
      </w:r>
      <w:r w:rsidR="00A75B3C" w:rsidRPr="003F23AC">
        <w:rPr>
          <w:rFonts w:cs="Times New Roman"/>
          <w:noProof/>
          <w:lang w:val="sk-SK"/>
        </w:rPr>
        <w:t xml:space="preserve"> a </w:t>
      </w:r>
      <w:r w:rsidRPr="003F23AC">
        <w:rPr>
          <w:rFonts w:cs="Times New Roman"/>
          <w:noProof/>
          <w:lang w:val="sk-SK"/>
        </w:rPr>
        <w:t>zároveň</w:t>
      </w:r>
    </w:p>
    <w:p w14:paraId="75C6E9EE" w14:textId="51C2C1F4" w:rsidR="00387C70" w:rsidRPr="003F23AC" w:rsidRDefault="000F5AA4" w:rsidP="003F23AC">
      <w:pPr>
        <w:pStyle w:val="P68B1DB1-Normal4"/>
        <w:numPr>
          <w:ilvl w:val="0"/>
          <w:numId w:val="25"/>
        </w:numPr>
        <w:spacing w:before="40" w:after="160" w:line="259" w:lineRule="auto"/>
        <w:contextualSpacing/>
        <w:jc w:val="both"/>
        <w:rPr>
          <w:rFonts w:eastAsiaTheme="minorEastAsia" w:cs="Times New Roman"/>
          <w:noProof/>
          <w:lang w:val="sk-SK"/>
        </w:rPr>
      </w:pPr>
      <w:r w:rsidRPr="003F23AC">
        <w:rPr>
          <w:rFonts w:cs="Times New Roman"/>
          <w:noProof/>
          <w:lang w:val="sk-SK"/>
        </w:rPr>
        <w:t>zvýšiť odolnosť týchto území znížením rizika požiarov prostredníctvom účinnej</w:t>
      </w:r>
      <w:r w:rsidR="00A75B3C" w:rsidRPr="003F23AC">
        <w:rPr>
          <w:rFonts w:cs="Times New Roman"/>
          <w:noProof/>
          <w:lang w:val="sk-SK"/>
        </w:rPr>
        <w:t xml:space="preserve"> a </w:t>
      </w:r>
      <w:r w:rsidRPr="003F23AC">
        <w:rPr>
          <w:rFonts w:cs="Times New Roman"/>
          <w:noProof/>
          <w:lang w:val="sk-SK"/>
        </w:rPr>
        <w:t>efektívnej prevencie požiarov</w:t>
      </w:r>
      <w:r w:rsidR="00A75B3C" w:rsidRPr="003F23AC">
        <w:rPr>
          <w:rFonts w:cs="Times New Roman"/>
          <w:noProof/>
          <w:lang w:val="sk-SK"/>
        </w:rPr>
        <w:t xml:space="preserve"> a v </w:t>
      </w:r>
      <w:r w:rsidRPr="003F23AC">
        <w:rPr>
          <w:rFonts w:cs="Times New Roman"/>
          <w:noProof/>
          <w:lang w:val="sk-SK"/>
        </w:rPr>
        <w:t>prípade požiarov znížením škôd prostredníctvom účinného</w:t>
      </w:r>
      <w:r w:rsidR="00A75B3C" w:rsidRPr="003F23AC">
        <w:rPr>
          <w:rFonts w:cs="Times New Roman"/>
          <w:noProof/>
          <w:lang w:val="sk-SK"/>
        </w:rPr>
        <w:t xml:space="preserve"> a </w:t>
      </w:r>
      <w:r w:rsidRPr="003F23AC">
        <w:rPr>
          <w:rFonts w:cs="Times New Roman"/>
          <w:noProof/>
          <w:lang w:val="sk-SK"/>
        </w:rPr>
        <w:t>efektívneho hasenia požiarov.</w:t>
      </w:r>
    </w:p>
    <w:p w14:paraId="6B094313" w14:textId="6CC00049"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zložka prispieva</w:t>
      </w:r>
      <w:r w:rsidR="00A75B3C" w:rsidRPr="003F23AC">
        <w:rPr>
          <w:rFonts w:cs="Times New Roman"/>
          <w:noProof/>
          <w:lang w:val="sk-SK"/>
        </w:rPr>
        <w:t xml:space="preserve"> k </w:t>
      </w:r>
      <w:r w:rsidRPr="003F23AC">
        <w:rPr>
          <w:rFonts w:cs="Times New Roman"/>
          <w:noProof/>
          <w:lang w:val="sk-SK"/>
        </w:rPr>
        <w:t>plneniu odporúčania pre jednotlivé krajiny týkajúceho sa zlepšenia kvality verejných financií uprednostňovaním výdavkov podporujúcich rast (odporúčanie pre jednotlivé krajiny 1 2019). Verejné výdavky spojené</w:t>
      </w:r>
      <w:r w:rsidR="00A75B3C" w:rsidRPr="003F23AC">
        <w:rPr>
          <w:rFonts w:cs="Times New Roman"/>
          <w:noProof/>
          <w:lang w:val="sk-SK"/>
        </w:rPr>
        <w:t xml:space="preserve"> s </w:t>
      </w:r>
      <w:r w:rsidRPr="003F23AC">
        <w:rPr>
          <w:rFonts w:cs="Times New Roman"/>
          <w:noProof/>
          <w:lang w:val="sk-SK"/>
        </w:rPr>
        <w:t>modernizáciou registra vidieckych nehnuteľností by podporili ich primerané riadenie</w:t>
      </w:r>
      <w:r w:rsidR="00A75B3C" w:rsidRPr="003F23AC">
        <w:rPr>
          <w:rFonts w:cs="Times New Roman"/>
          <w:noProof/>
          <w:lang w:val="sk-SK"/>
        </w:rPr>
        <w:t xml:space="preserve"> a </w:t>
      </w:r>
      <w:r w:rsidRPr="003F23AC">
        <w:rPr>
          <w:rFonts w:cs="Times New Roman"/>
          <w:noProof/>
          <w:lang w:val="sk-SK"/>
        </w:rPr>
        <w:t>prípadne by zvýšili dynamiku hospodárskej činnosti vo vidieckych oblastiach. Okrem toho táto zložka významne prispieva</w:t>
      </w:r>
      <w:r w:rsidR="00A75B3C" w:rsidRPr="003F23AC">
        <w:rPr>
          <w:rFonts w:cs="Times New Roman"/>
          <w:noProof/>
          <w:lang w:val="sk-SK"/>
        </w:rPr>
        <w:t xml:space="preserve"> k </w:t>
      </w:r>
      <w:r w:rsidRPr="003F23AC">
        <w:rPr>
          <w:rFonts w:cs="Times New Roman"/>
          <w:noProof/>
          <w:lang w:val="sk-SK"/>
        </w:rPr>
        <w:t>plneniu odporúčaní pre jednotlivé krajiny, pokiaľ ide</w:t>
      </w:r>
      <w:r w:rsidR="00A75B3C" w:rsidRPr="003F23AC">
        <w:rPr>
          <w:rFonts w:cs="Times New Roman"/>
          <w:noProof/>
          <w:lang w:val="sk-SK"/>
        </w:rPr>
        <w:t xml:space="preserve"> o </w:t>
      </w:r>
      <w:r w:rsidRPr="003F23AC">
        <w:rPr>
          <w:rFonts w:cs="Times New Roman"/>
          <w:noProof/>
          <w:lang w:val="sk-SK"/>
        </w:rPr>
        <w:t>zameranie investícií na zelenú</w:t>
      </w:r>
      <w:r w:rsidR="00A75B3C" w:rsidRPr="003F23AC">
        <w:rPr>
          <w:rFonts w:cs="Times New Roman"/>
          <w:noProof/>
          <w:lang w:val="sk-SK"/>
        </w:rPr>
        <w:t xml:space="preserve"> a </w:t>
      </w:r>
      <w:r w:rsidRPr="003F23AC">
        <w:rPr>
          <w:rFonts w:cs="Times New Roman"/>
          <w:noProof/>
          <w:lang w:val="sk-SK"/>
        </w:rPr>
        <w:t>digitálnu transformáciu, pričom sa zohľadňujú regionálne rozdiely (odporúčanie pre jednotlivé krajiny 3 2019</w:t>
      </w:r>
      <w:r w:rsidR="00A75B3C" w:rsidRPr="003F23AC">
        <w:rPr>
          <w:rFonts w:cs="Times New Roman"/>
          <w:noProof/>
          <w:lang w:val="sk-SK"/>
        </w:rPr>
        <w:t xml:space="preserve"> a </w:t>
      </w:r>
      <w:r w:rsidRPr="003F23AC">
        <w:rPr>
          <w:rFonts w:cs="Times New Roman"/>
          <w:noProof/>
          <w:lang w:val="sk-SK"/>
        </w:rPr>
        <w:t>odporúčanie pre jednotlivé krajiny 3 2020).</w:t>
      </w:r>
    </w:p>
    <w:p w14:paraId="5D5F143B" w14:textId="744FC6C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Očakáva sa, že táto zložka prispeje</w:t>
      </w:r>
      <w:r w:rsidR="00A75B3C" w:rsidRPr="003F23AC">
        <w:rPr>
          <w:rFonts w:cs="Times New Roman"/>
          <w:noProof/>
          <w:lang w:val="sk-SK"/>
        </w:rPr>
        <w:t xml:space="preserve"> k </w:t>
      </w:r>
      <w:r w:rsidRPr="003F23AC">
        <w:rPr>
          <w:rFonts w:cs="Times New Roman"/>
          <w:noProof/>
          <w:lang w:val="sk-SK"/>
        </w:rPr>
        <w:t>zelenej aj digitálnej transformácii. Pokiaľ ide</w:t>
      </w:r>
      <w:r w:rsidR="00A75B3C" w:rsidRPr="003F23AC">
        <w:rPr>
          <w:rFonts w:cs="Times New Roman"/>
          <w:noProof/>
          <w:lang w:val="sk-SK"/>
        </w:rPr>
        <w:t xml:space="preserve"> o </w:t>
      </w:r>
      <w:r w:rsidRPr="003F23AC">
        <w:rPr>
          <w:rFonts w:cs="Times New Roman"/>
          <w:noProof/>
          <w:lang w:val="sk-SK"/>
        </w:rPr>
        <w:t>ekologický rozmer, zložka priamo prispieva</w:t>
      </w:r>
      <w:r w:rsidR="00A75B3C" w:rsidRPr="003F23AC">
        <w:rPr>
          <w:rFonts w:cs="Times New Roman"/>
          <w:noProof/>
          <w:lang w:val="sk-SK"/>
        </w:rPr>
        <w:t xml:space="preserve"> k </w:t>
      </w:r>
      <w:r w:rsidRPr="003F23AC">
        <w:rPr>
          <w:rFonts w:cs="Times New Roman"/>
          <w:noProof/>
          <w:lang w:val="sk-SK"/>
        </w:rPr>
        <w:t>adaptácii na zmenu klímy, keďže jej cieľom je zvýšiť odolnosť vidieckych území voči požiarom. Aktívne udržateľné riadenie týchto území navyše prispieva</w:t>
      </w:r>
      <w:r w:rsidR="00A75B3C" w:rsidRPr="003F23AC">
        <w:rPr>
          <w:rFonts w:cs="Times New Roman"/>
          <w:noProof/>
          <w:lang w:val="sk-SK"/>
        </w:rPr>
        <w:t xml:space="preserve"> k </w:t>
      </w:r>
      <w:r w:rsidRPr="003F23AC">
        <w:rPr>
          <w:rFonts w:cs="Times New Roman"/>
          <w:noProof/>
          <w:lang w:val="sk-SK"/>
        </w:rPr>
        <w:t>prevencii erózie pôdy, ku kontrole inváznych druhov</w:t>
      </w:r>
      <w:r w:rsidR="00A75B3C" w:rsidRPr="003F23AC">
        <w:rPr>
          <w:rFonts w:cs="Times New Roman"/>
          <w:noProof/>
          <w:lang w:val="sk-SK"/>
        </w:rPr>
        <w:t xml:space="preserve"> a </w:t>
      </w:r>
      <w:r w:rsidRPr="003F23AC">
        <w:rPr>
          <w:rFonts w:cs="Times New Roman"/>
          <w:noProof/>
          <w:lang w:val="sk-SK"/>
        </w:rPr>
        <w:t>škodcov</w:t>
      </w:r>
      <w:r w:rsidR="00A75B3C" w:rsidRPr="003F23AC">
        <w:rPr>
          <w:rFonts w:cs="Times New Roman"/>
          <w:noProof/>
          <w:lang w:val="sk-SK"/>
        </w:rPr>
        <w:t xml:space="preserve"> a k </w:t>
      </w:r>
      <w:r w:rsidRPr="003F23AC">
        <w:rPr>
          <w:rFonts w:cs="Times New Roman"/>
          <w:noProof/>
          <w:lang w:val="sk-SK"/>
        </w:rPr>
        <w:t>sekvestrácii uhlíka</w:t>
      </w:r>
      <w:r w:rsidR="00A75B3C" w:rsidRPr="003F23AC">
        <w:rPr>
          <w:rFonts w:cs="Times New Roman"/>
          <w:noProof/>
          <w:lang w:val="sk-SK"/>
        </w:rPr>
        <w:t xml:space="preserve"> v </w:t>
      </w:r>
      <w:r w:rsidRPr="003F23AC">
        <w:rPr>
          <w:rFonts w:cs="Times New Roman"/>
          <w:noProof/>
          <w:lang w:val="sk-SK"/>
        </w:rPr>
        <w:t>lesoch. Napokon, pokiaľ ide</w:t>
      </w:r>
      <w:r w:rsidR="00A75B3C" w:rsidRPr="003F23AC">
        <w:rPr>
          <w:rFonts w:cs="Times New Roman"/>
          <w:noProof/>
          <w:lang w:val="sk-SK"/>
        </w:rPr>
        <w:t xml:space="preserve"> o </w:t>
      </w:r>
      <w:r w:rsidRPr="003F23AC">
        <w:rPr>
          <w:rFonts w:cs="Times New Roman"/>
          <w:noProof/>
          <w:lang w:val="sk-SK"/>
        </w:rPr>
        <w:t>digitálny rozmer, zdôrazňujú sa plánované opatrenia pre katastrálny systém pozemkového vlastníctva, systém monitorovania krajinnej pokrývky (SMOS) vrátane systému LiDAR (Light Detection and Ranging – Light Detection and Ranging)</w:t>
      </w:r>
      <w:r w:rsidR="00A75B3C" w:rsidRPr="003F23AC">
        <w:rPr>
          <w:rFonts w:cs="Times New Roman"/>
          <w:noProof/>
          <w:lang w:val="sk-SK"/>
        </w:rPr>
        <w:t xml:space="preserve"> a </w:t>
      </w:r>
      <w:r w:rsidRPr="003F23AC">
        <w:rPr>
          <w:rFonts w:cs="Times New Roman"/>
          <w:noProof/>
          <w:lang w:val="sk-SK"/>
        </w:rPr>
        <w:t>satelitné snímky</w:t>
      </w:r>
      <w:r w:rsidR="00A75B3C" w:rsidRPr="003F23AC">
        <w:rPr>
          <w:rFonts w:cs="Times New Roman"/>
          <w:noProof/>
          <w:lang w:val="sk-SK"/>
        </w:rPr>
        <w:t xml:space="preserve"> s </w:t>
      </w:r>
      <w:r w:rsidRPr="003F23AC">
        <w:rPr>
          <w:rFonts w:cs="Times New Roman"/>
          <w:noProof/>
          <w:lang w:val="sk-SK"/>
        </w:rPr>
        <w:t>vysokým rozlíšením, pretože podporujú elektronickú verejnú správu</w:t>
      </w:r>
      <w:r w:rsidR="00A75B3C" w:rsidRPr="003F23AC">
        <w:rPr>
          <w:rFonts w:cs="Times New Roman"/>
          <w:noProof/>
          <w:lang w:val="sk-SK"/>
        </w:rPr>
        <w:t xml:space="preserve"> a </w:t>
      </w:r>
      <w:r w:rsidRPr="003F23AC">
        <w:rPr>
          <w:rFonts w:cs="Times New Roman"/>
          <w:noProof/>
          <w:lang w:val="sk-SK"/>
        </w:rPr>
        <w:t>digitálne verejné služby.</w:t>
      </w:r>
    </w:p>
    <w:p w14:paraId="0DC02E1B" w14:textId="5D649420"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r w:rsidR="00A75B3C" w:rsidRPr="003F23AC">
        <w:rPr>
          <w:rFonts w:cs="Times New Roman"/>
          <w:noProof/>
          <w:lang w:val="sk-SK"/>
        </w:rPr>
        <w:t>.</w:t>
      </w:r>
    </w:p>
    <w:p w14:paraId="0A6E08A8" w14:textId="0B59C3FB"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79556D14" w14:textId="5D469B64"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78C4205E"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18EB419F"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14412298" w14:textId="148EBA60"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H.1.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565A813C" w14:textId="77777777" w:rsidR="00A75B3C" w:rsidRPr="003F23AC" w:rsidRDefault="000F5AA4" w:rsidP="003F23AC">
      <w:pPr>
        <w:pStyle w:val="P68B1DB1-Normal5"/>
        <w:spacing w:before="240" w:after="0" w:line="259" w:lineRule="auto"/>
        <w:ind w:left="851"/>
        <w:jc w:val="both"/>
        <w:outlineLvl w:val="3"/>
        <w:rPr>
          <w:rFonts w:cs="Times New Roman"/>
          <w:noProof/>
          <w:lang w:val="sk-SK"/>
        </w:rPr>
      </w:pPr>
      <w:r w:rsidRPr="003F23AC">
        <w:rPr>
          <w:rFonts w:cs="Times New Roman"/>
          <w:noProof/>
          <w:lang w:val="sk-SK"/>
        </w:rPr>
        <w:t>Reforma RE-r19: Transformácia krajiny</w:t>
      </w:r>
      <w:r w:rsidR="00A75B3C" w:rsidRPr="003F23AC">
        <w:rPr>
          <w:rFonts w:cs="Times New Roman"/>
          <w:noProof/>
          <w:lang w:val="sk-SK"/>
        </w:rPr>
        <w:t xml:space="preserve"> v </w:t>
      </w:r>
      <w:r w:rsidRPr="003F23AC">
        <w:rPr>
          <w:rFonts w:cs="Times New Roman"/>
          <w:noProof/>
          <w:lang w:val="sk-SK"/>
        </w:rPr>
        <w:t>zraniteľných lesných oblastiach</w:t>
      </w:r>
    </w:p>
    <w:p w14:paraId="6EBA0829" w14:textId="4CAAFA8B"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tohto opatrenia je transformovať krajinu zraniteľných lesných území</w:t>
      </w:r>
      <w:r w:rsidR="00A75B3C" w:rsidRPr="003F23AC">
        <w:rPr>
          <w:rFonts w:cs="Times New Roman"/>
          <w:noProof/>
          <w:lang w:val="sk-SK"/>
        </w:rPr>
        <w:t xml:space="preserve"> s </w:t>
      </w:r>
      <w:r w:rsidRPr="003F23AC">
        <w:rPr>
          <w:rFonts w:cs="Times New Roman"/>
          <w:noProof/>
          <w:lang w:val="sk-SK"/>
        </w:rPr>
        <w:t>rozsiahlymi oblasťami neriadených monokultúr</w:t>
      </w:r>
      <w:r w:rsidR="00A75B3C" w:rsidRPr="003F23AC">
        <w:rPr>
          <w:rFonts w:cs="Times New Roman"/>
          <w:noProof/>
          <w:lang w:val="sk-SK"/>
        </w:rPr>
        <w:t xml:space="preserve"> a </w:t>
      </w:r>
      <w:r w:rsidRPr="003F23AC">
        <w:rPr>
          <w:rFonts w:cs="Times New Roman"/>
          <w:noProof/>
          <w:lang w:val="sk-SK"/>
        </w:rPr>
        <w:t>vysokým rizikom požiarov</w:t>
      </w:r>
      <w:r w:rsidR="00A75B3C" w:rsidRPr="003F23AC">
        <w:rPr>
          <w:rFonts w:cs="Times New Roman"/>
          <w:noProof/>
          <w:lang w:val="sk-SK"/>
        </w:rPr>
        <w:t xml:space="preserve"> s </w:t>
      </w:r>
      <w:r w:rsidRPr="003F23AC">
        <w:rPr>
          <w:rFonts w:cs="Times New Roman"/>
          <w:noProof/>
          <w:lang w:val="sk-SK"/>
        </w:rPr>
        <w:t>cieľom predchádzať požiarom na vidieku</w:t>
      </w:r>
      <w:r w:rsidR="00A75B3C" w:rsidRPr="003F23AC">
        <w:rPr>
          <w:rFonts w:cs="Times New Roman"/>
          <w:noProof/>
          <w:lang w:val="sk-SK"/>
        </w:rPr>
        <w:t xml:space="preserve"> a </w:t>
      </w:r>
      <w:r w:rsidRPr="003F23AC">
        <w:rPr>
          <w:rFonts w:cs="Times New Roman"/>
          <w:noProof/>
          <w:lang w:val="sk-SK"/>
        </w:rPr>
        <w:t>zvýšiť odolnosť voči zmene klímy</w:t>
      </w:r>
      <w:r w:rsidR="00A75B3C" w:rsidRPr="003F23AC">
        <w:rPr>
          <w:rFonts w:cs="Times New Roman"/>
          <w:noProof/>
          <w:lang w:val="sk-SK"/>
        </w:rPr>
        <w:t xml:space="preserve"> a </w:t>
      </w:r>
      <w:r w:rsidRPr="003F23AC">
        <w:rPr>
          <w:rFonts w:cs="Times New Roman"/>
          <w:noProof/>
          <w:lang w:val="sk-SK"/>
        </w:rPr>
        <w:t>hospodárstva</w:t>
      </w:r>
      <w:r w:rsidR="00A75B3C" w:rsidRPr="003F23AC">
        <w:rPr>
          <w:rFonts w:cs="Times New Roman"/>
          <w:noProof/>
          <w:lang w:val="sk-SK"/>
        </w:rPr>
        <w:t>.</w:t>
      </w:r>
    </w:p>
    <w:p w14:paraId="7C03524D" w14:textId="2BFB12DD"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reforma sa uskutoční prostredníctvom investície RE-C08-i01 (transformácia pôdy</w:t>
      </w:r>
      <w:r w:rsidR="00A75B3C" w:rsidRPr="003F23AC">
        <w:rPr>
          <w:rFonts w:cs="Times New Roman"/>
          <w:noProof/>
          <w:lang w:val="sk-SK"/>
        </w:rPr>
        <w:t xml:space="preserve"> v </w:t>
      </w:r>
      <w:r w:rsidRPr="003F23AC">
        <w:rPr>
          <w:rFonts w:cs="Times New Roman"/>
          <w:noProof/>
          <w:lang w:val="sk-SK"/>
        </w:rPr>
        <w:t>zraniteľných lesných oblastiach). Reforma pozostáva zo štyroch opatrení, ktoré sa navzájom dopĺňajú</w:t>
      </w:r>
      <w:r w:rsidR="00A75B3C" w:rsidRPr="003F23AC">
        <w:rPr>
          <w:rFonts w:cs="Times New Roman"/>
          <w:noProof/>
          <w:lang w:val="sk-SK"/>
        </w:rPr>
        <w:t xml:space="preserve"> a </w:t>
      </w:r>
      <w:r w:rsidRPr="003F23AC">
        <w:rPr>
          <w:rFonts w:cs="Times New Roman"/>
          <w:noProof/>
          <w:lang w:val="sk-SK"/>
        </w:rPr>
        <w:t>sú uvedené ďalej</w:t>
      </w:r>
      <w:r w:rsidR="00A75B3C" w:rsidRPr="003F23AC">
        <w:rPr>
          <w:rFonts w:cs="Times New Roman"/>
          <w:noProof/>
          <w:lang w:val="sk-SK"/>
        </w:rPr>
        <w:t>:</w:t>
      </w:r>
    </w:p>
    <w:p w14:paraId="68EAA9A2" w14:textId="1D62156F" w:rsidR="00A75B3C" w:rsidRPr="003F23AC" w:rsidRDefault="000F5AA4" w:rsidP="003F23AC">
      <w:pPr>
        <w:pStyle w:val="P68B1DB1-Normal4"/>
        <w:numPr>
          <w:ilvl w:val="0"/>
          <w:numId w:val="26"/>
        </w:numPr>
        <w:spacing w:before="40" w:after="160" w:line="259" w:lineRule="auto"/>
        <w:contextualSpacing/>
        <w:jc w:val="both"/>
        <w:rPr>
          <w:rFonts w:cs="Times New Roman"/>
          <w:noProof/>
          <w:lang w:val="sk-SK"/>
        </w:rPr>
      </w:pPr>
      <w:r w:rsidRPr="003F23AC">
        <w:rPr>
          <w:rFonts w:cs="Times New Roman"/>
          <w:noProof/>
          <w:lang w:val="sk-SK"/>
        </w:rPr>
        <w:t>programy plánovania</w:t>
      </w:r>
      <w:r w:rsidR="00A75B3C" w:rsidRPr="003F23AC">
        <w:rPr>
          <w:rFonts w:cs="Times New Roman"/>
          <w:noProof/>
          <w:lang w:val="sk-SK"/>
        </w:rPr>
        <w:t xml:space="preserve"> a </w:t>
      </w:r>
      <w:r w:rsidRPr="003F23AC">
        <w:rPr>
          <w:rFonts w:cs="Times New Roman"/>
          <w:noProof/>
          <w:lang w:val="sk-SK"/>
        </w:rPr>
        <w:t>riadenia (PRGP)</w:t>
      </w:r>
      <w:r w:rsidR="00A75B3C" w:rsidRPr="003F23AC">
        <w:rPr>
          <w:rFonts w:cs="Times New Roman"/>
          <w:noProof/>
          <w:lang w:val="sk-SK"/>
        </w:rPr>
        <w:t>;</w:t>
      </w:r>
    </w:p>
    <w:p w14:paraId="59F38D89" w14:textId="2D7B2943" w:rsidR="00387C70" w:rsidRPr="003F23AC" w:rsidRDefault="000F5AA4" w:rsidP="003F23AC">
      <w:pPr>
        <w:pStyle w:val="P68B1DB1-Normal4"/>
        <w:numPr>
          <w:ilvl w:val="0"/>
          <w:numId w:val="26"/>
        </w:numPr>
        <w:spacing w:before="40" w:after="160" w:line="259" w:lineRule="auto"/>
        <w:contextualSpacing/>
        <w:jc w:val="both"/>
        <w:rPr>
          <w:rFonts w:eastAsiaTheme="minorEastAsia" w:cs="Times New Roman"/>
          <w:noProof/>
          <w:lang w:val="sk-SK"/>
        </w:rPr>
      </w:pPr>
      <w:r w:rsidRPr="003F23AC">
        <w:rPr>
          <w:rFonts w:cs="Times New Roman"/>
          <w:noProof/>
          <w:lang w:val="sk-SK"/>
        </w:rPr>
        <w:t>oblasť integrovaného riadenia krajiny (AIGP);</w:t>
      </w:r>
    </w:p>
    <w:p w14:paraId="0D19C517" w14:textId="77777777" w:rsidR="00A75B3C" w:rsidRPr="003F23AC" w:rsidRDefault="000F5AA4" w:rsidP="003F23AC">
      <w:pPr>
        <w:pStyle w:val="P68B1DB1-Normal4"/>
        <w:numPr>
          <w:ilvl w:val="0"/>
          <w:numId w:val="26"/>
        </w:numPr>
        <w:spacing w:before="40" w:after="160" w:line="259" w:lineRule="auto"/>
        <w:contextualSpacing/>
        <w:jc w:val="both"/>
        <w:rPr>
          <w:rFonts w:cs="Times New Roman"/>
          <w:noProof/>
          <w:lang w:val="sk-SK"/>
        </w:rPr>
      </w:pPr>
      <w:r w:rsidRPr="003F23AC">
        <w:rPr>
          <w:rFonts w:cs="Times New Roman"/>
          <w:noProof/>
          <w:lang w:val="sk-SK"/>
        </w:rPr>
        <w:t>integrovaný podporný program pre vidiecke dediny nachádzajúce sa na lesných územiach (obec obcí Gated);</w:t>
      </w:r>
      <w:r w:rsidR="00A75B3C" w:rsidRPr="003F23AC">
        <w:rPr>
          <w:rFonts w:cs="Times New Roman"/>
          <w:noProof/>
          <w:lang w:val="sk-SK"/>
        </w:rPr>
        <w:t xml:space="preserve"> a </w:t>
      </w:r>
      <w:r w:rsidRPr="003F23AC">
        <w:rPr>
          <w:rFonts w:cs="Times New Roman"/>
          <w:noProof/>
          <w:lang w:val="sk-SK"/>
        </w:rPr>
        <w:t>zároveň</w:t>
      </w:r>
    </w:p>
    <w:p w14:paraId="05D2088F" w14:textId="691CB35C" w:rsidR="00A75B3C" w:rsidRPr="003F23AC" w:rsidRDefault="000F5AA4" w:rsidP="003F23AC">
      <w:pPr>
        <w:pStyle w:val="P68B1DB1-Normal4"/>
        <w:numPr>
          <w:ilvl w:val="0"/>
          <w:numId w:val="26"/>
        </w:numPr>
        <w:spacing w:before="40" w:after="160" w:line="259" w:lineRule="auto"/>
        <w:contextualSpacing/>
        <w:jc w:val="both"/>
        <w:rPr>
          <w:rFonts w:cs="Times New Roman"/>
          <w:noProof/>
          <w:lang w:val="sk-SK"/>
        </w:rPr>
      </w:pPr>
      <w:r w:rsidRPr="003F23AC">
        <w:rPr>
          <w:rFonts w:cs="Times New Roman"/>
          <w:noProof/>
          <w:lang w:val="sk-SK"/>
        </w:rPr>
        <w:t xml:space="preserve">program </w:t>
      </w:r>
      <w:r w:rsidRPr="003F23AC">
        <w:rPr>
          <w:rFonts w:cs="Times New Roman"/>
          <w:i/>
          <w:noProof/>
          <w:lang w:val="sk-SK"/>
        </w:rPr>
        <w:t>Emparcelar para</w:t>
      </w:r>
      <w:r w:rsidRPr="003F23AC">
        <w:rPr>
          <w:rFonts w:cs="Times New Roman"/>
          <w:noProof/>
          <w:lang w:val="sk-SK"/>
        </w:rPr>
        <w:t xml:space="preserve"> Ordenar</w:t>
      </w:r>
      <w:r w:rsidR="00A75B3C" w:rsidRPr="003F23AC">
        <w:rPr>
          <w:rFonts w:cs="Times New Roman"/>
          <w:noProof/>
          <w:lang w:val="sk-SK"/>
        </w:rPr>
        <w:t>.</w:t>
      </w:r>
    </w:p>
    <w:p w14:paraId="05CF4764" w14:textId="39146FB9"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Reforma vychádza</w:t>
      </w:r>
      <w:r w:rsidR="00A75B3C" w:rsidRPr="003F23AC">
        <w:rPr>
          <w:rFonts w:cs="Times New Roman"/>
          <w:noProof/>
          <w:lang w:val="sk-SK"/>
        </w:rPr>
        <w:t xml:space="preserve"> z </w:t>
      </w:r>
      <w:r w:rsidRPr="003F23AC">
        <w:rPr>
          <w:rFonts w:cs="Times New Roman"/>
          <w:noProof/>
          <w:lang w:val="sk-SK"/>
        </w:rPr>
        <w:t>programu transformácie krajiny (</w:t>
      </w:r>
      <w:r w:rsidRPr="003F23AC">
        <w:rPr>
          <w:rFonts w:cs="Times New Roman"/>
          <w:i/>
          <w:noProof/>
          <w:lang w:val="sk-SK"/>
        </w:rPr>
        <w:t>Programa de Transformação da paisagem –</w:t>
      </w:r>
      <w:r w:rsidRPr="003F23AC">
        <w:rPr>
          <w:rFonts w:cs="Times New Roman"/>
          <w:noProof/>
          <w:lang w:val="sk-SK"/>
        </w:rPr>
        <w:t xml:space="preserve"> PTP)</w:t>
      </w:r>
      <w:r w:rsidR="00A75B3C" w:rsidRPr="003F23AC">
        <w:rPr>
          <w:rFonts w:cs="Times New Roman"/>
          <w:noProof/>
          <w:lang w:val="sk-SK"/>
        </w:rPr>
        <w:t xml:space="preserve"> a </w:t>
      </w:r>
      <w:r w:rsidRPr="003F23AC">
        <w:rPr>
          <w:rFonts w:cs="Times New Roman"/>
          <w:noProof/>
          <w:lang w:val="sk-SK"/>
        </w:rPr>
        <w:t>podporuje ho</w:t>
      </w:r>
      <w:r w:rsidR="00A75B3C" w:rsidRPr="003F23AC">
        <w:rPr>
          <w:rFonts w:cs="Times New Roman"/>
          <w:noProof/>
          <w:lang w:val="sk-SK"/>
        </w:rPr>
        <w:t xml:space="preserve"> s </w:t>
      </w:r>
      <w:r w:rsidRPr="003F23AC">
        <w:rPr>
          <w:rFonts w:cs="Times New Roman"/>
          <w:noProof/>
          <w:lang w:val="sk-SK"/>
        </w:rPr>
        <w:t>potrebným právnym rámcom. Tento právny rámec zahŕňa aspoň právne predpisy týkajúce sa konverzie krajiny prostredníctvom programov územného plánovania</w:t>
      </w:r>
      <w:r w:rsidR="00A75B3C" w:rsidRPr="003F23AC">
        <w:rPr>
          <w:rFonts w:cs="Times New Roman"/>
          <w:noProof/>
          <w:lang w:val="sk-SK"/>
        </w:rPr>
        <w:t xml:space="preserve"> a </w:t>
      </w:r>
      <w:r w:rsidRPr="003F23AC">
        <w:rPr>
          <w:rFonts w:cs="Times New Roman"/>
          <w:noProof/>
          <w:lang w:val="sk-SK"/>
        </w:rPr>
        <w:t>riadenia (PRGP)</w:t>
      </w:r>
      <w:r w:rsidR="00A75B3C" w:rsidRPr="003F23AC">
        <w:rPr>
          <w:rFonts w:cs="Times New Roman"/>
          <w:noProof/>
          <w:lang w:val="sk-SK"/>
        </w:rPr>
        <w:t xml:space="preserve"> a </w:t>
      </w:r>
      <w:r w:rsidRPr="003F23AC">
        <w:rPr>
          <w:rFonts w:cs="Times New Roman"/>
          <w:noProof/>
          <w:lang w:val="sk-SK"/>
        </w:rPr>
        <w:t>oblastí integrovaného riadenia krajiny (AIGP), právne predpisy zamerané na schvaľovanie vymedzenia zraniteľných území, na ktoré sa môžu vzťahovať programy územného plánovania</w:t>
      </w:r>
      <w:r w:rsidR="00A75B3C" w:rsidRPr="003F23AC">
        <w:rPr>
          <w:rFonts w:cs="Times New Roman"/>
          <w:noProof/>
          <w:lang w:val="sk-SK"/>
        </w:rPr>
        <w:t xml:space="preserve"> a </w:t>
      </w:r>
      <w:r w:rsidRPr="003F23AC">
        <w:rPr>
          <w:rFonts w:cs="Times New Roman"/>
          <w:noProof/>
          <w:lang w:val="sk-SK"/>
        </w:rPr>
        <w:t>riadenia</w:t>
      </w:r>
      <w:r w:rsidR="00A75B3C" w:rsidRPr="003F23AC">
        <w:rPr>
          <w:rFonts w:cs="Times New Roman"/>
          <w:noProof/>
          <w:lang w:val="sk-SK"/>
        </w:rPr>
        <w:t xml:space="preserve"> a </w:t>
      </w:r>
      <w:r w:rsidRPr="003F23AC">
        <w:rPr>
          <w:rFonts w:cs="Times New Roman"/>
          <w:noProof/>
          <w:lang w:val="sk-SK"/>
        </w:rPr>
        <w:t>oblasti integrovaného manažmentu krajiny,</w:t>
      </w:r>
      <w:r w:rsidR="00A75B3C" w:rsidRPr="003F23AC">
        <w:rPr>
          <w:rFonts w:cs="Times New Roman"/>
          <w:noProof/>
          <w:lang w:val="sk-SK"/>
        </w:rPr>
        <w:t xml:space="preserve"> a </w:t>
      </w:r>
      <w:r w:rsidRPr="003F23AC">
        <w:rPr>
          <w:rFonts w:cs="Times New Roman"/>
          <w:noProof/>
          <w:lang w:val="sk-SK"/>
        </w:rPr>
        <w:t>právne predpisy</w:t>
      </w:r>
      <w:r w:rsidR="00A75B3C" w:rsidRPr="003F23AC">
        <w:rPr>
          <w:rFonts w:cs="Times New Roman"/>
          <w:noProof/>
          <w:lang w:val="sk-SK"/>
        </w:rPr>
        <w:t xml:space="preserve"> o </w:t>
      </w:r>
      <w:r w:rsidRPr="003F23AC">
        <w:rPr>
          <w:rFonts w:cs="Times New Roman"/>
          <w:noProof/>
          <w:lang w:val="sk-SK"/>
        </w:rPr>
        <w:t>povinnom vlastníctve vidieckej pôdy</w:t>
      </w:r>
      <w:r w:rsidR="00A75B3C" w:rsidRPr="003F23AC">
        <w:rPr>
          <w:rFonts w:cs="Times New Roman"/>
          <w:noProof/>
          <w:lang w:val="sk-SK"/>
        </w:rPr>
        <w:t xml:space="preserve"> v </w:t>
      </w:r>
      <w:r w:rsidRPr="003F23AC">
        <w:rPr>
          <w:rFonts w:cs="Times New Roman"/>
          <w:noProof/>
          <w:lang w:val="sk-SK"/>
        </w:rPr>
        <w:t>lesných oblastiach.</w:t>
      </w:r>
    </w:p>
    <w:p w14:paraId="202578B0" w14:textId="5F9EFF90" w:rsidR="00A75B3C" w:rsidRPr="003F23AC" w:rsidRDefault="000F5AA4" w:rsidP="003F23AC">
      <w:pPr>
        <w:pStyle w:val="P68B1DB1-Normal4"/>
        <w:spacing w:after="0" w:line="259" w:lineRule="auto"/>
        <w:jc w:val="both"/>
        <w:rPr>
          <w:rFonts w:cs="Times New Roman"/>
          <w:noProof/>
          <w:lang w:val="sk-SK"/>
        </w:rPr>
      </w:pPr>
      <w:r w:rsidRPr="003F23AC">
        <w:rPr>
          <w:rFonts w:cs="Times New Roman"/>
          <w:noProof/>
          <w:lang w:val="sk-SK"/>
        </w:rPr>
        <w:t>Implementácia reformy sa dokončí do 30</w:t>
      </w:r>
      <w:r w:rsidR="00A75B3C" w:rsidRPr="003F23AC">
        <w:rPr>
          <w:rFonts w:cs="Times New Roman"/>
          <w:noProof/>
          <w:lang w:val="sk-SK"/>
        </w:rPr>
        <w:t>. septembra</w:t>
      </w:r>
      <w:r w:rsidRPr="003F23AC">
        <w:rPr>
          <w:rFonts w:cs="Times New Roman"/>
          <w:noProof/>
          <w:lang w:val="sk-SK"/>
        </w:rPr>
        <w:t xml:space="preserve"> 2021</w:t>
      </w:r>
      <w:r w:rsidR="00A75B3C" w:rsidRPr="003F23AC">
        <w:rPr>
          <w:rFonts w:cs="Times New Roman"/>
          <w:noProof/>
          <w:lang w:val="sk-SK"/>
        </w:rPr>
        <w:t>.</w:t>
      </w:r>
    </w:p>
    <w:p w14:paraId="1E1C3C81" w14:textId="32D9375B"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Reforma RE-r20: Reorganizácia systému katastra nehnuteľností</w:t>
      </w:r>
      <w:r w:rsidR="00A75B3C" w:rsidRPr="003F23AC">
        <w:rPr>
          <w:rFonts w:cs="Times New Roman"/>
          <w:noProof/>
          <w:lang w:val="sk-SK"/>
        </w:rPr>
        <w:t xml:space="preserve"> a </w:t>
      </w:r>
      <w:r w:rsidRPr="003F23AC">
        <w:rPr>
          <w:rFonts w:cs="Times New Roman"/>
          <w:noProof/>
          <w:lang w:val="sk-SK"/>
        </w:rPr>
        <w:t>systému monitorovania krajinných pokrývok</w:t>
      </w:r>
    </w:p>
    <w:p w14:paraId="3C49EAAB" w14:textId="366CC8AC" w:rsidR="00387C70" w:rsidRPr="009E4E5C" w:rsidRDefault="000F5AA4" w:rsidP="003F23AC">
      <w:pPr>
        <w:pStyle w:val="P68B1DB1-Normal4"/>
        <w:spacing w:before="40" w:after="0" w:line="259" w:lineRule="auto"/>
        <w:jc w:val="both"/>
        <w:rPr>
          <w:rFonts w:eastAsiaTheme="minorEastAsia" w:cs="Times New Roman"/>
          <w:noProof/>
          <w:spacing w:val="-4"/>
          <w:lang w:val="sk-SK"/>
        </w:rPr>
      </w:pPr>
      <w:r w:rsidRPr="009E4E5C">
        <w:rPr>
          <w:rFonts w:cs="Times New Roman"/>
          <w:noProof/>
          <w:spacing w:val="-4"/>
          <w:lang w:val="sk-SK"/>
        </w:rPr>
        <w:t>Cieľom tohto opatrenia je prekonať absenciu multifunkčného katastra nehnuteľností zavedením</w:t>
      </w:r>
      <w:r w:rsidR="00A75B3C" w:rsidRPr="009E4E5C">
        <w:rPr>
          <w:rFonts w:cs="Times New Roman"/>
          <w:noProof/>
          <w:spacing w:val="-4"/>
          <w:lang w:val="sk-SK"/>
        </w:rPr>
        <w:t xml:space="preserve"> a </w:t>
      </w:r>
      <w:r w:rsidRPr="009E4E5C">
        <w:rPr>
          <w:rFonts w:cs="Times New Roman"/>
          <w:noProof/>
          <w:spacing w:val="-4"/>
          <w:lang w:val="sk-SK"/>
        </w:rPr>
        <w:t>vývojom systému identifikácie</w:t>
      </w:r>
      <w:r w:rsidR="00A75B3C" w:rsidRPr="009E4E5C">
        <w:rPr>
          <w:rFonts w:cs="Times New Roman"/>
          <w:noProof/>
          <w:spacing w:val="-4"/>
          <w:lang w:val="sk-SK"/>
        </w:rPr>
        <w:t xml:space="preserve"> a </w:t>
      </w:r>
      <w:r w:rsidRPr="009E4E5C">
        <w:rPr>
          <w:rFonts w:cs="Times New Roman"/>
          <w:noProof/>
          <w:spacing w:val="-4"/>
          <w:lang w:val="sk-SK"/>
        </w:rPr>
        <w:t>overovania hraníc vlastníctva pôdy</w:t>
      </w:r>
      <w:r w:rsidR="00A75B3C" w:rsidRPr="009E4E5C">
        <w:rPr>
          <w:rFonts w:cs="Times New Roman"/>
          <w:noProof/>
          <w:spacing w:val="-4"/>
          <w:lang w:val="sk-SK"/>
        </w:rPr>
        <w:t xml:space="preserve"> a </w:t>
      </w:r>
      <w:r w:rsidRPr="009E4E5C">
        <w:rPr>
          <w:rFonts w:cs="Times New Roman"/>
          <w:noProof/>
          <w:spacing w:val="-4"/>
          <w:lang w:val="sk-SK"/>
        </w:rPr>
        <w:t>následného zápisu vlastníctva pôdy. To umožní ucelený, aktuálny</w:t>
      </w:r>
      <w:r w:rsidR="00A75B3C" w:rsidRPr="009E4E5C">
        <w:rPr>
          <w:rFonts w:cs="Times New Roman"/>
          <w:noProof/>
          <w:spacing w:val="-4"/>
          <w:lang w:val="sk-SK"/>
        </w:rPr>
        <w:t xml:space="preserve"> a </w:t>
      </w:r>
      <w:r w:rsidRPr="009E4E5C">
        <w:rPr>
          <w:rFonts w:cs="Times New Roman"/>
          <w:noProof/>
          <w:spacing w:val="-4"/>
          <w:lang w:val="sk-SK"/>
        </w:rPr>
        <w:t>holistický pohľad na územie, ktorý zvýši hodnotu pôdy pre jeho vlastníkov</w:t>
      </w:r>
      <w:r w:rsidR="00A75B3C" w:rsidRPr="009E4E5C">
        <w:rPr>
          <w:rFonts w:cs="Times New Roman"/>
          <w:noProof/>
          <w:spacing w:val="-4"/>
          <w:lang w:val="sk-SK"/>
        </w:rPr>
        <w:t xml:space="preserve"> a </w:t>
      </w:r>
      <w:r w:rsidRPr="009E4E5C">
        <w:rPr>
          <w:rFonts w:cs="Times New Roman"/>
          <w:noProof/>
          <w:spacing w:val="-4"/>
          <w:lang w:val="sk-SK"/>
        </w:rPr>
        <w:t>umožní štátu vypracovať konkrétne, udržateľné</w:t>
      </w:r>
      <w:r w:rsidR="00A75B3C" w:rsidRPr="009E4E5C">
        <w:rPr>
          <w:rFonts w:cs="Times New Roman"/>
          <w:noProof/>
          <w:spacing w:val="-4"/>
          <w:lang w:val="sk-SK"/>
        </w:rPr>
        <w:t xml:space="preserve"> a </w:t>
      </w:r>
      <w:r w:rsidRPr="009E4E5C">
        <w:rPr>
          <w:rFonts w:cs="Times New Roman"/>
          <w:noProof/>
          <w:spacing w:val="-4"/>
          <w:lang w:val="sk-SK"/>
        </w:rPr>
        <w:t>multisektorové verejné politiky.</w:t>
      </w:r>
    </w:p>
    <w:p w14:paraId="7ABC78BC" w14:textId="634B082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Reforma pozostáva zo sprevádzkovania systému monitorovania krajinnej pokrývky (SMOS)</w:t>
      </w:r>
      <w:r w:rsidR="00A75B3C" w:rsidRPr="003F23AC">
        <w:rPr>
          <w:rFonts w:cs="Times New Roman"/>
          <w:noProof/>
          <w:lang w:val="sk-SK"/>
        </w:rPr>
        <w:t xml:space="preserve"> a z </w:t>
      </w:r>
      <w:r w:rsidRPr="003F23AC">
        <w:rPr>
          <w:rFonts w:cs="Times New Roman"/>
          <w:noProof/>
          <w:lang w:val="sk-SK"/>
        </w:rPr>
        <w:t>vývoja platformy BUPi (digitálneho katastra nehnuteľností), fyzického</w:t>
      </w:r>
      <w:r w:rsidR="00A75B3C" w:rsidRPr="003F23AC">
        <w:rPr>
          <w:rFonts w:cs="Times New Roman"/>
          <w:noProof/>
          <w:lang w:val="sk-SK"/>
        </w:rPr>
        <w:t xml:space="preserve"> a </w:t>
      </w:r>
      <w:r w:rsidRPr="003F23AC">
        <w:rPr>
          <w:rFonts w:cs="Times New Roman"/>
          <w:noProof/>
          <w:lang w:val="sk-SK"/>
        </w:rPr>
        <w:t>virtuálneho počítadla</w:t>
      </w:r>
      <w:r w:rsidR="00A75B3C" w:rsidRPr="003F23AC">
        <w:rPr>
          <w:rFonts w:cs="Times New Roman"/>
          <w:noProof/>
          <w:lang w:val="sk-SK"/>
        </w:rPr>
        <w:t xml:space="preserve"> s </w:t>
      </w:r>
      <w:r w:rsidRPr="003F23AC">
        <w:rPr>
          <w:rFonts w:cs="Times New Roman"/>
          <w:noProof/>
          <w:lang w:val="sk-SK"/>
        </w:rPr>
        <w:t>georeferenčnými informáciami</w:t>
      </w:r>
      <w:r w:rsidR="00A75B3C" w:rsidRPr="003F23AC">
        <w:rPr>
          <w:rFonts w:cs="Times New Roman"/>
          <w:noProof/>
          <w:lang w:val="sk-SK"/>
        </w:rPr>
        <w:t xml:space="preserve"> o </w:t>
      </w:r>
      <w:r w:rsidRPr="003F23AC">
        <w:rPr>
          <w:rFonts w:cs="Times New Roman"/>
          <w:noProof/>
          <w:lang w:val="sk-SK"/>
        </w:rPr>
        <w:t>nehnuteľnostiach, ktorý zhromaždí informácie potrebné na ich registráciu</w:t>
      </w:r>
      <w:r w:rsidR="00A75B3C" w:rsidRPr="003F23AC">
        <w:rPr>
          <w:rFonts w:cs="Times New Roman"/>
          <w:noProof/>
          <w:lang w:val="sk-SK"/>
        </w:rPr>
        <w:t xml:space="preserve"> a </w:t>
      </w:r>
      <w:r w:rsidRPr="003F23AC">
        <w:rPr>
          <w:rFonts w:cs="Times New Roman"/>
          <w:noProof/>
          <w:lang w:val="sk-SK"/>
        </w:rPr>
        <w:t>uľahčí interakciu občanov</w:t>
      </w:r>
      <w:r w:rsidR="00A75B3C" w:rsidRPr="003F23AC">
        <w:rPr>
          <w:rFonts w:cs="Times New Roman"/>
          <w:noProof/>
          <w:lang w:val="sk-SK"/>
        </w:rPr>
        <w:t xml:space="preserve"> s </w:t>
      </w:r>
      <w:r w:rsidRPr="003F23AC">
        <w:rPr>
          <w:rFonts w:cs="Times New Roman"/>
          <w:noProof/>
          <w:lang w:val="sk-SK"/>
        </w:rPr>
        <w:t>verejnou správou</w:t>
      </w:r>
      <w:r w:rsidR="00A75B3C" w:rsidRPr="003F23AC">
        <w:rPr>
          <w:rFonts w:cs="Times New Roman"/>
          <w:noProof/>
          <w:lang w:val="sk-SK"/>
        </w:rPr>
        <w:t xml:space="preserve"> v </w:t>
      </w:r>
      <w:r w:rsidRPr="003F23AC">
        <w:rPr>
          <w:rFonts w:cs="Times New Roman"/>
          <w:noProof/>
          <w:lang w:val="sk-SK"/>
        </w:rPr>
        <w:t>rozsahu pôsobnosti katastra nehnuteľností. Reformou sa vytvára aj potrebný právny rámec na sfunkčnenie investícií RE-C08-i02: Katastra nehnuteľností vidieka</w:t>
      </w:r>
      <w:r w:rsidR="00A75B3C" w:rsidRPr="003F23AC">
        <w:rPr>
          <w:rFonts w:cs="Times New Roman"/>
          <w:noProof/>
          <w:lang w:val="sk-SK"/>
        </w:rPr>
        <w:t xml:space="preserve"> a </w:t>
      </w:r>
      <w:r w:rsidRPr="003F23AC">
        <w:rPr>
          <w:rFonts w:cs="Times New Roman"/>
          <w:noProof/>
          <w:lang w:val="sk-SK"/>
        </w:rPr>
        <w:t>systém monitorovania krajinnej pokrývky. Reforma zahŕňa:</w:t>
      </w:r>
    </w:p>
    <w:p w14:paraId="32395406" w14:textId="2187025E" w:rsidR="00A75B3C" w:rsidRPr="003F23AC" w:rsidRDefault="000F5AA4" w:rsidP="003F23AC">
      <w:pPr>
        <w:pStyle w:val="P68B1DB1-Normal4"/>
        <w:numPr>
          <w:ilvl w:val="0"/>
          <w:numId w:val="40"/>
        </w:numPr>
        <w:spacing w:before="40" w:after="160" w:line="259" w:lineRule="auto"/>
        <w:contextualSpacing/>
        <w:jc w:val="both"/>
        <w:rPr>
          <w:rFonts w:cs="Times New Roman"/>
          <w:noProof/>
          <w:lang w:val="sk-SK"/>
        </w:rPr>
      </w:pPr>
      <w:r w:rsidRPr="003F23AC">
        <w:rPr>
          <w:rFonts w:cs="Times New Roman"/>
          <w:noProof/>
          <w:lang w:val="sk-SK"/>
        </w:rPr>
        <w:t>prijatie zákona, ktorým sa zriaďuje štruktúra misie na rozšírenie zjednodušeného katastrálneho informačného systému, verejného subjektu, ktorý monitoruje rozširovanie zjednodušeného národného katastrálneho informačného systému</w:t>
      </w:r>
      <w:r w:rsidR="00A75B3C" w:rsidRPr="003F23AC">
        <w:rPr>
          <w:rFonts w:cs="Times New Roman"/>
          <w:noProof/>
          <w:lang w:val="sk-SK"/>
        </w:rPr>
        <w:t xml:space="preserve"> a </w:t>
      </w:r>
      <w:r w:rsidRPr="003F23AC">
        <w:rPr>
          <w:rFonts w:cs="Times New Roman"/>
          <w:noProof/>
          <w:lang w:val="sk-SK"/>
        </w:rPr>
        <w:t>vývoj platformy BUPi</w:t>
      </w:r>
      <w:r w:rsidR="00A75B3C" w:rsidRPr="003F23AC">
        <w:rPr>
          <w:rFonts w:cs="Times New Roman"/>
          <w:noProof/>
          <w:lang w:val="sk-SK"/>
        </w:rPr>
        <w:t>;</w:t>
      </w:r>
    </w:p>
    <w:p w14:paraId="6531E0E7" w14:textId="7AA5B593" w:rsidR="00A75B3C" w:rsidRPr="003F23AC" w:rsidRDefault="000F5AA4" w:rsidP="003F23AC">
      <w:pPr>
        <w:pStyle w:val="P68B1DB1-Normal4"/>
        <w:numPr>
          <w:ilvl w:val="0"/>
          <w:numId w:val="40"/>
        </w:numPr>
        <w:spacing w:before="40" w:after="160" w:line="259" w:lineRule="auto"/>
        <w:contextualSpacing/>
        <w:jc w:val="both"/>
        <w:rPr>
          <w:rFonts w:cs="Times New Roman"/>
          <w:noProof/>
          <w:lang w:val="sk-SK"/>
        </w:rPr>
      </w:pPr>
      <w:r w:rsidRPr="003F23AC">
        <w:rPr>
          <w:rFonts w:cs="Times New Roman"/>
          <w:noProof/>
          <w:lang w:val="sk-SK"/>
        </w:rPr>
        <w:t>prijatie aktu, ktorým sa zriaďuje systém prevádzky</w:t>
      </w:r>
      <w:r w:rsidR="00A75B3C" w:rsidRPr="003F23AC">
        <w:rPr>
          <w:rFonts w:cs="Times New Roman"/>
          <w:noProof/>
          <w:lang w:val="sk-SK"/>
        </w:rPr>
        <w:t xml:space="preserve"> a </w:t>
      </w:r>
      <w:r w:rsidRPr="003F23AC">
        <w:rPr>
          <w:rFonts w:cs="Times New Roman"/>
          <w:noProof/>
          <w:lang w:val="sk-SK"/>
        </w:rPr>
        <w:t>financovania modelu organizácie</w:t>
      </w:r>
      <w:r w:rsidR="00A75B3C" w:rsidRPr="003F23AC">
        <w:rPr>
          <w:rFonts w:cs="Times New Roman"/>
          <w:noProof/>
          <w:lang w:val="sk-SK"/>
        </w:rPr>
        <w:t xml:space="preserve"> a </w:t>
      </w:r>
      <w:r w:rsidRPr="003F23AC">
        <w:rPr>
          <w:rFonts w:cs="Times New Roman"/>
          <w:noProof/>
          <w:lang w:val="sk-SK"/>
        </w:rPr>
        <w:t>rozvoja zjednodušeného katastrálneho informačného systému</w:t>
      </w:r>
      <w:r w:rsidR="00A75B3C" w:rsidRPr="003F23AC">
        <w:rPr>
          <w:rFonts w:cs="Times New Roman"/>
          <w:noProof/>
          <w:lang w:val="sk-SK"/>
        </w:rPr>
        <w:t>;</w:t>
      </w:r>
    </w:p>
    <w:p w14:paraId="22A73E8F" w14:textId="59783F0D" w:rsidR="00387C70" w:rsidRPr="003F23AC" w:rsidRDefault="000F5AA4" w:rsidP="003F23AC">
      <w:pPr>
        <w:pStyle w:val="P68B1DB1-Normal4"/>
        <w:numPr>
          <w:ilvl w:val="0"/>
          <w:numId w:val="40"/>
        </w:numPr>
        <w:spacing w:before="40" w:after="160" w:line="259" w:lineRule="auto"/>
        <w:contextualSpacing/>
        <w:jc w:val="both"/>
        <w:rPr>
          <w:rFonts w:eastAsiaTheme="minorEastAsia" w:cs="Times New Roman"/>
          <w:noProof/>
          <w:lang w:val="sk-SK"/>
        </w:rPr>
      </w:pPr>
      <w:r w:rsidRPr="003F23AC">
        <w:rPr>
          <w:rFonts w:cs="Times New Roman"/>
          <w:noProof/>
          <w:lang w:val="sk-SK"/>
        </w:rPr>
        <w:t>prijatie zákona, ktorým sa schvaľuje právny režim katastra nehnuteľností, zriaďuje národný systém katastrálneho informačného systému, sformulovaný so zjednodušeným katastrálnym informačným systémom</w:t>
      </w:r>
      <w:r w:rsidR="00A75B3C" w:rsidRPr="003F23AC">
        <w:rPr>
          <w:rFonts w:cs="Times New Roman"/>
          <w:noProof/>
          <w:lang w:val="sk-SK"/>
        </w:rPr>
        <w:t xml:space="preserve"> a </w:t>
      </w:r>
      <w:r w:rsidRPr="003F23AC">
        <w:rPr>
          <w:rFonts w:cs="Times New Roman"/>
          <w:noProof/>
          <w:lang w:val="sk-SK"/>
        </w:rPr>
        <w:t>zakotvuje katastrálnu chartu ako národnú mapu pozemkov</w:t>
      </w:r>
      <w:r w:rsidR="00A75B3C" w:rsidRPr="003F23AC">
        <w:rPr>
          <w:rFonts w:cs="Times New Roman"/>
          <w:noProof/>
          <w:lang w:val="sk-SK"/>
        </w:rPr>
        <w:t xml:space="preserve"> v </w:t>
      </w:r>
      <w:r w:rsidRPr="003F23AC">
        <w:rPr>
          <w:rFonts w:cs="Times New Roman"/>
          <w:noProof/>
          <w:lang w:val="sk-SK"/>
        </w:rPr>
        <w:t>katastri nehnuteľností;</w:t>
      </w:r>
    </w:p>
    <w:p w14:paraId="0517B990" w14:textId="3E67E30D" w:rsidR="00387C70" w:rsidRPr="003F23AC" w:rsidRDefault="000F5AA4" w:rsidP="003F23AC">
      <w:pPr>
        <w:pStyle w:val="P68B1DB1-Normal4"/>
        <w:numPr>
          <w:ilvl w:val="0"/>
          <w:numId w:val="40"/>
        </w:numPr>
        <w:spacing w:before="40" w:after="160" w:line="259" w:lineRule="auto"/>
        <w:contextualSpacing/>
        <w:jc w:val="both"/>
        <w:rPr>
          <w:rFonts w:eastAsiaTheme="minorEastAsia" w:cs="Times New Roman"/>
          <w:noProof/>
          <w:lang w:val="sk-SK"/>
        </w:rPr>
      </w:pPr>
      <w:r w:rsidRPr="003F23AC">
        <w:rPr>
          <w:rFonts w:cs="Times New Roman"/>
          <w:noProof/>
          <w:lang w:val="sk-SK"/>
        </w:rPr>
        <w:t xml:space="preserve">prijatie právneho aktu, ktorým sa mení regulačná vyhláška </w:t>
      </w:r>
      <w:r w:rsidR="00A75B3C" w:rsidRPr="003F23AC">
        <w:rPr>
          <w:rFonts w:cs="Times New Roman"/>
          <w:noProof/>
          <w:lang w:val="sk-SK"/>
        </w:rPr>
        <w:t>č. </w:t>
      </w:r>
      <w:r w:rsidRPr="003F23AC">
        <w:rPr>
          <w:rFonts w:cs="Times New Roman"/>
          <w:noProof/>
          <w:lang w:val="sk-SK"/>
        </w:rPr>
        <w:t>9-A/2017</w:t>
      </w:r>
      <w:r w:rsidR="00A75B3C" w:rsidRPr="003F23AC">
        <w:rPr>
          <w:rFonts w:cs="Times New Roman"/>
          <w:noProof/>
          <w:lang w:val="sk-SK"/>
        </w:rPr>
        <w:t xml:space="preserve"> z </w:t>
      </w:r>
      <w:r w:rsidRPr="003F23AC">
        <w:rPr>
          <w:rFonts w:cs="Times New Roman"/>
          <w:noProof/>
          <w:lang w:val="sk-SK"/>
        </w:rPr>
        <w:t>3</w:t>
      </w:r>
      <w:r w:rsidR="00A75B3C" w:rsidRPr="003F23AC">
        <w:rPr>
          <w:rFonts w:cs="Times New Roman"/>
          <w:noProof/>
          <w:lang w:val="sk-SK"/>
        </w:rPr>
        <w:t>. novembra</w:t>
      </w:r>
      <w:r w:rsidRPr="003F23AC">
        <w:rPr>
          <w:rFonts w:cs="Times New Roman"/>
          <w:noProof/>
          <w:lang w:val="sk-SK"/>
        </w:rPr>
        <w:footnoteReference w:id="39"/>
      </w:r>
      <w:r w:rsidRPr="003F23AC">
        <w:rPr>
          <w:rFonts w:cs="Times New Roman"/>
          <w:noProof/>
          <w:lang w:val="sk-SK"/>
        </w:rPr>
        <w:t>, ktorou sa objasňujú činnosti zjednodušeného katastrálneho informačného systému</w:t>
      </w:r>
      <w:r w:rsidR="00A75B3C" w:rsidRPr="003F23AC">
        <w:rPr>
          <w:rFonts w:cs="Times New Roman"/>
          <w:noProof/>
          <w:lang w:val="sk-SK"/>
        </w:rPr>
        <w:t xml:space="preserve"> a </w:t>
      </w:r>
      <w:r w:rsidRPr="003F23AC">
        <w:rPr>
          <w:rFonts w:cs="Times New Roman"/>
          <w:noProof/>
          <w:lang w:val="sk-SK"/>
        </w:rPr>
        <w:t>platformy BUPi</w:t>
      </w:r>
      <w:r w:rsidR="00A75B3C" w:rsidRPr="003F23AC">
        <w:rPr>
          <w:rFonts w:cs="Times New Roman"/>
          <w:noProof/>
          <w:lang w:val="sk-SK"/>
        </w:rPr>
        <w:t xml:space="preserve"> a </w:t>
      </w:r>
      <w:r w:rsidRPr="003F23AC">
        <w:rPr>
          <w:rFonts w:cs="Times New Roman"/>
          <w:noProof/>
          <w:lang w:val="sk-SK"/>
        </w:rPr>
        <w:t>ktorým sa prijímajú opatrenia na okamžitú identifikáciu štruktúry pôdy</w:t>
      </w:r>
      <w:r w:rsidR="00A75B3C" w:rsidRPr="003F23AC">
        <w:rPr>
          <w:rFonts w:cs="Times New Roman"/>
          <w:noProof/>
          <w:lang w:val="sk-SK"/>
        </w:rPr>
        <w:t xml:space="preserve"> a </w:t>
      </w:r>
      <w:r w:rsidRPr="003F23AC">
        <w:rPr>
          <w:rFonts w:cs="Times New Roman"/>
          <w:noProof/>
          <w:lang w:val="sk-SK"/>
        </w:rPr>
        <w:t>vlastníctva poľnohospodárskej</w:t>
      </w:r>
      <w:r w:rsidR="00A75B3C" w:rsidRPr="003F23AC">
        <w:rPr>
          <w:rFonts w:cs="Times New Roman"/>
          <w:noProof/>
          <w:lang w:val="sk-SK"/>
        </w:rPr>
        <w:t xml:space="preserve"> a </w:t>
      </w:r>
      <w:r w:rsidRPr="003F23AC">
        <w:rPr>
          <w:rFonts w:cs="Times New Roman"/>
          <w:noProof/>
          <w:lang w:val="sk-SK"/>
        </w:rPr>
        <w:t>zmiešanej pôdy,</w:t>
      </w:r>
      <w:r w:rsidR="00A75B3C" w:rsidRPr="003F23AC">
        <w:rPr>
          <w:rFonts w:cs="Times New Roman"/>
          <w:noProof/>
          <w:lang w:val="sk-SK"/>
        </w:rPr>
        <w:t xml:space="preserve"> a </w:t>
      </w:r>
      <w:r w:rsidRPr="003F23AC">
        <w:rPr>
          <w:rFonts w:cs="Times New Roman"/>
          <w:noProof/>
          <w:lang w:val="sk-SK"/>
        </w:rPr>
        <w:t>zároveň</w:t>
      </w:r>
    </w:p>
    <w:p w14:paraId="15E59400" w14:textId="4BBC7762" w:rsidR="00387C70" w:rsidRPr="003F23AC" w:rsidRDefault="000F5AA4" w:rsidP="003F23AC">
      <w:pPr>
        <w:pStyle w:val="P68B1DB1-Normal4"/>
        <w:numPr>
          <w:ilvl w:val="0"/>
          <w:numId w:val="40"/>
        </w:numPr>
        <w:spacing w:before="40" w:after="160" w:line="259" w:lineRule="auto"/>
        <w:contextualSpacing/>
        <w:jc w:val="both"/>
        <w:rPr>
          <w:rFonts w:eastAsiaTheme="minorEastAsia" w:cs="Times New Roman"/>
          <w:noProof/>
          <w:lang w:val="sk-SK"/>
        </w:rPr>
      </w:pPr>
      <w:r w:rsidRPr="003F23AC">
        <w:rPr>
          <w:rFonts w:cs="Times New Roman"/>
          <w:noProof/>
          <w:lang w:val="sk-SK"/>
        </w:rPr>
        <w:t>vypracovanie návrhu zákona, ktorým sa ustanovuje mimoriadny systém registrácie vidieckych pozemkov</w:t>
      </w:r>
      <w:r w:rsidR="00A75B3C" w:rsidRPr="003F23AC">
        <w:rPr>
          <w:rFonts w:cs="Times New Roman"/>
          <w:noProof/>
          <w:lang w:val="sk-SK"/>
        </w:rPr>
        <w:t xml:space="preserve"> a </w:t>
      </w:r>
      <w:r w:rsidRPr="003F23AC">
        <w:rPr>
          <w:rFonts w:cs="Times New Roman"/>
          <w:noProof/>
          <w:lang w:val="sk-SK"/>
        </w:rPr>
        <w:t>ktorým sa mení</w:t>
      </w:r>
      <w:r w:rsidR="00A75B3C" w:rsidRPr="003F23AC">
        <w:rPr>
          <w:rFonts w:cs="Times New Roman"/>
          <w:noProof/>
          <w:lang w:val="sk-SK"/>
        </w:rPr>
        <w:t xml:space="preserve"> a </w:t>
      </w:r>
      <w:r w:rsidRPr="003F23AC">
        <w:rPr>
          <w:rFonts w:cs="Times New Roman"/>
          <w:noProof/>
          <w:lang w:val="sk-SK"/>
        </w:rPr>
        <w:t>dopĺňa zákon</w:t>
      </w:r>
      <w:r w:rsidR="00A75B3C" w:rsidRPr="003F23AC">
        <w:rPr>
          <w:rFonts w:cs="Times New Roman"/>
          <w:noProof/>
          <w:lang w:val="sk-SK"/>
        </w:rPr>
        <w:t xml:space="preserve"> o </w:t>
      </w:r>
      <w:r w:rsidRPr="003F23AC">
        <w:rPr>
          <w:rFonts w:cs="Times New Roman"/>
          <w:noProof/>
          <w:lang w:val="sk-SK"/>
        </w:rPr>
        <w:t>katastri nehnuteľností (CRP).</w:t>
      </w:r>
    </w:p>
    <w:p w14:paraId="236B79E0" w14:textId="65937AA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reformy sa dokončí do 31</w:t>
      </w:r>
      <w:r w:rsidR="00A75B3C" w:rsidRPr="003F23AC">
        <w:rPr>
          <w:rFonts w:cs="Times New Roman"/>
          <w:noProof/>
          <w:lang w:val="sk-SK"/>
        </w:rPr>
        <w:t>. decembra</w:t>
      </w:r>
      <w:r w:rsidRPr="003F23AC">
        <w:rPr>
          <w:rFonts w:cs="Times New Roman"/>
          <w:noProof/>
          <w:lang w:val="sk-SK"/>
        </w:rPr>
        <w:t xml:space="preserve"> 2022.</w:t>
      </w:r>
    </w:p>
    <w:p w14:paraId="6D2F50DA" w14:textId="6DB93B30"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Reforma RE-r21: Prevencia</w:t>
      </w:r>
      <w:r w:rsidR="00A75B3C" w:rsidRPr="003F23AC">
        <w:rPr>
          <w:rFonts w:cs="Times New Roman"/>
          <w:noProof/>
          <w:lang w:val="sk-SK"/>
        </w:rPr>
        <w:t xml:space="preserve"> a </w:t>
      </w:r>
      <w:r w:rsidRPr="003F23AC">
        <w:rPr>
          <w:rFonts w:cs="Times New Roman"/>
          <w:noProof/>
          <w:lang w:val="sk-SK"/>
        </w:rPr>
        <w:t>boj proti požiarom na vidieku</w:t>
      </w:r>
    </w:p>
    <w:p w14:paraId="35DE7F44" w14:textId="49EE4AE8"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tohto opatrenia je zvýšiť prevenciu</w:t>
      </w:r>
      <w:r w:rsidR="00A75B3C" w:rsidRPr="003F23AC">
        <w:rPr>
          <w:rFonts w:cs="Times New Roman"/>
          <w:noProof/>
          <w:lang w:val="sk-SK"/>
        </w:rPr>
        <w:t xml:space="preserve"> a </w:t>
      </w:r>
      <w:r w:rsidRPr="003F23AC">
        <w:rPr>
          <w:rFonts w:cs="Times New Roman"/>
          <w:noProof/>
          <w:lang w:val="sk-SK"/>
        </w:rPr>
        <w:t>zlepšiť boj proti požiarom na vidieku prostredníctvom vytvorenia primárnej siete prestávok riadenia paliva</w:t>
      </w:r>
      <w:r w:rsidR="00A75B3C" w:rsidRPr="003F23AC">
        <w:rPr>
          <w:rFonts w:cs="Times New Roman"/>
          <w:noProof/>
          <w:lang w:val="sk-SK"/>
        </w:rPr>
        <w:t xml:space="preserve"> a </w:t>
      </w:r>
      <w:r w:rsidRPr="003F23AC">
        <w:rPr>
          <w:rFonts w:cs="Times New Roman"/>
          <w:noProof/>
          <w:lang w:val="sk-SK"/>
        </w:rPr>
        <w:t>posilnenia subjektov zodpovedných za riadenie</w:t>
      </w:r>
      <w:r w:rsidR="00A75B3C" w:rsidRPr="003F23AC">
        <w:rPr>
          <w:rFonts w:cs="Times New Roman"/>
          <w:noProof/>
          <w:lang w:val="sk-SK"/>
        </w:rPr>
        <w:t xml:space="preserve"> a </w:t>
      </w:r>
      <w:r w:rsidRPr="003F23AC">
        <w:rPr>
          <w:rFonts w:cs="Times New Roman"/>
          <w:noProof/>
          <w:lang w:val="sk-SK"/>
        </w:rPr>
        <w:t>ochranu pred požiarmi na vidieku</w:t>
      </w:r>
      <w:r w:rsidR="00A75B3C" w:rsidRPr="003F23AC">
        <w:rPr>
          <w:rFonts w:cs="Times New Roman"/>
          <w:noProof/>
          <w:lang w:val="sk-SK"/>
        </w:rPr>
        <w:t>.</w:t>
      </w:r>
    </w:p>
    <w:p w14:paraId="14495A95" w14:textId="586EBBAD"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Reforma pozostáva</w:t>
      </w:r>
      <w:r w:rsidR="00A75B3C" w:rsidRPr="003F23AC">
        <w:rPr>
          <w:rFonts w:cs="Times New Roman"/>
          <w:noProof/>
          <w:lang w:val="sk-SK"/>
        </w:rPr>
        <w:t xml:space="preserve"> z </w:t>
      </w:r>
      <w:r w:rsidRPr="003F23AC">
        <w:rPr>
          <w:rFonts w:cs="Times New Roman"/>
          <w:noProof/>
          <w:lang w:val="sk-SK"/>
        </w:rPr>
        <w:t>týchto prvkov</w:t>
      </w:r>
      <w:r w:rsidR="00A75B3C" w:rsidRPr="003F23AC">
        <w:rPr>
          <w:rFonts w:cs="Times New Roman"/>
          <w:noProof/>
          <w:lang w:val="sk-SK"/>
        </w:rPr>
        <w:t>:</w:t>
      </w:r>
    </w:p>
    <w:p w14:paraId="1F23C757" w14:textId="77777777" w:rsidR="00A75B3C" w:rsidRPr="003F23AC" w:rsidRDefault="000F5AA4" w:rsidP="003F23AC">
      <w:pPr>
        <w:pStyle w:val="P68B1DB1-Normal4"/>
        <w:numPr>
          <w:ilvl w:val="0"/>
          <w:numId w:val="40"/>
        </w:numPr>
        <w:spacing w:before="40" w:after="160" w:line="259" w:lineRule="auto"/>
        <w:contextualSpacing/>
        <w:jc w:val="both"/>
        <w:rPr>
          <w:rFonts w:cs="Times New Roman"/>
          <w:noProof/>
          <w:lang w:val="sk-SK"/>
        </w:rPr>
      </w:pPr>
      <w:r w:rsidRPr="003F23AC">
        <w:rPr>
          <w:rFonts w:cs="Times New Roman"/>
          <w:noProof/>
          <w:lang w:val="sk-SK"/>
        </w:rPr>
        <w:t>prijatie zákona, ktorým sa schvaľuje Národný plán integrovanej správy poľnohospodárskych požiarov (PNGIFR),</w:t>
      </w:r>
    </w:p>
    <w:p w14:paraId="1C967280" w14:textId="77777777" w:rsidR="00A75B3C" w:rsidRPr="003F23AC" w:rsidRDefault="000F5AA4" w:rsidP="003F23AC">
      <w:pPr>
        <w:pStyle w:val="P68B1DB1-Normal4"/>
        <w:numPr>
          <w:ilvl w:val="0"/>
          <w:numId w:val="40"/>
        </w:numPr>
        <w:spacing w:before="40" w:after="160" w:line="259" w:lineRule="auto"/>
        <w:contextualSpacing/>
        <w:jc w:val="both"/>
        <w:rPr>
          <w:rFonts w:cs="Times New Roman"/>
          <w:noProof/>
          <w:lang w:val="sk-SK"/>
        </w:rPr>
      </w:pPr>
      <w:r w:rsidRPr="003F23AC">
        <w:rPr>
          <w:rFonts w:cs="Times New Roman"/>
          <w:noProof/>
          <w:lang w:val="sk-SK"/>
        </w:rPr>
        <w:t>prijatie zákona</w:t>
      </w:r>
      <w:r w:rsidR="00A75B3C" w:rsidRPr="003F23AC">
        <w:rPr>
          <w:rFonts w:cs="Times New Roman"/>
          <w:noProof/>
          <w:lang w:val="sk-SK"/>
        </w:rPr>
        <w:t xml:space="preserve"> o </w:t>
      </w:r>
      <w:r w:rsidRPr="003F23AC">
        <w:rPr>
          <w:rFonts w:cs="Times New Roman"/>
          <w:noProof/>
          <w:lang w:val="sk-SK"/>
        </w:rPr>
        <w:t>vytvorení integrovaného systému riadenia požiarov na vidieku (SIGIFR),</w:t>
      </w:r>
      <w:r w:rsidR="00A75B3C" w:rsidRPr="003F23AC">
        <w:rPr>
          <w:rFonts w:cs="Times New Roman"/>
          <w:noProof/>
          <w:lang w:val="sk-SK"/>
        </w:rPr>
        <w:t xml:space="preserve"> a </w:t>
      </w:r>
      <w:r w:rsidRPr="003F23AC">
        <w:rPr>
          <w:rFonts w:cs="Times New Roman"/>
          <w:noProof/>
          <w:lang w:val="sk-SK"/>
        </w:rPr>
        <w:t>zároveň</w:t>
      </w:r>
    </w:p>
    <w:p w14:paraId="2B40A3E6" w14:textId="3AA30F80" w:rsidR="00A75B3C" w:rsidRPr="003F23AC" w:rsidRDefault="000F5AA4" w:rsidP="003F23AC">
      <w:pPr>
        <w:pStyle w:val="P68B1DB1-Normal4"/>
        <w:numPr>
          <w:ilvl w:val="0"/>
          <w:numId w:val="40"/>
        </w:numPr>
        <w:spacing w:before="40" w:after="160" w:line="259" w:lineRule="auto"/>
        <w:contextualSpacing/>
        <w:jc w:val="both"/>
        <w:rPr>
          <w:rFonts w:cs="Times New Roman"/>
          <w:noProof/>
          <w:lang w:val="sk-SK"/>
        </w:rPr>
      </w:pPr>
      <w:r w:rsidRPr="003F23AC">
        <w:rPr>
          <w:rFonts w:cs="Times New Roman"/>
          <w:noProof/>
          <w:lang w:val="sk-SK"/>
        </w:rPr>
        <w:t>prijatie zákona, ktorým sa schvaľuje národný akčný program Národného plánu integrovaného riadenia povodňových požiarov</w:t>
      </w:r>
      <w:r w:rsidR="00A75B3C" w:rsidRPr="003F23AC">
        <w:rPr>
          <w:rFonts w:cs="Times New Roman"/>
          <w:noProof/>
          <w:lang w:val="sk-SK"/>
        </w:rPr>
        <w:t>.</w:t>
      </w:r>
    </w:p>
    <w:p w14:paraId="4983BDBB" w14:textId="485FD4AA" w:rsidR="00A75B3C" w:rsidRPr="009E4E5C" w:rsidRDefault="000F5AA4" w:rsidP="003F23AC">
      <w:pPr>
        <w:pStyle w:val="P68B1DB1-Normal4"/>
        <w:spacing w:before="40" w:after="0" w:line="259" w:lineRule="auto"/>
        <w:jc w:val="both"/>
        <w:rPr>
          <w:rFonts w:cs="Times New Roman"/>
          <w:noProof/>
          <w:spacing w:val="-4"/>
          <w:lang w:val="sk-SK"/>
        </w:rPr>
      </w:pPr>
      <w:r w:rsidRPr="009E4E5C">
        <w:rPr>
          <w:rFonts w:cs="Times New Roman"/>
          <w:noProof/>
          <w:spacing w:val="-4"/>
          <w:lang w:val="sk-SK"/>
        </w:rPr>
        <w:t>Integrovaný systém riadenia požiarov na vidieku (SIGIFR) poskytuje na vnútroštátnej úrovni makropolitiky</w:t>
      </w:r>
      <w:r w:rsidR="00A75B3C" w:rsidRPr="009E4E5C">
        <w:rPr>
          <w:rFonts w:cs="Times New Roman"/>
          <w:noProof/>
          <w:spacing w:val="-4"/>
          <w:lang w:val="sk-SK"/>
        </w:rPr>
        <w:t xml:space="preserve"> a </w:t>
      </w:r>
      <w:r w:rsidRPr="009E4E5C">
        <w:rPr>
          <w:rFonts w:cs="Times New Roman"/>
          <w:noProof/>
          <w:spacing w:val="-4"/>
          <w:lang w:val="sk-SK"/>
        </w:rPr>
        <w:t>strategické usmernenia, ktoré prispejú</w:t>
      </w:r>
      <w:r w:rsidR="00A75B3C" w:rsidRPr="009E4E5C">
        <w:rPr>
          <w:rFonts w:cs="Times New Roman"/>
          <w:noProof/>
          <w:spacing w:val="-4"/>
          <w:lang w:val="sk-SK"/>
        </w:rPr>
        <w:t xml:space="preserve"> k </w:t>
      </w:r>
      <w:r w:rsidRPr="009E4E5C">
        <w:rPr>
          <w:rFonts w:cs="Times New Roman"/>
          <w:noProof/>
          <w:spacing w:val="-4"/>
          <w:lang w:val="sk-SK"/>
        </w:rPr>
        <w:t>zníženiu rizika požiarov na vidieku</w:t>
      </w:r>
      <w:r w:rsidR="00A75B3C" w:rsidRPr="009E4E5C">
        <w:rPr>
          <w:rFonts w:cs="Times New Roman"/>
          <w:noProof/>
          <w:spacing w:val="-4"/>
          <w:lang w:val="sk-SK"/>
        </w:rPr>
        <w:t xml:space="preserve"> a k </w:t>
      </w:r>
      <w:r w:rsidRPr="009E4E5C">
        <w:rPr>
          <w:rFonts w:cs="Times New Roman"/>
          <w:noProof/>
          <w:spacing w:val="-4"/>
          <w:lang w:val="sk-SK"/>
        </w:rPr>
        <w:t>zmene správania vlastníkov, používateľov</w:t>
      </w:r>
      <w:r w:rsidR="00A75B3C" w:rsidRPr="009E4E5C">
        <w:rPr>
          <w:rFonts w:cs="Times New Roman"/>
          <w:noProof/>
          <w:spacing w:val="-4"/>
          <w:lang w:val="sk-SK"/>
        </w:rPr>
        <w:t xml:space="preserve"> a </w:t>
      </w:r>
      <w:r w:rsidRPr="009E4E5C">
        <w:rPr>
          <w:rFonts w:cs="Times New Roman"/>
          <w:noProof/>
          <w:spacing w:val="-4"/>
          <w:lang w:val="sk-SK"/>
        </w:rPr>
        <w:t>priamych</w:t>
      </w:r>
      <w:r w:rsidR="00A75B3C" w:rsidRPr="009E4E5C">
        <w:rPr>
          <w:rFonts w:cs="Times New Roman"/>
          <w:noProof/>
          <w:spacing w:val="-4"/>
          <w:lang w:val="sk-SK"/>
        </w:rPr>
        <w:t xml:space="preserve"> a </w:t>
      </w:r>
      <w:r w:rsidRPr="009E4E5C">
        <w:rPr>
          <w:rFonts w:cs="Times New Roman"/>
          <w:noProof/>
          <w:spacing w:val="-4"/>
          <w:lang w:val="sk-SK"/>
        </w:rPr>
        <w:t>nepriamych príjemcov vidieckeho územia.</w:t>
      </w:r>
      <w:r w:rsidR="00A75B3C" w:rsidRPr="009E4E5C">
        <w:rPr>
          <w:rFonts w:cs="Times New Roman"/>
          <w:noProof/>
          <w:spacing w:val="-4"/>
          <w:lang w:val="sk-SK"/>
        </w:rPr>
        <w:t xml:space="preserve"> V </w:t>
      </w:r>
      <w:r w:rsidRPr="009E4E5C">
        <w:rPr>
          <w:rFonts w:cs="Times New Roman"/>
          <w:noProof/>
          <w:spacing w:val="-4"/>
          <w:lang w:val="sk-SK"/>
        </w:rPr>
        <w:t>systéme sa vymedzia modely medzirezortnej koordinácie, pričom sa vymedzia právomoci</w:t>
      </w:r>
      <w:r w:rsidR="00A75B3C" w:rsidRPr="009E4E5C">
        <w:rPr>
          <w:rFonts w:cs="Times New Roman"/>
          <w:noProof/>
          <w:spacing w:val="-4"/>
          <w:lang w:val="sk-SK"/>
        </w:rPr>
        <w:t xml:space="preserve"> a </w:t>
      </w:r>
      <w:r w:rsidRPr="009E4E5C">
        <w:rPr>
          <w:rFonts w:cs="Times New Roman"/>
          <w:noProof/>
          <w:spacing w:val="-4"/>
          <w:lang w:val="sk-SK"/>
        </w:rPr>
        <w:t>rozsah činnosti každého subjektu</w:t>
      </w:r>
      <w:r w:rsidR="00A75B3C" w:rsidRPr="009E4E5C">
        <w:rPr>
          <w:rFonts w:cs="Times New Roman"/>
          <w:noProof/>
          <w:spacing w:val="-4"/>
          <w:lang w:val="sk-SK"/>
        </w:rPr>
        <w:t xml:space="preserve"> v </w:t>
      </w:r>
      <w:r w:rsidRPr="009E4E5C">
        <w:rPr>
          <w:rFonts w:cs="Times New Roman"/>
          <w:noProof/>
          <w:spacing w:val="-4"/>
          <w:lang w:val="sk-SK"/>
        </w:rPr>
        <w:t>rámci SIGIFR</w:t>
      </w:r>
      <w:r w:rsidR="00A75B3C" w:rsidRPr="009E4E5C">
        <w:rPr>
          <w:rFonts w:cs="Times New Roman"/>
          <w:noProof/>
          <w:spacing w:val="-4"/>
          <w:lang w:val="sk-SK"/>
        </w:rPr>
        <w:t xml:space="preserve"> s </w:t>
      </w:r>
      <w:r w:rsidRPr="009E4E5C">
        <w:rPr>
          <w:rFonts w:cs="Times New Roman"/>
          <w:noProof/>
          <w:spacing w:val="-4"/>
          <w:lang w:val="sk-SK"/>
        </w:rPr>
        <w:t>väčšou zodpovednosťou voči rôznym subjektom</w:t>
      </w:r>
      <w:r w:rsidR="00A75B3C" w:rsidRPr="009E4E5C">
        <w:rPr>
          <w:rFonts w:cs="Times New Roman"/>
          <w:noProof/>
          <w:spacing w:val="-4"/>
          <w:lang w:val="sk-SK"/>
        </w:rPr>
        <w:t xml:space="preserve"> v </w:t>
      </w:r>
      <w:r w:rsidRPr="009E4E5C">
        <w:rPr>
          <w:rFonts w:cs="Times New Roman"/>
          <w:noProof/>
          <w:spacing w:val="-4"/>
          <w:lang w:val="sk-SK"/>
        </w:rPr>
        <w:t>rozhodovacom procese. Stanoví sa</w:t>
      </w:r>
      <w:r w:rsidR="00A75B3C" w:rsidRPr="009E4E5C">
        <w:rPr>
          <w:rFonts w:cs="Times New Roman"/>
          <w:noProof/>
          <w:spacing w:val="-4"/>
          <w:lang w:val="sk-SK"/>
        </w:rPr>
        <w:t xml:space="preserve"> v </w:t>
      </w:r>
      <w:r w:rsidRPr="009E4E5C">
        <w:rPr>
          <w:rFonts w:cs="Times New Roman"/>
          <w:noProof/>
          <w:spacing w:val="-4"/>
          <w:lang w:val="sk-SK"/>
        </w:rPr>
        <w:t>ňom model riadenia, monitorovania</w:t>
      </w:r>
      <w:r w:rsidR="00A75B3C" w:rsidRPr="009E4E5C">
        <w:rPr>
          <w:rFonts w:cs="Times New Roman"/>
          <w:noProof/>
          <w:spacing w:val="-4"/>
          <w:lang w:val="sk-SK"/>
        </w:rPr>
        <w:t xml:space="preserve"> a </w:t>
      </w:r>
      <w:r w:rsidRPr="009E4E5C">
        <w:rPr>
          <w:rFonts w:cs="Times New Roman"/>
          <w:noProof/>
          <w:spacing w:val="-4"/>
          <w:lang w:val="sk-SK"/>
        </w:rPr>
        <w:t>hodnotenia, ktorý prispeje</w:t>
      </w:r>
      <w:r w:rsidR="00A75B3C" w:rsidRPr="009E4E5C">
        <w:rPr>
          <w:rFonts w:cs="Times New Roman"/>
          <w:noProof/>
          <w:spacing w:val="-4"/>
          <w:lang w:val="sk-SK"/>
        </w:rPr>
        <w:t xml:space="preserve"> k </w:t>
      </w:r>
      <w:r w:rsidRPr="009E4E5C">
        <w:rPr>
          <w:rFonts w:cs="Times New Roman"/>
          <w:noProof/>
          <w:spacing w:val="-4"/>
          <w:lang w:val="sk-SK"/>
        </w:rPr>
        <w:t>neustálemu zlepšovaniu verejných politík</w:t>
      </w:r>
      <w:r w:rsidR="00A75B3C" w:rsidRPr="009E4E5C">
        <w:rPr>
          <w:rFonts w:cs="Times New Roman"/>
          <w:noProof/>
          <w:spacing w:val="-4"/>
          <w:lang w:val="sk-SK"/>
        </w:rPr>
        <w:t xml:space="preserve"> a </w:t>
      </w:r>
      <w:r w:rsidRPr="009E4E5C">
        <w:rPr>
          <w:rFonts w:cs="Times New Roman"/>
          <w:noProof/>
          <w:spacing w:val="-4"/>
          <w:lang w:val="sk-SK"/>
        </w:rPr>
        <w:t>programov</w:t>
      </w:r>
      <w:r w:rsidR="00A75B3C" w:rsidRPr="009E4E5C">
        <w:rPr>
          <w:rFonts w:cs="Times New Roman"/>
          <w:noProof/>
          <w:spacing w:val="-4"/>
          <w:lang w:val="sk-SK"/>
        </w:rPr>
        <w:t>.</w:t>
      </w:r>
    </w:p>
    <w:p w14:paraId="04DCD497" w14:textId="26F36656" w:rsidR="00387C70" w:rsidRPr="009E4E5C" w:rsidRDefault="000F5AA4" w:rsidP="003F23AC">
      <w:pPr>
        <w:pStyle w:val="P68B1DB1-Normal4"/>
        <w:spacing w:before="40" w:after="0" w:line="259" w:lineRule="auto"/>
        <w:jc w:val="both"/>
        <w:rPr>
          <w:rFonts w:eastAsiaTheme="minorEastAsia" w:cs="Times New Roman"/>
          <w:noProof/>
          <w:spacing w:val="-4"/>
          <w:lang w:val="sk-SK"/>
        </w:rPr>
      </w:pPr>
      <w:r w:rsidRPr="009E4E5C">
        <w:rPr>
          <w:rFonts w:cs="Times New Roman"/>
          <w:noProof/>
          <w:spacing w:val="-4"/>
          <w:lang w:val="sk-SK"/>
        </w:rPr>
        <w:t>Vytvorí sa informačný systém</w:t>
      </w:r>
      <w:r w:rsidR="00A75B3C" w:rsidRPr="009E4E5C">
        <w:rPr>
          <w:rFonts w:cs="Times New Roman"/>
          <w:noProof/>
          <w:spacing w:val="-4"/>
          <w:lang w:val="sk-SK"/>
        </w:rPr>
        <w:t xml:space="preserve"> o </w:t>
      </w:r>
      <w:r w:rsidRPr="009E4E5C">
        <w:rPr>
          <w:rFonts w:cs="Times New Roman"/>
          <w:noProof/>
          <w:spacing w:val="-4"/>
          <w:lang w:val="sk-SK"/>
        </w:rPr>
        <w:t>požiaroch na vidieku</w:t>
      </w:r>
      <w:r w:rsidR="00A75B3C" w:rsidRPr="009E4E5C">
        <w:rPr>
          <w:rFonts w:cs="Times New Roman"/>
          <w:noProof/>
          <w:spacing w:val="-4"/>
          <w:lang w:val="sk-SK"/>
        </w:rPr>
        <w:t xml:space="preserve"> s </w:t>
      </w:r>
      <w:r w:rsidRPr="009E4E5C">
        <w:rPr>
          <w:rFonts w:cs="Times New Roman"/>
          <w:noProof/>
          <w:spacing w:val="-4"/>
          <w:lang w:val="sk-SK"/>
        </w:rPr>
        <w:t>cieľom zhromažďovať</w:t>
      </w:r>
      <w:r w:rsidR="00A75B3C" w:rsidRPr="009E4E5C">
        <w:rPr>
          <w:rFonts w:cs="Times New Roman"/>
          <w:noProof/>
          <w:spacing w:val="-4"/>
          <w:lang w:val="sk-SK"/>
        </w:rPr>
        <w:t xml:space="preserve"> a </w:t>
      </w:r>
      <w:r w:rsidRPr="009E4E5C">
        <w:rPr>
          <w:rFonts w:cs="Times New Roman"/>
          <w:noProof/>
          <w:spacing w:val="-4"/>
          <w:lang w:val="sk-SK"/>
        </w:rPr>
        <w:t>šíriť všetky relevantné technické informácie zo SIGIFR. Okrem toho sa</w:t>
      </w:r>
      <w:r w:rsidR="00A75B3C" w:rsidRPr="009E4E5C">
        <w:rPr>
          <w:rFonts w:cs="Times New Roman"/>
          <w:noProof/>
          <w:spacing w:val="-4"/>
          <w:lang w:val="sk-SK"/>
        </w:rPr>
        <w:t xml:space="preserve"> v </w:t>
      </w:r>
      <w:r w:rsidRPr="009E4E5C">
        <w:rPr>
          <w:rFonts w:cs="Times New Roman"/>
          <w:noProof/>
          <w:spacing w:val="-4"/>
          <w:lang w:val="sk-SK"/>
        </w:rPr>
        <w:t>ňom vymedzí model založený na prevencii</w:t>
      </w:r>
      <w:r w:rsidR="00A75B3C" w:rsidRPr="009E4E5C">
        <w:rPr>
          <w:rFonts w:cs="Times New Roman"/>
          <w:noProof/>
          <w:spacing w:val="-4"/>
          <w:lang w:val="sk-SK"/>
        </w:rPr>
        <w:t xml:space="preserve"> a </w:t>
      </w:r>
      <w:r w:rsidRPr="009E4E5C">
        <w:rPr>
          <w:rFonts w:cs="Times New Roman"/>
          <w:noProof/>
          <w:spacing w:val="-4"/>
          <w:lang w:val="sk-SK"/>
        </w:rPr>
        <w:t>minimalizácii rizík,</w:t>
      </w:r>
      <w:r w:rsidR="00A75B3C" w:rsidRPr="009E4E5C">
        <w:rPr>
          <w:rFonts w:cs="Times New Roman"/>
          <w:noProof/>
          <w:spacing w:val="-4"/>
          <w:lang w:val="sk-SK"/>
        </w:rPr>
        <w:t xml:space="preserve"> a </w:t>
      </w:r>
      <w:r w:rsidRPr="009E4E5C">
        <w:rPr>
          <w:rFonts w:cs="Times New Roman"/>
          <w:noProof/>
          <w:spacing w:val="-4"/>
          <w:lang w:val="sk-SK"/>
        </w:rPr>
        <w:t>to buď prostredníctvom činností na zvyšovanie informovanosti, alebo prostredníctvom zriadenia regionálnych obranných sietí,</w:t>
      </w:r>
      <w:r w:rsidR="00A75B3C" w:rsidRPr="009E4E5C">
        <w:rPr>
          <w:rFonts w:cs="Times New Roman"/>
          <w:noProof/>
          <w:spacing w:val="-4"/>
          <w:lang w:val="sk-SK"/>
        </w:rPr>
        <w:t xml:space="preserve"> v </w:t>
      </w:r>
      <w:r w:rsidRPr="009E4E5C">
        <w:rPr>
          <w:rFonts w:cs="Times New Roman"/>
          <w:noProof/>
          <w:spacing w:val="-4"/>
          <w:lang w:val="sk-SK"/>
        </w:rPr>
        <w:t>ktorých má riadenie palív vedúcu úlohu</w:t>
      </w:r>
      <w:r w:rsidR="00A75B3C" w:rsidRPr="009E4E5C">
        <w:rPr>
          <w:rFonts w:cs="Times New Roman"/>
          <w:noProof/>
          <w:spacing w:val="-4"/>
          <w:lang w:val="sk-SK"/>
        </w:rPr>
        <w:t xml:space="preserve"> v </w:t>
      </w:r>
      <w:r w:rsidRPr="009E4E5C">
        <w:rPr>
          <w:rFonts w:cs="Times New Roman"/>
          <w:noProof/>
          <w:spacing w:val="-4"/>
          <w:lang w:val="sk-SK"/>
        </w:rPr>
        <w:t>sankčnom režime.</w:t>
      </w:r>
    </w:p>
    <w:p w14:paraId="26D46A9E" w14:textId="498EDC03"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reformy sa dokončí do 30</w:t>
      </w:r>
      <w:r w:rsidR="00A75B3C" w:rsidRPr="003F23AC">
        <w:rPr>
          <w:rFonts w:cs="Times New Roman"/>
          <w:noProof/>
          <w:lang w:val="sk-SK"/>
        </w:rPr>
        <w:t>. septembra</w:t>
      </w:r>
      <w:r w:rsidRPr="003F23AC">
        <w:rPr>
          <w:rFonts w:cs="Times New Roman"/>
          <w:noProof/>
          <w:lang w:val="sk-SK"/>
        </w:rPr>
        <w:t xml:space="preserve"> 2021.</w:t>
      </w:r>
    </w:p>
    <w:p w14:paraId="3E0AE6FF" w14:textId="356FD8A4"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RE-C08-i01: Transformácia krajiny</w:t>
      </w:r>
      <w:r w:rsidR="00A75B3C" w:rsidRPr="003F23AC">
        <w:rPr>
          <w:rFonts w:cs="Times New Roman"/>
          <w:noProof/>
          <w:lang w:val="sk-SK"/>
        </w:rPr>
        <w:t xml:space="preserve"> v </w:t>
      </w:r>
      <w:r w:rsidRPr="003F23AC">
        <w:rPr>
          <w:rFonts w:cs="Times New Roman"/>
          <w:noProof/>
          <w:lang w:val="sk-SK"/>
        </w:rPr>
        <w:t>zraniteľných lesných oblastiach</w:t>
      </w:r>
    </w:p>
    <w:p w14:paraId="434C95EF" w14:textId="5AEA8DF3" w:rsidR="00387C70" w:rsidRPr="009E4E5C" w:rsidRDefault="000F5AA4" w:rsidP="003F23AC">
      <w:pPr>
        <w:pStyle w:val="P68B1DB1-Normal4"/>
        <w:spacing w:before="40" w:after="0" w:line="259" w:lineRule="auto"/>
        <w:jc w:val="both"/>
        <w:rPr>
          <w:rFonts w:eastAsiaTheme="minorEastAsia" w:cs="Times New Roman"/>
          <w:noProof/>
          <w:spacing w:val="-4"/>
          <w:lang w:val="sk-SK"/>
        </w:rPr>
      </w:pPr>
      <w:r w:rsidRPr="009E4E5C">
        <w:rPr>
          <w:rFonts w:cs="Times New Roman"/>
          <w:noProof/>
          <w:spacing w:val="-4"/>
          <w:lang w:val="sk-SK"/>
        </w:rPr>
        <w:t>Cieľom tohto opatrenia je zvýšiť odolnosť zraniteľných území voči rizikám spojeným so zmenou klímy, najmä voči požiarom na vidieku</w:t>
      </w:r>
      <w:r w:rsidR="00A75B3C" w:rsidRPr="009E4E5C">
        <w:rPr>
          <w:rFonts w:cs="Times New Roman"/>
          <w:noProof/>
          <w:spacing w:val="-4"/>
          <w:lang w:val="sk-SK"/>
        </w:rPr>
        <w:t xml:space="preserve"> a </w:t>
      </w:r>
      <w:r w:rsidRPr="009E4E5C">
        <w:rPr>
          <w:rFonts w:cs="Times New Roman"/>
          <w:noProof/>
          <w:spacing w:val="-4"/>
          <w:lang w:val="sk-SK"/>
        </w:rPr>
        <w:t>strate biodiverzity,</w:t>
      </w:r>
      <w:r w:rsidR="00A75B3C" w:rsidRPr="009E4E5C">
        <w:rPr>
          <w:rFonts w:cs="Times New Roman"/>
          <w:noProof/>
          <w:spacing w:val="-4"/>
          <w:lang w:val="sk-SK"/>
        </w:rPr>
        <w:t xml:space="preserve"> a </w:t>
      </w:r>
      <w:r w:rsidRPr="009E4E5C">
        <w:rPr>
          <w:rFonts w:cs="Times New Roman"/>
          <w:noProof/>
          <w:spacing w:val="-4"/>
          <w:lang w:val="sk-SK"/>
        </w:rPr>
        <w:t>podporiť udržateľný rast</w:t>
      </w:r>
      <w:r w:rsidR="00A75B3C" w:rsidRPr="009E4E5C">
        <w:rPr>
          <w:rFonts w:cs="Times New Roman"/>
          <w:noProof/>
          <w:spacing w:val="-4"/>
          <w:lang w:val="sk-SK"/>
        </w:rPr>
        <w:t xml:space="preserve"> a </w:t>
      </w:r>
      <w:r w:rsidRPr="009E4E5C">
        <w:rPr>
          <w:rFonts w:cs="Times New Roman"/>
          <w:noProof/>
          <w:spacing w:val="-4"/>
          <w:lang w:val="sk-SK"/>
        </w:rPr>
        <w:t>územnú súdržnosť. Tieto ciele sa dosiahnu transformáciou krajiny, zväčšovaním priemernej veľkosti poľnohospodárskeho majetku, zmenou vo využívaní pôdy</w:t>
      </w:r>
      <w:r w:rsidR="00A75B3C" w:rsidRPr="009E4E5C">
        <w:rPr>
          <w:rFonts w:cs="Times New Roman"/>
          <w:noProof/>
          <w:spacing w:val="-4"/>
          <w:lang w:val="sk-SK"/>
        </w:rPr>
        <w:t xml:space="preserve"> a </w:t>
      </w:r>
      <w:r w:rsidRPr="009E4E5C">
        <w:rPr>
          <w:rFonts w:cs="Times New Roman"/>
          <w:noProof/>
          <w:spacing w:val="-4"/>
          <w:lang w:val="sk-SK"/>
        </w:rPr>
        <w:t>plánovaním nových hospodárskych činností.</w:t>
      </w:r>
    </w:p>
    <w:p w14:paraId="6669D009" w14:textId="6DF16EFC"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investícia pozostáva</w:t>
      </w:r>
      <w:r w:rsidR="00A75B3C" w:rsidRPr="003F23AC">
        <w:rPr>
          <w:rFonts w:cs="Times New Roman"/>
          <w:noProof/>
          <w:lang w:val="sk-SK"/>
        </w:rPr>
        <w:t xml:space="preserve"> z </w:t>
      </w:r>
      <w:r w:rsidRPr="003F23AC">
        <w:rPr>
          <w:rFonts w:cs="Times New Roman"/>
          <w:noProof/>
          <w:lang w:val="sk-SK"/>
        </w:rPr>
        <w:t>týchto programov</w:t>
      </w:r>
      <w:r w:rsidR="00A75B3C" w:rsidRPr="003F23AC">
        <w:rPr>
          <w:rFonts w:cs="Times New Roman"/>
          <w:noProof/>
          <w:lang w:val="sk-SK"/>
        </w:rPr>
        <w:t>:</w:t>
      </w:r>
    </w:p>
    <w:p w14:paraId="71FC0CB5" w14:textId="61F2AFA8" w:rsidR="00A75B3C" w:rsidRPr="003F23AC" w:rsidRDefault="000F5AA4" w:rsidP="003F23AC">
      <w:pPr>
        <w:pStyle w:val="P68B1DB1-Normal4"/>
        <w:numPr>
          <w:ilvl w:val="0"/>
          <w:numId w:val="36"/>
        </w:numPr>
        <w:spacing w:before="40" w:after="160" w:line="259" w:lineRule="auto"/>
        <w:contextualSpacing/>
        <w:jc w:val="both"/>
        <w:rPr>
          <w:rFonts w:cs="Times New Roman"/>
          <w:noProof/>
          <w:lang w:val="sk-SK"/>
        </w:rPr>
      </w:pPr>
      <w:r w:rsidRPr="003F23AC">
        <w:rPr>
          <w:rFonts w:cs="Times New Roman"/>
          <w:noProof/>
          <w:lang w:val="sk-SK"/>
        </w:rPr>
        <w:t>programy územného plánovania</w:t>
      </w:r>
      <w:r w:rsidR="00A75B3C" w:rsidRPr="003F23AC">
        <w:rPr>
          <w:rFonts w:cs="Times New Roman"/>
          <w:noProof/>
          <w:lang w:val="sk-SK"/>
        </w:rPr>
        <w:t xml:space="preserve"> a </w:t>
      </w:r>
      <w:r w:rsidRPr="003F23AC">
        <w:rPr>
          <w:rFonts w:cs="Times New Roman"/>
          <w:noProof/>
          <w:lang w:val="sk-SK"/>
        </w:rPr>
        <w:t>riadenia (PRGP), ktoré navrhnú žiaduce prostredie</w:t>
      </w:r>
      <w:r w:rsidR="00A75B3C" w:rsidRPr="003F23AC">
        <w:rPr>
          <w:rFonts w:cs="Times New Roman"/>
          <w:noProof/>
          <w:lang w:val="sk-SK"/>
        </w:rPr>
        <w:t xml:space="preserve"> a </w:t>
      </w:r>
      <w:r w:rsidRPr="003F23AC">
        <w:rPr>
          <w:rFonts w:cs="Times New Roman"/>
          <w:noProof/>
          <w:lang w:val="sk-SK"/>
        </w:rPr>
        <w:t>vymedzia prechodnú maticu</w:t>
      </w:r>
      <w:r w:rsidR="00A75B3C" w:rsidRPr="003F23AC">
        <w:rPr>
          <w:rFonts w:cs="Times New Roman"/>
          <w:noProof/>
          <w:lang w:val="sk-SK"/>
        </w:rPr>
        <w:t xml:space="preserve"> v </w:t>
      </w:r>
      <w:r w:rsidRPr="003F23AC">
        <w:rPr>
          <w:rFonts w:cs="Times New Roman"/>
          <w:noProof/>
          <w:lang w:val="sk-SK"/>
        </w:rPr>
        <w:t>strednodobom až dlhodobom horizonte podporovanú modelom financovania, ktorý zabezpečí jeho vykonávanie</w:t>
      </w:r>
      <w:r w:rsidR="00A75B3C" w:rsidRPr="003F23AC">
        <w:rPr>
          <w:rFonts w:cs="Times New Roman"/>
          <w:noProof/>
          <w:lang w:val="sk-SK"/>
        </w:rPr>
        <w:t>;</w:t>
      </w:r>
    </w:p>
    <w:p w14:paraId="75AA318A" w14:textId="393558A9" w:rsidR="00A75B3C" w:rsidRPr="003F23AC" w:rsidRDefault="000F5AA4" w:rsidP="003F23AC">
      <w:pPr>
        <w:pStyle w:val="P68B1DB1-Normal4"/>
        <w:numPr>
          <w:ilvl w:val="0"/>
          <w:numId w:val="36"/>
        </w:numPr>
        <w:spacing w:before="40" w:after="160" w:line="259" w:lineRule="auto"/>
        <w:contextualSpacing/>
        <w:jc w:val="both"/>
        <w:rPr>
          <w:rFonts w:cs="Times New Roman"/>
          <w:noProof/>
          <w:lang w:val="sk-SK"/>
        </w:rPr>
      </w:pPr>
      <w:r w:rsidRPr="003F23AC">
        <w:rPr>
          <w:rFonts w:cs="Times New Roman"/>
          <w:noProof/>
          <w:lang w:val="sk-SK"/>
        </w:rPr>
        <w:t>oblasti integrovaného riadenia krajiny (AIGP), ktoré zväčšujú rozlohu obhospodarovanej lesnej plochy, vytvárajú prerušenia</w:t>
      </w:r>
      <w:r w:rsidR="00A75B3C" w:rsidRPr="003F23AC">
        <w:rPr>
          <w:rFonts w:cs="Times New Roman"/>
          <w:noProof/>
          <w:lang w:val="sk-SK"/>
        </w:rPr>
        <w:t xml:space="preserve"> v </w:t>
      </w:r>
      <w:r w:rsidRPr="003F23AC">
        <w:rPr>
          <w:rFonts w:cs="Times New Roman"/>
          <w:noProof/>
          <w:lang w:val="sk-SK"/>
        </w:rPr>
        <w:t>rozsiahlych oblastiach morských monokulárov borovice</w:t>
      </w:r>
      <w:r w:rsidR="00A75B3C" w:rsidRPr="003F23AC">
        <w:rPr>
          <w:rFonts w:cs="Times New Roman"/>
          <w:noProof/>
          <w:lang w:val="sk-SK"/>
        </w:rPr>
        <w:t xml:space="preserve"> a </w:t>
      </w:r>
      <w:r w:rsidRPr="003F23AC">
        <w:rPr>
          <w:rFonts w:cs="Times New Roman"/>
          <w:noProof/>
          <w:lang w:val="sk-SK"/>
        </w:rPr>
        <w:t>eukalyptu</w:t>
      </w:r>
      <w:r w:rsidR="00A75B3C" w:rsidRPr="003F23AC">
        <w:rPr>
          <w:rFonts w:cs="Times New Roman"/>
          <w:noProof/>
          <w:lang w:val="sk-SK"/>
        </w:rPr>
        <w:t xml:space="preserve"> a </w:t>
      </w:r>
      <w:r w:rsidRPr="003F23AC">
        <w:rPr>
          <w:rFonts w:cs="Times New Roman"/>
          <w:noProof/>
          <w:lang w:val="sk-SK"/>
        </w:rPr>
        <w:t>zabezpečia nahradenie oblastí eukalyptu inými druhmi, najmä pôvodnými druhmi,</w:t>
      </w:r>
      <w:r w:rsidR="00A75B3C" w:rsidRPr="003F23AC">
        <w:rPr>
          <w:rFonts w:cs="Times New Roman"/>
          <w:noProof/>
          <w:lang w:val="sk-SK"/>
        </w:rPr>
        <w:t xml:space="preserve"> s </w:t>
      </w:r>
      <w:r w:rsidRPr="003F23AC">
        <w:rPr>
          <w:rFonts w:cs="Times New Roman"/>
          <w:noProof/>
          <w:lang w:val="sk-SK"/>
        </w:rPr>
        <w:t>cieľom dosiahnuť rozsah, ktorý podporuje odolnosť proti požiarom</w:t>
      </w:r>
      <w:r w:rsidR="00A75B3C" w:rsidRPr="003F23AC">
        <w:rPr>
          <w:rFonts w:cs="Times New Roman"/>
          <w:noProof/>
          <w:lang w:val="sk-SK"/>
        </w:rPr>
        <w:t xml:space="preserve"> a </w:t>
      </w:r>
      <w:r w:rsidRPr="003F23AC">
        <w:rPr>
          <w:rFonts w:cs="Times New Roman"/>
          <w:noProof/>
          <w:lang w:val="sk-SK"/>
        </w:rPr>
        <w:t>valorizáciu prírodného kapitálu,</w:t>
      </w:r>
      <w:r w:rsidR="00A75B3C" w:rsidRPr="003F23AC">
        <w:rPr>
          <w:rFonts w:cs="Times New Roman"/>
          <w:noProof/>
          <w:lang w:val="sk-SK"/>
        </w:rPr>
        <w:t xml:space="preserve"> a </w:t>
      </w:r>
      <w:r w:rsidRPr="003F23AC">
        <w:rPr>
          <w:rFonts w:cs="Times New Roman"/>
          <w:noProof/>
          <w:lang w:val="sk-SK"/>
        </w:rPr>
        <w:t>vytvoriť potrebné podmienky na rozvoj operácií integrovaného riadenia krajiny,</w:t>
      </w:r>
      <w:r w:rsidR="00A75B3C" w:rsidRPr="003F23AC">
        <w:rPr>
          <w:rFonts w:cs="Times New Roman"/>
          <w:noProof/>
          <w:lang w:val="sk-SK"/>
        </w:rPr>
        <w:t xml:space="preserve"> v </w:t>
      </w:r>
      <w:r w:rsidRPr="003F23AC">
        <w:rPr>
          <w:rFonts w:cs="Times New Roman"/>
          <w:noProof/>
          <w:lang w:val="sk-SK"/>
        </w:rPr>
        <w:t>ktorých sa vymedzuje plánovanie intervencií, prevádzkový model, finančné zdroje, ktoré sa majú prideliť,</w:t>
      </w:r>
      <w:r w:rsidR="00A75B3C" w:rsidRPr="003F23AC">
        <w:rPr>
          <w:rFonts w:cs="Times New Roman"/>
          <w:noProof/>
          <w:lang w:val="sk-SK"/>
        </w:rPr>
        <w:t xml:space="preserve"> a </w:t>
      </w:r>
      <w:r w:rsidRPr="003F23AC">
        <w:rPr>
          <w:rFonts w:cs="Times New Roman"/>
          <w:noProof/>
          <w:lang w:val="sk-SK"/>
        </w:rPr>
        <w:t>systém riadenia</w:t>
      </w:r>
      <w:r w:rsidR="00A75B3C" w:rsidRPr="003F23AC">
        <w:rPr>
          <w:rFonts w:cs="Times New Roman"/>
          <w:noProof/>
          <w:lang w:val="sk-SK"/>
        </w:rPr>
        <w:t xml:space="preserve"> a </w:t>
      </w:r>
      <w:r w:rsidRPr="003F23AC">
        <w:rPr>
          <w:rFonts w:cs="Times New Roman"/>
          <w:noProof/>
          <w:lang w:val="sk-SK"/>
        </w:rPr>
        <w:t>monitorovania</w:t>
      </w:r>
      <w:r w:rsidR="00A75B3C" w:rsidRPr="003F23AC">
        <w:rPr>
          <w:rFonts w:cs="Times New Roman"/>
          <w:noProof/>
          <w:lang w:val="sk-SK"/>
        </w:rPr>
        <w:t>;</w:t>
      </w:r>
    </w:p>
    <w:p w14:paraId="6E47BE1A" w14:textId="45127AF0" w:rsidR="00387C70" w:rsidRPr="003F23AC" w:rsidRDefault="000F5AA4" w:rsidP="003F23AC">
      <w:pPr>
        <w:pStyle w:val="P68B1DB1-Normal4"/>
        <w:numPr>
          <w:ilvl w:val="0"/>
          <w:numId w:val="36"/>
        </w:numPr>
        <w:spacing w:before="40" w:after="160" w:line="259" w:lineRule="auto"/>
        <w:contextualSpacing/>
        <w:jc w:val="both"/>
        <w:rPr>
          <w:rFonts w:eastAsiaTheme="minorEastAsia" w:cs="Times New Roman"/>
          <w:noProof/>
          <w:lang w:val="sk-SK"/>
        </w:rPr>
      </w:pPr>
      <w:r w:rsidRPr="003F23AC">
        <w:rPr>
          <w:rFonts w:cs="Times New Roman"/>
          <w:noProof/>
          <w:lang w:val="sk-SK"/>
        </w:rPr>
        <w:t>integrovaný podporný program pre vidiecke obce nachádzajúce sa na lesných územiach, ktorým sa podporuje súbor opatrení na zabezpečenie zmeny vo využívaní pôdy</w:t>
      </w:r>
      <w:r w:rsidR="00A75B3C" w:rsidRPr="003F23AC">
        <w:rPr>
          <w:rFonts w:cs="Times New Roman"/>
          <w:noProof/>
          <w:lang w:val="sk-SK"/>
        </w:rPr>
        <w:t xml:space="preserve"> a </w:t>
      </w:r>
      <w:r w:rsidRPr="003F23AC">
        <w:rPr>
          <w:rFonts w:cs="Times New Roman"/>
          <w:noProof/>
          <w:lang w:val="sk-SK"/>
        </w:rPr>
        <w:t>obsadení pôdy</w:t>
      </w:r>
      <w:r w:rsidR="00A75B3C" w:rsidRPr="003F23AC">
        <w:rPr>
          <w:rFonts w:cs="Times New Roman"/>
          <w:noProof/>
          <w:lang w:val="sk-SK"/>
        </w:rPr>
        <w:t xml:space="preserve"> a </w:t>
      </w:r>
      <w:r w:rsidRPr="003F23AC">
        <w:rPr>
          <w:rFonts w:cs="Times New Roman"/>
          <w:noProof/>
          <w:lang w:val="sk-SK"/>
        </w:rPr>
        <w:t>riadenia palív</w:t>
      </w:r>
      <w:r w:rsidR="00A75B3C" w:rsidRPr="003F23AC">
        <w:rPr>
          <w:rFonts w:cs="Times New Roman"/>
          <w:noProof/>
          <w:lang w:val="sk-SK"/>
        </w:rPr>
        <w:t xml:space="preserve"> v </w:t>
      </w:r>
      <w:r w:rsidRPr="003F23AC">
        <w:rPr>
          <w:rFonts w:cs="Times New Roman"/>
          <w:noProof/>
          <w:lang w:val="sk-SK"/>
        </w:rPr>
        <w:t>okolí vidieckych dedín;</w:t>
      </w:r>
      <w:r w:rsidR="00A75B3C" w:rsidRPr="003F23AC">
        <w:rPr>
          <w:rFonts w:cs="Times New Roman"/>
          <w:noProof/>
          <w:lang w:val="sk-SK"/>
        </w:rPr>
        <w:t xml:space="preserve"> a </w:t>
      </w:r>
      <w:r w:rsidRPr="003F23AC">
        <w:rPr>
          <w:rFonts w:cs="Times New Roman"/>
          <w:noProof/>
          <w:lang w:val="sk-SK"/>
        </w:rPr>
        <w:t>zároveň</w:t>
      </w:r>
    </w:p>
    <w:p w14:paraId="5154E281" w14:textId="22505A13" w:rsidR="00387C70" w:rsidRPr="003F23AC" w:rsidRDefault="000F5AA4" w:rsidP="003F23AC">
      <w:pPr>
        <w:pStyle w:val="P68B1DB1-Normal4"/>
        <w:numPr>
          <w:ilvl w:val="0"/>
          <w:numId w:val="36"/>
        </w:numPr>
        <w:spacing w:before="40" w:after="160" w:line="259" w:lineRule="auto"/>
        <w:contextualSpacing/>
        <w:jc w:val="both"/>
        <w:rPr>
          <w:rFonts w:eastAsiaTheme="minorEastAsia" w:cs="Times New Roman"/>
          <w:noProof/>
          <w:lang w:val="sk-SK"/>
        </w:rPr>
      </w:pPr>
      <w:r w:rsidRPr="003F23AC">
        <w:rPr>
          <w:rFonts w:cs="Times New Roman"/>
          <w:noProof/>
          <w:lang w:val="sk-SK"/>
        </w:rPr>
        <w:t xml:space="preserve">program </w:t>
      </w:r>
      <w:r w:rsidRPr="003F23AC">
        <w:rPr>
          <w:rFonts w:cs="Times New Roman"/>
          <w:i/>
          <w:noProof/>
          <w:lang w:val="sk-SK"/>
        </w:rPr>
        <w:t>Emparcelar para</w:t>
      </w:r>
      <w:r w:rsidRPr="003F23AC">
        <w:rPr>
          <w:rFonts w:cs="Times New Roman"/>
          <w:noProof/>
          <w:lang w:val="sk-SK"/>
        </w:rPr>
        <w:t xml:space="preserve"> Ordenar, ktorý zväčšuje priemernú veľkosť vidieckeho majetku,</w:t>
      </w:r>
      <w:r w:rsidR="00A75B3C" w:rsidRPr="003F23AC">
        <w:rPr>
          <w:rFonts w:cs="Times New Roman"/>
          <w:noProof/>
          <w:lang w:val="sk-SK"/>
        </w:rPr>
        <w:t xml:space="preserve"> a </w:t>
      </w:r>
      <w:r w:rsidRPr="003F23AC">
        <w:rPr>
          <w:rFonts w:cs="Times New Roman"/>
          <w:noProof/>
          <w:lang w:val="sk-SK"/>
        </w:rPr>
        <w:t>tým prispieva</w:t>
      </w:r>
      <w:r w:rsidR="00A75B3C" w:rsidRPr="003F23AC">
        <w:rPr>
          <w:rFonts w:cs="Times New Roman"/>
          <w:noProof/>
          <w:lang w:val="sk-SK"/>
        </w:rPr>
        <w:t xml:space="preserve"> k </w:t>
      </w:r>
      <w:r w:rsidRPr="003F23AC">
        <w:rPr>
          <w:rFonts w:cs="Times New Roman"/>
          <w:noProof/>
          <w:lang w:val="sk-SK"/>
        </w:rPr>
        <w:t>životaschopnosti</w:t>
      </w:r>
      <w:r w:rsidR="00A75B3C" w:rsidRPr="003F23AC">
        <w:rPr>
          <w:rFonts w:cs="Times New Roman"/>
          <w:noProof/>
          <w:lang w:val="sk-SK"/>
        </w:rPr>
        <w:t xml:space="preserve"> a </w:t>
      </w:r>
      <w:r w:rsidRPr="003F23AC">
        <w:rPr>
          <w:rFonts w:cs="Times New Roman"/>
          <w:noProof/>
          <w:lang w:val="sk-SK"/>
        </w:rPr>
        <w:t>hospodárskej udržateľnosti poľnohospodárskych podnikov, ktoré tam sú alebo majú byť inštalované.</w:t>
      </w:r>
    </w:p>
    <w:p w14:paraId="0660F943" w14:textId="478D40FE"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septembra</w:t>
      </w:r>
      <w:r w:rsidRPr="003F23AC">
        <w:rPr>
          <w:rFonts w:cs="Times New Roman"/>
          <w:noProof/>
          <w:lang w:val="sk-SK"/>
        </w:rPr>
        <w:t xml:space="preserve"> 2025</w:t>
      </w:r>
      <w:r w:rsidR="00A75B3C" w:rsidRPr="003F23AC">
        <w:rPr>
          <w:rFonts w:cs="Times New Roman"/>
          <w:noProof/>
          <w:lang w:val="sk-SK"/>
        </w:rPr>
        <w:t>.</w:t>
      </w:r>
    </w:p>
    <w:p w14:paraId="64C9896B" w14:textId="2BB53703"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RE-C08-i02: Katastra nehnuteľností vidieka</w:t>
      </w:r>
      <w:r w:rsidR="00A75B3C" w:rsidRPr="003F23AC">
        <w:rPr>
          <w:rFonts w:cs="Times New Roman"/>
          <w:noProof/>
          <w:lang w:val="sk-SK"/>
        </w:rPr>
        <w:t xml:space="preserve"> a </w:t>
      </w:r>
      <w:r w:rsidRPr="003F23AC">
        <w:rPr>
          <w:rFonts w:cs="Times New Roman"/>
          <w:noProof/>
          <w:lang w:val="sk-SK"/>
        </w:rPr>
        <w:t>systém monitorovania krajinnej pokrývky</w:t>
      </w:r>
    </w:p>
    <w:p w14:paraId="3546F8A6" w14:textId="5324A6E0" w:rsidR="00A75B3C" w:rsidRPr="009E4E5C" w:rsidRDefault="000F5AA4" w:rsidP="003F23AC">
      <w:pPr>
        <w:pStyle w:val="P68B1DB1-Normal4"/>
        <w:spacing w:before="40" w:after="0" w:line="259" w:lineRule="auto"/>
        <w:jc w:val="both"/>
        <w:rPr>
          <w:rFonts w:cs="Times New Roman"/>
          <w:noProof/>
          <w:spacing w:val="-8"/>
          <w:bdr w:val="none" w:sz="0" w:space="0" w:color="auto" w:frame="1"/>
          <w:lang w:val="sk-SK"/>
        </w:rPr>
      </w:pPr>
      <w:r w:rsidRPr="009E4E5C">
        <w:rPr>
          <w:rFonts w:cs="Times New Roman"/>
          <w:noProof/>
          <w:spacing w:val="-8"/>
          <w:lang w:val="sk-SK"/>
        </w:rPr>
        <w:t>Cieľom tohto opatrenia je poskytnúť portugalskému štátu vedomostnú základňu</w:t>
      </w:r>
      <w:r w:rsidR="00A75B3C" w:rsidRPr="009E4E5C">
        <w:rPr>
          <w:rFonts w:cs="Times New Roman"/>
          <w:noProof/>
          <w:spacing w:val="-8"/>
          <w:lang w:val="sk-SK"/>
        </w:rPr>
        <w:t xml:space="preserve"> o </w:t>
      </w:r>
      <w:r w:rsidRPr="009E4E5C">
        <w:rPr>
          <w:rFonts w:cs="Times New Roman"/>
          <w:noProof/>
          <w:spacing w:val="-8"/>
          <w:bdr w:val="none" w:sz="0" w:space="0" w:color="auto" w:frame="1"/>
          <w:lang w:val="sk-SK"/>
        </w:rPr>
        <w:t>cestnej premávke na danom území, najmä pokiaľ ide</w:t>
      </w:r>
      <w:r w:rsidR="00A75B3C" w:rsidRPr="009E4E5C">
        <w:rPr>
          <w:rFonts w:cs="Times New Roman"/>
          <w:noProof/>
          <w:spacing w:val="-8"/>
          <w:bdr w:val="none" w:sz="0" w:space="0" w:color="auto" w:frame="1"/>
          <w:lang w:val="sk-SK"/>
        </w:rPr>
        <w:t xml:space="preserve"> o </w:t>
      </w:r>
      <w:r w:rsidRPr="009E4E5C">
        <w:rPr>
          <w:rFonts w:cs="Times New Roman"/>
          <w:noProof/>
          <w:spacing w:val="-8"/>
          <w:bdr w:val="none" w:sz="0" w:space="0" w:color="auto" w:frame="1"/>
          <w:lang w:val="sk-SK"/>
        </w:rPr>
        <w:t>druh</w:t>
      </w:r>
      <w:r w:rsidR="00A75B3C" w:rsidRPr="009E4E5C">
        <w:rPr>
          <w:rFonts w:cs="Times New Roman"/>
          <w:noProof/>
          <w:spacing w:val="-8"/>
          <w:bdr w:val="none" w:sz="0" w:space="0" w:color="auto" w:frame="1"/>
          <w:lang w:val="sk-SK"/>
        </w:rPr>
        <w:t xml:space="preserve"> a </w:t>
      </w:r>
      <w:r w:rsidRPr="009E4E5C">
        <w:rPr>
          <w:rFonts w:cs="Times New Roman"/>
          <w:noProof/>
          <w:spacing w:val="-8"/>
          <w:bdr w:val="none" w:sz="0" w:space="0" w:color="auto" w:frame="1"/>
          <w:lang w:val="sk-SK"/>
        </w:rPr>
        <w:t>hranice vidieckych pozemkov, čo umožní identifikovať vlastníkov pôdy. Je to nevyhnutné na plánovanie, riadenie</w:t>
      </w:r>
      <w:r w:rsidR="00A75B3C" w:rsidRPr="009E4E5C">
        <w:rPr>
          <w:rFonts w:cs="Times New Roman"/>
          <w:noProof/>
          <w:spacing w:val="-8"/>
          <w:bdr w:val="none" w:sz="0" w:space="0" w:color="auto" w:frame="1"/>
          <w:lang w:val="sk-SK"/>
        </w:rPr>
        <w:t xml:space="preserve"> a </w:t>
      </w:r>
      <w:r w:rsidRPr="009E4E5C">
        <w:rPr>
          <w:rFonts w:cs="Times New Roman"/>
          <w:noProof/>
          <w:spacing w:val="-8"/>
          <w:bdr w:val="none" w:sz="0" w:space="0" w:color="auto" w:frame="1"/>
          <w:lang w:val="sk-SK"/>
        </w:rPr>
        <w:t>podporu rozhodnutí</w:t>
      </w:r>
      <w:r w:rsidR="00A75B3C" w:rsidRPr="009E4E5C">
        <w:rPr>
          <w:rFonts w:cs="Times New Roman"/>
          <w:noProof/>
          <w:spacing w:val="-8"/>
          <w:bdr w:val="none" w:sz="0" w:space="0" w:color="auto" w:frame="1"/>
          <w:lang w:val="sk-SK"/>
        </w:rPr>
        <w:t xml:space="preserve"> o </w:t>
      </w:r>
      <w:r w:rsidRPr="009E4E5C">
        <w:rPr>
          <w:rFonts w:cs="Times New Roman"/>
          <w:noProof/>
          <w:spacing w:val="-8"/>
          <w:bdr w:val="none" w:sz="0" w:space="0" w:color="auto" w:frame="1"/>
          <w:lang w:val="sk-SK"/>
        </w:rPr>
        <w:t>okupácii</w:t>
      </w:r>
      <w:r w:rsidR="00A75B3C" w:rsidRPr="009E4E5C">
        <w:rPr>
          <w:rFonts w:cs="Times New Roman"/>
          <w:noProof/>
          <w:spacing w:val="-8"/>
          <w:bdr w:val="none" w:sz="0" w:space="0" w:color="auto" w:frame="1"/>
          <w:lang w:val="sk-SK"/>
        </w:rPr>
        <w:t xml:space="preserve"> a </w:t>
      </w:r>
      <w:r w:rsidRPr="009E4E5C">
        <w:rPr>
          <w:rFonts w:cs="Times New Roman"/>
          <w:noProof/>
          <w:spacing w:val="-8"/>
          <w:bdr w:val="none" w:sz="0" w:space="0" w:color="auto" w:frame="1"/>
          <w:lang w:val="sk-SK"/>
        </w:rPr>
        <w:t>využívaní územia</w:t>
      </w:r>
      <w:r w:rsidR="00A75B3C" w:rsidRPr="009E4E5C">
        <w:rPr>
          <w:rFonts w:cs="Times New Roman"/>
          <w:noProof/>
          <w:spacing w:val="-8"/>
          <w:bdr w:val="none" w:sz="0" w:space="0" w:color="auto" w:frame="1"/>
          <w:lang w:val="sk-SK"/>
        </w:rPr>
        <w:t>.</w:t>
      </w:r>
    </w:p>
    <w:p w14:paraId="50D24288" w14:textId="4D65EACC" w:rsidR="00A75B3C" w:rsidRPr="009E4E5C" w:rsidRDefault="000F5AA4" w:rsidP="003F23AC">
      <w:pPr>
        <w:pStyle w:val="P68B1DB1-Normal4"/>
        <w:spacing w:before="40" w:after="0" w:line="259" w:lineRule="auto"/>
        <w:jc w:val="both"/>
        <w:rPr>
          <w:rFonts w:cs="Times New Roman"/>
          <w:noProof/>
          <w:spacing w:val="-8"/>
          <w:lang w:val="sk-SK"/>
        </w:rPr>
      </w:pPr>
      <w:r w:rsidRPr="009E4E5C">
        <w:rPr>
          <w:rFonts w:cs="Times New Roman"/>
          <w:noProof/>
          <w:spacing w:val="-8"/>
          <w:lang w:val="sk-SK"/>
        </w:rPr>
        <w:t>Táto investícia pozostáva</w:t>
      </w:r>
      <w:r w:rsidR="00A75B3C" w:rsidRPr="009E4E5C">
        <w:rPr>
          <w:rFonts w:cs="Times New Roman"/>
          <w:noProof/>
          <w:spacing w:val="-8"/>
          <w:lang w:val="sk-SK"/>
        </w:rPr>
        <w:t xml:space="preserve"> z </w:t>
      </w:r>
      <w:r w:rsidRPr="009E4E5C">
        <w:rPr>
          <w:rFonts w:cs="Times New Roman"/>
          <w:noProof/>
          <w:spacing w:val="-8"/>
          <w:lang w:val="sk-SK"/>
        </w:rPr>
        <w:t>rozvoja platformy BUPi</w:t>
      </w:r>
      <w:r w:rsidR="00A75B3C" w:rsidRPr="009E4E5C">
        <w:rPr>
          <w:rFonts w:cs="Times New Roman"/>
          <w:noProof/>
          <w:spacing w:val="-8"/>
          <w:lang w:val="sk-SK"/>
        </w:rPr>
        <w:t xml:space="preserve"> a </w:t>
      </w:r>
      <w:r w:rsidRPr="009E4E5C">
        <w:rPr>
          <w:rFonts w:cs="Times New Roman"/>
          <w:noProof/>
          <w:spacing w:val="-8"/>
          <w:lang w:val="sk-SK"/>
        </w:rPr>
        <w:t>vypracovania referenčného mapovania pre systém monitorovania krajinných pokrývok (SMOS) vrátane digitálneho 3-D zobrazenia pôdy prostredníctvom pokrytia svetelných zdrojov (LiDAR), vegetačných máp, máp objemu biomasy</w:t>
      </w:r>
      <w:r w:rsidR="00A75B3C" w:rsidRPr="009E4E5C">
        <w:rPr>
          <w:rFonts w:cs="Times New Roman"/>
          <w:noProof/>
          <w:spacing w:val="-8"/>
          <w:lang w:val="sk-SK"/>
        </w:rPr>
        <w:t xml:space="preserve"> a </w:t>
      </w:r>
      <w:r w:rsidRPr="009E4E5C">
        <w:rPr>
          <w:rFonts w:cs="Times New Roman"/>
          <w:noProof/>
          <w:spacing w:val="-8"/>
          <w:lang w:val="sk-SK"/>
        </w:rPr>
        <w:t>dreva, máp krajinnej pokrývky</w:t>
      </w:r>
      <w:r w:rsidR="00A75B3C" w:rsidRPr="009E4E5C">
        <w:rPr>
          <w:rFonts w:cs="Times New Roman"/>
          <w:noProof/>
          <w:spacing w:val="-8"/>
          <w:lang w:val="sk-SK"/>
        </w:rPr>
        <w:t xml:space="preserve"> a </w:t>
      </w:r>
      <w:r w:rsidRPr="009E4E5C">
        <w:rPr>
          <w:rFonts w:cs="Times New Roman"/>
          <w:noProof/>
          <w:spacing w:val="-8"/>
          <w:lang w:val="sk-SK"/>
        </w:rPr>
        <w:t>využitia</w:t>
      </w:r>
      <w:r w:rsidR="00A75B3C" w:rsidRPr="009E4E5C">
        <w:rPr>
          <w:rFonts w:cs="Times New Roman"/>
          <w:noProof/>
          <w:spacing w:val="-8"/>
          <w:lang w:val="sk-SK"/>
        </w:rPr>
        <w:t xml:space="preserve"> a </w:t>
      </w:r>
      <w:r w:rsidRPr="009E4E5C">
        <w:rPr>
          <w:rFonts w:cs="Times New Roman"/>
          <w:noProof/>
          <w:spacing w:val="-8"/>
          <w:lang w:val="sk-SK"/>
        </w:rPr>
        <w:t>pokrytia satelitného obrazu. Tieto opatrenia sa navzájom dopĺňajú</w:t>
      </w:r>
      <w:r w:rsidR="00A75B3C" w:rsidRPr="009E4E5C">
        <w:rPr>
          <w:rFonts w:cs="Times New Roman"/>
          <w:noProof/>
          <w:spacing w:val="-8"/>
          <w:lang w:val="sk-SK"/>
        </w:rPr>
        <w:t xml:space="preserve"> a </w:t>
      </w:r>
      <w:r w:rsidRPr="009E4E5C">
        <w:rPr>
          <w:rFonts w:cs="Times New Roman"/>
          <w:noProof/>
          <w:spacing w:val="-8"/>
          <w:lang w:val="sk-SK"/>
        </w:rPr>
        <w:t>umožňujú úplné sfunkčnenie platformy BUPi</w:t>
      </w:r>
      <w:r w:rsidR="00A75B3C" w:rsidRPr="009E4E5C">
        <w:rPr>
          <w:rFonts w:cs="Times New Roman"/>
          <w:noProof/>
          <w:spacing w:val="-8"/>
          <w:lang w:val="sk-SK"/>
        </w:rPr>
        <w:t xml:space="preserve"> a </w:t>
      </w:r>
      <w:r w:rsidRPr="009E4E5C">
        <w:rPr>
          <w:rFonts w:cs="Times New Roman"/>
          <w:noProof/>
          <w:spacing w:val="-8"/>
          <w:lang w:val="sk-SK"/>
        </w:rPr>
        <w:t>zároveň zabezpečujú interoperabilitu všetkých existujúcich informačných systémov týkajúcich sa katastrálnej geometrie, katastra nehnuteľností</w:t>
      </w:r>
      <w:r w:rsidR="00A75B3C" w:rsidRPr="009E4E5C">
        <w:rPr>
          <w:rFonts w:cs="Times New Roman"/>
          <w:noProof/>
          <w:spacing w:val="-8"/>
          <w:lang w:val="sk-SK"/>
        </w:rPr>
        <w:t xml:space="preserve"> a </w:t>
      </w:r>
      <w:r w:rsidRPr="009E4E5C">
        <w:rPr>
          <w:rFonts w:cs="Times New Roman"/>
          <w:noProof/>
          <w:spacing w:val="-8"/>
          <w:lang w:val="sk-SK"/>
        </w:rPr>
        <w:t>daňových matíc, ktoré</w:t>
      </w:r>
      <w:r w:rsidR="00A75B3C" w:rsidRPr="009E4E5C">
        <w:rPr>
          <w:rFonts w:cs="Times New Roman"/>
          <w:noProof/>
          <w:spacing w:val="-8"/>
          <w:lang w:val="sk-SK"/>
        </w:rPr>
        <w:t xml:space="preserve"> v </w:t>
      </w:r>
      <w:r w:rsidRPr="009E4E5C">
        <w:rPr>
          <w:rFonts w:cs="Times New Roman"/>
          <w:noProof/>
          <w:spacing w:val="-8"/>
          <w:lang w:val="sk-SK"/>
        </w:rPr>
        <w:t>súčasnosti spravujú rôzne orgány vrátane Tributárneho</w:t>
      </w:r>
      <w:r w:rsidR="00A75B3C" w:rsidRPr="009E4E5C">
        <w:rPr>
          <w:rFonts w:cs="Times New Roman"/>
          <w:noProof/>
          <w:spacing w:val="-8"/>
          <w:lang w:val="sk-SK"/>
        </w:rPr>
        <w:t xml:space="preserve"> a </w:t>
      </w:r>
      <w:r w:rsidRPr="009E4E5C">
        <w:rPr>
          <w:rFonts w:cs="Times New Roman"/>
          <w:noProof/>
          <w:spacing w:val="-8"/>
          <w:lang w:val="sk-SK"/>
        </w:rPr>
        <w:t>colného úradu, Inštitútu registrácie</w:t>
      </w:r>
      <w:r w:rsidR="00A75B3C" w:rsidRPr="009E4E5C">
        <w:rPr>
          <w:rFonts w:cs="Times New Roman"/>
          <w:noProof/>
          <w:spacing w:val="-8"/>
          <w:lang w:val="sk-SK"/>
        </w:rPr>
        <w:t xml:space="preserve"> a </w:t>
      </w:r>
      <w:r w:rsidRPr="009E4E5C">
        <w:rPr>
          <w:rFonts w:cs="Times New Roman"/>
          <w:noProof/>
          <w:spacing w:val="-8"/>
          <w:lang w:val="sk-SK"/>
        </w:rPr>
        <w:t>notárskych záležitostí</w:t>
      </w:r>
      <w:r w:rsidR="00A75B3C" w:rsidRPr="009E4E5C">
        <w:rPr>
          <w:rFonts w:cs="Times New Roman"/>
          <w:noProof/>
          <w:spacing w:val="-8"/>
          <w:lang w:val="sk-SK"/>
        </w:rPr>
        <w:t xml:space="preserve"> a </w:t>
      </w:r>
      <w:r w:rsidRPr="009E4E5C">
        <w:rPr>
          <w:rFonts w:cs="Times New Roman"/>
          <w:noProof/>
          <w:spacing w:val="-8"/>
          <w:lang w:val="sk-SK"/>
        </w:rPr>
        <w:t>Generálneho riaditeľstva pre územné celky. Občania, podniky</w:t>
      </w:r>
      <w:r w:rsidR="00A75B3C" w:rsidRPr="009E4E5C">
        <w:rPr>
          <w:rFonts w:cs="Times New Roman"/>
          <w:noProof/>
          <w:spacing w:val="-8"/>
          <w:lang w:val="sk-SK"/>
        </w:rPr>
        <w:t xml:space="preserve"> a </w:t>
      </w:r>
      <w:r w:rsidRPr="009E4E5C">
        <w:rPr>
          <w:rFonts w:cs="Times New Roman"/>
          <w:noProof/>
          <w:spacing w:val="-8"/>
          <w:lang w:val="sk-SK"/>
        </w:rPr>
        <w:t>všetky verejné orgány získajú jedinečné identifikačné číslo (NIP) pre svoje nehnuteľnosti vrátane informácií</w:t>
      </w:r>
      <w:r w:rsidR="00A75B3C" w:rsidRPr="009E4E5C">
        <w:rPr>
          <w:rFonts w:cs="Times New Roman"/>
          <w:noProof/>
          <w:spacing w:val="-8"/>
          <w:lang w:val="sk-SK"/>
        </w:rPr>
        <w:t xml:space="preserve"> o </w:t>
      </w:r>
      <w:r w:rsidRPr="009E4E5C">
        <w:rPr>
          <w:rFonts w:cs="Times New Roman"/>
          <w:noProof/>
          <w:spacing w:val="-8"/>
          <w:lang w:val="sk-SK"/>
        </w:rPr>
        <w:t>ich hraniciach</w:t>
      </w:r>
      <w:r w:rsidR="00A75B3C" w:rsidRPr="009E4E5C">
        <w:rPr>
          <w:rFonts w:cs="Times New Roman"/>
          <w:noProof/>
          <w:spacing w:val="-8"/>
          <w:lang w:val="sk-SK"/>
        </w:rPr>
        <w:t xml:space="preserve"> a </w:t>
      </w:r>
      <w:r w:rsidRPr="009E4E5C">
        <w:rPr>
          <w:rFonts w:cs="Times New Roman"/>
          <w:noProof/>
          <w:spacing w:val="-8"/>
          <w:lang w:val="sk-SK"/>
        </w:rPr>
        <w:t>charakteristikách.</w:t>
      </w:r>
      <w:r w:rsidR="00A75B3C" w:rsidRPr="009E4E5C">
        <w:rPr>
          <w:rFonts w:cs="Times New Roman"/>
          <w:noProof/>
          <w:spacing w:val="-8"/>
          <w:lang w:val="sk-SK"/>
        </w:rPr>
        <w:t xml:space="preserve"> S </w:t>
      </w:r>
      <w:r w:rsidRPr="009E4E5C">
        <w:rPr>
          <w:rFonts w:cs="Times New Roman"/>
          <w:noProof/>
          <w:spacing w:val="-8"/>
          <w:lang w:val="sk-SK"/>
        </w:rPr>
        <w:t>cieľom zabezpečiť úspešné vykonávanie uvedených opatrení investícia zahŕňa aj vzdelávacie činnosti pre oprávnených technických pracovníkov obcí, registrátorov</w:t>
      </w:r>
      <w:r w:rsidR="00A75B3C" w:rsidRPr="009E4E5C">
        <w:rPr>
          <w:rFonts w:cs="Times New Roman"/>
          <w:noProof/>
          <w:spacing w:val="-8"/>
          <w:lang w:val="sk-SK"/>
        </w:rPr>
        <w:t xml:space="preserve"> a </w:t>
      </w:r>
      <w:r w:rsidRPr="009E4E5C">
        <w:rPr>
          <w:rFonts w:cs="Times New Roman"/>
          <w:noProof/>
          <w:spacing w:val="-8"/>
          <w:lang w:val="sk-SK"/>
        </w:rPr>
        <w:t>zástupcov daňových orgánov</w:t>
      </w:r>
      <w:r w:rsidR="00A75B3C" w:rsidRPr="009E4E5C">
        <w:rPr>
          <w:rFonts w:cs="Times New Roman"/>
          <w:noProof/>
          <w:spacing w:val="-8"/>
          <w:lang w:val="sk-SK"/>
        </w:rPr>
        <w:t>.</w:t>
      </w:r>
    </w:p>
    <w:p w14:paraId="51619314" w14:textId="580E63AA"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marca</w:t>
      </w:r>
      <w:r w:rsidRPr="003F23AC">
        <w:rPr>
          <w:rFonts w:cs="Times New Roman"/>
          <w:noProof/>
          <w:lang w:val="sk-SK"/>
        </w:rPr>
        <w:t xml:space="preserve"> 2025</w:t>
      </w:r>
      <w:r w:rsidR="00A75B3C" w:rsidRPr="003F23AC">
        <w:rPr>
          <w:rFonts w:cs="Times New Roman"/>
          <w:noProof/>
          <w:lang w:val="sk-SK"/>
        </w:rPr>
        <w:t>.</w:t>
      </w:r>
    </w:p>
    <w:p w14:paraId="72559B84" w14:textId="6C8E39F1"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RE-C08-i03: Prestávky</w:t>
      </w:r>
      <w:r w:rsidR="00A75B3C" w:rsidRPr="003F23AC">
        <w:rPr>
          <w:rFonts w:cs="Times New Roman"/>
          <w:noProof/>
          <w:lang w:val="sk-SK"/>
        </w:rPr>
        <w:t xml:space="preserve"> v </w:t>
      </w:r>
      <w:r w:rsidRPr="003F23AC">
        <w:rPr>
          <w:rFonts w:cs="Times New Roman"/>
          <w:noProof/>
          <w:lang w:val="sk-SK"/>
        </w:rPr>
        <w:t>nakladaní</w:t>
      </w:r>
      <w:r w:rsidR="00A75B3C" w:rsidRPr="003F23AC">
        <w:rPr>
          <w:rFonts w:cs="Times New Roman"/>
          <w:noProof/>
          <w:lang w:val="sk-SK"/>
        </w:rPr>
        <w:t xml:space="preserve"> s </w:t>
      </w:r>
      <w:r w:rsidRPr="003F23AC">
        <w:rPr>
          <w:rFonts w:cs="Times New Roman"/>
          <w:noProof/>
          <w:lang w:val="sk-SK"/>
        </w:rPr>
        <w:t>palivom – primárna sieť</w:t>
      </w:r>
    </w:p>
    <w:p w14:paraId="6579E57F" w14:textId="527C3546"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tohto opatrenia je vytvoriť horizontálne prerušenia</w:t>
      </w:r>
      <w:r w:rsidR="00A75B3C" w:rsidRPr="003F23AC">
        <w:rPr>
          <w:rFonts w:cs="Times New Roman"/>
          <w:noProof/>
          <w:lang w:val="sk-SK"/>
        </w:rPr>
        <w:t xml:space="preserve"> v </w:t>
      </w:r>
      <w:r w:rsidRPr="003F23AC">
        <w:rPr>
          <w:rFonts w:cs="Times New Roman"/>
          <w:noProof/>
          <w:lang w:val="sk-SK"/>
        </w:rPr>
        <w:t>krajine prostredníctvom primárnej siete prestávok nakladania</w:t>
      </w:r>
      <w:r w:rsidR="00A75B3C" w:rsidRPr="003F23AC">
        <w:rPr>
          <w:rFonts w:cs="Times New Roman"/>
          <w:noProof/>
          <w:lang w:val="sk-SK"/>
        </w:rPr>
        <w:t xml:space="preserve"> s </w:t>
      </w:r>
      <w:r w:rsidRPr="003F23AC">
        <w:rPr>
          <w:rFonts w:cs="Times New Roman"/>
          <w:noProof/>
          <w:lang w:val="sk-SK"/>
        </w:rPr>
        <w:t>palivom (RPFGC). Táto sieť izoluje vypuknutie požiarov, chráni komunikačné trasy, sociálne infraštruktúry</w:t>
      </w:r>
      <w:r w:rsidR="00A75B3C" w:rsidRPr="003F23AC">
        <w:rPr>
          <w:rFonts w:cs="Times New Roman"/>
          <w:noProof/>
          <w:lang w:val="sk-SK"/>
        </w:rPr>
        <w:t xml:space="preserve"> a </w:t>
      </w:r>
      <w:r w:rsidRPr="003F23AC">
        <w:rPr>
          <w:rFonts w:cs="Times New Roman"/>
          <w:noProof/>
          <w:lang w:val="sk-SK"/>
        </w:rPr>
        <w:t>zariadenia, zmenšuje priemernú plochu zničenú požiarmi oddelením krajiny, uľahčuje hasenie požiarov</w:t>
      </w:r>
      <w:r w:rsidR="00A75B3C" w:rsidRPr="003F23AC">
        <w:rPr>
          <w:rFonts w:cs="Times New Roman"/>
          <w:noProof/>
          <w:lang w:val="sk-SK"/>
        </w:rPr>
        <w:t xml:space="preserve"> a </w:t>
      </w:r>
      <w:r w:rsidRPr="003F23AC">
        <w:rPr>
          <w:rFonts w:cs="Times New Roman"/>
          <w:noProof/>
          <w:lang w:val="sk-SK"/>
        </w:rPr>
        <w:t>zabezpečuje bezpečnosť hasičov vytváraním únikových ciest</w:t>
      </w:r>
      <w:r w:rsidR="00A75B3C" w:rsidRPr="003F23AC">
        <w:rPr>
          <w:rFonts w:cs="Times New Roman"/>
          <w:noProof/>
          <w:lang w:val="sk-SK"/>
        </w:rPr>
        <w:t>.</w:t>
      </w:r>
    </w:p>
    <w:p w14:paraId="47B3FE31" w14:textId="7777777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zahŕňa tieto opatrenia</w:t>
      </w:r>
      <w:r w:rsidR="00A75B3C" w:rsidRPr="003F23AC">
        <w:rPr>
          <w:rFonts w:cs="Times New Roman"/>
          <w:noProof/>
          <w:lang w:val="sk-SK"/>
        </w:rPr>
        <w:t>:</w:t>
      </w:r>
    </w:p>
    <w:p w14:paraId="24C24867" w14:textId="6987533B" w:rsidR="00387C70" w:rsidRPr="003F23AC" w:rsidRDefault="000F5AA4" w:rsidP="003F23AC">
      <w:pPr>
        <w:pStyle w:val="P68B1DB1-Normal4"/>
        <w:numPr>
          <w:ilvl w:val="0"/>
          <w:numId w:val="37"/>
        </w:numPr>
        <w:spacing w:before="40" w:after="160" w:line="259" w:lineRule="auto"/>
        <w:contextualSpacing/>
        <w:jc w:val="both"/>
        <w:rPr>
          <w:rFonts w:eastAsiaTheme="minorEastAsia" w:cs="Times New Roman"/>
          <w:noProof/>
          <w:lang w:val="sk-SK"/>
        </w:rPr>
      </w:pPr>
      <w:r w:rsidRPr="003F23AC">
        <w:rPr>
          <w:rFonts w:cs="Times New Roman"/>
          <w:noProof/>
          <w:lang w:val="sk-SK"/>
        </w:rPr>
        <w:t>mapovanie</w:t>
      </w:r>
      <w:r w:rsidR="00A75B3C" w:rsidRPr="003F23AC">
        <w:rPr>
          <w:rFonts w:cs="Times New Roman"/>
          <w:noProof/>
          <w:lang w:val="sk-SK"/>
        </w:rPr>
        <w:t xml:space="preserve"> a </w:t>
      </w:r>
      <w:r w:rsidRPr="003F23AC">
        <w:rPr>
          <w:rFonts w:cs="Times New Roman"/>
          <w:noProof/>
          <w:lang w:val="sk-SK"/>
        </w:rPr>
        <w:t>posudzovanie využívania pôdy</w:t>
      </w:r>
      <w:r w:rsidR="00A75B3C" w:rsidRPr="003F23AC">
        <w:rPr>
          <w:rFonts w:cs="Times New Roman"/>
          <w:noProof/>
          <w:lang w:val="sk-SK"/>
        </w:rPr>
        <w:t xml:space="preserve"> v </w:t>
      </w:r>
      <w:r w:rsidRPr="003F23AC">
        <w:rPr>
          <w:rFonts w:cs="Times New Roman"/>
          <w:noProof/>
          <w:lang w:val="sk-SK"/>
        </w:rPr>
        <w:t>prípade pôdy zahrnutej do siete priestorovej štruktúry na nakladanie</w:t>
      </w:r>
      <w:r w:rsidR="00A75B3C" w:rsidRPr="003F23AC">
        <w:rPr>
          <w:rFonts w:cs="Times New Roman"/>
          <w:noProof/>
          <w:lang w:val="sk-SK"/>
        </w:rPr>
        <w:t xml:space="preserve"> s </w:t>
      </w:r>
      <w:r w:rsidRPr="003F23AC">
        <w:rPr>
          <w:rFonts w:cs="Times New Roman"/>
          <w:noProof/>
          <w:lang w:val="sk-SK"/>
        </w:rPr>
        <w:t>primárnymi palivami;</w:t>
      </w:r>
    </w:p>
    <w:p w14:paraId="7E5F956F" w14:textId="153EA459" w:rsidR="00387C70" w:rsidRPr="003F23AC" w:rsidRDefault="000F5AA4" w:rsidP="003F23AC">
      <w:pPr>
        <w:pStyle w:val="P68B1DB1-Normal4"/>
        <w:numPr>
          <w:ilvl w:val="0"/>
          <w:numId w:val="37"/>
        </w:numPr>
        <w:spacing w:before="40" w:after="160" w:line="259" w:lineRule="auto"/>
        <w:contextualSpacing/>
        <w:jc w:val="both"/>
        <w:rPr>
          <w:rFonts w:eastAsiaTheme="minorEastAsia" w:cs="Times New Roman"/>
          <w:noProof/>
          <w:lang w:val="sk-SK"/>
        </w:rPr>
      </w:pPr>
      <w:r w:rsidRPr="003F23AC">
        <w:rPr>
          <w:rFonts w:cs="Times New Roman"/>
          <w:noProof/>
          <w:lang w:val="sk-SK"/>
        </w:rPr>
        <w:t>identifikácia vlastníkov, posúdenie</w:t>
      </w:r>
      <w:r w:rsidR="00A75B3C" w:rsidRPr="003F23AC">
        <w:rPr>
          <w:rFonts w:cs="Times New Roman"/>
          <w:noProof/>
          <w:lang w:val="sk-SK"/>
        </w:rPr>
        <w:t xml:space="preserve"> a </w:t>
      </w:r>
      <w:r w:rsidRPr="003F23AC">
        <w:rPr>
          <w:rFonts w:cs="Times New Roman"/>
          <w:noProof/>
          <w:lang w:val="sk-SK"/>
        </w:rPr>
        <w:t>výpočet výšky kompenzácie</w:t>
      </w:r>
      <w:r w:rsidR="00A75B3C" w:rsidRPr="003F23AC">
        <w:rPr>
          <w:rFonts w:cs="Times New Roman"/>
          <w:noProof/>
          <w:lang w:val="sk-SK"/>
        </w:rPr>
        <w:t xml:space="preserve"> a </w:t>
      </w:r>
      <w:r w:rsidRPr="003F23AC">
        <w:rPr>
          <w:rFonts w:cs="Times New Roman"/>
          <w:noProof/>
          <w:lang w:val="sk-SK"/>
        </w:rPr>
        <w:t>iných prvkov, ktoré viedli</w:t>
      </w:r>
      <w:r w:rsidR="00A75B3C" w:rsidRPr="003F23AC">
        <w:rPr>
          <w:rFonts w:cs="Times New Roman"/>
          <w:noProof/>
          <w:lang w:val="sk-SK"/>
        </w:rPr>
        <w:t xml:space="preserve"> k </w:t>
      </w:r>
      <w:r w:rsidRPr="003F23AC">
        <w:rPr>
          <w:rFonts w:cs="Times New Roman"/>
          <w:noProof/>
          <w:lang w:val="sk-SK"/>
        </w:rPr>
        <w:t>vyhláseniu oznámenia</w:t>
      </w:r>
      <w:r w:rsidR="00A75B3C" w:rsidRPr="003F23AC">
        <w:rPr>
          <w:rFonts w:cs="Times New Roman"/>
          <w:noProof/>
          <w:lang w:val="sk-SK"/>
        </w:rPr>
        <w:t xml:space="preserve"> o </w:t>
      </w:r>
      <w:r w:rsidRPr="003F23AC">
        <w:rPr>
          <w:rFonts w:cs="Times New Roman"/>
          <w:noProof/>
          <w:lang w:val="sk-SK"/>
        </w:rPr>
        <w:t>verejnoprospešných službách vlastníkom pozemkov, uzatvorenie zmlúv</w:t>
      </w:r>
      <w:r w:rsidR="00A75B3C" w:rsidRPr="003F23AC">
        <w:rPr>
          <w:rFonts w:cs="Times New Roman"/>
          <w:noProof/>
          <w:lang w:val="sk-SK"/>
        </w:rPr>
        <w:t xml:space="preserve"> a </w:t>
      </w:r>
      <w:r w:rsidRPr="003F23AC">
        <w:rPr>
          <w:rFonts w:cs="Times New Roman"/>
          <w:noProof/>
          <w:lang w:val="sk-SK"/>
        </w:rPr>
        <w:t>vyplatenie súvisiacich kompenzácií</w:t>
      </w:r>
    </w:p>
    <w:p w14:paraId="25DDFC97" w14:textId="1A67DDCE" w:rsidR="00387C70" w:rsidRPr="003F23AC" w:rsidRDefault="000F5AA4" w:rsidP="003F23AC">
      <w:pPr>
        <w:pStyle w:val="P68B1DB1-Normal4"/>
        <w:numPr>
          <w:ilvl w:val="0"/>
          <w:numId w:val="37"/>
        </w:numPr>
        <w:spacing w:before="40" w:after="160" w:line="259" w:lineRule="auto"/>
        <w:contextualSpacing/>
        <w:jc w:val="both"/>
        <w:rPr>
          <w:rFonts w:eastAsiaTheme="minorEastAsia" w:cs="Times New Roman"/>
          <w:noProof/>
          <w:lang w:val="sk-SK"/>
        </w:rPr>
      </w:pPr>
      <w:r w:rsidRPr="003F23AC">
        <w:rPr>
          <w:rFonts w:cs="Times New Roman"/>
          <w:noProof/>
          <w:lang w:val="sk-SK"/>
        </w:rPr>
        <w:t>zahrnúť do platformy BUPi georeferenčné grafické znázornenie vidieckeho pozemku zahrnutého do zriadenia oblasti vecného bremena</w:t>
      </w:r>
      <w:r w:rsidR="00A75B3C" w:rsidRPr="003F23AC">
        <w:rPr>
          <w:rFonts w:cs="Times New Roman"/>
          <w:noProof/>
          <w:lang w:val="sk-SK"/>
        </w:rPr>
        <w:t xml:space="preserve"> s </w:t>
      </w:r>
      <w:r w:rsidRPr="003F23AC">
        <w:rPr>
          <w:rFonts w:cs="Times New Roman"/>
          <w:noProof/>
          <w:lang w:val="sk-SK"/>
        </w:rPr>
        <w:t>cieľom umožniť následné osobitné postupy registrácie;</w:t>
      </w:r>
      <w:r w:rsidR="00A75B3C" w:rsidRPr="003F23AC">
        <w:rPr>
          <w:rFonts w:cs="Times New Roman"/>
          <w:noProof/>
          <w:lang w:val="sk-SK"/>
        </w:rPr>
        <w:t xml:space="preserve"> a </w:t>
      </w:r>
      <w:r w:rsidRPr="003F23AC">
        <w:rPr>
          <w:rFonts w:cs="Times New Roman"/>
          <w:noProof/>
          <w:lang w:val="sk-SK"/>
        </w:rPr>
        <w:t>zároveň</w:t>
      </w:r>
    </w:p>
    <w:p w14:paraId="502FE4AD" w14:textId="30C8C301" w:rsidR="00387C70" w:rsidRPr="003F23AC" w:rsidRDefault="000F5AA4" w:rsidP="003F23AC">
      <w:pPr>
        <w:pStyle w:val="P68B1DB1-Normal4"/>
        <w:numPr>
          <w:ilvl w:val="0"/>
          <w:numId w:val="37"/>
        </w:numPr>
        <w:spacing w:before="40" w:after="160" w:line="259" w:lineRule="auto"/>
        <w:contextualSpacing/>
        <w:jc w:val="both"/>
        <w:rPr>
          <w:rFonts w:eastAsiaTheme="minorEastAsia" w:cs="Times New Roman"/>
          <w:noProof/>
          <w:lang w:val="sk-SK"/>
        </w:rPr>
      </w:pPr>
      <w:r w:rsidRPr="003F23AC">
        <w:rPr>
          <w:rFonts w:cs="Times New Roman"/>
          <w:noProof/>
          <w:lang w:val="sk-SK"/>
        </w:rPr>
        <w:t>zavedenie primárnej siete nakladania</w:t>
      </w:r>
      <w:r w:rsidR="00A75B3C" w:rsidRPr="003F23AC">
        <w:rPr>
          <w:rFonts w:cs="Times New Roman"/>
          <w:noProof/>
          <w:lang w:val="sk-SK"/>
        </w:rPr>
        <w:t xml:space="preserve"> s </w:t>
      </w:r>
      <w:r w:rsidRPr="003F23AC">
        <w:rPr>
          <w:rFonts w:cs="Times New Roman"/>
          <w:noProof/>
          <w:lang w:val="sk-SK"/>
        </w:rPr>
        <w:t>palivom na vnútroštátnej úrovni.</w:t>
      </w:r>
    </w:p>
    <w:p w14:paraId="5864A70C" w14:textId="76764FD1"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3AAD278E" w14:textId="574BDF09"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6FB83105" w14:textId="3FDB0BE3"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RE-C08-i04: Prostriedky na prevenciu</w:t>
      </w:r>
      <w:r w:rsidR="00A75B3C" w:rsidRPr="003F23AC">
        <w:rPr>
          <w:rFonts w:cs="Times New Roman"/>
          <w:noProof/>
          <w:lang w:val="sk-SK"/>
        </w:rPr>
        <w:t xml:space="preserve"> a </w:t>
      </w:r>
      <w:r w:rsidRPr="003F23AC">
        <w:rPr>
          <w:rFonts w:cs="Times New Roman"/>
          <w:noProof/>
          <w:lang w:val="sk-SK"/>
        </w:rPr>
        <w:t>boj proti požiarom na vidieku</w:t>
      </w:r>
    </w:p>
    <w:p w14:paraId="0A04EDCE" w14:textId="42019D1F" w:rsidR="00A75B3C" w:rsidRPr="009E4E5C" w:rsidRDefault="000F5AA4" w:rsidP="003F23AC">
      <w:pPr>
        <w:pStyle w:val="P68B1DB1-Normal4"/>
        <w:spacing w:before="40" w:after="0" w:line="259" w:lineRule="auto"/>
        <w:jc w:val="both"/>
        <w:rPr>
          <w:rFonts w:cs="Times New Roman"/>
          <w:noProof/>
          <w:spacing w:val="-8"/>
          <w:lang w:val="sk-SK"/>
        </w:rPr>
      </w:pPr>
      <w:r w:rsidRPr="009E4E5C">
        <w:rPr>
          <w:rFonts w:cs="Times New Roman"/>
          <w:noProof/>
          <w:spacing w:val="-8"/>
          <w:lang w:val="sk-SK"/>
        </w:rPr>
        <w:t>Cieľom tohto opatrenia je posilniť štátne subjekty zapojené do prevencie</w:t>
      </w:r>
      <w:r w:rsidR="00A75B3C" w:rsidRPr="009E4E5C">
        <w:rPr>
          <w:rFonts w:cs="Times New Roman"/>
          <w:noProof/>
          <w:spacing w:val="-8"/>
          <w:lang w:val="sk-SK"/>
        </w:rPr>
        <w:t xml:space="preserve"> a </w:t>
      </w:r>
      <w:r w:rsidRPr="009E4E5C">
        <w:rPr>
          <w:rFonts w:cs="Times New Roman"/>
          <w:noProof/>
          <w:spacing w:val="-8"/>
          <w:lang w:val="sk-SK"/>
        </w:rPr>
        <w:t>boja proti požiarom na vidieku. Konkrétnejšie, toto opatrenie využije kapacitu portugalských vzdušných síl</w:t>
      </w:r>
      <w:r w:rsidR="00A75B3C" w:rsidRPr="009E4E5C">
        <w:rPr>
          <w:rFonts w:cs="Times New Roman"/>
          <w:noProof/>
          <w:spacing w:val="-8"/>
          <w:lang w:val="sk-SK"/>
        </w:rPr>
        <w:t xml:space="preserve"> a </w:t>
      </w:r>
      <w:r w:rsidRPr="009E4E5C">
        <w:rPr>
          <w:rFonts w:cs="Times New Roman"/>
          <w:noProof/>
          <w:spacing w:val="-8"/>
          <w:lang w:val="sk-SK"/>
        </w:rPr>
        <w:t>Inštitútu pre ochranu prírody</w:t>
      </w:r>
      <w:r w:rsidR="00A75B3C" w:rsidRPr="009E4E5C">
        <w:rPr>
          <w:rFonts w:cs="Times New Roman"/>
          <w:noProof/>
          <w:spacing w:val="-8"/>
          <w:lang w:val="sk-SK"/>
        </w:rPr>
        <w:t xml:space="preserve"> a </w:t>
      </w:r>
      <w:r w:rsidRPr="009E4E5C">
        <w:rPr>
          <w:rFonts w:cs="Times New Roman"/>
          <w:noProof/>
          <w:spacing w:val="-8"/>
          <w:lang w:val="sk-SK"/>
        </w:rPr>
        <w:t>lesov (ICNF), pokiaľ ide</w:t>
      </w:r>
      <w:r w:rsidR="00A75B3C" w:rsidRPr="009E4E5C">
        <w:rPr>
          <w:rFonts w:cs="Times New Roman"/>
          <w:noProof/>
          <w:spacing w:val="-8"/>
          <w:lang w:val="sk-SK"/>
        </w:rPr>
        <w:t xml:space="preserve"> o </w:t>
      </w:r>
      <w:r w:rsidRPr="009E4E5C">
        <w:rPr>
          <w:rFonts w:cs="Times New Roman"/>
          <w:noProof/>
          <w:spacing w:val="-8"/>
          <w:lang w:val="sk-SK"/>
        </w:rPr>
        <w:t>infraštruktúru</w:t>
      </w:r>
      <w:r w:rsidR="00A75B3C" w:rsidRPr="009E4E5C">
        <w:rPr>
          <w:rFonts w:cs="Times New Roman"/>
          <w:noProof/>
          <w:spacing w:val="-8"/>
          <w:lang w:val="sk-SK"/>
        </w:rPr>
        <w:t xml:space="preserve"> a </w:t>
      </w:r>
      <w:r w:rsidRPr="009E4E5C">
        <w:rPr>
          <w:rFonts w:cs="Times New Roman"/>
          <w:noProof/>
          <w:spacing w:val="-8"/>
          <w:lang w:val="sk-SK"/>
        </w:rPr>
        <w:t>vybavenie,</w:t>
      </w:r>
      <w:r w:rsidR="00A75B3C" w:rsidRPr="009E4E5C">
        <w:rPr>
          <w:rFonts w:cs="Times New Roman"/>
          <w:noProof/>
          <w:spacing w:val="-8"/>
          <w:lang w:val="sk-SK"/>
        </w:rPr>
        <w:t xml:space="preserve"> s </w:t>
      </w:r>
      <w:r w:rsidRPr="009E4E5C">
        <w:rPr>
          <w:rFonts w:cs="Times New Roman"/>
          <w:noProof/>
          <w:spacing w:val="-8"/>
          <w:lang w:val="sk-SK"/>
        </w:rPr>
        <w:t>cieľom zvýšiť ich účinnosť</w:t>
      </w:r>
      <w:r w:rsidR="00A75B3C" w:rsidRPr="009E4E5C">
        <w:rPr>
          <w:rFonts w:cs="Times New Roman"/>
          <w:noProof/>
          <w:spacing w:val="-8"/>
          <w:lang w:val="sk-SK"/>
        </w:rPr>
        <w:t xml:space="preserve"> a </w:t>
      </w:r>
      <w:r w:rsidRPr="009E4E5C">
        <w:rPr>
          <w:rFonts w:cs="Times New Roman"/>
          <w:noProof/>
          <w:spacing w:val="-8"/>
          <w:lang w:val="sk-SK"/>
        </w:rPr>
        <w:t>efektívnosť pri prevencii</w:t>
      </w:r>
      <w:r w:rsidR="00A75B3C" w:rsidRPr="009E4E5C">
        <w:rPr>
          <w:rFonts w:cs="Times New Roman"/>
          <w:noProof/>
          <w:spacing w:val="-8"/>
          <w:lang w:val="sk-SK"/>
        </w:rPr>
        <w:t xml:space="preserve"> a </w:t>
      </w:r>
      <w:r w:rsidRPr="009E4E5C">
        <w:rPr>
          <w:rFonts w:cs="Times New Roman"/>
          <w:noProof/>
          <w:spacing w:val="-8"/>
          <w:lang w:val="sk-SK"/>
        </w:rPr>
        <w:t>boji proti požiarom na vidieku. Okrem toho toto opatrenie zlepší hodnotenie rizika štandardizáciou</w:t>
      </w:r>
      <w:r w:rsidR="00A75B3C" w:rsidRPr="009E4E5C">
        <w:rPr>
          <w:rFonts w:cs="Times New Roman"/>
          <w:noProof/>
          <w:spacing w:val="-8"/>
          <w:lang w:val="sk-SK"/>
        </w:rPr>
        <w:t xml:space="preserve"> a </w:t>
      </w:r>
      <w:r w:rsidRPr="009E4E5C">
        <w:rPr>
          <w:rFonts w:cs="Times New Roman"/>
          <w:noProof/>
          <w:spacing w:val="-8"/>
          <w:lang w:val="sk-SK"/>
        </w:rPr>
        <w:t>aktualizáciou siete radarov Portugalského inštitútu pre more</w:t>
      </w:r>
      <w:r w:rsidR="00A75B3C" w:rsidRPr="009E4E5C">
        <w:rPr>
          <w:rFonts w:cs="Times New Roman"/>
          <w:noProof/>
          <w:spacing w:val="-8"/>
          <w:lang w:val="sk-SK"/>
        </w:rPr>
        <w:t xml:space="preserve"> a </w:t>
      </w:r>
      <w:r w:rsidRPr="009E4E5C">
        <w:rPr>
          <w:rFonts w:cs="Times New Roman"/>
          <w:noProof/>
          <w:spacing w:val="-8"/>
          <w:lang w:val="sk-SK"/>
        </w:rPr>
        <w:t>atmosféru (IPMA)</w:t>
      </w:r>
      <w:r w:rsidR="00A75B3C" w:rsidRPr="009E4E5C">
        <w:rPr>
          <w:rFonts w:cs="Times New Roman"/>
          <w:noProof/>
          <w:spacing w:val="-8"/>
          <w:lang w:val="sk-SK"/>
        </w:rPr>
        <w:t>.</w:t>
      </w:r>
    </w:p>
    <w:p w14:paraId="4655E363" w14:textId="0FAFE46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investícia pozostáva</w:t>
      </w:r>
      <w:r w:rsidR="00A75B3C" w:rsidRPr="003F23AC">
        <w:rPr>
          <w:rFonts w:cs="Times New Roman"/>
          <w:noProof/>
          <w:lang w:val="sk-SK"/>
        </w:rPr>
        <w:t xml:space="preserve"> z </w:t>
      </w:r>
      <w:r w:rsidRPr="003F23AC">
        <w:rPr>
          <w:rFonts w:cs="Times New Roman"/>
          <w:noProof/>
          <w:lang w:val="sk-SK"/>
        </w:rPr>
        <w:t>nákupu dvoch ľahkých</w:t>
      </w:r>
      <w:r w:rsidR="00A75B3C" w:rsidRPr="003F23AC">
        <w:rPr>
          <w:rFonts w:cs="Times New Roman"/>
          <w:noProof/>
          <w:lang w:val="sk-SK"/>
        </w:rPr>
        <w:t xml:space="preserve"> a </w:t>
      </w:r>
      <w:r w:rsidRPr="003F23AC">
        <w:rPr>
          <w:rFonts w:cs="Times New Roman"/>
          <w:noProof/>
          <w:lang w:val="sk-SK"/>
        </w:rPr>
        <w:t>deviatich stredne veľkých hasičských vrtuľníkov, výstavby nových</w:t>
      </w:r>
      <w:r w:rsidR="00A75B3C" w:rsidRPr="003F23AC">
        <w:rPr>
          <w:rFonts w:cs="Times New Roman"/>
          <w:noProof/>
          <w:lang w:val="sk-SK"/>
        </w:rPr>
        <w:t xml:space="preserve"> a </w:t>
      </w:r>
      <w:r w:rsidRPr="003F23AC">
        <w:rPr>
          <w:rFonts w:cs="Times New Roman"/>
          <w:noProof/>
          <w:lang w:val="sk-SK"/>
        </w:rPr>
        <w:t>renovácie existujúcich budov (prevádzkové centrum</w:t>
      </w:r>
      <w:r w:rsidR="00A75B3C" w:rsidRPr="003F23AC">
        <w:rPr>
          <w:rFonts w:cs="Times New Roman"/>
          <w:noProof/>
          <w:lang w:val="sk-SK"/>
        </w:rPr>
        <w:t xml:space="preserve"> a </w:t>
      </w:r>
      <w:r w:rsidRPr="003F23AC">
        <w:rPr>
          <w:rFonts w:cs="Times New Roman"/>
          <w:noProof/>
          <w:lang w:val="sk-SK"/>
        </w:rPr>
        <w:t>hangárov na údržbu), nákupu vozidiel, strojov</w:t>
      </w:r>
      <w:r w:rsidR="00A75B3C" w:rsidRPr="003F23AC">
        <w:rPr>
          <w:rFonts w:cs="Times New Roman"/>
          <w:noProof/>
          <w:lang w:val="sk-SK"/>
        </w:rPr>
        <w:t xml:space="preserve"> a </w:t>
      </w:r>
      <w:r w:rsidRPr="003F23AC">
        <w:rPr>
          <w:rFonts w:cs="Times New Roman"/>
          <w:noProof/>
          <w:lang w:val="sk-SK"/>
        </w:rPr>
        <w:t>vybavenia, ktoré sú potrebné na prevádzkovú reakciu na hasenie požiaru, ako sú osobné ochranné prostriedky, požiarne vozidlá, buldozéry</w:t>
      </w:r>
      <w:r w:rsidR="00A75B3C" w:rsidRPr="003F23AC">
        <w:rPr>
          <w:rFonts w:cs="Times New Roman"/>
          <w:noProof/>
          <w:lang w:val="sk-SK"/>
        </w:rPr>
        <w:t xml:space="preserve"> a </w:t>
      </w:r>
      <w:r w:rsidRPr="003F23AC">
        <w:rPr>
          <w:rFonts w:cs="Times New Roman"/>
          <w:noProof/>
          <w:lang w:val="sk-SK"/>
        </w:rPr>
        <w:t>traktory,</w:t>
      </w:r>
      <w:r w:rsidR="00A75B3C" w:rsidRPr="003F23AC">
        <w:rPr>
          <w:rFonts w:cs="Times New Roman"/>
          <w:noProof/>
          <w:lang w:val="sk-SK"/>
        </w:rPr>
        <w:t xml:space="preserve"> a </w:t>
      </w:r>
      <w:r w:rsidRPr="003F23AC">
        <w:rPr>
          <w:rFonts w:cs="Times New Roman"/>
          <w:noProof/>
          <w:lang w:val="sk-SK"/>
        </w:rPr>
        <w:t>štandardizácia</w:t>
      </w:r>
      <w:r w:rsidR="00A75B3C" w:rsidRPr="003F23AC">
        <w:rPr>
          <w:rFonts w:cs="Times New Roman"/>
          <w:noProof/>
          <w:lang w:val="sk-SK"/>
        </w:rPr>
        <w:t xml:space="preserve"> a </w:t>
      </w:r>
      <w:r w:rsidRPr="003F23AC">
        <w:rPr>
          <w:rFonts w:cs="Times New Roman"/>
          <w:noProof/>
          <w:lang w:val="sk-SK"/>
        </w:rPr>
        <w:t>modernizácia siete meteorologických radarov</w:t>
      </w:r>
      <w:r w:rsidR="00A75B3C" w:rsidRPr="003F23AC">
        <w:rPr>
          <w:rFonts w:cs="Times New Roman"/>
          <w:noProof/>
          <w:lang w:val="sk-SK"/>
        </w:rPr>
        <w:t>.</w:t>
      </w:r>
    </w:p>
    <w:p w14:paraId="11A46961" w14:textId="30C02C9C"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tomto komponente výrazne nenaruší environmentálne ciele</w:t>
      </w:r>
      <w:r w:rsidR="00A75B3C" w:rsidRPr="003F23AC">
        <w:rPr>
          <w:rFonts w:cs="Times New Roman"/>
          <w:noProof/>
          <w:lang w:val="sk-SK"/>
        </w:rPr>
        <w:t xml:space="preserve"> v </w:t>
      </w:r>
      <w:r w:rsidRPr="003F23AC">
        <w:rPr>
          <w:rFonts w:cs="Times New Roman"/>
          <w:noProof/>
          <w:lang w:val="sk-SK"/>
        </w:rPr>
        <w:t>zmysle článku 17 nariadenia Európskeho parlamentu</w:t>
      </w:r>
      <w:r w:rsidR="00A75B3C" w:rsidRPr="003F23AC">
        <w:rPr>
          <w:rFonts w:cs="Times New Roman"/>
          <w:noProof/>
          <w:lang w:val="sk-SK"/>
        </w:rPr>
        <w:t xml:space="preserve"> a </w:t>
      </w:r>
      <w:r w:rsidRPr="003F23AC">
        <w:rPr>
          <w:rFonts w:cs="Times New Roman"/>
          <w:noProof/>
          <w:lang w:val="sk-SK"/>
        </w:rPr>
        <w:t>Rady (EÚ) 2020/852, berúc do úvahy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 obnovy</w:t>
      </w:r>
      <w:r w:rsidR="00A75B3C" w:rsidRPr="003F23AC">
        <w:rPr>
          <w:rFonts w:cs="Times New Roman"/>
          <w:noProof/>
          <w:lang w:val="sk-SK"/>
        </w:rPr>
        <w:t xml:space="preserve"> a </w:t>
      </w:r>
      <w:r w:rsidRPr="003F23AC">
        <w:rPr>
          <w:rFonts w:cs="Times New Roman"/>
          <w:noProof/>
          <w:lang w:val="sk-SK"/>
        </w:rPr>
        <w:t>odolnosti</w:t>
      </w:r>
      <w:r w:rsidR="00A75B3C" w:rsidRPr="003F23AC">
        <w:rPr>
          <w:rFonts w:cs="Times New Roman"/>
          <w:noProof/>
          <w:lang w:val="sk-SK"/>
        </w:rPr>
        <w:t xml:space="preserve"> v </w:t>
      </w:r>
      <w:r w:rsidRPr="003F23AC">
        <w:rPr>
          <w:rFonts w:cs="Times New Roman"/>
          <w:noProof/>
          <w:lang w:val="sk-SK"/>
        </w:rPr>
        <w:t>súlade so zásadou technického usmernia týkajúceho sa uplatňovania zásady „výrazne nenarušiť“ (DNHS) (2021/C58/01). Najmä na zabezpečenie súladu</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 musia byť zakúpené vozidlá, stroje</w:t>
      </w:r>
      <w:r w:rsidR="00A75B3C" w:rsidRPr="003F23AC">
        <w:rPr>
          <w:rFonts w:cs="Times New Roman"/>
          <w:noProof/>
          <w:lang w:val="sk-SK"/>
        </w:rPr>
        <w:t xml:space="preserve"> a </w:t>
      </w:r>
      <w:r w:rsidRPr="003F23AC">
        <w:rPr>
          <w:rFonts w:cs="Times New Roman"/>
          <w:noProof/>
          <w:lang w:val="sk-SK"/>
        </w:rPr>
        <w:t>zariadenia</w:t>
      </w:r>
      <w:r w:rsidR="00A75B3C" w:rsidRPr="003F23AC">
        <w:rPr>
          <w:rFonts w:cs="Times New Roman"/>
          <w:noProof/>
          <w:lang w:val="sk-SK"/>
        </w:rPr>
        <w:t xml:space="preserve"> s </w:t>
      </w:r>
      <w:r w:rsidRPr="003F23AC">
        <w:rPr>
          <w:rFonts w:cs="Times New Roman"/>
          <w:noProof/>
          <w:lang w:val="sk-SK"/>
        </w:rPr>
        <w:t>nulovými emisiami. Ak neexistujú žiadne alternatívy</w:t>
      </w:r>
      <w:r w:rsidR="00A75B3C" w:rsidRPr="003F23AC">
        <w:rPr>
          <w:rFonts w:cs="Times New Roman"/>
          <w:noProof/>
          <w:lang w:val="sk-SK"/>
        </w:rPr>
        <w:t xml:space="preserve"> s </w:t>
      </w:r>
      <w:r w:rsidRPr="003F23AC">
        <w:rPr>
          <w:rFonts w:cs="Times New Roman"/>
          <w:noProof/>
          <w:lang w:val="sk-SK"/>
        </w:rPr>
        <w:t>nulovými emisiami, vozidlá, stroje</w:t>
      </w:r>
      <w:r w:rsidR="00A75B3C" w:rsidRPr="003F23AC">
        <w:rPr>
          <w:rFonts w:cs="Times New Roman"/>
          <w:noProof/>
          <w:lang w:val="sk-SK"/>
        </w:rPr>
        <w:t xml:space="preserve"> a </w:t>
      </w:r>
      <w:r w:rsidRPr="003F23AC">
        <w:rPr>
          <w:rFonts w:cs="Times New Roman"/>
          <w:noProof/>
          <w:lang w:val="sk-SK"/>
        </w:rPr>
        <w:t>zariadenia, ktoré sa majú kúpiť, predstavujú najlepšie dostupné úrovne environmentálnych vlastností</w:t>
      </w:r>
      <w:r w:rsidR="00A75B3C" w:rsidRPr="003F23AC">
        <w:rPr>
          <w:rFonts w:cs="Times New Roman"/>
          <w:noProof/>
          <w:lang w:val="sk-SK"/>
        </w:rPr>
        <w:t xml:space="preserve"> v </w:t>
      </w:r>
      <w:r w:rsidRPr="003F23AC">
        <w:rPr>
          <w:rFonts w:cs="Times New Roman"/>
          <w:noProof/>
          <w:lang w:val="sk-SK"/>
        </w:rPr>
        <w:t>odvetví.</w:t>
      </w:r>
    </w:p>
    <w:p w14:paraId="1184E421" w14:textId="7D08BEEC"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1253F25C" w14:textId="68013616"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RE-C08-i05: Program pre ďalšie lesy</w:t>
      </w:r>
    </w:p>
    <w:p w14:paraId="091DD6FE" w14:textId="7C33959A"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opatrenia je zmodernizovať protipožiarny systém prevencie</w:t>
      </w:r>
      <w:r w:rsidR="00A75B3C" w:rsidRPr="003F23AC">
        <w:rPr>
          <w:rFonts w:cs="Times New Roman"/>
          <w:noProof/>
          <w:lang w:val="sk-SK"/>
        </w:rPr>
        <w:t xml:space="preserve"> a </w:t>
      </w:r>
      <w:r w:rsidRPr="003F23AC">
        <w:rPr>
          <w:rFonts w:cs="Times New Roman"/>
          <w:noProof/>
          <w:lang w:val="sk-SK"/>
        </w:rPr>
        <w:t>hasenia požiarov, prejsť</w:t>
      </w:r>
      <w:r w:rsidR="00A75B3C" w:rsidRPr="003F23AC">
        <w:rPr>
          <w:rFonts w:cs="Times New Roman"/>
          <w:noProof/>
          <w:lang w:val="sk-SK"/>
        </w:rPr>
        <w:t xml:space="preserve"> z </w:t>
      </w:r>
      <w:r w:rsidRPr="003F23AC">
        <w:rPr>
          <w:rFonts w:cs="Times New Roman"/>
          <w:noProof/>
          <w:lang w:val="sk-SK"/>
        </w:rPr>
        <w:t>modelu boja proti požiarom na model prevencie</w:t>
      </w:r>
      <w:r w:rsidR="00A75B3C" w:rsidRPr="003F23AC">
        <w:rPr>
          <w:rFonts w:cs="Times New Roman"/>
          <w:noProof/>
          <w:lang w:val="sk-SK"/>
        </w:rPr>
        <w:t xml:space="preserve"> a </w:t>
      </w:r>
      <w:r w:rsidRPr="003F23AC">
        <w:rPr>
          <w:rFonts w:cs="Times New Roman"/>
          <w:noProof/>
          <w:lang w:val="sk-SK"/>
        </w:rPr>
        <w:t>posilniť činnosti organizácií výrobcov lesov (OPF)</w:t>
      </w:r>
      <w:r w:rsidR="00A75B3C" w:rsidRPr="003F23AC">
        <w:rPr>
          <w:rFonts w:cs="Times New Roman"/>
          <w:noProof/>
          <w:lang w:val="sk-SK"/>
        </w:rPr>
        <w:t xml:space="preserve"> a </w:t>
      </w:r>
      <w:r w:rsidRPr="003F23AC">
        <w:rPr>
          <w:rFonts w:cs="Times New Roman"/>
          <w:noProof/>
          <w:lang w:val="sk-SK"/>
        </w:rPr>
        <w:t>kompetenčných centier</w:t>
      </w:r>
      <w:r w:rsidR="00A75B3C" w:rsidRPr="003F23AC">
        <w:rPr>
          <w:rFonts w:cs="Times New Roman"/>
          <w:noProof/>
          <w:lang w:val="sk-SK"/>
        </w:rPr>
        <w:t xml:space="preserve"> v </w:t>
      </w:r>
      <w:r w:rsidRPr="003F23AC">
        <w:rPr>
          <w:rFonts w:cs="Times New Roman"/>
          <w:noProof/>
          <w:lang w:val="sk-SK"/>
        </w:rPr>
        <w:t>odvetví lesného hospodárstva zapojením špecialistov</w:t>
      </w:r>
      <w:r w:rsidR="00A75B3C" w:rsidRPr="003F23AC">
        <w:rPr>
          <w:rFonts w:cs="Times New Roman"/>
          <w:noProof/>
          <w:lang w:val="sk-SK"/>
        </w:rPr>
        <w:t xml:space="preserve"> a </w:t>
      </w:r>
      <w:r w:rsidRPr="003F23AC">
        <w:rPr>
          <w:rFonts w:cs="Times New Roman"/>
          <w:noProof/>
          <w:lang w:val="sk-SK"/>
        </w:rPr>
        <w:t>zvýšením technickej kvalifikácie všetkých príslušných aktérov</w:t>
      </w:r>
      <w:r w:rsidR="00A75B3C" w:rsidRPr="003F23AC">
        <w:rPr>
          <w:rFonts w:cs="Times New Roman"/>
          <w:noProof/>
          <w:lang w:val="sk-SK"/>
        </w:rPr>
        <w:t xml:space="preserve"> v </w:t>
      </w:r>
      <w:r w:rsidRPr="003F23AC">
        <w:rPr>
          <w:rFonts w:cs="Times New Roman"/>
          <w:noProof/>
          <w:lang w:val="sk-SK"/>
        </w:rPr>
        <w:t>týchto subjektoch</w:t>
      </w:r>
      <w:r w:rsidR="00A75B3C" w:rsidRPr="003F23AC">
        <w:rPr>
          <w:rFonts w:cs="Times New Roman"/>
          <w:noProof/>
          <w:lang w:val="sk-SK"/>
        </w:rPr>
        <w:t>.</w:t>
      </w:r>
    </w:p>
    <w:p w14:paraId="51BD29B4" w14:textId="03A0A915"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investícia pozostáva</w:t>
      </w:r>
      <w:r w:rsidR="00A75B3C" w:rsidRPr="003F23AC">
        <w:rPr>
          <w:rFonts w:cs="Times New Roman"/>
          <w:noProof/>
          <w:lang w:val="sk-SK"/>
        </w:rPr>
        <w:t xml:space="preserve"> z </w:t>
      </w:r>
      <w:r w:rsidRPr="003F23AC">
        <w:rPr>
          <w:rFonts w:cs="Times New Roman"/>
          <w:noProof/>
          <w:lang w:val="sk-SK"/>
        </w:rPr>
        <w:t>týchto opatrení:</w:t>
      </w:r>
    </w:p>
    <w:p w14:paraId="0E0E62F5" w14:textId="79B1DD89" w:rsidR="00A75B3C" w:rsidRPr="009E4E5C" w:rsidRDefault="000F5AA4" w:rsidP="003F23AC">
      <w:pPr>
        <w:pStyle w:val="P68B1DB1-Normal4"/>
        <w:numPr>
          <w:ilvl w:val="0"/>
          <w:numId w:val="27"/>
        </w:numPr>
        <w:spacing w:before="40" w:after="160" w:line="259" w:lineRule="auto"/>
        <w:contextualSpacing/>
        <w:jc w:val="both"/>
        <w:rPr>
          <w:rFonts w:cs="Times New Roman"/>
          <w:noProof/>
          <w:spacing w:val="-4"/>
          <w:lang w:val="sk-SK"/>
        </w:rPr>
      </w:pPr>
      <w:r w:rsidRPr="009E4E5C">
        <w:rPr>
          <w:rFonts w:cs="Times New Roman"/>
          <w:noProof/>
          <w:spacing w:val="-4"/>
          <w:lang w:val="sk-SK"/>
        </w:rPr>
        <w:t>rozšírenie programov „Bezpečná dedina“</w:t>
      </w:r>
      <w:r w:rsidR="00A75B3C" w:rsidRPr="009E4E5C">
        <w:rPr>
          <w:rFonts w:cs="Times New Roman"/>
          <w:noProof/>
          <w:spacing w:val="-4"/>
          <w:lang w:val="sk-SK"/>
        </w:rPr>
        <w:t xml:space="preserve"> a </w:t>
      </w:r>
      <w:r w:rsidRPr="009E4E5C">
        <w:rPr>
          <w:rFonts w:cs="Times New Roman"/>
          <w:noProof/>
          <w:spacing w:val="-4"/>
          <w:lang w:val="sk-SK"/>
        </w:rPr>
        <w:t>„Bezpeční ľudia“ zameraných na podporu akcií na zvyšovanie informovanosti</w:t>
      </w:r>
      <w:r w:rsidR="00A75B3C" w:rsidRPr="009E4E5C">
        <w:rPr>
          <w:rFonts w:cs="Times New Roman"/>
          <w:noProof/>
          <w:spacing w:val="-4"/>
          <w:lang w:val="sk-SK"/>
        </w:rPr>
        <w:t xml:space="preserve"> s </w:t>
      </w:r>
      <w:r w:rsidRPr="009E4E5C">
        <w:rPr>
          <w:rFonts w:cs="Times New Roman"/>
          <w:noProof/>
          <w:spacing w:val="-4"/>
          <w:lang w:val="sk-SK"/>
        </w:rPr>
        <w:t>cieľom predchádzať riskantnému správaniu obyvateľstva, opatrení na ochranu sebaobrany</w:t>
      </w:r>
      <w:r w:rsidR="00A75B3C" w:rsidRPr="009E4E5C">
        <w:rPr>
          <w:rFonts w:cs="Times New Roman"/>
          <w:noProof/>
          <w:spacing w:val="-4"/>
          <w:lang w:val="sk-SK"/>
        </w:rPr>
        <w:t xml:space="preserve"> a </w:t>
      </w:r>
      <w:r w:rsidRPr="009E4E5C">
        <w:rPr>
          <w:rFonts w:cs="Times New Roman"/>
          <w:noProof/>
          <w:spacing w:val="-4"/>
          <w:lang w:val="sk-SK"/>
        </w:rPr>
        <w:t>simulácií evakuačných plánov</w:t>
      </w:r>
      <w:r w:rsidR="00A75B3C" w:rsidRPr="009E4E5C">
        <w:rPr>
          <w:rFonts w:cs="Times New Roman"/>
          <w:noProof/>
          <w:spacing w:val="-4"/>
          <w:lang w:val="sk-SK"/>
        </w:rPr>
        <w:t xml:space="preserve"> v </w:t>
      </w:r>
      <w:r w:rsidRPr="009E4E5C">
        <w:rPr>
          <w:rFonts w:cs="Times New Roman"/>
          <w:noProof/>
          <w:spacing w:val="-4"/>
          <w:lang w:val="sk-SK"/>
        </w:rPr>
        <w:t>spolupráci</w:t>
      </w:r>
      <w:r w:rsidR="00A75B3C" w:rsidRPr="009E4E5C">
        <w:rPr>
          <w:rFonts w:cs="Times New Roman"/>
          <w:noProof/>
          <w:spacing w:val="-4"/>
          <w:lang w:val="sk-SK"/>
        </w:rPr>
        <w:t xml:space="preserve"> s </w:t>
      </w:r>
      <w:r w:rsidRPr="009E4E5C">
        <w:rPr>
          <w:rFonts w:cs="Times New Roman"/>
          <w:noProof/>
          <w:spacing w:val="-4"/>
          <w:lang w:val="sk-SK"/>
        </w:rPr>
        <w:t>miestnymi orgánmi</w:t>
      </w:r>
      <w:r w:rsidR="00A75B3C" w:rsidRPr="009E4E5C">
        <w:rPr>
          <w:rFonts w:cs="Times New Roman"/>
          <w:noProof/>
          <w:spacing w:val="-4"/>
          <w:lang w:val="sk-SK"/>
        </w:rPr>
        <w:t>;</w:t>
      </w:r>
    </w:p>
    <w:p w14:paraId="4EAC3577" w14:textId="395E9F27" w:rsidR="00387C70" w:rsidRPr="009E4E5C" w:rsidRDefault="000F5AA4" w:rsidP="003F23AC">
      <w:pPr>
        <w:pStyle w:val="P68B1DB1-Normal4"/>
        <w:numPr>
          <w:ilvl w:val="0"/>
          <w:numId w:val="27"/>
        </w:numPr>
        <w:spacing w:before="40" w:after="160" w:line="259" w:lineRule="auto"/>
        <w:contextualSpacing/>
        <w:jc w:val="both"/>
        <w:rPr>
          <w:rFonts w:eastAsiaTheme="minorEastAsia" w:cs="Times New Roman"/>
          <w:noProof/>
          <w:spacing w:val="-4"/>
          <w:lang w:val="sk-SK"/>
        </w:rPr>
      </w:pPr>
      <w:r w:rsidRPr="009E4E5C">
        <w:rPr>
          <w:rFonts w:cs="Times New Roman"/>
          <w:noProof/>
          <w:spacing w:val="-4"/>
          <w:lang w:val="sk-SK"/>
        </w:rPr>
        <w:t>posilnenie kapacity operačnej reakcie Národného úradu pre núdzové situácie</w:t>
      </w:r>
      <w:r w:rsidR="00A75B3C" w:rsidRPr="009E4E5C">
        <w:rPr>
          <w:rFonts w:cs="Times New Roman"/>
          <w:noProof/>
          <w:spacing w:val="-4"/>
          <w:lang w:val="sk-SK"/>
        </w:rPr>
        <w:t xml:space="preserve"> a </w:t>
      </w:r>
      <w:r w:rsidRPr="009E4E5C">
        <w:rPr>
          <w:rFonts w:cs="Times New Roman"/>
          <w:noProof/>
          <w:spacing w:val="-4"/>
          <w:lang w:val="sk-SK"/>
        </w:rPr>
        <w:t>civilnú ochranu (ANEPC)</w:t>
      </w:r>
      <w:r w:rsidR="00A75B3C" w:rsidRPr="009E4E5C">
        <w:rPr>
          <w:rFonts w:cs="Times New Roman"/>
          <w:noProof/>
          <w:spacing w:val="-4"/>
          <w:lang w:val="sk-SK"/>
        </w:rPr>
        <w:t xml:space="preserve"> a </w:t>
      </w:r>
      <w:r w:rsidRPr="009E4E5C">
        <w:rPr>
          <w:rFonts w:cs="Times New Roman"/>
          <w:noProof/>
          <w:spacing w:val="-4"/>
          <w:lang w:val="sk-SK"/>
        </w:rPr>
        <w:t>Národného žandárstva (GNR)</w:t>
      </w:r>
      <w:r w:rsidR="00A75B3C" w:rsidRPr="009E4E5C">
        <w:rPr>
          <w:rFonts w:cs="Times New Roman"/>
          <w:noProof/>
          <w:spacing w:val="-4"/>
          <w:lang w:val="sk-SK"/>
        </w:rPr>
        <w:t xml:space="preserve"> v </w:t>
      </w:r>
      <w:r w:rsidRPr="009E4E5C">
        <w:rPr>
          <w:rFonts w:cs="Times New Roman"/>
          <w:noProof/>
          <w:spacing w:val="-4"/>
          <w:lang w:val="sk-SK"/>
        </w:rPr>
        <w:t>boji proti požiarom na vidieku, najmä prostredníctvom nákupu vozidiel</w:t>
      </w:r>
      <w:r w:rsidR="00A75B3C" w:rsidRPr="009E4E5C">
        <w:rPr>
          <w:rFonts w:cs="Times New Roman"/>
          <w:noProof/>
          <w:spacing w:val="-4"/>
          <w:lang w:val="sk-SK"/>
        </w:rPr>
        <w:t xml:space="preserve"> a </w:t>
      </w:r>
      <w:r w:rsidRPr="009E4E5C">
        <w:rPr>
          <w:rFonts w:cs="Times New Roman"/>
          <w:noProof/>
          <w:spacing w:val="-4"/>
          <w:lang w:val="sk-SK"/>
        </w:rPr>
        <w:t>osobných ochranných prostriedkov, renováciou existujúcich infraštruktúr</w:t>
      </w:r>
      <w:r w:rsidR="00A75B3C" w:rsidRPr="009E4E5C">
        <w:rPr>
          <w:rFonts w:cs="Times New Roman"/>
          <w:noProof/>
          <w:spacing w:val="-4"/>
          <w:lang w:val="sk-SK"/>
        </w:rPr>
        <w:t xml:space="preserve"> a </w:t>
      </w:r>
      <w:r w:rsidRPr="009E4E5C">
        <w:rPr>
          <w:rFonts w:cs="Times New Roman"/>
          <w:noProof/>
          <w:spacing w:val="-4"/>
          <w:lang w:val="sk-SK"/>
        </w:rPr>
        <w:t>vytvorením nových regionálnych</w:t>
      </w:r>
      <w:r w:rsidR="00A75B3C" w:rsidRPr="009E4E5C">
        <w:rPr>
          <w:rFonts w:cs="Times New Roman"/>
          <w:noProof/>
          <w:spacing w:val="-4"/>
          <w:lang w:val="sk-SK"/>
        </w:rPr>
        <w:t xml:space="preserve"> a </w:t>
      </w:r>
      <w:r w:rsidRPr="009E4E5C">
        <w:rPr>
          <w:rFonts w:cs="Times New Roman"/>
          <w:noProof/>
          <w:spacing w:val="-4"/>
          <w:lang w:val="sk-SK"/>
        </w:rPr>
        <w:t>subregionálnych štruktúr ANEPC;</w:t>
      </w:r>
    </w:p>
    <w:p w14:paraId="457ED016" w14:textId="77777777" w:rsidR="00A75B3C" w:rsidRPr="003F23AC" w:rsidRDefault="000F5AA4" w:rsidP="003F23AC">
      <w:pPr>
        <w:pStyle w:val="P68B1DB1-Normal4"/>
        <w:numPr>
          <w:ilvl w:val="0"/>
          <w:numId w:val="27"/>
        </w:numPr>
        <w:spacing w:before="40" w:after="160" w:line="259" w:lineRule="auto"/>
        <w:contextualSpacing/>
        <w:jc w:val="both"/>
        <w:rPr>
          <w:rFonts w:cs="Times New Roman"/>
          <w:noProof/>
          <w:lang w:val="sk-SK"/>
        </w:rPr>
      </w:pPr>
      <w:r w:rsidRPr="003F23AC">
        <w:rPr>
          <w:rFonts w:cs="Times New Roman"/>
          <w:noProof/>
          <w:lang w:val="sk-SK"/>
        </w:rPr>
        <w:t>poskytovanie odbornej prípravy</w:t>
      </w:r>
      <w:r w:rsidR="00A75B3C" w:rsidRPr="003F23AC">
        <w:rPr>
          <w:rFonts w:cs="Times New Roman"/>
          <w:noProof/>
          <w:lang w:val="sk-SK"/>
        </w:rPr>
        <w:t xml:space="preserve"> a </w:t>
      </w:r>
      <w:r w:rsidRPr="003F23AC">
        <w:rPr>
          <w:rFonts w:cs="Times New Roman"/>
          <w:noProof/>
          <w:lang w:val="sk-SK"/>
        </w:rPr>
        <w:t>kvalifikácie operačným pracovníkom zapojeným do hasenia požiarov</w:t>
      </w:r>
      <w:r w:rsidR="00A75B3C" w:rsidRPr="003F23AC">
        <w:rPr>
          <w:rFonts w:cs="Times New Roman"/>
          <w:noProof/>
          <w:lang w:val="sk-SK"/>
        </w:rPr>
        <w:t xml:space="preserve"> a </w:t>
      </w:r>
      <w:r w:rsidRPr="003F23AC">
        <w:rPr>
          <w:rFonts w:cs="Times New Roman"/>
          <w:noProof/>
          <w:lang w:val="sk-SK"/>
        </w:rPr>
        <w:t>technikom OPF;</w:t>
      </w:r>
      <w:r w:rsidR="00A75B3C" w:rsidRPr="003F23AC">
        <w:rPr>
          <w:rFonts w:cs="Times New Roman"/>
          <w:noProof/>
          <w:lang w:val="sk-SK"/>
        </w:rPr>
        <w:t xml:space="preserve"> a </w:t>
      </w:r>
      <w:r w:rsidRPr="003F23AC">
        <w:rPr>
          <w:rFonts w:cs="Times New Roman"/>
          <w:noProof/>
          <w:lang w:val="sk-SK"/>
        </w:rPr>
        <w:t>zároveň</w:t>
      </w:r>
    </w:p>
    <w:p w14:paraId="785D1F00" w14:textId="52B35989" w:rsidR="00387C70" w:rsidRPr="003F23AC" w:rsidRDefault="000F5AA4" w:rsidP="003F23AC">
      <w:pPr>
        <w:pStyle w:val="P68B1DB1-Normal4"/>
        <w:numPr>
          <w:ilvl w:val="0"/>
          <w:numId w:val="27"/>
        </w:numPr>
        <w:spacing w:before="40" w:after="160" w:line="259" w:lineRule="auto"/>
        <w:contextualSpacing/>
        <w:jc w:val="both"/>
        <w:rPr>
          <w:rFonts w:eastAsiaTheme="minorEastAsia" w:cs="Times New Roman"/>
          <w:noProof/>
          <w:lang w:val="sk-SK"/>
        </w:rPr>
      </w:pPr>
      <w:r w:rsidRPr="003F23AC">
        <w:rPr>
          <w:rFonts w:cs="Times New Roman"/>
          <w:noProof/>
          <w:lang w:val="sk-SK"/>
        </w:rPr>
        <w:t>posilnenie organizácií vlastníkov lesov</w:t>
      </w:r>
      <w:r w:rsidR="00A75B3C" w:rsidRPr="003F23AC">
        <w:rPr>
          <w:rFonts w:cs="Times New Roman"/>
          <w:noProof/>
          <w:lang w:val="sk-SK"/>
        </w:rPr>
        <w:t xml:space="preserve"> a </w:t>
      </w:r>
      <w:r w:rsidRPr="003F23AC">
        <w:rPr>
          <w:rFonts w:cs="Times New Roman"/>
          <w:noProof/>
          <w:lang w:val="sk-SK"/>
        </w:rPr>
        <w:t>kompetenčných centier</w:t>
      </w:r>
      <w:r w:rsidR="00A75B3C" w:rsidRPr="003F23AC">
        <w:rPr>
          <w:rFonts w:cs="Times New Roman"/>
          <w:noProof/>
          <w:lang w:val="sk-SK"/>
        </w:rPr>
        <w:t xml:space="preserve"> v </w:t>
      </w:r>
      <w:r w:rsidRPr="003F23AC">
        <w:rPr>
          <w:rFonts w:cs="Times New Roman"/>
          <w:noProof/>
          <w:lang w:val="sk-SK"/>
        </w:rPr>
        <w:t>oblastiach, ktoré sú nevyhnutné pre udržateľnosť lesných zdrojov.</w:t>
      </w:r>
    </w:p>
    <w:p w14:paraId="277B2B14" w14:textId="0B9CC0F9"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469B9600" w14:textId="77777777" w:rsidR="00387C70" w:rsidRPr="003F23AC" w:rsidRDefault="000F5AA4" w:rsidP="003F23AC">
      <w:pPr>
        <w:pStyle w:val="P68B1DB1-Normal4"/>
        <w:spacing w:before="40" w:after="0" w:line="259" w:lineRule="auto"/>
        <w:jc w:val="both"/>
        <w:rPr>
          <w:rFonts w:eastAsiaTheme="minorEastAsia" w:cs="Times New Roman"/>
          <w:noProof/>
          <w:lang w:val="sk-SK"/>
        </w:rPr>
        <w:sectPr w:rsidR="00387C70" w:rsidRPr="003F23AC" w:rsidSect="00E00EDD">
          <w:headerReference w:type="even" r:id="rId168"/>
          <w:headerReference w:type="default" r:id="rId169"/>
          <w:footerReference w:type="even" r:id="rId170"/>
          <w:footerReference w:type="default" r:id="rId171"/>
          <w:headerReference w:type="first" r:id="rId172"/>
          <w:footerReference w:type="first" r:id="rId173"/>
          <w:pgSz w:w="11907" w:h="16839"/>
          <w:pgMar w:top="1134" w:right="1134" w:bottom="1134" w:left="1134" w:header="567" w:footer="567" w:gutter="0"/>
          <w:cols w:space="720"/>
          <w:docGrid w:linePitch="360"/>
        </w:sectPr>
      </w:pPr>
      <w:r w:rsidRPr="003F23AC">
        <w:rPr>
          <w:rFonts w:cs="Times New Roman"/>
          <w:noProof/>
          <w:lang w:val="sk-SK"/>
        </w:rPr>
        <w:t xml:space="preserve"> </w:t>
      </w:r>
    </w:p>
    <w:p w14:paraId="6A15D49E" w14:textId="66B08CB6"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H.2.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p w14:paraId="628AB07A"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1245"/>
        <w:gridCol w:w="1107"/>
        <w:gridCol w:w="1658"/>
        <w:gridCol w:w="825"/>
        <w:gridCol w:w="1022"/>
        <w:gridCol w:w="1218"/>
        <w:gridCol w:w="723"/>
        <w:gridCol w:w="789"/>
        <w:gridCol w:w="554"/>
        <w:gridCol w:w="4204"/>
      </w:tblGrid>
      <w:tr w:rsidR="00387C70" w:rsidRPr="003F23AC" w14:paraId="23FD5241" w14:textId="77777777" w:rsidTr="009E4E5C">
        <w:trPr>
          <w:trHeight w:val="910"/>
          <w:tblHeader/>
          <w:jc w:val="center"/>
        </w:trPr>
        <w:tc>
          <w:tcPr>
            <w:tcW w:w="1114" w:type="dxa"/>
            <w:vMerge w:val="restart"/>
            <w:shd w:val="clear" w:color="auto" w:fill="BDD6EE"/>
            <w:tcMar>
              <w:left w:w="28" w:type="dxa"/>
              <w:right w:w="28" w:type="dxa"/>
            </w:tcMar>
            <w:vAlign w:val="center"/>
            <w:hideMark/>
          </w:tcPr>
          <w:p w14:paraId="7DA1148E"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45" w:type="dxa"/>
            <w:vMerge w:val="restart"/>
            <w:shd w:val="clear" w:color="auto" w:fill="BDD6EE"/>
            <w:tcMar>
              <w:left w:w="28" w:type="dxa"/>
              <w:right w:w="28" w:type="dxa"/>
            </w:tcMar>
            <w:vAlign w:val="center"/>
            <w:hideMark/>
          </w:tcPr>
          <w:p w14:paraId="279E7C6E"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07" w:type="dxa"/>
            <w:vMerge w:val="restart"/>
            <w:shd w:val="clear" w:color="auto" w:fill="BDD6EE"/>
            <w:tcMar>
              <w:left w:w="28" w:type="dxa"/>
              <w:right w:w="28" w:type="dxa"/>
            </w:tcMar>
            <w:vAlign w:val="center"/>
            <w:hideMark/>
          </w:tcPr>
          <w:p w14:paraId="061850B8" w14:textId="5E5DB946" w:rsidR="00387C70" w:rsidRPr="003F23AC" w:rsidRDefault="000F5AA4" w:rsidP="003F23AC">
            <w:pPr>
              <w:pStyle w:val="P68B1DB1-Normal6"/>
              <w:spacing w:after="0" w:line="240" w:lineRule="auto"/>
              <w:jc w:val="center"/>
              <w:rPr>
                <w:rFonts w:eastAsia="Times New Roman" w:cs="Times New Roman"/>
                <w:noProof/>
                <w:sz w:val="14"/>
                <w:lang w:val="sk-SK"/>
              </w:rPr>
            </w:pPr>
            <w:r w:rsidRPr="003F23AC">
              <w:rPr>
                <w:rFonts w:cs="Times New Roman"/>
                <w:noProof/>
                <w:lang w:val="sk-SK"/>
              </w:rPr>
              <w:t>Čiastkový cieľ/cieľ</w:t>
            </w:r>
          </w:p>
        </w:tc>
        <w:tc>
          <w:tcPr>
            <w:tcW w:w="1658" w:type="dxa"/>
            <w:vMerge w:val="restart"/>
            <w:shd w:val="clear" w:color="auto" w:fill="BDD6EE"/>
            <w:tcMar>
              <w:left w:w="28" w:type="dxa"/>
              <w:right w:w="28" w:type="dxa"/>
            </w:tcMar>
            <w:vAlign w:val="center"/>
            <w:hideMark/>
          </w:tcPr>
          <w:p w14:paraId="6DDD64A1"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825" w:type="dxa"/>
            <w:vMerge w:val="restart"/>
            <w:shd w:val="clear" w:color="auto" w:fill="BDD6EE"/>
            <w:tcMar>
              <w:left w:w="28" w:type="dxa"/>
              <w:right w:w="28" w:type="dxa"/>
            </w:tcMar>
            <w:vAlign w:val="center"/>
            <w:hideMark/>
          </w:tcPr>
          <w:p w14:paraId="616A60C2"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963" w:type="dxa"/>
            <w:gridSpan w:val="3"/>
            <w:shd w:val="clear" w:color="auto" w:fill="BDD6EE"/>
            <w:tcMar>
              <w:left w:w="28" w:type="dxa"/>
              <w:right w:w="28" w:type="dxa"/>
            </w:tcMar>
            <w:vAlign w:val="center"/>
            <w:hideMark/>
          </w:tcPr>
          <w:p w14:paraId="490EDE73"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343" w:type="dxa"/>
            <w:gridSpan w:val="2"/>
            <w:shd w:val="clear" w:color="auto" w:fill="BDD6EE"/>
            <w:tcMar>
              <w:left w:w="28" w:type="dxa"/>
              <w:right w:w="28" w:type="dxa"/>
            </w:tcMar>
            <w:vAlign w:val="center"/>
            <w:hideMark/>
          </w:tcPr>
          <w:p w14:paraId="5A78B1CD"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4204" w:type="dxa"/>
            <w:vMerge w:val="restart"/>
            <w:shd w:val="clear" w:color="auto" w:fill="BDD6EE"/>
            <w:tcMar>
              <w:left w:w="28" w:type="dxa"/>
              <w:right w:w="28" w:type="dxa"/>
            </w:tcMar>
            <w:vAlign w:val="center"/>
            <w:hideMark/>
          </w:tcPr>
          <w:p w14:paraId="6349DF03" w14:textId="1D1792A2"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2A0BDCBA" w14:textId="77777777" w:rsidTr="009E4E5C">
        <w:trPr>
          <w:trHeight w:val="470"/>
          <w:tblHeader/>
          <w:jc w:val="center"/>
        </w:trPr>
        <w:tc>
          <w:tcPr>
            <w:tcW w:w="1114" w:type="dxa"/>
            <w:vMerge/>
            <w:tcMar>
              <w:left w:w="28" w:type="dxa"/>
              <w:right w:w="28" w:type="dxa"/>
            </w:tcMar>
            <w:vAlign w:val="center"/>
            <w:hideMark/>
          </w:tcPr>
          <w:p w14:paraId="48494B20"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45" w:type="dxa"/>
            <w:vMerge/>
            <w:tcMar>
              <w:left w:w="28" w:type="dxa"/>
              <w:right w:w="28" w:type="dxa"/>
            </w:tcMar>
            <w:vAlign w:val="center"/>
            <w:hideMark/>
          </w:tcPr>
          <w:p w14:paraId="3ED3D75A"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07" w:type="dxa"/>
            <w:vMerge/>
            <w:tcMar>
              <w:left w:w="28" w:type="dxa"/>
              <w:right w:w="28" w:type="dxa"/>
            </w:tcMar>
            <w:vAlign w:val="center"/>
            <w:hideMark/>
          </w:tcPr>
          <w:p w14:paraId="5FF97188" w14:textId="3E0237B4" w:rsidR="00387C70" w:rsidRPr="003F23AC" w:rsidRDefault="00387C70" w:rsidP="003F23AC">
            <w:pPr>
              <w:spacing w:after="0" w:line="240" w:lineRule="auto"/>
              <w:jc w:val="center"/>
              <w:rPr>
                <w:rFonts w:ascii="Times New Roman" w:eastAsia="Times New Roman" w:hAnsi="Times New Roman" w:cs="Times New Roman"/>
                <w:b/>
                <w:noProof/>
                <w:sz w:val="14"/>
                <w:lang w:val="sk-SK"/>
              </w:rPr>
            </w:pPr>
          </w:p>
        </w:tc>
        <w:tc>
          <w:tcPr>
            <w:tcW w:w="1658" w:type="dxa"/>
            <w:vMerge/>
            <w:tcMar>
              <w:left w:w="28" w:type="dxa"/>
              <w:right w:w="28" w:type="dxa"/>
            </w:tcMar>
            <w:vAlign w:val="center"/>
            <w:hideMark/>
          </w:tcPr>
          <w:p w14:paraId="7F856670"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825" w:type="dxa"/>
            <w:vMerge/>
            <w:tcMar>
              <w:left w:w="28" w:type="dxa"/>
              <w:right w:w="28" w:type="dxa"/>
            </w:tcMar>
            <w:vAlign w:val="center"/>
            <w:hideMark/>
          </w:tcPr>
          <w:p w14:paraId="3BB7D671"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022" w:type="dxa"/>
            <w:shd w:val="clear" w:color="auto" w:fill="BDD6EE"/>
            <w:tcMar>
              <w:left w:w="28" w:type="dxa"/>
              <w:right w:w="28" w:type="dxa"/>
            </w:tcMar>
            <w:vAlign w:val="center"/>
            <w:hideMark/>
          </w:tcPr>
          <w:p w14:paraId="16AA7B5B"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1218" w:type="dxa"/>
            <w:shd w:val="clear" w:color="auto" w:fill="BDD6EE"/>
            <w:tcMar>
              <w:left w:w="28" w:type="dxa"/>
              <w:right w:w="28" w:type="dxa"/>
            </w:tcMar>
            <w:vAlign w:val="center"/>
            <w:hideMark/>
          </w:tcPr>
          <w:p w14:paraId="254AFE6B" w14:textId="36C58174"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723" w:type="dxa"/>
            <w:shd w:val="clear" w:color="auto" w:fill="BDD6EE"/>
            <w:tcMar>
              <w:left w:w="28" w:type="dxa"/>
              <w:right w:w="28" w:type="dxa"/>
            </w:tcMar>
            <w:vAlign w:val="center"/>
            <w:hideMark/>
          </w:tcPr>
          <w:p w14:paraId="490F16BA" w14:textId="359CF0A9"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789" w:type="dxa"/>
            <w:shd w:val="clear" w:color="auto" w:fill="BDD6EE"/>
            <w:tcMar>
              <w:left w:w="28" w:type="dxa"/>
              <w:right w:w="28" w:type="dxa"/>
            </w:tcMar>
            <w:vAlign w:val="center"/>
            <w:hideMark/>
          </w:tcPr>
          <w:p w14:paraId="62E7BED3" w14:textId="38E754A7"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554" w:type="dxa"/>
            <w:shd w:val="clear" w:color="auto" w:fill="BDD6EE"/>
            <w:tcMar>
              <w:left w:w="28" w:type="dxa"/>
              <w:right w:w="28" w:type="dxa"/>
            </w:tcMar>
            <w:vAlign w:val="center"/>
            <w:hideMark/>
          </w:tcPr>
          <w:p w14:paraId="6F909C03"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4204" w:type="dxa"/>
            <w:vMerge/>
            <w:tcMar>
              <w:left w:w="28" w:type="dxa"/>
              <w:right w:w="28" w:type="dxa"/>
            </w:tcMar>
            <w:vAlign w:val="center"/>
            <w:hideMark/>
          </w:tcPr>
          <w:p w14:paraId="19BE067E"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6DA303CE" w14:textId="77777777" w:rsidTr="009E4E5C">
        <w:trPr>
          <w:trHeight w:val="640"/>
          <w:jc w:val="center"/>
        </w:trPr>
        <w:tc>
          <w:tcPr>
            <w:tcW w:w="1114" w:type="dxa"/>
            <w:shd w:val="clear" w:color="auto" w:fill="C4EFCE"/>
            <w:tcMar>
              <w:left w:w="28" w:type="dxa"/>
              <w:right w:w="28" w:type="dxa"/>
            </w:tcMar>
            <w:vAlign w:val="center"/>
            <w:hideMark/>
          </w:tcPr>
          <w:p w14:paraId="241F93F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8.1</w:t>
            </w:r>
          </w:p>
        </w:tc>
        <w:tc>
          <w:tcPr>
            <w:tcW w:w="1245" w:type="dxa"/>
            <w:shd w:val="clear" w:color="auto" w:fill="C4EFCE"/>
            <w:noWrap/>
            <w:tcMar>
              <w:left w:w="28" w:type="dxa"/>
              <w:right w:w="28" w:type="dxa"/>
            </w:tcMar>
            <w:vAlign w:val="center"/>
            <w:hideMark/>
          </w:tcPr>
          <w:p w14:paraId="6A7BBCF2" w14:textId="5FE8DD30"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C08-i01</w:t>
            </w:r>
          </w:p>
        </w:tc>
        <w:tc>
          <w:tcPr>
            <w:tcW w:w="1107" w:type="dxa"/>
            <w:shd w:val="clear" w:color="auto" w:fill="C4EFCE"/>
            <w:noWrap/>
            <w:tcMar>
              <w:left w:w="28" w:type="dxa"/>
              <w:right w:w="28" w:type="dxa"/>
            </w:tcMar>
            <w:vAlign w:val="center"/>
            <w:hideMark/>
          </w:tcPr>
          <w:p w14:paraId="280C90CB" w14:textId="2D8969AA"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8" w:type="dxa"/>
            <w:shd w:val="clear" w:color="auto" w:fill="C4EFCE"/>
            <w:noWrap/>
            <w:tcMar>
              <w:left w:w="28" w:type="dxa"/>
              <w:right w:w="28" w:type="dxa"/>
            </w:tcMar>
            <w:vAlign w:val="center"/>
            <w:hideMark/>
          </w:tcPr>
          <w:p w14:paraId="051B7F69" w14:textId="21E1515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Rozvoj programov územného plánovania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riadenia (PRGP) na územiach vymedzených ako zraniteľné.</w:t>
            </w:r>
          </w:p>
        </w:tc>
        <w:tc>
          <w:tcPr>
            <w:tcW w:w="825" w:type="dxa"/>
            <w:shd w:val="clear" w:color="auto" w:fill="C4EFCE"/>
            <w:noWrap/>
            <w:tcMar>
              <w:left w:w="28" w:type="dxa"/>
              <w:right w:w="28" w:type="dxa"/>
            </w:tcMar>
            <w:vAlign w:val="center"/>
            <w:hideMark/>
          </w:tcPr>
          <w:p w14:paraId="0AF3937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022" w:type="dxa"/>
            <w:shd w:val="clear" w:color="auto" w:fill="C4EFCE"/>
            <w:noWrap/>
            <w:tcMar>
              <w:left w:w="28" w:type="dxa"/>
              <w:right w:w="28" w:type="dxa"/>
            </w:tcMar>
            <w:vAlign w:val="center"/>
            <w:hideMark/>
          </w:tcPr>
          <w:p w14:paraId="3D6C4E0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Počet</w:t>
            </w:r>
          </w:p>
        </w:tc>
        <w:tc>
          <w:tcPr>
            <w:tcW w:w="1218" w:type="dxa"/>
            <w:shd w:val="clear" w:color="auto" w:fill="C4EFCE"/>
            <w:noWrap/>
            <w:tcMar>
              <w:left w:w="28" w:type="dxa"/>
              <w:right w:w="28" w:type="dxa"/>
            </w:tcMar>
            <w:vAlign w:val="center"/>
            <w:hideMark/>
          </w:tcPr>
          <w:p w14:paraId="7EF99B8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3" w:type="dxa"/>
            <w:shd w:val="clear" w:color="auto" w:fill="C4EFCE"/>
            <w:noWrap/>
            <w:tcMar>
              <w:left w:w="28" w:type="dxa"/>
              <w:right w:w="28" w:type="dxa"/>
            </w:tcMar>
            <w:vAlign w:val="center"/>
            <w:hideMark/>
          </w:tcPr>
          <w:p w14:paraId="48CFC2F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w:t>
            </w:r>
          </w:p>
        </w:tc>
        <w:tc>
          <w:tcPr>
            <w:tcW w:w="789" w:type="dxa"/>
            <w:shd w:val="clear" w:color="auto" w:fill="C4EFCE"/>
            <w:noWrap/>
            <w:tcMar>
              <w:left w:w="28" w:type="dxa"/>
              <w:right w:w="28" w:type="dxa"/>
            </w:tcMar>
            <w:vAlign w:val="center"/>
            <w:hideMark/>
          </w:tcPr>
          <w:p w14:paraId="65763CA3" w14:textId="0B2F3E6E"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54" w:type="dxa"/>
            <w:shd w:val="clear" w:color="auto" w:fill="C4EFCE"/>
            <w:noWrap/>
            <w:tcMar>
              <w:left w:w="28" w:type="dxa"/>
              <w:right w:w="28" w:type="dxa"/>
            </w:tcMar>
            <w:vAlign w:val="center"/>
            <w:hideMark/>
          </w:tcPr>
          <w:p w14:paraId="0401360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04" w:type="dxa"/>
            <w:shd w:val="clear" w:color="auto" w:fill="C4EFCE"/>
            <w:tcMar>
              <w:left w:w="28" w:type="dxa"/>
              <w:right w:w="28" w:type="dxa"/>
            </w:tcMar>
            <w:vAlign w:val="center"/>
            <w:hideMark/>
          </w:tcPr>
          <w:p w14:paraId="3D83355D" w14:textId="39009AE9"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Schválenie programov územného plánovania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riadenia (PRGP) vládou pre 20 homogénnych zraniteľných oblastí alebo oblastí postihnutých veľkými požiarmi, berúc do úvahy chartu krajinných jednotiek kontinentálneho Portugalska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územný model národného programu politiky územného plánovania.</w:t>
            </w:r>
          </w:p>
        </w:tc>
      </w:tr>
      <w:tr w:rsidR="00387C70" w:rsidRPr="003F23AC" w14:paraId="08B19252" w14:textId="77777777" w:rsidTr="009E4E5C">
        <w:trPr>
          <w:trHeight w:val="640"/>
          <w:jc w:val="center"/>
        </w:trPr>
        <w:tc>
          <w:tcPr>
            <w:tcW w:w="1114" w:type="dxa"/>
            <w:shd w:val="clear" w:color="auto" w:fill="C4EFCE"/>
            <w:tcMar>
              <w:left w:w="28" w:type="dxa"/>
              <w:right w:w="28" w:type="dxa"/>
            </w:tcMar>
            <w:vAlign w:val="center"/>
            <w:hideMark/>
          </w:tcPr>
          <w:p w14:paraId="21D5D991"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8.2</w:t>
            </w:r>
          </w:p>
        </w:tc>
        <w:tc>
          <w:tcPr>
            <w:tcW w:w="1245" w:type="dxa"/>
            <w:shd w:val="clear" w:color="auto" w:fill="C4EFCE"/>
            <w:noWrap/>
            <w:tcMar>
              <w:left w:w="28" w:type="dxa"/>
              <w:right w:w="28" w:type="dxa"/>
            </w:tcMar>
            <w:vAlign w:val="center"/>
            <w:hideMark/>
          </w:tcPr>
          <w:p w14:paraId="24086087" w14:textId="08C1D531"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C08-i01</w:t>
            </w:r>
          </w:p>
        </w:tc>
        <w:tc>
          <w:tcPr>
            <w:tcW w:w="1107" w:type="dxa"/>
            <w:shd w:val="clear" w:color="auto" w:fill="C4EFCE"/>
            <w:noWrap/>
            <w:tcMar>
              <w:left w:w="28" w:type="dxa"/>
              <w:right w:w="28" w:type="dxa"/>
            </w:tcMar>
            <w:vAlign w:val="center"/>
            <w:hideMark/>
          </w:tcPr>
          <w:p w14:paraId="706BCE24" w14:textId="2E3E2BA2"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8" w:type="dxa"/>
            <w:shd w:val="clear" w:color="auto" w:fill="C4EFCE"/>
            <w:noWrap/>
            <w:tcMar>
              <w:left w:w="28" w:type="dxa"/>
              <w:right w:w="28" w:type="dxa"/>
            </w:tcMar>
            <w:vAlign w:val="center"/>
            <w:hideMark/>
          </w:tcPr>
          <w:p w14:paraId="72D036A2" w14:textId="4B09719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Uverejnenie integrovaných operácií riadenia krajiny (OIGP)</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Diário da Republica</w:t>
            </w:r>
          </w:p>
        </w:tc>
        <w:tc>
          <w:tcPr>
            <w:tcW w:w="825" w:type="dxa"/>
            <w:shd w:val="clear" w:color="auto" w:fill="C4EFCE"/>
            <w:noWrap/>
            <w:tcMar>
              <w:left w:w="28" w:type="dxa"/>
              <w:right w:w="28" w:type="dxa"/>
            </w:tcMar>
            <w:vAlign w:val="center"/>
            <w:hideMark/>
          </w:tcPr>
          <w:p w14:paraId="38CCD2E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022" w:type="dxa"/>
            <w:shd w:val="clear" w:color="auto" w:fill="C4EFCE"/>
            <w:noWrap/>
            <w:tcMar>
              <w:left w:w="28" w:type="dxa"/>
              <w:right w:w="28" w:type="dxa"/>
            </w:tcMar>
            <w:vAlign w:val="center"/>
            <w:hideMark/>
          </w:tcPr>
          <w:p w14:paraId="24C47B2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w:t>
            </w:r>
          </w:p>
        </w:tc>
        <w:tc>
          <w:tcPr>
            <w:tcW w:w="1218" w:type="dxa"/>
            <w:shd w:val="clear" w:color="auto" w:fill="C4EFCE"/>
            <w:noWrap/>
            <w:tcMar>
              <w:left w:w="28" w:type="dxa"/>
              <w:right w:w="28" w:type="dxa"/>
            </w:tcMar>
            <w:vAlign w:val="center"/>
            <w:hideMark/>
          </w:tcPr>
          <w:p w14:paraId="20B4813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3" w:type="dxa"/>
            <w:shd w:val="clear" w:color="auto" w:fill="C4EFCE"/>
            <w:noWrap/>
            <w:tcMar>
              <w:left w:w="28" w:type="dxa"/>
              <w:right w:w="28" w:type="dxa"/>
            </w:tcMar>
            <w:vAlign w:val="center"/>
            <w:hideMark/>
          </w:tcPr>
          <w:p w14:paraId="47CD3DB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60</w:t>
            </w:r>
          </w:p>
        </w:tc>
        <w:tc>
          <w:tcPr>
            <w:tcW w:w="789" w:type="dxa"/>
            <w:shd w:val="clear" w:color="auto" w:fill="C4EFCE"/>
            <w:noWrap/>
            <w:tcMar>
              <w:left w:w="28" w:type="dxa"/>
              <w:right w:w="28" w:type="dxa"/>
            </w:tcMar>
            <w:vAlign w:val="center"/>
            <w:hideMark/>
          </w:tcPr>
          <w:p w14:paraId="27C4AA09" w14:textId="35E56BF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54" w:type="dxa"/>
            <w:shd w:val="clear" w:color="auto" w:fill="C4EFCE"/>
            <w:noWrap/>
            <w:tcMar>
              <w:left w:w="28" w:type="dxa"/>
              <w:right w:w="28" w:type="dxa"/>
            </w:tcMar>
            <w:vAlign w:val="center"/>
            <w:hideMark/>
          </w:tcPr>
          <w:p w14:paraId="3EBBE2F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04" w:type="dxa"/>
            <w:shd w:val="clear" w:color="auto" w:fill="C4EFCE"/>
            <w:tcMar>
              <w:left w:w="28" w:type="dxa"/>
              <w:right w:w="28" w:type="dxa"/>
            </w:tcMar>
            <w:vAlign w:val="center"/>
            <w:hideMark/>
          </w:tcPr>
          <w:p w14:paraId="48FF6424" w14:textId="7FA91E2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Schválenie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uverejnenie 60 integrovaných operácií riadenia krajiny (OIGP)</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Diário da Republica,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ktorých sa vymedzuje plánovanie intervencií, prevádzkový model, finančné zdroje, ktoré sa majú prideliť,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systém riadenia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monitorovania.</w:t>
            </w:r>
          </w:p>
        </w:tc>
      </w:tr>
      <w:tr w:rsidR="00387C70" w:rsidRPr="003F23AC" w14:paraId="329EC401" w14:textId="77777777" w:rsidTr="009E4E5C">
        <w:trPr>
          <w:trHeight w:val="640"/>
          <w:jc w:val="center"/>
        </w:trPr>
        <w:tc>
          <w:tcPr>
            <w:tcW w:w="1114" w:type="dxa"/>
            <w:shd w:val="clear" w:color="auto" w:fill="C4EFCE"/>
            <w:tcMar>
              <w:left w:w="28" w:type="dxa"/>
              <w:right w:w="28" w:type="dxa"/>
            </w:tcMar>
            <w:vAlign w:val="center"/>
          </w:tcPr>
          <w:p w14:paraId="53F8B0D6" w14:textId="3B182909"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8.3</w:t>
            </w:r>
          </w:p>
        </w:tc>
        <w:tc>
          <w:tcPr>
            <w:tcW w:w="1245" w:type="dxa"/>
            <w:shd w:val="clear" w:color="auto" w:fill="C4EFCE"/>
            <w:noWrap/>
            <w:tcMar>
              <w:left w:w="28" w:type="dxa"/>
              <w:right w:w="28" w:type="dxa"/>
            </w:tcMar>
            <w:vAlign w:val="center"/>
          </w:tcPr>
          <w:p w14:paraId="06A4D24B" w14:textId="50F12BC6"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C08-i01</w:t>
            </w:r>
          </w:p>
        </w:tc>
        <w:tc>
          <w:tcPr>
            <w:tcW w:w="1107" w:type="dxa"/>
            <w:shd w:val="clear" w:color="auto" w:fill="C4EFCE"/>
            <w:noWrap/>
            <w:tcMar>
              <w:left w:w="28" w:type="dxa"/>
              <w:right w:w="28" w:type="dxa"/>
            </w:tcMar>
            <w:vAlign w:val="center"/>
          </w:tcPr>
          <w:p w14:paraId="7C2444D5" w14:textId="410A3C78"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8" w:type="dxa"/>
            <w:shd w:val="clear" w:color="auto" w:fill="C4EFCE"/>
            <w:noWrap/>
            <w:tcMar>
              <w:left w:w="28" w:type="dxa"/>
              <w:right w:w="28" w:type="dxa"/>
            </w:tcMar>
            <w:vAlign w:val="center"/>
          </w:tcPr>
          <w:p w14:paraId="1671AB6C" w14:textId="63B18FE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Dediny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projektmi riadenia palív</w:t>
            </w:r>
          </w:p>
        </w:tc>
        <w:tc>
          <w:tcPr>
            <w:tcW w:w="825" w:type="dxa"/>
            <w:shd w:val="clear" w:color="auto" w:fill="C4EFCE"/>
            <w:noWrap/>
            <w:tcMar>
              <w:left w:w="28" w:type="dxa"/>
              <w:right w:w="28" w:type="dxa"/>
            </w:tcMar>
            <w:vAlign w:val="center"/>
          </w:tcPr>
          <w:p w14:paraId="21CA1472"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1022" w:type="dxa"/>
            <w:shd w:val="clear" w:color="auto" w:fill="C4EFCE"/>
            <w:noWrap/>
            <w:tcMar>
              <w:left w:w="28" w:type="dxa"/>
              <w:right w:w="28" w:type="dxa"/>
            </w:tcMar>
            <w:vAlign w:val="center"/>
          </w:tcPr>
          <w:p w14:paraId="607F1475" w14:textId="08DA1B4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218" w:type="dxa"/>
            <w:shd w:val="clear" w:color="auto" w:fill="C4EFCE"/>
            <w:noWrap/>
            <w:tcMar>
              <w:left w:w="28" w:type="dxa"/>
              <w:right w:w="28" w:type="dxa"/>
            </w:tcMar>
            <w:vAlign w:val="center"/>
          </w:tcPr>
          <w:p w14:paraId="0640AB71" w14:textId="57A5038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3" w:type="dxa"/>
            <w:shd w:val="clear" w:color="auto" w:fill="C4EFCE"/>
            <w:noWrap/>
            <w:tcMar>
              <w:left w:w="28" w:type="dxa"/>
              <w:right w:w="28" w:type="dxa"/>
            </w:tcMar>
            <w:vAlign w:val="center"/>
          </w:tcPr>
          <w:p w14:paraId="79FDC6D8" w14:textId="763F7A0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800</w:t>
            </w:r>
          </w:p>
        </w:tc>
        <w:tc>
          <w:tcPr>
            <w:tcW w:w="789" w:type="dxa"/>
            <w:shd w:val="clear" w:color="auto" w:fill="C4EFCE"/>
            <w:noWrap/>
            <w:tcMar>
              <w:left w:w="28" w:type="dxa"/>
              <w:right w:w="28" w:type="dxa"/>
            </w:tcMar>
            <w:vAlign w:val="center"/>
          </w:tcPr>
          <w:p w14:paraId="17C24089" w14:textId="701B8EE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54" w:type="dxa"/>
            <w:shd w:val="clear" w:color="auto" w:fill="C4EFCE"/>
            <w:noWrap/>
            <w:tcMar>
              <w:left w:w="28" w:type="dxa"/>
              <w:right w:w="28" w:type="dxa"/>
            </w:tcMar>
            <w:vAlign w:val="center"/>
          </w:tcPr>
          <w:p w14:paraId="1232892F" w14:textId="34EB17F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04" w:type="dxa"/>
            <w:shd w:val="clear" w:color="auto" w:fill="C4EFCE"/>
            <w:tcMar>
              <w:left w:w="28" w:type="dxa"/>
              <w:right w:w="28" w:type="dxa"/>
            </w:tcMar>
            <w:vAlign w:val="center"/>
          </w:tcPr>
          <w:p w14:paraId="37C59981" w14:textId="20BF086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Uzatváranie zmlúv,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ktorých sa stanovujú osobitné podmienky financovania projektov hospodárenia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palivom, medzi environmentálnym fondom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príjemcami (obcami, komunitami obcí, združeniami miestneho rozvoja)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najmenej 800 vidieckych dedinách nachádzajúcich sa na lesných územiach (komunita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gánom).</w:t>
            </w:r>
          </w:p>
        </w:tc>
      </w:tr>
      <w:tr w:rsidR="00387C70" w:rsidRPr="003F23AC" w14:paraId="2D19B3CD" w14:textId="77777777" w:rsidTr="009E4E5C">
        <w:trPr>
          <w:trHeight w:val="1071"/>
          <w:jc w:val="center"/>
        </w:trPr>
        <w:tc>
          <w:tcPr>
            <w:tcW w:w="1114" w:type="dxa"/>
            <w:shd w:val="clear" w:color="auto" w:fill="C4EFCE"/>
            <w:tcMar>
              <w:left w:w="28" w:type="dxa"/>
              <w:right w:w="28" w:type="dxa"/>
            </w:tcMar>
            <w:vAlign w:val="center"/>
            <w:hideMark/>
          </w:tcPr>
          <w:p w14:paraId="77EE0E64" w14:textId="2B83FFE6" w:rsidR="00387C70" w:rsidRPr="003F23AC" w:rsidRDefault="000F5AA4" w:rsidP="003F23AC">
            <w:pPr>
              <w:pStyle w:val="P68B1DB1-Normal7"/>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8.20</w:t>
            </w:r>
          </w:p>
        </w:tc>
        <w:tc>
          <w:tcPr>
            <w:tcW w:w="1245" w:type="dxa"/>
            <w:shd w:val="clear" w:color="auto" w:fill="C4EFCE"/>
            <w:noWrap/>
            <w:tcMar>
              <w:left w:w="28" w:type="dxa"/>
              <w:right w:w="28" w:type="dxa"/>
            </w:tcMar>
            <w:vAlign w:val="center"/>
            <w:hideMark/>
          </w:tcPr>
          <w:p w14:paraId="12596242" w14:textId="3AF1DBA0" w:rsidR="00387C70" w:rsidRPr="003F23AC" w:rsidRDefault="00F218FC"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C08-i01</w:t>
            </w:r>
            <w:r w:rsidR="00A75B3C" w:rsidRPr="003F23AC">
              <w:rPr>
                <w:rFonts w:ascii="Times New Roman" w:hAnsi="Times New Roman" w:cs="Times New Roman"/>
                <w:noProof/>
                <w:lang w:val="sk-SK"/>
              </w:rPr>
              <w:t xml:space="preserve"> </w:t>
            </w:r>
          </w:p>
        </w:tc>
        <w:tc>
          <w:tcPr>
            <w:tcW w:w="1107" w:type="dxa"/>
            <w:shd w:val="clear" w:color="auto" w:fill="C4EFCE"/>
            <w:noWrap/>
            <w:tcMar>
              <w:left w:w="28" w:type="dxa"/>
              <w:right w:w="28" w:type="dxa"/>
            </w:tcMar>
            <w:vAlign w:val="center"/>
            <w:hideMark/>
          </w:tcPr>
          <w:p w14:paraId="09B3E4E1" w14:textId="6B2D1D8A" w:rsidR="00387C70" w:rsidRPr="003F23AC" w:rsidRDefault="00C32C63"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8" w:type="dxa"/>
            <w:shd w:val="clear" w:color="auto" w:fill="C4EFCE"/>
            <w:noWrap/>
            <w:tcMar>
              <w:left w:w="28" w:type="dxa"/>
              <w:right w:w="28" w:type="dxa"/>
            </w:tcMar>
            <w:vAlign w:val="center"/>
            <w:hideMark/>
          </w:tcPr>
          <w:p w14:paraId="750617A0" w14:textId="59CDDFE4" w:rsidR="00387C70" w:rsidRPr="003F23AC" w:rsidRDefault="000F5AA4"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Vykonávanie opatrení pozemkových úprav Programa „Emparcelar para Ordenar</w:t>
            </w:r>
          </w:p>
        </w:tc>
        <w:tc>
          <w:tcPr>
            <w:tcW w:w="825" w:type="dxa"/>
            <w:shd w:val="clear" w:color="auto" w:fill="C4EFCE"/>
            <w:noWrap/>
            <w:tcMar>
              <w:left w:w="28" w:type="dxa"/>
              <w:right w:w="28" w:type="dxa"/>
            </w:tcMar>
            <w:vAlign w:val="center"/>
            <w:hideMark/>
          </w:tcPr>
          <w:p w14:paraId="2D5E51B8" w14:textId="4EF5F8CD" w:rsidR="00387C70" w:rsidRPr="003F23AC" w:rsidRDefault="00387C70" w:rsidP="003F23AC">
            <w:pPr>
              <w:spacing w:line="240" w:lineRule="auto"/>
              <w:jc w:val="center"/>
              <w:rPr>
                <w:rFonts w:ascii="Times New Roman" w:eastAsia="Times New Roman" w:hAnsi="Times New Roman" w:cs="Times New Roman"/>
                <w:noProof/>
                <w:sz w:val="16"/>
                <w:lang w:val="sk-SK"/>
              </w:rPr>
            </w:pPr>
          </w:p>
        </w:tc>
        <w:tc>
          <w:tcPr>
            <w:tcW w:w="1022" w:type="dxa"/>
            <w:shd w:val="clear" w:color="auto" w:fill="C4EFCE"/>
            <w:noWrap/>
            <w:tcMar>
              <w:left w:w="28" w:type="dxa"/>
              <w:right w:w="28" w:type="dxa"/>
            </w:tcMar>
            <w:vAlign w:val="center"/>
            <w:hideMark/>
          </w:tcPr>
          <w:p w14:paraId="2B246C1B" w14:textId="4F4C8370" w:rsidR="00387C70" w:rsidRPr="003F23AC" w:rsidRDefault="000F5AA4"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218" w:type="dxa"/>
            <w:shd w:val="clear" w:color="auto" w:fill="C4EFCE"/>
            <w:noWrap/>
            <w:tcMar>
              <w:left w:w="28" w:type="dxa"/>
              <w:right w:w="28" w:type="dxa"/>
            </w:tcMar>
            <w:vAlign w:val="center"/>
            <w:hideMark/>
          </w:tcPr>
          <w:p w14:paraId="74A9FCD5" w14:textId="23127662" w:rsidR="00387C70" w:rsidRPr="003F23AC" w:rsidRDefault="000F5AA4"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3" w:type="dxa"/>
            <w:shd w:val="clear" w:color="auto" w:fill="C4EFCE"/>
            <w:noWrap/>
            <w:tcMar>
              <w:left w:w="28" w:type="dxa"/>
              <w:right w:w="28" w:type="dxa"/>
            </w:tcMar>
            <w:vAlign w:val="center"/>
            <w:hideMark/>
          </w:tcPr>
          <w:p w14:paraId="6F1E20D5" w14:textId="263A4976" w:rsidR="00387C70" w:rsidRPr="003F23AC" w:rsidRDefault="000F5AA4" w:rsidP="003F23AC">
            <w:pPr>
              <w:pStyle w:val="P68B1DB1-Normal8"/>
              <w:spacing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2 000</w:t>
            </w:r>
          </w:p>
        </w:tc>
        <w:tc>
          <w:tcPr>
            <w:tcW w:w="789" w:type="dxa"/>
            <w:shd w:val="clear" w:color="auto" w:fill="C4EFCE"/>
            <w:noWrap/>
            <w:tcMar>
              <w:left w:w="28" w:type="dxa"/>
              <w:right w:w="28" w:type="dxa"/>
            </w:tcMar>
            <w:vAlign w:val="center"/>
            <w:hideMark/>
          </w:tcPr>
          <w:p w14:paraId="56EBFD99" w14:textId="6BDD47B5" w:rsidR="00387C70" w:rsidRPr="003F23AC" w:rsidRDefault="00FF0A91" w:rsidP="003F23AC">
            <w:pPr>
              <w:pStyle w:val="P68B1DB1-Normal8"/>
              <w:spacing w:line="240" w:lineRule="auto"/>
              <w:jc w:val="center"/>
              <w:rPr>
                <w:rFonts w:ascii="Times New Roman" w:eastAsia="Calibri" w:hAnsi="Times New Roman" w:cs="Times New Roman"/>
                <w:noProof/>
                <w:lang w:val="sk-SK"/>
              </w:rPr>
            </w:pPr>
            <w:r w:rsidRPr="003F23AC">
              <w:rPr>
                <w:rFonts w:ascii="Times New Roman" w:hAnsi="Times New Roman" w:cs="Times New Roman"/>
                <w:noProof/>
                <w:lang w:val="sk-SK"/>
              </w:rPr>
              <w:t>3. štvrťrok</w:t>
            </w:r>
          </w:p>
        </w:tc>
        <w:tc>
          <w:tcPr>
            <w:tcW w:w="554" w:type="dxa"/>
            <w:shd w:val="clear" w:color="auto" w:fill="C4EFCE"/>
            <w:noWrap/>
            <w:tcMar>
              <w:left w:w="28" w:type="dxa"/>
              <w:right w:w="28" w:type="dxa"/>
            </w:tcMar>
            <w:vAlign w:val="center"/>
            <w:hideMark/>
          </w:tcPr>
          <w:p w14:paraId="692AA7BC" w14:textId="77912856" w:rsidR="00387C70" w:rsidRPr="003F23AC" w:rsidRDefault="000F5AA4" w:rsidP="003F23AC">
            <w:pPr>
              <w:pStyle w:val="P68B1DB1-Normal8"/>
              <w:spacing w:line="240" w:lineRule="auto"/>
              <w:jc w:val="center"/>
              <w:rPr>
                <w:rFonts w:ascii="Times New Roman" w:eastAsia="Calibri" w:hAnsi="Times New Roman" w:cs="Times New Roman"/>
                <w:noProof/>
                <w:lang w:val="sk-SK"/>
              </w:rPr>
            </w:pPr>
            <w:r w:rsidRPr="003F23AC">
              <w:rPr>
                <w:rFonts w:ascii="Times New Roman" w:hAnsi="Times New Roman" w:cs="Times New Roman"/>
                <w:noProof/>
                <w:lang w:val="sk-SK"/>
              </w:rPr>
              <w:t>2025</w:t>
            </w:r>
          </w:p>
        </w:tc>
        <w:tc>
          <w:tcPr>
            <w:tcW w:w="4204" w:type="dxa"/>
            <w:shd w:val="clear" w:color="auto" w:fill="C4EFCE"/>
            <w:tcMar>
              <w:left w:w="28" w:type="dxa"/>
              <w:right w:w="28" w:type="dxa"/>
            </w:tcMar>
            <w:vAlign w:val="center"/>
            <w:hideMark/>
          </w:tcPr>
          <w:p w14:paraId="2CE69ECE" w14:textId="760B39DD" w:rsidR="00387C70" w:rsidRPr="003F23AC" w:rsidRDefault="000F5AA4" w:rsidP="003F23AC">
            <w:pPr>
              <w:pStyle w:val="P68B1DB1-Normal8"/>
              <w:spacing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2 000 ha vidieckej pôdy na zraniteľných územiach sa upraví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„Emparcelar para Ordenar“.</w:t>
            </w:r>
          </w:p>
        </w:tc>
      </w:tr>
      <w:tr w:rsidR="00387C70" w:rsidRPr="003F23AC" w14:paraId="166CE461" w14:textId="77777777" w:rsidTr="009E4E5C">
        <w:trPr>
          <w:trHeight w:val="1393"/>
          <w:jc w:val="center"/>
        </w:trPr>
        <w:tc>
          <w:tcPr>
            <w:tcW w:w="1114" w:type="dxa"/>
            <w:shd w:val="clear" w:color="auto" w:fill="C4EFCE"/>
            <w:tcMar>
              <w:left w:w="28" w:type="dxa"/>
              <w:right w:w="28" w:type="dxa"/>
            </w:tcMar>
            <w:vAlign w:val="center"/>
            <w:hideMark/>
          </w:tcPr>
          <w:p w14:paraId="22FEDCD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8.4</w:t>
            </w:r>
          </w:p>
        </w:tc>
        <w:tc>
          <w:tcPr>
            <w:tcW w:w="1245" w:type="dxa"/>
            <w:shd w:val="clear" w:color="auto" w:fill="C4EFCE"/>
            <w:noWrap/>
            <w:tcMar>
              <w:left w:w="28" w:type="dxa"/>
              <w:right w:w="28" w:type="dxa"/>
            </w:tcMar>
            <w:vAlign w:val="center"/>
            <w:hideMark/>
          </w:tcPr>
          <w:p w14:paraId="266A4745" w14:textId="4B05D6B1"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C08-i02</w:t>
            </w:r>
          </w:p>
        </w:tc>
        <w:tc>
          <w:tcPr>
            <w:tcW w:w="1107" w:type="dxa"/>
            <w:shd w:val="clear" w:color="auto" w:fill="C4EFCE"/>
            <w:noWrap/>
            <w:tcMar>
              <w:left w:w="28" w:type="dxa"/>
              <w:right w:w="28" w:type="dxa"/>
            </w:tcMar>
            <w:vAlign w:val="center"/>
            <w:hideMark/>
          </w:tcPr>
          <w:p w14:paraId="563CF9E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58" w:type="dxa"/>
            <w:shd w:val="clear" w:color="auto" w:fill="C4EFCE"/>
            <w:noWrap/>
            <w:tcMar>
              <w:left w:w="28" w:type="dxa"/>
              <w:right w:w="28" w:type="dxa"/>
            </w:tcMar>
            <w:vAlign w:val="center"/>
            <w:hideMark/>
          </w:tcPr>
          <w:p w14:paraId="7C4B287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Prechod na platformu BUPi 2.0</w:t>
            </w:r>
          </w:p>
        </w:tc>
        <w:tc>
          <w:tcPr>
            <w:tcW w:w="825" w:type="dxa"/>
            <w:shd w:val="clear" w:color="auto" w:fill="C4EFCE"/>
            <w:noWrap/>
            <w:tcMar>
              <w:left w:w="28" w:type="dxa"/>
              <w:right w:w="28" w:type="dxa"/>
            </w:tcMar>
            <w:vAlign w:val="center"/>
            <w:hideMark/>
          </w:tcPr>
          <w:p w14:paraId="6A5B72F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Uvedenie platformy BUPi 2.0 do prevádzky</w:t>
            </w:r>
          </w:p>
        </w:tc>
        <w:tc>
          <w:tcPr>
            <w:tcW w:w="1022" w:type="dxa"/>
            <w:shd w:val="clear" w:color="auto" w:fill="C4EFCE"/>
            <w:noWrap/>
            <w:tcMar>
              <w:left w:w="28" w:type="dxa"/>
              <w:right w:w="28" w:type="dxa"/>
            </w:tcMar>
            <w:vAlign w:val="center"/>
            <w:hideMark/>
          </w:tcPr>
          <w:p w14:paraId="5156F1C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218" w:type="dxa"/>
            <w:shd w:val="clear" w:color="auto" w:fill="C4EFCE"/>
            <w:noWrap/>
            <w:tcMar>
              <w:left w:w="28" w:type="dxa"/>
              <w:right w:w="28" w:type="dxa"/>
            </w:tcMar>
            <w:vAlign w:val="center"/>
            <w:hideMark/>
          </w:tcPr>
          <w:p w14:paraId="0F8757E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23" w:type="dxa"/>
            <w:shd w:val="clear" w:color="auto" w:fill="C4EFCE"/>
            <w:noWrap/>
            <w:tcMar>
              <w:left w:w="28" w:type="dxa"/>
              <w:right w:w="28" w:type="dxa"/>
            </w:tcMar>
            <w:vAlign w:val="center"/>
            <w:hideMark/>
          </w:tcPr>
          <w:p w14:paraId="5643501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noWrap/>
            <w:tcMar>
              <w:left w:w="28" w:type="dxa"/>
              <w:right w:w="28" w:type="dxa"/>
            </w:tcMar>
            <w:vAlign w:val="center"/>
            <w:hideMark/>
          </w:tcPr>
          <w:p w14:paraId="6F647E22" w14:textId="6E4D0E50"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54" w:type="dxa"/>
            <w:shd w:val="clear" w:color="auto" w:fill="C4EFCE"/>
            <w:noWrap/>
            <w:tcMar>
              <w:left w:w="28" w:type="dxa"/>
              <w:right w:w="28" w:type="dxa"/>
            </w:tcMar>
            <w:vAlign w:val="center"/>
            <w:hideMark/>
          </w:tcPr>
          <w:p w14:paraId="7D47E13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204" w:type="dxa"/>
            <w:shd w:val="clear" w:color="auto" w:fill="C4EFCE"/>
            <w:tcMar>
              <w:left w:w="28" w:type="dxa"/>
              <w:right w:w="28" w:type="dxa"/>
            </w:tcMar>
            <w:vAlign w:val="center"/>
            <w:hideMark/>
          </w:tcPr>
          <w:p w14:paraId="49993AAD" w14:textId="1B9E59D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Poskytovanie cloudovej platformy BUPi 2.0, ktorou sa zmodernizujú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rozširujú funkcie, ktoré už existujú</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pilotnom projekte BUPi. BUPi 2.0 zabezpečí pokrytie na vnútroštátnej úrovni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interoperabilitu rôznych systémov, ktoré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súčasnosti riadia rôzne orgány vrátane daňových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colných orgánov. BUPi 2.0 umožní postupné zavádzanie jedinečných identifikačných čísel nehnuteľností (NIP). </w:t>
            </w:r>
          </w:p>
        </w:tc>
      </w:tr>
      <w:tr w:rsidR="00387C70" w:rsidRPr="003F23AC" w14:paraId="4E3E25CA" w14:textId="77777777" w:rsidTr="009E4E5C">
        <w:trPr>
          <w:trHeight w:val="640"/>
          <w:jc w:val="center"/>
        </w:trPr>
        <w:tc>
          <w:tcPr>
            <w:tcW w:w="1114" w:type="dxa"/>
            <w:shd w:val="clear" w:color="auto" w:fill="C4EFCE"/>
            <w:tcMar>
              <w:left w:w="28" w:type="dxa"/>
              <w:right w:w="28" w:type="dxa"/>
            </w:tcMar>
            <w:vAlign w:val="center"/>
            <w:hideMark/>
          </w:tcPr>
          <w:p w14:paraId="6A82156F"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8.5</w:t>
            </w:r>
          </w:p>
        </w:tc>
        <w:tc>
          <w:tcPr>
            <w:tcW w:w="1245" w:type="dxa"/>
            <w:shd w:val="clear" w:color="auto" w:fill="C4EFCE"/>
            <w:noWrap/>
            <w:tcMar>
              <w:left w:w="28" w:type="dxa"/>
              <w:right w:w="28" w:type="dxa"/>
            </w:tcMar>
            <w:vAlign w:val="center"/>
            <w:hideMark/>
          </w:tcPr>
          <w:p w14:paraId="1B7D2602" w14:textId="34271ABD"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C08-i02</w:t>
            </w:r>
          </w:p>
        </w:tc>
        <w:tc>
          <w:tcPr>
            <w:tcW w:w="1107" w:type="dxa"/>
            <w:shd w:val="clear" w:color="auto" w:fill="C4EFCE"/>
            <w:noWrap/>
            <w:tcMar>
              <w:left w:w="28" w:type="dxa"/>
              <w:right w:w="28" w:type="dxa"/>
            </w:tcMar>
            <w:vAlign w:val="center"/>
            <w:hideMark/>
          </w:tcPr>
          <w:p w14:paraId="2B27D6AC" w14:textId="0A97B71A"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8" w:type="dxa"/>
            <w:shd w:val="clear" w:color="auto" w:fill="C4EFCE"/>
            <w:noWrap/>
            <w:tcMar>
              <w:left w:w="28" w:type="dxa"/>
              <w:right w:w="28" w:type="dxa"/>
            </w:tcMar>
            <w:vAlign w:val="center"/>
            <w:hideMark/>
          </w:tcPr>
          <w:p w14:paraId="326343F3" w14:textId="73AFF4C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Odborná príprava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oblasti BUPi </w:t>
            </w:r>
          </w:p>
        </w:tc>
        <w:tc>
          <w:tcPr>
            <w:tcW w:w="825" w:type="dxa"/>
            <w:shd w:val="clear" w:color="auto" w:fill="C4EFCE"/>
            <w:noWrap/>
            <w:tcMar>
              <w:left w:w="28" w:type="dxa"/>
              <w:right w:w="28" w:type="dxa"/>
            </w:tcMar>
            <w:vAlign w:val="center"/>
            <w:hideMark/>
          </w:tcPr>
          <w:p w14:paraId="2532955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022" w:type="dxa"/>
            <w:shd w:val="clear" w:color="auto" w:fill="C4EFCE"/>
            <w:noWrap/>
            <w:tcMar>
              <w:left w:w="28" w:type="dxa"/>
              <w:right w:w="28" w:type="dxa"/>
            </w:tcMar>
            <w:vAlign w:val="center"/>
            <w:hideMark/>
          </w:tcPr>
          <w:p w14:paraId="2098498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Počet</w:t>
            </w:r>
          </w:p>
        </w:tc>
        <w:tc>
          <w:tcPr>
            <w:tcW w:w="1218" w:type="dxa"/>
            <w:shd w:val="clear" w:color="auto" w:fill="C4EFCE"/>
            <w:noWrap/>
            <w:tcMar>
              <w:left w:w="28" w:type="dxa"/>
              <w:right w:w="28" w:type="dxa"/>
            </w:tcMar>
            <w:vAlign w:val="center"/>
            <w:hideMark/>
          </w:tcPr>
          <w:p w14:paraId="0D49A3D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3" w:type="dxa"/>
            <w:shd w:val="clear" w:color="auto" w:fill="C4EFCE"/>
            <w:noWrap/>
            <w:tcMar>
              <w:left w:w="28" w:type="dxa"/>
              <w:right w:w="28" w:type="dxa"/>
            </w:tcMar>
            <w:vAlign w:val="center"/>
            <w:hideMark/>
          </w:tcPr>
          <w:p w14:paraId="5D1F939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w:t>
            </w:r>
          </w:p>
        </w:tc>
        <w:tc>
          <w:tcPr>
            <w:tcW w:w="789" w:type="dxa"/>
            <w:shd w:val="clear" w:color="auto" w:fill="C4EFCE"/>
            <w:noWrap/>
            <w:tcMar>
              <w:left w:w="28" w:type="dxa"/>
              <w:right w:w="28" w:type="dxa"/>
            </w:tcMar>
            <w:vAlign w:val="center"/>
            <w:hideMark/>
          </w:tcPr>
          <w:p w14:paraId="1F6D3CC8" w14:textId="56438FD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54" w:type="dxa"/>
            <w:shd w:val="clear" w:color="auto" w:fill="C4EFCE"/>
            <w:noWrap/>
            <w:tcMar>
              <w:left w:w="28" w:type="dxa"/>
              <w:right w:w="28" w:type="dxa"/>
            </w:tcMar>
            <w:vAlign w:val="center"/>
            <w:hideMark/>
          </w:tcPr>
          <w:p w14:paraId="3CC177F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204" w:type="dxa"/>
            <w:shd w:val="clear" w:color="auto" w:fill="C4EFCE"/>
            <w:tcMar>
              <w:left w:w="28" w:type="dxa"/>
              <w:right w:w="28" w:type="dxa"/>
            </w:tcMar>
            <w:vAlign w:val="center"/>
            <w:hideMark/>
          </w:tcPr>
          <w:p w14:paraId="675E3183"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štvrťročných školení týkajúcich sa BUPi pre vnútroštátne kvalifikovaných technikov, ktorí vykonávajú postupy grafického znázornenia (RGG), zamestnancov Inštitútu registrov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notárov (IRN), zástupcov daňových orgánov, technikov katastra nehnuteľností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technikov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generálneho riaditeľstva pre</w:t>
            </w:r>
          </w:p>
          <w:p w14:paraId="6524C248" w14:textId="643F319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Teritoriál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registrátori. </w:t>
            </w:r>
          </w:p>
        </w:tc>
      </w:tr>
      <w:tr w:rsidR="00387C70" w:rsidRPr="003F23AC" w14:paraId="0E25F039" w14:textId="77777777" w:rsidTr="009E4E5C">
        <w:trPr>
          <w:trHeight w:val="640"/>
          <w:jc w:val="center"/>
        </w:trPr>
        <w:tc>
          <w:tcPr>
            <w:tcW w:w="1114" w:type="dxa"/>
            <w:shd w:val="clear" w:color="auto" w:fill="C4EFCE"/>
            <w:tcMar>
              <w:left w:w="28" w:type="dxa"/>
              <w:right w:w="28" w:type="dxa"/>
            </w:tcMar>
            <w:vAlign w:val="center"/>
            <w:hideMark/>
          </w:tcPr>
          <w:p w14:paraId="413C83DC"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8.6</w:t>
            </w:r>
          </w:p>
        </w:tc>
        <w:tc>
          <w:tcPr>
            <w:tcW w:w="1245" w:type="dxa"/>
            <w:shd w:val="clear" w:color="auto" w:fill="C4EFCE"/>
            <w:noWrap/>
            <w:tcMar>
              <w:left w:w="28" w:type="dxa"/>
              <w:right w:w="28" w:type="dxa"/>
            </w:tcMar>
            <w:vAlign w:val="center"/>
            <w:hideMark/>
          </w:tcPr>
          <w:p w14:paraId="499B61B8" w14:textId="4AFE57A1"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C08-i02</w:t>
            </w:r>
          </w:p>
        </w:tc>
        <w:tc>
          <w:tcPr>
            <w:tcW w:w="1107" w:type="dxa"/>
            <w:shd w:val="clear" w:color="auto" w:fill="C4EFCE"/>
            <w:noWrap/>
            <w:tcMar>
              <w:left w:w="28" w:type="dxa"/>
              <w:right w:w="28" w:type="dxa"/>
            </w:tcMar>
            <w:vAlign w:val="center"/>
            <w:hideMark/>
          </w:tcPr>
          <w:p w14:paraId="69009EA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58" w:type="dxa"/>
            <w:shd w:val="clear" w:color="auto" w:fill="C4EFCE"/>
            <w:noWrap/>
            <w:tcMar>
              <w:left w:w="28" w:type="dxa"/>
              <w:right w:w="28" w:type="dxa"/>
            </w:tcMar>
            <w:vAlign w:val="center"/>
            <w:hideMark/>
          </w:tcPr>
          <w:p w14:paraId="57D3E341" w14:textId="2C7A5E6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Vypracovanie referenčného mapovania pre systém monitorovania krajinnej pokrývky (SMOS)</w:t>
            </w:r>
          </w:p>
        </w:tc>
        <w:tc>
          <w:tcPr>
            <w:tcW w:w="825" w:type="dxa"/>
            <w:shd w:val="clear" w:color="auto" w:fill="C4EFCE"/>
            <w:noWrap/>
            <w:tcMar>
              <w:left w:w="28" w:type="dxa"/>
              <w:right w:w="28" w:type="dxa"/>
            </w:tcMar>
            <w:vAlign w:val="center"/>
            <w:hideMark/>
          </w:tcPr>
          <w:p w14:paraId="76C22C58" w14:textId="6D8505C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Vypracovanie referenčného mapovania pre systém monitorovania krajinnej pokrývky (SMOS)</w:t>
            </w:r>
          </w:p>
        </w:tc>
        <w:tc>
          <w:tcPr>
            <w:tcW w:w="1022" w:type="dxa"/>
            <w:shd w:val="clear" w:color="auto" w:fill="C4EFCE"/>
            <w:noWrap/>
            <w:tcMar>
              <w:left w:w="28" w:type="dxa"/>
              <w:right w:w="28" w:type="dxa"/>
            </w:tcMar>
            <w:vAlign w:val="center"/>
            <w:hideMark/>
          </w:tcPr>
          <w:p w14:paraId="122C363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1218" w:type="dxa"/>
            <w:shd w:val="clear" w:color="auto" w:fill="C4EFCE"/>
            <w:noWrap/>
            <w:tcMar>
              <w:left w:w="28" w:type="dxa"/>
              <w:right w:w="28" w:type="dxa"/>
            </w:tcMar>
            <w:vAlign w:val="center"/>
            <w:hideMark/>
          </w:tcPr>
          <w:p w14:paraId="4528946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23" w:type="dxa"/>
            <w:shd w:val="clear" w:color="auto" w:fill="C4EFCE"/>
            <w:noWrap/>
            <w:tcMar>
              <w:left w:w="28" w:type="dxa"/>
              <w:right w:w="28" w:type="dxa"/>
            </w:tcMar>
            <w:vAlign w:val="center"/>
            <w:hideMark/>
          </w:tcPr>
          <w:p w14:paraId="40D204A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noWrap/>
            <w:tcMar>
              <w:left w:w="28" w:type="dxa"/>
              <w:right w:w="28" w:type="dxa"/>
            </w:tcMar>
            <w:vAlign w:val="center"/>
            <w:hideMark/>
          </w:tcPr>
          <w:p w14:paraId="5408DD85" w14:textId="166CC206"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54" w:type="dxa"/>
            <w:shd w:val="clear" w:color="auto" w:fill="C4EFCE"/>
            <w:noWrap/>
            <w:tcMar>
              <w:left w:w="28" w:type="dxa"/>
              <w:right w:w="28" w:type="dxa"/>
            </w:tcMar>
            <w:vAlign w:val="center"/>
            <w:hideMark/>
          </w:tcPr>
          <w:p w14:paraId="73271E4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04" w:type="dxa"/>
            <w:shd w:val="clear" w:color="auto" w:fill="C4EFCE"/>
            <w:tcMar>
              <w:left w:w="28" w:type="dxa"/>
              <w:right w:w="28" w:type="dxa"/>
            </w:tcMar>
            <w:vAlign w:val="center"/>
            <w:hideMark/>
          </w:tcPr>
          <w:p w14:paraId="3EC10692" w14:textId="4E1ED0F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Vypracovanie referenčného mapovania pre systém monitorovania krajinnej pokrývky (SMOS) vrátane i) zverejňovania máp krajinnej pokrývky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využívania pôdy (COS) 2023 na základe informácií overených zodpovednými orgánmi, ktoré zobrazia geografické zastúpenie krajiny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poskytujú informácie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využívaní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obsadení pôdy, ako aj</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typoch plodín</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zalesňovaní, ii) digitálneho 3-D zastúpenia pôdy prostredníctvom pokrytia ľahkej detekcie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rozjazdu (LiDAR), iii) máp vegetácie, iv) máp biomasy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objemu dreva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 satelitného pokrytia.</w:t>
            </w:r>
          </w:p>
        </w:tc>
      </w:tr>
      <w:tr w:rsidR="00387C70" w:rsidRPr="003F23AC" w14:paraId="3C27D691" w14:textId="77777777" w:rsidTr="009E4E5C">
        <w:trPr>
          <w:trHeight w:val="640"/>
          <w:jc w:val="center"/>
        </w:trPr>
        <w:tc>
          <w:tcPr>
            <w:tcW w:w="1114" w:type="dxa"/>
            <w:shd w:val="clear" w:color="auto" w:fill="C4EFCE"/>
            <w:tcMar>
              <w:left w:w="28" w:type="dxa"/>
              <w:right w:w="28" w:type="dxa"/>
            </w:tcMar>
            <w:vAlign w:val="center"/>
            <w:hideMark/>
          </w:tcPr>
          <w:p w14:paraId="607D84BC"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8.7</w:t>
            </w:r>
          </w:p>
        </w:tc>
        <w:tc>
          <w:tcPr>
            <w:tcW w:w="1245" w:type="dxa"/>
            <w:shd w:val="clear" w:color="auto" w:fill="C4EFCE"/>
            <w:noWrap/>
            <w:tcMar>
              <w:left w:w="28" w:type="dxa"/>
              <w:right w:w="28" w:type="dxa"/>
            </w:tcMar>
            <w:vAlign w:val="center"/>
            <w:hideMark/>
          </w:tcPr>
          <w:p w14:paraId="4A5A0BD2" w14:textId="086308BB"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C08-i03</w:t>
            </w:r>
          </w:p>
        </w:tc>
        <w:tc>
          <w:tcPr>
            <w:tcW w:w="1107" w:type="dxa"/>
            <w:shd w:val="clear" w:color="auto" w:fill="C4EFCE"/>
            <w:noWrap/>
            <w:tcMar>
              <w:left w:w="28" w:type="dxa"/>
              <w:right w:w="28" w:type="dxa"/>
            </w:tcMar>
            <w:vAlign w:val="center"/>
            <w:hideMark/>
          </w:tcPr>
          <w:p w14:paraId="7B8443D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58" w:type="dxa"/>
            <w:shd w:val="clear" w:color="auto" w:fill="C4EFCE"/>
            <w:noWrap/>
            <w:tcMar>
              <w:left w:w="28" w:type="dxa"/>
              <w:right w:w="28" w:type="dxa"/>
            </w:tcMar>
            <w:vAlign w:val="center"/>
            <w:hideMark/>
          </w:tcPr>
          <w:p w14:paraId="1C2C678E" w14:textId="799E37C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Uverejnenie zmluvy týkajúcej sa siete pre štruktúrovanie primárnych palív (RPFGC)</w:t>
            </w:r>
          </w:p>
        </w:tc>
        <w:tc>
          <w:tcPr>
            <w:tcW w:w="825" w:type="dxa"/>
            <w:shd w:val="clear" w:color="auto" w:fill="C4EFCE"/>
            <w:noWrap/>
            <w:tcMar>
              <w:left w:w="28" w:type="dxa"/>
              <w:right w:w="28" w:type="dxa"/>
            </w:tcMar>
            <w:vAlign w:val="center"/>
            <w:hideMark/>
          </w:tcPr>
          <w:p w14:paraId="6E8D6636" w14:textId="09D7762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Uverejnenie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sieti pre štruktúrovanie primárnych palív (RPFGC)</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BASE.gov </w:t>
            </w:r>
          </w:p>
        </w:tc>
        <w:tc>
          <w:tcPr>
            <w:tcW w:w="1022" w:type="dxa"/>
            <w:shd w:val="clear" w:color="auto" w:fill="C4EFCE"/>
            <w:noWrap/>
            <w:tcMar>
              <w:left w:w="28" w:type="dxa"/>
              <w:right w:w="28" w:type="dxa"/>
            </w:tcMar>
            <w:vAlign w:val="center"/>
            <w:hideMark/>
          </w:tcPr>
          <w:p w14:paraId="4197053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218" w:type="dxa"/>
            <w:shd w:val="clear" w:color="auto" w:fill="C4EFCE"/>
            <w:noWrap/>
            <w:tcMar>
              <w:left w:w="28" w:type="dxa"/>
              <w:right w:w="28" w:type="dxa"/>
            </w:tcMar>
            <w:vAlign w:val="center"/>
            <w:hideMark/>
          </w:tcPr>
          <w:p w14:paraId="59B0533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23" w:type="dxa"/>
            <w:shd w:val="clear" w:color="auto" w:fill="C4EFCE"/>
            <w:noWrap/>
            <w:tcMar>
              <w:left w:w="28" w:type="dxa"/>
              <w:right w:w="28" w:type="dxa"/>
            </w:tcMar>
            <w:vAlign w:val="center"/>
            <w:hideMark/>
          </w:tcPr>
          <w:p w14:paraId="5C755A5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noWrap/>
            <w:tcMar>
              <w:left w:w="28" w:type="dxa"/>
              <w:right w:w="28" w:type="dxa"/>
            </w:tcMar>
            <w:vAlign w:val="center"/>
            <w:hideMark/>
          </w:tcPr>
          <w:p w14:paraId="1D16C080" w14:textId="1BC09F4C"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54" w:type="dxa"/>
            <w:shd w:val="clear" w:color="auto" w:fill="C4EFCE"/>
            <w:noWrap/>
            <w:tcMar>
              <w:left w:w="28" w:type="dxa"/>
              <w:right w:w="28" w:type="dxa"/>
            </w:tcMar>
            <w:vAlign w:val="center"/>
            <w:hideMark/>
          </w:tcPr>
          <w:p w14:paraId="0CE3B7A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204" w:type="dxa"/>
            <w:shd w:val="clear" w:color="auto" w:fill="C4EFCE"/>
            <w:tcMar>
              <w:left w:w="28" w:type="dxa"/>
              <w:right w:w="28" w:type="dxa"/>
            </w:tcMar>
            <w:vAlign w:val="center"/>
            <w:hideMark/>
          </w:tcPr>
          <w:p w14:paraId="1708801F" w14:textId="5D87378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Zadanie zákazky príslušným orgánom na realizáciu siete pre štruktúrovanie primárnych palív (RPFGC)</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vytvoriť horizontálne prerušenia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krajine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cieľom izolovať vypuknutie požiarov. </w:t>
            </w:r>
          </w:p>
        </w:tc>
      </w:tr>
      <w:tr w:rsidR="00387C70" w:rsidRPr="003F23AC" w14:paraId="2117A862" w14:textId="77777777" w:rsidTr="009E4E5C">
        <w:trPr>
          <w:trHeight w:val="300"/>
          <w:jc w:val="center"/>
        </w:trPr>
        <w:tc>
          <w:tcPr>
            <w:tcW w:w="1114" w:type="dxa"/>
            <w:shd w:val="clear" w:color="auto" w:fill="C4EFCE"/>
            <w:tcMar>
              <w:left w:w="28" w:type="dxa"/>
              <w:right w:w="28" w:type="dxa"/>
            </w:tcMar>
            <w:vAlign w:val="center"/>
            <w:hideMark/>
          </w:tcPr>
          <w:p w14:paraId="5F5F4015"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8.8</w:t>
            </w:r>
          </w:p>
        </w:tc>
        <w:tc>
          <w:tcPr>
            <w:tcW w:w="1245" w:type="dxa"/>
            <w:shd w:val="clear" w:color="auto" w:fill="C4EFCE"/>
            <w:noWrap/>
            <w:tcMar>
              <w:left w:w="28" w:type="dxa"/>
              <w:right w:w="28" w:type="dxa"/>
            </w:tcMar>
            <w:vAlign w:val="center"/>
            <w:hideMark/>
          </w:tcPr>
          <w:p w14:paraId="642A4370" w14:textId="2F2C6923"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C08-i03</w:t>
            </w:r>
          </w:p>
        </w:tc>
        <w:tc>
          <w:tcPr>
            <w:tcW w:w="1107" w:type="dxa"/>
            <w:shd w:val="clear" w:color="auto" w:fill="C4EFCE"/>
            <w:noWrap/>
            <w:tcMar>
              <w:left w:w="28" w:type="dxa"/>
              <w:right w:w="28" w:type="dxa"/>
            </w:tcMar>
            <w:vAlign w:val="center"/>
            <w:hideMark/>
          </w:tcPr>
          <w:p w14:paraId="446A0969" w14:textId="461792D7"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8" w:type="dxa"/>
            <w:shd w:val="clear" w:color="auto" w:fill="C4EFCE"/>
            <w:noWrap/>
            <w:tcMar>
              <w:left w:w="28" w:type="dxa"/>
              <w:right w:w="28" w:type="dxa"/>
            </w:tcMar>
            <w:vAlign w:val="center"/>
            <w:hideMark/>
          </w:tcPr>
          <w:p w14:paraId="32F7E64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Stanovená oblasť vecného bremena</w:t>
            </w:r>
          </w:p>
        </w:tc>
        <w:tc>
          <w:tcPr>
            <w:tcW w:w="825" w:type="dxa"/>
            <w:shd w:val="clear" w:color="auto" w:fill="C4EFCE"/>
            <w:noWrap/>
            <w:tcMar>
              <w:left w:w="28" w:type="dxa"/>
              <w:right w:w="28" w:type="dxa"/>
            </w:tcMar>
            <w:vAlign w:val="center"/>
            <w:hideMark/>
          </w:tcPr>
          <w:p w14:paraId="6B4AD3B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022" w:type="dxa"/>
            <w:shd w:val="clear" w:color="auto" w:fill="C4EFCE"/>
            <w:noWrap/>
            <w:tcMar>
              <w:left w:w="28" w:type="dxa"/>
              <w:right w:w="28" w:type="dxa"/>
            </w:tcMar>
            <w:vAlign w:val="center"/>
            <w:hideMark/>
          </w:tcPr>
          <w:p w14:paraId="30A7FE3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ha</w:t>
            </w:r>
          </w:p>
        </w:tc>
        <w:tc>
          <w:tcPr>
            <w:tcW w:w="1218" w:type="dxa"/>
            <w:shd w:val="clear" w:color="auto" w:fill="C4EFCE"/>
            <w:noWrap/>
            <w:tcMar>
              <w:left w:w="28" w:type="dxa"/>
              <w:right w:w="28" w:type="dxa"/>
            </w:tcMar>
            <w:vAlign w:val="center"/>
            <w:hideMark/>
          </w:tcPr>
          <w:p w14:paraId="37D0B12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0</w:t>
            </w:r>
          </w:p>
        </w:tc>
        <w:tc>
          <w:tcPr>
            <w:tcW w:w="723" w:type="dxa"/>
            <w:shd w:val="clear" w:color="auto" w:fill="C4EFCE"/>
            <w:noWrap/>
            <w:tcMar>
              <w:left w:w="28" w:type="dxa"/>
              <w:right w:w="28" w:type="dxa"/>
            </w:tcMar>
            <w:vAlign w:val="center"/>
            <w:hideMark/>
          </w:tcPr>
          <w:p w14:paraId="5C28832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21 727</w:t>
            </w:r>
          </w:p>
        </w:tc>
        <w:tc>
          <w:tcPr>
            <w:tcW w:w="789" w:type="dxa"/>
            <w:shd w:val="clear" w:color="auto" w:fill="C4EFCE"/>
            <w:noWrap/>
            <w:tcMar>
              <w:left w:w="28" w:type="dxa"/>
              <w:right w:w="28" w:type="dxa"/>
            </w:tcMar>
            <w:vAlign w:val="center"/>
            <w:hideMark/>
          </w:tcPr>
          <w:p w14:paraId="193C372D" w14:textId="70D7B52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54" w:type="dxa"/>
            <w:shd w:val="clear" w:color="auto" w:fill="C4EFCE"/>
            <w:noWrap/>
            <w:tcMar>
              <w:left w:w="28" w:type="dxa"/>
              <w:right w:w="28" w:type="dxa"/>
            </w:tcMar>
            <w:vAlign w:val="center"/>
            <w:hideMark/>
          </w:tcPr>
          <w:p w14:paraId="361D822E" w14:textId="50E1ABB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04" w:type="dxa"/>
            <w:shd w:val="clear" w:color="auto" w:fill="C4EFCE"/>
            <w:tcMar>
              <w:left w:w="28" w:type="dxa"/>
              <w:right w:w="28" w:type="dxa"/>
            </w:tcMar>
            <w:vAlign w:val="center"/>
            <w:hideMark/>
          </w:tcPr>
          <w:p w14:paraId="050DA219" w14:textId="27ABA86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Oblasť vecného bremena vytvorená</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primárnej sieti prestávok nakladania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palivom (RPFGC)</w:t>
            </w:r>
          </w:p>
          <w:p w14:paraId="2517E778" w14:textId="6DC1028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Tento pozemok sa zahrnie do plošiny BUPi, aby sa umožnilo následné osobitné registračné konanie.</w:t>
            </w:r>
          </w:p>
        </w:tc>
      </w:tr>
      <w:tr w:rsidR="00387C70" w:rsidRPr="003F23AC" w14:paraId="392C2D5D" w14:textId="77777777" w:rsidTr="009E4E5C">
        <w:trPr>
          <w:trHeight w:val="430"/>
          <w:jc w:val="center"/>
        </w:trPr>
        <w:tc>
          <w:tcPr>
            <w:tcW w:w="1114" w:type="dxa"/>
            <w:shd w:val="clear" w:color="auto" w:fill="C4EFCE"/>
            <w:tcMar>
              <w:left w:w="28" w:type="dxa"/>
              <w:right w:w="28" w:type="dxa"/>
            </w:tcMar>
            <w:vAlign w:val="center"/>
            <w:hideMark/>
          </w:tcPr>
          <w:p w14:paraId="23A37D8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8.9</w:t>
            </w:r>
          </w:p>
        </w:tc>
        <w:tc>
          <w:tcPr>
            <w:tcW w:w="1245" w:type="dxa"/>
            <w:shd w:val="clear" w:color="auto" w:fill="C4EFCE"/>
            <w:noWrap/>
            <w:tcMar>
              <w:left w:w="28" w:type="dxa"/>
              <w:right w:w="28" w:type="dxa"/>
            </w:tcMar>
            <w:vAlign w:val="center"/>
            <w:hideMark/>
          </w:tcPr>
          <w:p w14:paraId="5212D01F" w14:textId="484F7D4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C08-i03</w:t>
            </w:r>
          </w:p>
        </w:tc>
        <w:tc>
          <w:tcPr>
            <w:tcW w:w="1107" w:type="dxa"/>
            <w:shd w:val="clear" w:color="auto" w:fill="C4EFCE"/>
            <w:noWrap/>
            <w:tcMar>
              <w:left w:w="28" w:type="dxa"/>
              <w:right w:w="28" w:type="dxa"/>
            </w:tcMar>
            <w:vAlign w:val="center"/>
            <w:hideMark/>
          </w:tcPr>
          <w:p w14:paraId="36C724AE" w14:textId="0AF706D8"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8" w:type="dxa"/>
            <w:shd w:val="clear" w:color="auto" w:fill="C4EFCE"/>
            <w:noWrap/>
            <w:tcMar>
              <w:left w:w="28" w:type="dxa"/>
              <w:right w:w="28" w:type="dxa"/>
            </w:tcMar>
            <w:vAlign w:val="center"/>
            <w:hideMark/>
          </w:tcPr>
          <w:p w14:paraId="10D704E0" w14:textId="32418C4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Realizácia siete na štruktúrovanie prípadov primárneho nakladania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palivom (RPFGC)</w:t>
            </w:r>
          </w:p>
        </w:tc>
        <w:tc>
          <w:tcPr>
            <w:tcW w:w="825" w:type="dxa"/>
            <w:shd w:val="clear" w:color="auto" w:fill="C4EFCE"/>
            <w:noWrap/>
            <w:tcMar>
              <w:left w:w="28" w:type="dxa"/>
              <w:right w:w="28" w:type="dxa"/>
            </w:tcMar>
            <w:vAlign w:val="center"/>
            <w:hideMark/>
          </w:tcPr>
          <w:p w14:paraId="23E2BAC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022" w:type="dxa"/>
            <w:shd w:val="clear" w:color="auto" w:fill="C4EFCE"/>
            <w:noWrap/>
            <w:tcMar>
              <w:left w:w="28" w:type="dxa"/>
              <w:right w:w="28" w:type="dxa"/>
            </w:tcMar>
            <w:vAlign w:val="center"/>
            <w:hideMark/>
          </w:tcPr>
          <w:p w14:paraId="4C25118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218" w:type="dxa"/>
            <w:shd w:val="clear" w:color="auto" w:fill="C4EFCE"/>
            <w:noWrap/>
            <w:tcMar>
              <w:left w:w="28" w:type="dxa"/>
              <w:right w:w="28" w:type="dxa"/>
            </w:tcMar>
            <w:vAlign w:val="center"/>
            <w:hideMark/>
          </w:tcPr>
          <w:p w14:paraId="451D633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0 </w:t>
            </w:r>
          </w:p>
        </w:tc>
        <w:tc>
          <w:tcPr>
            <w:tcW w:w="723" w:type="dxa"/>
            <w:shd w:val="clear" w:color="auto" w:fill="C4EFCE"/>
            <w:noWrap/>
            <w:tcMar>
              <w:left w:w="28" w:type="dxa"/>
              <w:right w:w="28" w:type="dxa"/>
            </w:tcMar>
            <w:vAlign w:val="center"/>
            <w:hideMark/>
          </w:tcPr>
          <w:p w14:paraId="13734D2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37 500</w:t>
            </w:r>
          </w:p>
        </w:tc>
        <w:tc>
          <w:tcPr>
            <w:tcW w:w="789" w:type="dxa"/>
            <w:shd w:val="clear" w:color="auto" w:fill="C4EFCE"/>
            <w:noWrap/>
            <w:tcMar>
              <w:left w:w="28" w:type="dxa"/>
              <w:right w:w="28" w:type="dxa"/>
            </w:tcMar>
            <w:vAlign w:val="center"/>
            <w:hideMark/>
          </w:tcPr>
          <w:p w14:paraId="4962CE45" w14:textId="1E01707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54" w:type="dxa"/>
            <w:shd w:val="clear" w:color="auto" w:fill="C4EFCE"/>
            <w:noWrap/>
            <w:tcMar>
              <w:left w:w="28" w:type="dxa"/>
              <w:right w:w="28" w:type="dxa"/>
            </w:tcMar>
            <w:vAlign w:val="center"/>
            <w:hideMark/>
          </w:tcPr>
          <w:p w14:paraId="6E8FFA6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04" w:type="dxa"/>
            <w:shd w:val="clear" w:color="auto" w:fill="C4EFCE"/>
            <w:tcMar>
              <w:left w:w="28" w:type="dxa"/>
              <w:right w:w="28" w:type="dxa"/>
            </w:tcMar>
            <w:vAlign w:val="center"/>
            <w:hideMark/>
          </w:tcPr>
          <w:p w14:paraId="2485B98D" w14:textId="672EF00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Implementovaná oblasť (v ha) primárnej siete prestávok riadenia paliva (RPFGC) – vytvorenie horizontálnych diskontinuít (pás</w:t>
            </w:r>
            <w:r w:rsidR="00E72154" w:rsidRPr="003F23AC">
              <w:rPr>
                <w:rFonts w:ascii="Times New Roman" w:hAnsi="Times New Roman" w:cs="Times New Roman"/>
                <w:noProof/>
                <w:lang w:val="sk-SK"/>
              </w:rPr>
              <w:t>y</w:t>
            </w:r>
            <w:r w:rsidRPr="003F23AC">
              <w:rPr>
                <w:rFonts w:ascii="Times New Roman" w:hAnsi="Times New Roman" w:cs="Times New Roman"/>
                <w:noProof/>
                <w:lang w:val="sk-SK"/>
              </w:rPr>
              <w:t xml:space="preserve"> riadenia paliva)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krajine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izolovať vypuknutie požiarov.</w:t>
            </w:r>
          </w:p>
        </w:tc>
      </w:tr>
      <w:tr w:rsidR="00387C70" w:rsidRPr="003F23AC" w14:paraId="13D047D8" w14:textId="77777777" w:rsidTr="009E4E5C">
        <w:trPr>
          <w:trHeight w:val="430"/>
          <w:jc w:val="center"/>
        </w:trPr>
        <w:tc>
          <w:tcPr>
            <w:tcW w:w="1114" w:type="dxa"/>
            <w:shd w:val="clear" w:color="auto" w:fill="C4EFCE"/>
            <w:tcMar>
              <w:left w:w="28" w:type="dxa"/>
              <w:right w:w="28" w:type="dxa"/>
            </w:tcMar>
            <w:vAlign w:val="center"/>
            <w:hideMark/>
          </w:tcPr>
          <w:p w14:paraId="6ED52C2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8.10</w:t>
            </w:r>
          </w:p>
        </w:tc>
        <w:tc>
          <w:tcPr>
            <w:tcW w:w="1245" w:type="dxa"/>
            <w:shd w:val="clear" w:color="auto" w:fill="C4EFCE"/>
            <w:noWrap/>
            <w:tcMar>
              <w:left w:w="28" w:type="dxa"/>
              <w:right w:w="28" w:type="dxa"/>
            </w:tcMar>
            <w:vAlign w:val="center"/>
            <w:hideMark/>
          </w:tcPr>
          <w:p w14:paraId="030B3560" w14:textId="35F3E4FF"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C08-i04</w:t>
            </w:r>
          </w:p>
        </w:tc>
        <w:tc>
          <w:tcPr>
            <w:tcW w:w="1107" w:type="dxa"/>
            <w:shd w:val="clear" w:color="auto" w:fill="C4EFCE"/>
            <w:noWrap/>
            <w:tcMar>
              <w:left w:w="28" w:type="dxa"/>
              <w:right w:w="28" w:type="dxa"/>
            </w:tcMar>
            <w:vAlign w:val="center"/>
            <w:hideMark/>
          </w:tcPr>
          <w:p w14:paraId="600B64B0" w14:textId="2215E5F7"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8" w:type="dxa"/>
            <w:shd w:val="clear" w:color="auto" w:fill="C4EFCE"/>
            <w:noWrap/>
            <w:tcMar>
              <w:left w:w="28" w:type="dxa"/>
              <w:right w:w="28" w:type="dxa"/>
            </w:tcMar>
            <w:vAlign w:val="center"/>
            <w:hideMark/>
          </w:tcPr>
          <w:p w14:paraId="3022925A" w14:textId="14B5F33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Dodávka vozidiel, strojov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zariadení</w:t>
            </w:r>
          </w:p>
        </w:tc>
        <w:tc>
          <w:tcPr>
            <w:tcW w:w="825" w:type="dxa"/>
            <w:shd w:val="clear" w:color="auto" w:fill="C4EFCE"/>
            <w:noWrap/>
            <w:tcMar>
              <w:left w:w="28" w:type="dxa"/>
              <w:right w:w="28" w:type="dxa"/>
            </w:tcMar>
            <w:vAlign w:val="center"/>
            <w:hideMark/>
          </w:tcPr>
          <w:p w14:paraId="39554C1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022" w:type="dxa"/>
            <w:shd w:val="clear" w:color="auto" w:fill="C4EFCE"/>
            <w:noWrap/>
            <w:tcMar>
              <w:left w:w="28" w:type="dxa"/>
              <w:right w:w="28" w:type="dxa"/>
            </w:tcMar>
            <w:vAlign w:val="center"/>
            <w:hideMark/>
          </w:tcPr>
          <w:p w14:paraId="18547CC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Počet</w:t>
            </w:r>
          </w:p>
        </w:tc>
        <w:tc>
          <w:tcPr>
            <w:tcW w:w="1218" w:type="dxa"/>
            <w:shd w:val="clear" w:color="auto" w:fill="C4EFCE"/>
            <w:noWrap/>
            <w:tcMar>
              <w:left w:w="28" w:type="dxa"/>
              <w:right w:w="28" w:type="dxa"/>
            </w:tcMar>
            <w:vAlign w:val="center"/>
            <w:hideMark/>
          </w:tcPr>
          <w:p w14:paraId="7C42914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0 </w:t>
            </w:r>
          </w:p>
        </w:tc>
        <w:tc>
          <w:tcPr>
            <w:tcW w:w="723" w:type="dxa"/>
            <w:shd w:val="clear" w:color="auto" w:fill="C4EFCE"/>
            <w:noWrap/>
            <w:tcMar>
              <w:left w:w="28" w:type="dxa"/>
              <w:right w:w="28" w:type="dxa"/>
            </w:tcMar>
            <w:vAlign w:val="center"/>
            <w:hideMark/>
          </w:tcPr>
          <w:p w14:paraId="20CC9EE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179</w:t>
            </w:r>
          </w:p>
        </w:tc>
        <w:tc>
          <w:tcPr>
            <w:tcW w:w="789" w:type="dxa"/>
            <w:shd w:val="clear" w:color="auto" w:fill="C4EFCE"/>
            <w:noWrap/>
            <w:tcMar>
              <w:left w:w="28" w:type="dxa"/>
              <w:right w:w="28" w:type="dxa"/>
            </w:tcMar>
            <w:vAlign w:val="center"/>
            <w:hideMark/>
          </w:tcPr>
          <w:p w14:paraId="64F991E2" w14:textId="2755EA1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54" w:type="dxa"/>
            <w:shd w:val="clear" w:color="auto" w:fill="C4EFCE"/>
            <w:noWrap/>
            <w:tcMar>
              <w:left w:w="28" w:type="dxa"/>
              <w:right w:w="28" w:type="dxa"/>
            </w:tcMar>
            <w:vAlign w:val="center"/>
            <w:hideMark/>
          </w:tcPr>
          <w:p w14:paraId="555E763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204" w:type="dxa"/>
            <w:shd w:val="clear" w:color="auto" w:fill="C4EFCE"/>
            <w:tcMar>
              <w:left w:w="28" w:type="dxa"/>
              <w:right w:w="28" w:type="dxa"/>
            </w:tcMar>
            <w:vAlign w:val="center"/>
            <w:hideMark/>
          </w:tcPr>
          <w:p w14:paraId="23EB455A" w14:textId="3CAD1C0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Dodanie protipožiarnych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protipožiarnych vozidiel, strojov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zariadení po potvrdení, že spĺňajú technické špecifikácie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iné zmluvné požiadavky,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postupom verejného obstarávania.</w:t>
            </w:r>
          </w:p>
        </w:tc>
      </w:tr>
      <w:tr w:rsidR="00387C70" w:rsidRPr="003F23AC" w14:paraId="487ADD74" w14:textId="77777777" w:rsidTr="009E4E5C">
        <w:trPr>
          <w:trHeight w:val="1109"/>
          <w:jc w:val="center"/>
        </w:trPr>
        <w:tc>
          <w:tcPr>
            <w:tcW w:w="1114" w:type="dxa"/>
            <w:shd w:val="clear" w:color="auto" w:fill="C4EFCE"/>
            <w:tcMar>
              <w:left w:w="28" w:type="dxa"/>
              <w:right w:w="28" w:type="dxa"/>
            </w:tcMar>
            <w:vAlign w:val="center"/>
            <w:hideMark/>
          </w:tcPr>
          <w:p w14:paraId="3860DB2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8.11</w:t>
            </w:r>
          </w:p>
        </w:tc>
        <w:tc>
          <w:tcPr>
            <w:tcW w:w="1245" w:type="dxa"/>
            <w:shd w:val="clear" w:color="auto" w:fill="C4EFCE"/>
            <w:noWrap/>
            <w:tcMar>
              <w:left w:w="28" w:type="dxa"/>
              <w:right w:w="28" w:type="dxa"/>
            </w:tcMar>
            <w:vAlign w:val="center"/>
            <w:hideMark/>
          </w:tcPr>
          <w:p w14:paraId="76C404B0" w14:textId="17D29A06"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C08-i04</w:t>
            </w:r>
          </w:p>
        </w:tc>
        <w:tc>
          <w:tcPr>
            <w:tcW w:w="1107" w:type="dxa"/>
            <w:shd w:val="clear" w:color="auto" w:fill="C4EFCE"/>
            <w:noWrap/>
            <w:tcMar>
              <w:left w:w="28" w:type="dxa"/>
              <w:right w:w="28" w:type="dxa"/>
            </w:tcMar>
            <w:vAlign w:val="center"/>
            <w:hideMark/>
          </w:tcPr>
          <w:p w14:paraId="58F4C381" w14:textId="288CA887"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8" w:type="dxa"/>
            <w:shd w:val="clear" w:color="auto" w:fill="C4EFCE"/>
            <w:noWrap/>
            <w:tcMar>
              <w:left w:w="28" w:type="dxa"/>
              <w:right w:w="28" w:type="dxa"/>
            </w:tcMar>
            <w:vAlign w:val="center"/>
            <w:hideMark/>
          </w:tcPr>
          <w:p w14:paraId="40FD1789" w14:textId="54FFC9F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Dodávka ľahkých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stredne hasiacich vrtuľníkov</w:t>
            </w:r>
          </w:p>
        </w:tc>
        <w:tc>
          <w:tcPr>
            <w:tcW w:w="825" w:type="dxa"/>
            <w:shd w:val="clear" w:color="auto" w:fill="C4EFCE"/>
            <w:noWrap/>
            <w:tcMar>
              <w:left w:w="28" w:type="dxa"/>
              <w:right w:w="28" w:type="dxa"/>
            </w:tcMar>
            <w:vAlign w:val="center"/>
            <w:hideMark/>
          </w:tcPr>
          <w:p w14:paraId="487CBD4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022" w:type="dxa"/>
            <w:shd w:val="clear" w:color="auto" w:fill="C4EFCE"/>
            <w:noWrap/>
            <w:tcMar>
              <w:left w:w="28" w:type="dxa"/>
              <w:right w:w="28" w:type="dxa"/>
            </w:tcMar>
            <w:vAlign w:val="center"/>
            <w:hideMark/>
          </w:tcPr>
          <w:p w14:paraId="74765D2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Počet</w:t>
            </w:r>
          </w:p>
        </w:tc>
        <w:tc>
          <w:tcPr>
            <w:tcW w:w="1218" w:type="dxa"/>
            <w:shd w:val="clear" w:color="auto" w:fill="C4EFCE"/>
            <w:noWrap/>
            <w:tcMar>
              <w:left w:w="28" w:type="dxa"/>
              <w:right w:w="28" w:type="dxa"/>
            </w:tcMar>
            <w:vAlign w:val="center"/>
            <w:hideMark/>
          </w:tcPr>
          <w:p w14:paraId="7BE1885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3" w:type="dxa"/>
            <w:shd w:val="clear" w:color="auto" w:fill="C4EFCE"/>
            <w:noWrap/>
            <w:tcMar>
              <w:left w:w="28" w:type="dxa"/>
              <w:right w:w="28" w:type="dxa"/>
            </w:tcMar>
            <w:vAlign w:val="center"/>
            <w:hideMark/>
          </w:tcPr>
          <w:p w14:paraId="16399CA0" w14:textId="64428CEC" w:rsidR="00387C70" w:rsidRPr="003F23AC" w:rsidRDefault="000F5AA4" w:rsidP="003F23AC">
            <w:pPr>
              <w:pStyle w:val="P68B1DB1-Normal8"/>
              <w:spacing w:after="0" w:line="240" w:lineRule="auto"/>
              <w:jc w:val="center"/>
              <w:rPr>
                <w:rFonts w:ascii="Times New Roman" w:eastAsia="Calibri" w:hAnsi="Times New Roman" w:cs="Times New Roman"/>
                <w:noProof/>
                <w:lang w:val="sk-SK"/>
              </w:rPr>
            </w:pPr>
            <w:r w:rsidRPr="003F23AC">
              <w:rPr>
                <w:rFonts w:ascii="Times New Roman" w:hAnsi="Times New Roman" w:cs="Times New Roman"/>
                <w:noProof/>
                <w:lang w:val="sk-SK"/>
              </w:rPr>
              <w:t>11</w:t>
            </w:r>
          </w:p>
        </w:tc>
        <w:tc>
          <w:tcPr>
            <w:tcW w:w="789" w:type="dxa"/>
            <w:shd w:val="clear" w:color="auto" w:fill="C4EFCE"/>
            <w:noWrap/>
            <w:tcMar>
              <w:left w:w="28" w:type="dxa"/>
              <w:right w:w="28" w:type="dxa"/>
            </w:tcMar>
            <w:vAlign w:val="center"/>
            <w:hideMark/>
          </w:tcPr>
          <w:p w14:paraId="3B3A6032" w14:textId="240DE7D6"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54" w:type="dxa"/>
            <w:shd w:val="clear" w:color="auto" w:fill="C4EFCE"/>
            <w:noWrap/>
            <w:tcMar>
              <w:left w:w="28" w:type="dxa"/>
              <w:right w:w="28" w:type="dxa"/>
            </w:tcMar>
            <w:vAlign w:val="center"/>
            <w:hideMark/>
          </w:tcPr>
          <w:p w14:paraId="49892F3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04" w:type="dxa"/>
            <w:shd w:val="clear" w:color="auto" w:fill="C4EFCE"/>
            <w:tcMar>
              <w:left w:w="28" w:type="dxa"/>
              <w:right w:w="28" w:type="dxa"/>
            </w:tcMar>
            <w:vAlign w:val="center"/>
            <w:hideMark/>
          </w:tcPr>
          <w:p w14:paraId="2EE5FF2B" w14:textId="725F011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Dodanie dvoch ľahkých hasičských vrtuľníkov (HEBL)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deviatich stredne hasiacich vrtuľníkov (HEBM) po potvrdení, že spĺňajú technické špecifikácie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iné zmluvné požiadavky. Cieľ zahŕňa aj výstavbu a/alebo obnovu budov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infraštruktúry na používanie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údržbu vrtuľníkov.</w:t>
            </w:r>
          </w:p>
        </w:tc>
      </w:tr>
      <w:tr w:rsidR="00387C70" w:rsidRPr="003F23AC" w14:paraId="3D57C30A" w14:textId="77777777" w:rsidTr="009E4E5C">
        <w:trPr>
          <w:trHeight w:val="1602"/>
          <w:jc w:val="center"/>
        </w:trPr>
        <w:tc>
          <w:tcPr>
            <w:tcW w:w="1114" w:type="dxa"/>
            <w:shd w:val="clear" w:color="auto" w:fill="C4EFCE"/>
            <w:tcMar>
              <w:left w:w="28" w:type="dxa"/>
              <w:right w:w="28" w:type="dxa"/>
            </w:tcMar>
            <w:vAlign w:val="center"/>
            <w:hideMark/>
          </w:tcPr>
          <w:p w14:paraId="2C8E73E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8.12</w:t>
            </w:r>
          </w:p>
        </w:tc>
        <w:tc>
          <w:tcPr>
            <w:tcW w:w="1245" w:type="dxa"/>
            <w:shd w:val="clear" w:color="auto" w:fill="C4EFCE"/>
            <w:noWrap/>
            <w:tcMar>
              <w:left w:w="28" w:type="dxa"/>
              <w:right w:w="28" w:type="dxa"/>
            </w:tcMar>
            <w:vAlign w:val="center"/>
            <w:hideMark/>
          </w:tcPr>
          <w:p w14:paraId="70010057" w14:textId="09B9DF21"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C08-i04</w:t>
            </w:r>
          </w:p>
        </w:tc>
        <w:tc>
          <w:tcPr>
            <w:tcW w:w="1107" w:type="dxa"/>
            <w:shd w:val="clear" w:color="auto" w:fill="C4EFCE"/>
            <w:noWrap/>
            <w:tcMar>
              <w:left w:w="28" w:type="dxa"/>
              <w:right w:w="28" w:type="dxa"/>
            </w:tcMar>
            <w:vAlign w:val="center"/>
            <w:hideMark/>
          </w:tcPr>
          <w:p w14:paraId="7176F5E0" w14:textId="62448292"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8" w:type="dxa"/>
            <w:shd w:val="clear" w:color="auto" w:fill="C4EFCE"/>
            <w:noWrap/>
            <w:tcMar>
              <w:left w:w="28" w:type="dxa"/>
              <w:right w:w="28" w:type="dxa"/>
            </w:tcMar>
            <w:vAlign w:val="center"/>
            <w:hideMark/>
          </w:tcPr>
          <w:p w14:paraId="7BC37E5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Inštalácia duálnych polarizačných radarov </w:t>
            </w:r>
          </w:p>
        </w:tc>
        <w:tc>
          <w:tcPr>
            <w:tcW w:w="825" w:type="dxa"/>
            <w:shd w:val="clear" w:color="auto" w:fill="C4EFCE"/>
            <w:noWrap/>
            <w:tcMar>
              <w:left w:w="28" w:type="dxa"/>
              <w:right w:w="28" w:type="dxa"/>
            </w:tcMar>
            <w:vAlign w:val="center"/>
            <w:hideMark/>
          </w:tcPr>
          <w:p w14:paraId="15D2EC6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022" w:type="dxa"/>
            <w:shd w:val="clear" w:color="auto" w:fill="C4EFCE"/>
            <w:noWrap/>
            <w:tcMar>
              <w:left w:w="28" w:type="dxa"/>
              <w:right w:w="28" w:type="dxa"/>
            </w:tcMar>
            <w:vAlign w:val="center"/>
            <w:hideMark/>
          </w:tcPr>
          <w:p w14:paraId="57C5188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Počet</w:t>
            </w:r>
          </w:p>
        </w:tc>
        <w:tc>
          <w:tcPr>
            <w:tcW w:w="1218" w:type="dxa"/>
            <w:shd w:val="clear" w:color="auto" w:fill="C4EFCE"/>
            <w:noWrap/>
            <w:tcMar>
              <w:left w:w="28" w:type="dxa"/>
              <w:right w:w="28" w:type="dxa"/>
            </w:tcMar>
            <w:vAlign w:val="center"/>
            <w:hideMark/>
          </w:tcPr>
          <w:p w14:paraId="3F4B6B8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3" w:type="dxa"/>
            <w:shd w:val="clear" w:color="auto" w:fill="C4EFCE"/>
            <w:noWrap/>
            <w:tcMar>
              <w:left w:w="28" w:type="dxa"/>
              <w:right w:w="28" w:type="dxa"/>
            </w:tcMar>
            <w:vAlign w:val="center"/>
            <w:hideMark/>
          </w:tcPr>
          <w:p w14:paraId="4B6819F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w:t>
            </w:r>
          </w:p>
        </w:tc>
        <w:tc>
          <w:tcPr>
            <w:tcW w:w="789" w:type="dxa"/>
            <w:shd w:val="clear" w:color="auto" w:fill="C4EFCE"/>
            <w:noWrap/>
            <w:tcMar>
              <w:left w:w="28" w:type="dxa"/>
              <w:right w:w="28" w:type="dxa"/>
            </w:tcMar>
            <w:vAlign w:val="center"/>
            <w:hideMark/>
          </w:tcPr>
          <w:p w14:paraId="73B9EEDA" w14:textId="0D620B1F"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54" w:type="dxa"/>
            <w:shd w:val="clear" w:color="auto" w:fill="C4EFCE"/>
            <w:noWrap/>
            <w:tcMar>
              <w:left w:w="28" w:type="dxa"/>
              <w:right w:w="28" w:type="dxa"/>
            </w:tcMar>
            <w:vAlign w:val="center"/>
            <w:hideMark/>
          </w:tcPr>
          <w:p w14:paraId="3F0D094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204" w:type="dxa"/>
            <w:shd w:val="clear" w:color="auto" w:fill="C4EFCE"/>
            <w:tcMar>
              <w:left w:w="28" w:type="dxa"/>
              <w:right w:w="28" w:type="dxa"/>
            </w:tcMar>
            <w:vAlign w:val="center"/>
            <w:hideMark/>
          </w:tcPr>
          <w:p w14:paraId="72298171" w14:textId="22C95A9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Inštalácia dvoch duálnych polarizačných radarov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potrebným počítačovým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archivačným systémom, dvoch svetelných detektorov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dvoch meteorologických staníc počasia. Inštalácia dokončená po potvrdení, že zodpovedajú technickým špecifikáciám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iným zmluvným požiadavkám.</w:t>
            </w:r>
          </w:p>
        </w:tc>
      </w:tr>
      <w:tr w:rsidR="00387C70" w:rsidRPr="003F23AC" w14:paraId="28363569" w14:textId="77777777" w:rsidTr="009E4E5C">
        <w:trPr>
          <w:trHeight w:val="430"/>
          <w:jc w:val="center"/>
        </w:trPr>
        <w:tc>
          <w:tcPr>
            <w:tcW w:w="1114" w:type="dxa"/>
            <w:shd w:val="clear" w:color="auto" w:fill="C4EFCE"/>
            <w:tcMar>
              <w:left w:w="28" w:type="dxa"/>
              <w:right w:w="28" w:type="dxa"/>
            </w:tcMar>
            <w:vAlign w:val="center"/>
            <w:hideMark/>
          </w:tcPr>
          <w:p w14:paraId="6AE21B31"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8.13</w:t>
            </w:r>
          </w:p>
        </w:tc>
        <w:tc>
          <w:tcPr>
            <w:tcW w:w="1245" w:type="dxa"/>
            <w:shd w:val="clear" w:color="auto" w:fill="C4EFCE"/>
            <w:noWrap/>
            <w:tcMar>
              <w:left w:w="28" w:type="dxa"/>
              <w:right w:w="28" w:type="dxa"/>
            </w:tcMar>
            <w:vAlign w:val="center"/>
            <w:hideMark/>
          </w:tcPr>
          <w:p w14:paraId="7F3A085B" w14:textId="4D92C3A7"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C08-i05</w:t>
            </w:r>
          </w:p>
        </w:tc>
        <w:tc>
          <w:tcPr>
            <w:tcW w:w="1107" w:type="dxa"/>
            <w:shd w:val="clear" w:color="auto" w:fill="C4EFCE"/>
            <w:noWrap/>
            <w:tcMar>
              <w:left w:w="28" w:type="dxa"/>
              <w:right w:w="28" w:type="dxa"/>
            </w:tcMar>
            <w:vAlign w:val="center"/>
            <w:hideMark/>
          </w:tcPr>
          <w:p w14:paraId="705F7814" w14:textId="59685F2F"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8" w:type="dxa"/>
            <w:shd w:val="clear" w:color="auto" w:fill="C4EFCE"/>
            <w:noWrap/>
            <w:tcMar>
              <w:left w:w="28" w:type="dxa"/>
              <w:right w:w="28" w:type="dxa"/>
            </w:tcMar>
            <w:vAlign w:val="center"/>
            <w:hideMark/>
          </w:tcPr>
          <w:p w14:paraId="198E7C32" w14:textId="7A23991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Posilnenie subjektov ministerstva vnútra (MAI) vozidlami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prevádzkovým vybavením</w:t>
            </w:r>
          </w:p>
        </w:tc>
        <w:tc>
          <w:tcPr>
            <w:tcW w:w="825" w:type="dxa"/>
            <w:shd w:val="clear" w:color="auto" w:fill="C4EFCE"/>
            <w:noWrap/>
            <w:tcMar>
              <w:left w:w="28" w:type="dxa"/>
              <w:right w:w="28" w:type="dxa"/>
            </w:tcMar>
            <w:vAlign w:val="center"/>
            <w:hideMark/>
          </w:tcPr>
          <w:p w14:paraId="0A3F576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022" w:type="dxa"/>
            <w:shd w:val="clear" w:color="auto" w:fill="C4EFCE"/>
            <w:noWrap/>
            <w:tcMar>
              <w:left w:w="28" w:type="dxa"/>
              <w:right w:w="28" w:type="dxa"/>
            </w:tcMar>
            <w:vAlign w:val="center"/>
            <w:hideMark/>
          </w:tcPr>
          <w:p w14:paraId="3B0961C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218" w:type="dxa"/>
            <w:shd w:val="clear" w:color="auto" w:fill="C4EFCE"/>
            <w:noWrap/>
            <w:tcMar>
              <w:left w:w="28" w:type="dxa"/>
              <w:right w:w="28" w:type="dxa"/>
            </w:tcMar>
            <w:vAlign w:val="center"/>
            <w:hideMark/>
          </w:tcPr>
          <w:p w14:paraId="71F8510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3" w:type="dxa"/>
            <w:shd w:val="clear" w:color="auto" w:fill="C4EFCE"/>
            <w:noWrap/>
            <w:tcMar>
              <w:left w:w="28" w:type="dxa"/>
              <w:right w:w="28" w:type="dxa"/>
            </w:tcMar>
            <w:vAlign w:val="center"/>
            <w:hideMark/>
          </w:tcPr>
          <w:p w14:paraId="5E49558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62</w:t>
            </w:r>
          </w:p>
        </w:tc>
        <w:tc>
          <w:tcPr>
            <w:tcW w:w="789" w:type="dxa"/>
            <w:shd w:val="clear" w:color="auto" w:fill="C4EFCE"/>
            <w:noWrap/>
            <w:tcMar>
              <w:left w:w="28" w:type="dxa"/>
              <w:right w:w="28" w:type="dxa"/>
            </w:tcMar>
            <w:vAlign w:val="center"/>
            <w:hideMark/>
          </w:tcPr>
          <w:p w14:paraId="3E640486" w14:textId="1A9496DF"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54" w:type="dxa"/>
            <w:shd w:val="clear" w:color="auto" w:fill="C4EFCE"/>
            <w:noWrap/>
            <w:tcMar>
              <w:left w:w="28" w:type="dxa"/>
              <w:right w:w="28" w:type="dxa"/>
            </w:tcMar>
            <w:vAlign w:val="center"/>
            <w:hideMark/>
          </w:tcPr>
          <w:p w14:paraId="1E0E5DA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204" w:type="dxa"/>
            <w:shd w:val="clear" w:color="auto" w:fill="C4EFCE"/>
            <w:tcMar>
              <w:left w:w="28" w:type="dxa"/>
              <w:right w:w="28" w:type="dxa"/>
            </w:tcMar>
            <w:vAlign w:val="center"/>
            <w:hideMark/>
          </w:tcPr>
          <w:p w14:paraId="282B8265" w14:textId="67B107E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Posilnenie 62 subjektov MAI (ANEPC, GNR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hasičské zbory) poskytnutím odbornej prípravy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kvalifikácie operačných pracovníkov zapojených do hasenia požiarov, nových vozidiel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prevádzkového vybavenia vo výške najmenej 35 000 000 EUR. </w:t>
            </w:r>
          </w:p>
        </w:tc>
      </w:tr>
      <w:tr w:rsidR="00387C70" w:rsidRPr="003F23AC" w14:paraId="57E6AB3E" w14:textId="77777777" w:rsidTr="009E4E5C">
        <w:trPr>
          <w:trHeight w:val="430"/>
          <w:jc w:val="center"/>
        </w:trPr>
        <w:tc>
          <w:tcPr>
            <w:tcW w:w="1114" w:type="dxa"/>
            <w:shd w:val="clear" w:color="auto" w:fill="C4EFCE"/>
            <w:tcMar>
              <w:left w:w="28" w:type="dxa"/>
              <w:right w:w="28" w:type="dxa"/>
            </w:tcMar>
            <w:vAlign w:val="center"/>
            <w:hideMark/>
          </w:tcPr>
          <w:p w14:paraId="42ABB305"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8.14</w:t>
            </w:r>
          </w:p>
        </w:tc>
        <w:tc>
          <w:tcPr>
            <w:tcW w:w="1245" w:type="dxa"/>
            <w:shd w:val="clear" w:color="auto" w:fill="C4EFCE"/>
            <w:noWrap/>
            <w:tcMar>
              <w:left w:w="28" w:type="dxa"/>
              <w:right w:w="28" w:type="dxa"/>
            </w:tcMar>
            <w:vAlign w:val="center"/>
            <w:hideMark/>
          </w:tcPr>
          <w:p w14:paraId="4FFF914B" w14:textId="5446BF90"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C08-i05</w:t>
            </w:r>
          </w:p>
        </w:tc>
        <w:tc>
          <w:tcPr>
            <w:tcW w:w="1107" w:type="dxa"/>
            <w:shd w:val="clear" w:color="auto" w:fill="C4EFCE"/>
            <w:noWrap/>
            <w:tcMar>
              <w:left w:w="28" w:type="dxa"/>
              <w:right w:w="28" w:type="dxa"/>
            </w:tcMar>
            <w:vAlign w:val="center"/>
            <w:hideMark/>
          </w:tcPr>
          <w:p w14:paraId="1A75D938" w14:textId="0854424D"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8" w:type="dxa"/>
            <w:shd w:val="clear" w:color="auto" w:fill="C4EFCE"/>
            <w:noWrap/>
            <w:tcMar>
              <w:left w:w="28" w:type="dxa"/>
              <w:right w:w="28" w:type="dxa"/>
            </w:tcMar>
            <w:vAlign w:val="center"/>
            <w:hideMark/>
          </w:tcPr>
          <w:p w14:paraId="361AED32" w14:textId="7542B36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Vytvorenie regionálnych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subregionálnych štruktúr Národného úradu pre núdzové situácie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civilnú ochranu (ANEPC)</w:t>
            </w:r>
          </w:p>
        </w:tc>
        <w:tc>
          <w:tcPr>
            <w:tcW w:w="825" w:type="dxa"/>
            <w:shd w:val="clear" w:color="auto" w:fill="C4EFCE"/>
            <w:noWrap/>
            <w:tcMar>
              <w:left w:w="28" w:type="dxa"/>
              <w:right w:w="28" w:type="dxa"/>
            </w:tcMar>
            <w:vAlign w:val="center"/>
            <w:hideMark/>
          </w:tcPr>
          <w:p w14:paraId="420A655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022" w:type="dxa"/>
            <w:shd w:val="clear" w:color="auto" w:fill="C4EFCE"/>
            <w:noWrap/>
            <w:tcMar>
              <w:left w:w="28" w:type="dxa"/>
              <w:right w:w="28" w:type="dxa"/>
            </w:tcMar>
            <w:vAlign w:val="center"/>
            <w:hideMark/>
          </w:tcPr>
          <w:p w14:paraId="23DD993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218" w:type="dxa"/>
            <w:shd w:val="clear" w:color="auto" w:fill="C4EFCE"/>
            <w:noWrap/>
            <w:tcMar>
              <w:left w:w="28" w:type="dxa"/>
              <w:right w:w="28" w:type="dxa"/>
            </w:tcMar>
            <w:vAlign w:val="center"/>
            <w:hideMark/>
          </w:tcPr>
          <w:p w14:paraId="074B7CB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3" w:type="dxa"/>
            <w:shd w:val="clear" w:color="auto" w:fill="C4EFCE"/>
            <w:noWrap/>
            <w:tcMar>
              <w:left w:w="28" w:type="dxa"/>
              <w:right w:w="28" w:type="dxa"/>
            </w:tcMar>
            <w:vAlign w:val="center"/>
            <w:hideMark/>
          </w:tcPr>
          <w:p w14:paraId="75FC58F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w:t>
            </w:r>
          </w:p>
        </w:tc>
        <w:tc>
          <w:tcPr>
            <w:tcW w:w="789" w:type="dxa"/>
            <w:shd w:val="clear" w:color="auto" w:fill="C4EFCE"/>
            <w:noWrap/>
            <w:tcMar>
              <w:left w:w="28" w:type="dxa"/>
              <w:right w:w="28" w:type="dxa"/>
            </w:tcMar>
            <w:vAlign w:val="center"/>
            <w:hideMark/>
          </w:tcPr>
          <w:p w14:paraId="6CEEB9F3" w14:textId="6395890E"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54" w:type="dxa"/>
            <w:shd w:val="clear" w:color="auto" w:fill="C4EFCE"/>
            <w:noWrap/>
            <w:tcMar>
              <w:left w:w="28" w:type="dxa"/>
              <w:right w:w="28" w:type="dxa"/>
            </w:tcMar>
            <w:vAlign w:val="center"/>
            <w:hideMark/>
          </w:tcPr>
          <w:p w14:paraId="1D60899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204" w:type="dxa"/>
            <w:shd w:val="clear" w:color="auto" w:fill="C4EFCE"/>
            <w:tcMar>
              <w:left w:w="28" w:type="dxa"/>
              <w:right w:w="28" w:type="dxa"/>
            </w:tcMar>
            <w:vAlign w:val="center"/>
            <w:hideMark/>
          </w:tcPr>
          <w:p w14:paraId="1B8BA932" w14:textId="3E1DA28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Uvedenie dvoch regionálnych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štyroch subregionálnych veliteľstiev pre núdzové situácie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civilnú ochranu (podľa vymedzenia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zákonnom dekréte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45/2019</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w:t>
            </w:r>
            <w:r w:rsidR="00A75B3C" w:rsidRPr="003F23AC">
              <w:rPr>
                <w:rFonts w:ascii="Times New Roman" w:hAnsi="Times New Roman" w:cs="Times New Roman"/>
                <w:noProof/>
                <w:lang w:val="sk-SK"/>
              </w:rPr>
              <w:t>. apríla</w:t>
            </w:r>
            <w:r w:rsidRPr="003F23AC">
              <w:rPr>
                <w:rFonts w:ascii="Times New Roman" w:hAnsi="Times New Roman" w:cs="Times New Roman"/>
                <w:noProof/>
                <w:lang w:val="sk-SK"/>
              </w:rPr>
              <w:t xml:space="preserve"> 2019)</w:t>
            </w:r>
          </w:p>
        </w:tc>
      </w:tr>
      <w:tr w:rsidR="00387C70" w:rsidRPr="003F23AC" w14:paraId="1BD51647" w14:textId="77777777" w:rsidTr="009E4E5C">
        <w:trPr>
          <w:trHeight w:val="430"/>
          <w:jc w:val="center"/>
        </w:trPr>
        <w:tc>
          <w:tcPr>
            <w:tcW w:w="1114" w:type="dxa"/>
            <w:shd w:val="clear" w:color="auto" w:fill="C4EFCE"/>
            <w:tcMar>
              <w:left w:w="28" w:type="dxa"/>
              <w:right w:w="28" w:type="dxa"/>
            </w:tcMar>
            <w:vAlign w:val="center"/>
          </w:tcPr>
          <w:p w14:paraId="735E7B4B" w14:textId="650A0E03"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8.21</w:t>
            </w:r>
          </w:p>
        </w:tc>
        <w:tc>
          <w:tcPr>
            <w:tcW w:w="1245" w:type="dxa"/>
            <w:shd w:val="clear" w:color="auto" w:fill="C4EFCE"/>
            <w:noWrap/>
            <w:tcMar>
              <w:left w:w="28" w:type="dxa"/>
              <w:right w:w="28" w:type="dxa"/>
            </w:tcMar>
            <w:vAlign w:val="center"/>
          </w:tcPr>
          <w:p w14:paraId="0AACDDC4" w14:textId="7E2F0C08"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C08-i05</w:t>
            </w:r>
          </w:p>
        </w:tc>
        <w:tc>
          <w:tcPr>
            <w:tcW w:w="1107" w:type="dxa"/>
            <w:shd w:val="clear" w:color="auto" w:fill="C4EFCE"/>
            <w:noWrap/>
            <w:tcMar>
              <w:left w:w="28" w:type="dxa"/>
              <w:right w:w="28" w:type="dxa"/>
            </w:tcMar>
            <w:vAlign w:val="center"/>
          </w:tcPr>
          <w:p w14:paraId="24C462E0" w14:textId="4B2BBB0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58" w:type="dxa"/>
            <w:shd w:val="clear" w:color="auto" w:fill="C4EFCE"/>
            <w:noWrap/>
            <w:tcMar>
              <w:left w:w="28" w:type="dxa"/>
              <w:right w:w="28" w:type="dxa"/>
            </w:tcMar>
            <w:vAlign w:val="center"/>
          </w:tcPr>
          <w:p w14:paraId="1D11E778" w14:textId="2377595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Rozvoj kampane na zvyšovanie informovanosti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predchádzať riskantnému správaniu</w:t>
            </w:r>
          </w:p>
        </w:tc>
        <w:tc>
          <w:tcPr>
            <w:tcW w:w="825" w:type="dxa"/>
            <w:shd w:val="clear" w:color="auto" w:fill="C4EFCE"/>
            <w:noWrap/>
            <w:tcMar>
              <w:left w:w="28" w:type="dxa"/>
              <w:right w:w="28" w:type="dxa"/>
            </w:tcMar>
            <w:vAlign w:val="center"/>
          </w:tcPr>
          <w:p w14:paraId="52E9B3FE" w14:textId="2026522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Dev</w:t>
            </w:r>
            <w:r w:rsidR="00E72154" w:rsidRPr="003F23AC">
              <w:rPr>
                <w:rFonts w:ascii="Times New Roman" w:hAnsi="Times New Roman" w:cs="Times New Roman"/>
                <w:noProof/>
                <w:lang w:val="sk-SK"/>
              </w:rPr>
              <w:t>e</w:t>
            </w:r>
            <w:r w:rsidRPr="003F23AC">
              <w:rPr>
                <w:rFonts w:ascii="Times New Roman" w:hAnsi="Times New Roman" w:cs="Times New Roman"/>
                <w:noProof/>
                <w:lang w:val="sk-SK"/>
              </w:rPr>
              <w:t>lopovanie kampane na zvyšovanie informovanosti</w:t>
            </w:r>
          </w:p>
        </w:tc>
        <w:tc>
          <w:tcPr>
            <w:tcW w:w="1022" w:type="dxa"/>
            <w:shd w:val="clear" w:color="auto" w:fill="C4EFCE"/>
            <w:noWrap/>
            <w:tcMar>
              <w:left w:w="28" w:type="dxa"/>
              <w:right w:w="28" w:type="dxa"/>
            </w:tcMar>
            <w:vAlign w:val="center"/>
          </w:tcPr>
          <w:p w14:paraId="6AAB0976"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1218" w:type="dxa"/>
            <w:shd w:val="clear" w:color="auto" w:fill="C4EFCE"/>
            <w:noWrap/>
            <w:tcMar>
              <w:left w:w="28" w:type="dxa"/>
              <w:right w:w="28" w:type="dxa"/>
            </w:tcMar>
            <w:vAlign w:val="center"/>
          </w:tcPr>
          <w:p w14:paraId="3E96ED2D"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23" w:type="dxa"/>
            <w:shd w:val="clear" w:color="auto" w:fill="C4EFCE"/>
            <w:noWrap/>
            <w:tcMar>
              <w:left w:w="28" w:type="dxa"/>
              <w:right w:w="28" w:type="dxa"/>
            </w:tcMar>
            <w:vAlign w:val="center"/>
          </w:tcPr>
          <w:p w14:paraId="3F15B41C"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89" w:type="dxa"/>
            <w:shd w:val="clear" w:color="auto" w:fill="C4EFCE"/>
            <w:noWrap/>
            <w:tcMar>
              <w:left w:w="28" w:type="dxa"/>
              <w:right w:w="28" w:type="dxa"/>
            </w:tcMar>
            <w:vAlign w:val="center"/>
          </w:tcPr>
          <w:p w14:paraId="3EAB6B11" w14:textId="54DD26BF"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54" w:type="dxa"/>
            <w:shd w:val="clear" w:color="auto" w:fill="C4EFCE"/>
            <w:noWrap/>
            <w:tcMar>
              <w:left w:w="28" w:type="dxa"/>
              <w:right w:w="28" w:type="dxa"/>
            </w:tcMar>
            <w:vAlign w:val="center"/>
          </w:tcPr>
          <w:p w14:paraId="51373D4C" w14:textId="4B225C3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204" w:type="dxa"/>
            <w:shd w:val="clear" w:color="auto" w:fill="C4EFCE"/>
            <w:tcMar>
              <w:left w:w="28" w:type="dxa"/>
              <w:right w:w="28" w:type="dxa"/>
            </w:tcMar>
            <w:vAlign w:val="center"/>
          </w:tcPr>
          <w:p w14:paraId="4F376972" w14:textId="4E9425F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Rozvoj osvetovej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informačnej kampane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programov Bezpečná obec</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Bezpeční ľudia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predchádzať rizikovému správaniu obyvateľstva</w:t>
            </w:r>
          </w:p>
        </w:tc>
      </w:tr>
      <w:tr w:rsidR="00387C70" w:rsidRPr="003F23AC" w14:paraId="238DE77F" w14:textId="77777777" w:rsidTr="009E4E5C">
        <w:trPr>
          <w:trHeight w:val="509"/>
          <w:jc w:val="center"/>
        </w:trPr>
        <w:tc>
          <w:tcPr>
            <w:tcW w:w="1114" w:type="dxa"/>
            <w:shd w:val="clear" w:color="auto" w:fill="C4EFCE"/>
            <w:tcMar>
              <w:left w:w="28" w:type="dxa"/>
              <w:right w:w="28" w:type="dxa"/>
            </w:tcMar>
            <w:vAlign w:val="center"/>
            <w:hideMark/>
          </w:tcPr>
          <w:p w14:paraId="47445FAF"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8.15</w:t>
            </w:r>
          </w:p>
        </w:tc>
        <w:tc>
          <w:tcPr>
            <w:tcW w:w="1245" w:type="dxa"/>
            <w:shd w:val="clear" w:color="auto" w:fill="C4EFCE"/>
            <w:noWrap/>
            <w:tcMar>
              <w:left w:w="28" w:type="dxa"/>
              <w:right w:w="28" w:type="dxa"/>
            </w:tcMar>
            <w:vAlign w:val="center"/>
            <w:hideMark/>
          </w:tcPr>
          <w:p w14:paraId="2517A793" w14:textId="4A537C7A"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C08-i05</w:t>
            </w:r>
          </w:p>
        </w:tc>
        <w:tc>
          <w:tcPr>
            <w:tcW w:w="1107" w:type="dxa"/>
            <w:shd w:val="clear" w:color="auto" w:fill="C4EFCE"/>
            <w:noWrap/>
            <w:tcMar>
              <w:left w:w="28" w:type="dxa"/>
              <w:right w:w="28" w:type="dxa"/>
            </w:tcMar>
            <w:vAlign w:val="center"/>
            <w:hideMark/>
          </w:tcPr>
          <w:p w14:paraId="1784749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58" w:type="dxa"/>
            <w:shd w:val="clear" w:color="auto" w:fill="C4EFCE"/>
            <w:noWrap/>
            <w:tcMar>
              <w:left w:w="28" w:type="dxa"/>
              <w:right w:w="28" w:type="dxa"/>
            </w:tcMar>
            <w:vAlign w:val="center"/>
            <w:hideMark/>
          </w:tcPr>
          <w:p w14:paraId="4F78A110" w14:textId="131141C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Uverejnenie úvodnej správy Inštitútu pre ochranu prírody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lesov, I.P.</w:t>
            </w:r>
          </w:p>
        </w:tc>
        <w:tc>
          <w:tcPr>
            <w:tcW w:w="825" w:type="dxa"/>
            <w:shd w:val="clear" w:color="auto" w:fill="C4EFCE"/>
            <w:noWrap/>
            <w:tcMar>
              <w:left w:w="28" w:type="dxa"/>
              <w:right w:w="28" w:type="dxa"/>
            </w:tcMar>
            <w:vAlign w:val="center"/>
            <w:hideMark/>
          </w:tcPr>
          <w:p w14:paraId="61C7BA1A" w14:textId="3B6C93A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Uverejnenie správy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zmluvách</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programe medzi Inštitútom pre ochranu prírody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lesov, I.P</w:t>
            </w:r>
            <w:r w:rsidR="00A75B3C" w:rsidRPr="003F23AC">
              <w:rPr>
                <w:rFonts w:ascii="Times New Roman" w:hAnsi="Times New Roman" w:cs="Times New Roman"/>
                <w:noProof/>
                <w:lang w:val="sk-SK"/>
              </w:rPr>
              <w:t>. a </w:t>
            </w:r>
            <w:r w:rsidRPr="003F23AC">
              <w:rPr>
                <w:rFonts w:ascii="Times New Roman" w:hAnsi="Times New Roman" w:cs="Times New Roman"/>
                <w:noProof/>
                <w:lang w:val="sk-SK"/>
              </w:rPr>
              <w:t>organizáciami vlastníkov lesov (OPF)</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kompetenčnými centrami</w:t>
            </w:r>
          </w:p>
        </w:tc>
        <w:tc>
          <w:tcPr>
            <w:tcW w:w="1022" w:type="dxa"/>
            <w:shd w:val="clear" w:color="auto" w:fill="C4EFCE"/>
            <w:noWrap/>
            <w:tcMar>
              <w:left w:w="28" w:type="dxa"/>
              <w:right w:w="28" w:type="dxa"/>
            </w:tcMar>
            <w:vAlign w:val="center"/>
            <w:hideMark/>
          </w:tcPr>
          <w:p w14:paraId="463B68B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218" w:type="dxa"/>
            <w:shd w:val="clear" w:color="auto" w:fill="C4EFCE"/>
            <w:noWrap/>
            <w:tcMar>
              <w:left w:w="28" w:type="dxa"/>
              <w:right w:w="28" w:type="dxa"/>
            </w:tcMar>
            <w:vAlign w:val="center"/>
            <w:hideMark/>
          </w:tcPr>
          <w:p w14:paraId="702DE6B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23" w:type="dxa"/>
            <w:shd w:val="clear" w:color="auto" w:fill="C4EFCE"/>
            <w:noWrap/>
            <w:tcMar>
              <w:left w:w="28" w:type="dxa"/>
              <w:right w:w="28" w:type="dxa"/>
            </w:tcMar>
            <w:vAlign w:val="center"/>
            <w:hideMark/>
          </w:tcPr>
          <w:p w14:paraId="2BF8BBF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noWrap/>
            <w:tcMar>
              <w:left w:w="28" w:type="dxa"/>
              <w:right w:w="28" w:type="dxa"/>
            </w:tcMar>
            <w:vAlign w:val="center"/>
            <w:hideMark/>
          </w:tcPr>
          <w:p w14:paraId="004FE9A5" w14:textId="75684D2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54" w:type="dxa"/>
            <w:shd w:val="clear" w:color="auto" w:fill="C4EFCE"/>
            <w:noWrap/>
            <w:tcMar>
              <w:left w:w="28" w:type="dxa"/>
              <w:right w:w="28" w:type="dxa"/>
            </w:tcMar>
            <w:vAlign w:val="center"/>
            <w:hideMark/>
          </w:tcPr>
          <w:p w14:paraId="14C31C8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204" w:type="dxa"/>
            <w:shd w:val="clear" w:color="auto" w:fill="C4EFCE"/>
            <w:tcMar>
              <w:left w:w="28" w:type="dxa"/>
              <w:right w:w="28" w:type="dxa"/>
            </w:tcMar>
            <w:vAlign w:val="center"/>
            <w:hideMark/>
          </w:tcPr>
          <w:p w14:paraId="1C2A7317" w14:textId="729E62D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 správe sa uvádzajú podrobnosti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programových zmluvách medzi Inštitútom pre ochranu prírody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lesov, I.P</w:t>
            </w:r>
            <w:r w:rsidR="00A75B3C" w:rsidRPr="003F23AC">
              <w:rPr>
                <w:rFonts w:ascii="Times New Roman" w:hAnsi="Times New Roman" w:cs="Times New Roman"/>
                <w:noProof/>
                <w:lang w:val="sk-SK"/>
              </w:rPr>
              <w:t>. a </w:t>
            </w:r>
            <w:r w:rsidRPr="003F23AC">
              <w:rPr>
                <w:rFonts w:ascii="Times New Roman" w:hAnsi="Times New Roman" w:cs="Times New Roman"/>
                <w:noProof/>
                <w:lang w:val="sk-SK"/>
              </w:rPr>
              <w:t>organizáciami vlastníkov lesov (OPF)</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kompetenčnými centrami vrátane informácií</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cieľoch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cieľoch, ktoré sa majú každý rok dosiahnuť. Po úvodnej správe sa každý polrok uverejní vykonávanie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pokrok</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súvislosti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programovými zmluvami.</w:t>
            </w:r>
          </w:p>
        </w:tc>
      </w:tr>
      <w:tr w:rsidR="00387C70" w:rsidRPr="003F23AC" w14:paraId="306EF906" w14:textId="77777777" w:rsidTr="009E4E5C">
        <w:trPr>
          <w:trHeight w:val="2243"/>
          <w:jc w:val="center"/>
        </w:trPr>
        <w:tc>
          <w:tcPr>
            <w:tcW w:w="1114" w:type="dxa"/>
            <w:shd w:val="clear" w:color="auto" w:fill="C4EFCE"/>
            <w:tcMar>
              <w:left w:w="28" w:type="dxa"/>
              <w:right w:w="28" w:type="dxa"/>
            </w:tcMar>
            <w:vAlign w:val="center"/>
            <w:hideMark/>
          </w:tcPr>
          <w:p w14:paraId="66DD354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8.16</w:t>
            </w:r>
          </w:p>
        </w:tc>
        <w:tc>
          <w:tcPr>
            <w:tcW w:w="1245" w:type="dxa"/>
            <w:shd w:val="clear" w:color="auto" w:fill="C4EFCE"/>
            <w:noWrap/>
            <w:tcMar>
              <w:left w:w="28" w:type="dxa"/>
              <w:right w:w="28" w:type="dxa"/>
            </w:tcMar>
            <w:vAlign w:val="center"/>
            <w:hideMark/>
          </w:tcPr>
          <w:p w14:paraId="4F50D588" w14:textId="17F69C04"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C08-i05</w:t>
            </w:r>
          </w:p>
        </w:tc>
        <w:tc>
          <w:tcPr>
            <w:tcW w:w="1107" w:type="dxa"/>
            <w:shd w:val="clear" w:color="auto" w:fill="C4EFCE"/>
            <w:noWrap/>
            <w:tcMar>
              <w:left w:w="28" w:type="dxa"/>
              <w:right w:w="28" w:type="dxa"/>
            </w:tcMar>
            <w:vAlign w:val="center"/>
            <w:hideMark/>
          </w:tcPr>
          <w:p w14:paraId="6B1C90DB" w14:textId="0BEFA504"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58" w:type="dxa"/>
            <w:shd w:val="clear" w:color="auto" w:fill="C4EFCE"/>
            <w:noWrap/>
            <w:tcMar>
              <w:left w:w="28" w:type="dxa"/>
              <w:right w:w="28" w:type="dxa"/>
            </w:tcMar>
            <w:vAlign w:val="center"/>
            <w:hideMark/>
          </w:tcPr>
          <w:p w14:paraId="41EE023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Vykonávanie národného programu odbornej prípravy </w:t>
            </w:r>
          </w:p>
        </w:tc>
        <w:tc>
          <w:tcPr>
            <w:tcW w:w="825" w:type="dxa"/>
            <w:shd w:val="clear" w:color="auto" w:fill="C4EFCE"/>
            <w:noWrap/>
            <w:tcMar>
              <w:left w:w="28" w:type="dxa"/>
              <w:right w:w="28" w:type="dxa"/>
            </w:tcMar>
            <w:vAlign w:val="center"/>
            <w:hideMark/>
          </w:tcPr>
          <w:p w14:paraId="62D7DE1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022" w:type="dxa"/>
            <w:shd w:val="clear" w:color="auto" w:fill="C4EFCE"/>
            <w:noWrap/>
            <w:tcMar>
              <w:left w:w="28" w:type="dxa"/>
              <w:right w:w="28" w:type="dxa"/>
            </w:tcMar>
            <w:vAlign w:val="center"/>
            <w:hideMark/>
          </w:tcPr>
          <w:p w14:paraId="0E70A1C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1218" w:type="dxa"/>
            <w:shd w:val="clear" w:color="auto" w:fill="C4EFCE"/>
            <w:noWrap/>
            <w:tcMar>
              <w:left w:w="28" w:type="dxa"/>
              <w:right w:w="28" w:type="dxa"/>
            </w:tcMar>
            <w:vAlign w:val="center"/>
            <w:hideMark/>
          </w:tcPr>
          <w:p w14:paraId="11FA2AD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3" w:type="dxa"/>
            <w:shd w:val="clear" w:color="auto" w:fill="C4EFCE"/>
            <w:noWrap/>
            <w:tcMar>
              <w:left w:w="28" w:type="dxa"/>
              <w:right w:w="28" w:type="dxa"/>
            </w:tcMar>
            <w:vAlign w:val="center"/>
            <w:hideMark/>
          </w:tcPr>
          <w:p w14:paraId="4549C5F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150</w:t>
            </w:r>
          </w:p>
        </w:tc>
        <w:tc>
          <w:tcPr>
            <w:tcW w:w="789" w:type="dxa"/>
            <w:shd w:val="clear" w:color="auto" w:fill="C4EFCE"/>
            <w:noWrap/>
            <w:tcMar>
              <w:left w:w="28" w:type="dxa"/>
              <w:right w:w="28" w:type="dxa"/>
            </w:tcMar>
            <w:vAlign w:val="center"/>
            <w:hideMark/>
          </w:tcPr>
          <w:p w14:paraId="3A3C11A9" w14:textId="51D5956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54" w:type="dxa"/>
            <w:shd w:val="clear" w:color="auto" w:fill="C4EFCE"/>
            <w:noWrap/>
            <w:tcMar>
              <w:left w:w="28" w:type="dxa"/>
              <w:right w:w="28" w:type="dxa"/>
            </w:tcMar>
            <w:vAlign w:val="center"/>
            <w:hideMark/>
          </w:tcPr>
          <w:p w14:paraId="2D7E491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204" w:type="dxa"/>
            <w:shd w:val="clear" w:color="auto" w:fill="C4EFCE"/>
            <w:tcMar>
              <w:left w:w="28" w:type="dxa"/>
              <w:right w:w="28" w:type="dxa"/>
            </w:tcMar>
            <w:vAlign w:val="center"/>
            <w:hideMark/>
          </w:tcPr>
          <w:p w14:paraId="60C63F15" w14:textId="0BAB368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150 technikov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organizácií výrobcov lesov (OPF) absolvuje odbornú prípravu trvajúcu najmenej 684 hodín. Odborná príprava sa zameriava na tieto témy: riadenie organizácie, predchádzanie požiarom na vidieku, kontrolované odstraňovanie požiarov, zdravie rastlín, certifikácia udržateľného obhospodarovania lesov, multifunkčnosť lesných území, nedrevné lesné výrobky, odmeňovanie ekosystémových služieb, biodiverzita, lesná infraštruktúra, lesnícke projekty, inventarizácia lesov alebo katastra nehnuteľností.</w:t>
            </w:r>
          </w:p>
        </w:tc>
      </w:tr>
      <w:tr w:rsidR="00387C70" w:rsidRPr="003F23AC" w14:paraId="69BDF293" w14:textId="77777777" w:rsidTr="009E4E5C">
        <w:trPr>
          <w:trHeight w:val="840"/>
          <w:jc w:val="center"/>
        </w:trPr>
        <w:tc>
          <w:tcPr>
            <w:tcW w:w="1114" w:type="dxa"/>
            <w:shd w:val="clear" w:color="auto" w:fill="C4EFCE"/>
            <w:tcMar>
              <w:left w:w="28" w:type="dxa"/>
              <w:right w:w="28" w:type="dxa"/>
            </w:tcMar>
            <w:vAlign w:val="center"/>
            <w:hideMark/>
          </w:tcPr>
          <w:p w14:paraId="2C542057"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8.17</w:t>
            </w:r>
          </w:p>
        </w:tc>
        <w:tc>
          <w:tcPr>
            <w:tcW w:w="1245" w:type="dxa"/>
            <w:shd w:val="clear" w:color="auto" w:fill="C4EFCE"/>
            <w:noWrap/>
            <w:tcMar>
              <w:left w:w="28" w:type="dxa"/>
              <w:right w:w="28" w:type="dxa"/>
            </w:tcMar>
            <w:vAlign w:val="center"/>
            <w:hideMark/>
          </w:tcPr>
          <w:p w14:paraId="3269762F" w14:textId="2F7E041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C08-r19</w:t>
            </w:r>
          </w:p>
        </w:tc>
        <w:tc>
          <w:tcPr>
            <w:tcW w:w="1107" w:type="dxa"/>
            <w:shd w:val="clear" w:color="auto" w:fill="C4EFCE"/>
            <w:noWrap/>
            <w:tcMar>
              <w:left w:w="28" w:type="dxa"/>
              <w:right w:w="28" w:type="dxa"/>
            </w:tcMar>
            <w:vAlign w:val="center"/>
            <w:hideMark/>
          </w:tcPr>
          <w:p w14:paraId="12E7B4F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58" w:type="dxa"/>
            <w:shd w:val="clear" w:color="auto" w:fill="C4EFCE"/>
            <w:noWrap/>
            <w:tcMar>
              <w:left w:w="28" w:type="dxa"/>
              <w:right w:w="28" w:type="dxa"/>
            </w:tcMar>
            <w:vAlign w:val="center"/>
            <w:hideMark/>
          </w:tcPr>
          <w:p w14:paraId="5E16B4BC" w14:textId="5F4FDE1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Právny rámec</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povinnom vlastníctve vidieckej pôdy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lesných oblastiach </w:t>
            </w:r>
          </w:p>
        </w:tc>
        <w:tc>
          <w:tcPr>
            <w:tcW w:w="825" w:type="dxa"/>
            <w:shd w:val="clear" w:color="auto" w:fill="C4EFCE"/>
            <w:noWrap/>
            <w:tcMar>
              <w:left w:w="28" w:type="dxa"/>
              <w:right w:w="28" w:type="dxa"/>
            </w:tcMar>
            <w:vAlign w:val="center"/>
            <w:hideMark/>
          </w:tcPr>
          <w:p w14:paraId="7E669474" w14:textId="584E2AC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právneho rámca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povinnom vlastníctve vidieckej pôdy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lesných oblastiach.</w:t>
            </w:r>
          </w:p>
        </w:tc>
        <w:tc>
          <w:tcPr>
            <w:tcW w:w="1022" w:type="dxa"/>
            <w:shd w:val="clear" w:color="auto" w:fill="C4EFCE"/>
            <w:noWrap/>
            <w:tcMar>
              <w:left w:w="28" w:type="dxa"/>
              <w:right w:w="28" w:type="dxa"/>
            </w:tcMar>
            <w:vAlign w:val="center"/>
            <w:hideMark/>
          </w:tcPr>
          <w:p w14:paraId="405A1B1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218" w:type="dxa"/>
            <w:shd w:val="clear" w:color="auto" w:fill="C4EFCE"/>
            <w:noWrap/>
            <w:tcMar>
              <w:left w:w="28" w:type="dxa"/>
              <w:right w:w="28" w:type="dxa"/>
            </w:tcMar>
            <w:vAlign w:val="center"/>
            <w:hideMark/>
          </w:tcPr>
          <w:p w14:paraId="5BCEA31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23" w:type="dxa"/>
            <w:shd w:val="clear" w:color="auto" w:fill="C4EFCE"/>
            <w:noWrap/>
            <w:tcMar>
              <w:left w:w="28" w:type="dxa"/>
              <w:right w:w="28" w:type="dxa"/>
            </w:tcMar>
            <w:vAlign w:val="center"/>
            <w:hideMark/>
          </w:tcPr>
          <w:p w14:paraId="2154743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noWrap/>
            <w:tcMar>
              <w:left w:w="28" w:type="dxa"/>
              <w:right w:w="28" w:type="dxa"/>
            </w:tcMar>
            <w:vAlign w:val="center"/>
            <w:hideMark/>
          </w:tcPr>
          <w:p w14:paraId="3FFC26CB" w14:textId="3593E1E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54" w:type="dxa"/>
            <w:shd w:val="clear" w:color="auto" w:fill="C4EFCE"/>
            <w:noWrap/>
            <w:tcMar>
              <w:left w:w="28" w:type="dxa"/>
              <w:right w:w="28" w:type="dxa"/>
            </w:tcMar>
            <w:vAlign w:val="center"/>
            <w:hideMark/>
          </w:tcPr>
          <w:p w14:paraId="4769236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4204" w:type="dxa"/>
            <w:shd w:val="clear" w:color="auto" w:fill="C4EFCE"/>
            <w:tcMar>
              <w:left w:w="28" w:type="dxa"/>
              <w:right w:w="28" w:type="dxa"/>
            </w:tcMar>
            <w:vAlign w:val="center"/>
            <w:hideMark/>
          </w:tcPr>
          <w:p w14:paraId="727FBA9D" w14:textId="7C59BF71"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Nadobudnutie účinnosti právneho rámca, ktorým sa vykonáva povinná držba vidieckej pôdy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lesných oblastiach. Povinný nájom sa uplatňuje výlučne vtedy, ak vlastníci pôdy nevyjadria svoj záväzok vykonávať činnosti vymedzené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operácie integrovanej správy krajiny (OIGP) stanovenej pre oblasť integrovanej správy krajiny (AIGP) podľa želania, aby sa ich majetok nachádzal</w:t>
            </w:r>
            <w:r w:rsidR="00A75B3C" w:rsidRPr="003F23AC">
              <w:rPr>
                <w:rFonts w:ascii="Times New Roman" w:hAnsi="Times New Roman" w:cs="Times New Roman"/>
                <w:noProof/>
                <w:lang w:val="sk-SK"/>
              </w:rPr>
              <w:t>.</w:t>
            </w:r>
          </w:p>
          <w:p w14:paraId="477BB2F7" w14:textId="290651E0" w:rsidR="00387C70" w:rsidRPr="003F23AC" w:rsidRDefault="00387C70" w:rsidP="003F23AC">
            <w:pPr>
              <w:spacing w:after="0" w:line="240" w:lineRule="auto"/>
              <w:jc w:val="both"/>
              <w:rPr>
                <w:rFonts w:ascii="Times New Roman" w:eastAsia="Times New Roman" w:hAnsi="Times New Roman" w:cs="Times New Roman"/>
                <w:noProof/>
                <w:sz w:val="16"/>
                <w:lang w:val="sk-SK"/>
              </w:rPr>
            </w:pPr>
          </w:p>
          <w:p w14:paraId="277FB7E1" w14:textId="4B83683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Zákon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68/2020</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5</w:t>
            </w:r>
            <w:r w:rsidR="00A75B3C" w:rsidRPr="003F23AC">
              <w:rPr>
                <w:rFonts w:ascii="Times New Roman" w:hAnsi="Times New Roman" w:cs="Times New Roman"/>
                <w:noProof/>
                <w:lang w:val="sk-SK"/>
              </w:rPr>
              <w:t>. novembra</w:t>
            </w:r>
            <w:r w:rsidRPr="003F23AC">
              <w:rPr>
                <w:rFonts w:ascii="Times New Roman" w:hAnsi="Times New Roman" w:cs="Times New Roman"/>
                <w:noProof/>
                <w:lang w:val="sk-SK"/>
              </w:rPr>
              <w:t xml:space="preserve"> oprávňuje vládu na zmenu zákona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31/2014</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30</w:t>
            </w:r>
            <w:r w:rsidR="00A75B3C" w:rsidRPr="003F23AC">
              <w:rPr>
                <w:rFonts w:ascii="Times New Roman" w:hAnsi="Times New Roman" w:cs="Times New Roman"/>
                <w:noProof/>
                <w:lang w:val="sk-SK"/>
              </w:rPr>
              <w:t>. mája</w:t>
            </w:r>
            <w:r w:rsidRPr="003F23AC">
              <w:rPr>
                <w:rFonts w:ascii="Times New Roman" w:hAnsi="Times New Roman" w:cs="Times New Roman"/>
                <w:noProof/>
                <w:lang w:val="sk-SK"/>
              </w:rPr>
              <w:t xml:space="preserve"> (stanovuje všeobecné základy verejného poriadku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územného plánovania, urbanistického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územného plánovania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schváliť právny režim povinného držby</w:t>
            </w:r>
          </w:p>
        </w:tc>
      </w:tr>
      <w:tr w:rsidR="00387C70" w:rsidRPr="003F23AC" w14:paraId="233038E2" w14:textId="77777777" w:rsidTr="009E4E5C">
        <w:trPr>
          <w:trHeight w:val="2388"/>
          <w:jc w:val="center"/>
        </w:trPr>
        <w:tc>
          <w:tcPr>
            <w:tcW w:w="1114" w:type="dxa"/>
            <w:shd w:val="clear" w:color="auto" w:fill="C4EFCE"/>
            <w:tcMar>
              <w:left w:w="28" w:type="dxa"/>
              <w:right w:w="28" w:type="dxa"/>
            </w:tcMar>
            <w:vAlign w:val="center"/>
            <w:hideMark/>
          </w:tcPr>
          <w:p w14:paraId="0E2ACB3B"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8.18</w:t>
            </w:r>
          </w:p>
        </w:tc>
        <w:tc>
          <w:tcPr>
            <w:tcW w:w="1245" w:type="dxa"/>
            <w:shd w:val="clear" w:color="auto" w:fill="C4EFCE"/>
            <w:noWrap/>
            <w:tcMar>
              <w:left w:w="28" w:type="dxa"/>
              <w:right w:w="28" w:type="dxa"/>
            </w:tcMar>
            <w:vAlign w:val="center"/>
            <w:hideMark/>
          </w:tcPr>
          <w:p w14:paraId="1AC3438B" w14:textId="33C9A122"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C08-r20</w:t>
            </w:r>
          </w:p>
        </w:tc>
        <w:tc>
          <w:tcPr>
            <w:tcW w:w="1107" w:type="dxa"/>
            <w:shd w:val="clear" w:color="auto" w:fill="C4EFCE"/>
            <w:noWrap/>
            <w:tcMar>
              <w:left w:w="28" w:type="dxa"/>
              <w:right w:w="28" w:type="dxa"/>
            </w:tcMar>
            <w:vAlign w:val="center"/>
            <w:hideMark/>
          </w:tcPr>
          <w:p w14:paraId="5002EC4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58" w:type="dxa"/>
            <w:shd w:val="clear" w:color="auto" w:fill="C4EFCE"/>
            <w:noWrap/>
            <w:tcMar>
              <w:left w:w="28" w:type="dxa"/>
              <w:right w:w="28" w:type="dxa"/>
            </w:tcMar>
            <w:vAlign w:val="center"/>
            <w:hideMark/>
          </w:tcPr>
          <w:p w14:paraId="1B30711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Systém monitorovania krajinnej pokrývky (SMOS)</w:t>
            </w:r>
          </w:p>
        </w:tc>
        <w:tc>
          <w:tcPr>
            <w:tcW w:w="825" w:type="dxa"/>
            <w:shd w:val="clear" w:color="auto" w:fill="C4EFCE"/>
            <w:noWrap/>
            <w:tcMar>
              <w:left w:w="28" w:type="dxa"/>
              <w:right w:w="28" w:type="dxa"/>
            </w:tcMar>
            <w:vAlign w:val="center"/>
            <w:hideMark/>
          </w:tcPr>
          <w:p w14:paraId="2C7013EB" w14:textId="1DC9A7A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Uvedenie systému monitorovania krajinnej pokrývky (SMOS) do prevádzky</w:t>
            </w:r>
          </w:p>
        </w:tc>
        <w:tc>
          <w:tcPr>
            <w:tcW w:w="1022" w:type="dxa"/>
            <w:shd w:val="clear" w:color="auto" w:fill="C4EFCE"/>
            <w:noWrap/>
            <w:tcMar>
              <w:left w:w="28" w:type="dxa"/>
              <w:right w:w="28" w:type="dxa"/>
            </w:tcMar>
            <w:vAlign w:val="center"/>
            <w:hideMark/>
          </w:tcPr>
          <w:p w14:paraId="62B8E28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218" w:type="dxa"/>
            <w:shd w:val="clear" w:color="auto" w:fill="C4EFCE"/>
            <w:noWrap/>
            <w:tcMar>
              <w:left w:w="28" w:type="dxa"/>
              <w:right w:w="28" w:type="dxa"/>
            </w:tcMar>
            <w:vAlign w:val="center"/>
            <w:hideMark/>
          </w:tcPr>
          <w:p w14:paraId="69D846A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23" w:type="dxa"/>
            <w:shd w:val="clear" w:color="auto" w:fill="C4EFCE"/>
            <w:noWrap/>
            <w:tcMar>
              <w:left w:w="28" w:type="dxa"/>
              <w:right w:w="28" w:type="dxa"/>
            </w:tcMar>
            <w:vAlign w:val="center"/>
            <w:hideMark/>
          </w:tcPr>
          <w:p w14:paraId="291BC2D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noWrap/>
            <w:tcMar>
              <w:left w:w="28" w:type="dxa"/>
              <w:right w:w="28" w:type="dxa"/>
            </w:tcMar>
            <w:vAlign w:val="center"/>
            <w:hideMark/>
          </w:tcPr>
          <w:p w14:paraId="290FBA0F" w14:textId="2CDB6A0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54" w:type="dxa"/>
            <w:shd w:val="clear" w:color="auto" w:fill="C4EFCE"/>
            <w:noWrap/>
            <w:tcMar>
              <w:left w:w="28" w:type="dxa"/>
              <w:right w:w="28" w:type="dxa"/>
            </w:tcMar>
            <w:vAlign w:val="center"/>
            <w:hideMark/>
          </w:tcPr>
          <w:p w14:paraId="5B618B2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204" w:type="dxa"/>
            <w:shd w:val="clear" w:color="auto" w:fill="C4EFCE"/>
            <w:tcMar>
              <w:left w:w="28" w:type="dxa"/>
              <w:right w:w="28" w:type="dxa"/>
            </w:tcMar>
            <w:vAlign w:val="center"/>
            <w:hideMark/>
          </w:tcPr>
          <w:p w14:paraId="4823DF09" w14:textId="5991289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Sprevádzkovanie systému monitorovania krajinnej pokrývky (SMOS), ktorý zahŕňa pokrytie LiDAR, digitálny model terénu, model plodín</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vegetácie, mapy plodín</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vegetácie, mapy krajinnej pokrývky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satelitné pokrytie obrazu. </w:t>
            </w:r>
          </w:p>
        </w:tc>
      </w:tr>
      <w:tr w:rsidR="00387C70" w:rsidRPr="003F23AC" w14:paraId="538F72C3" w14:textId="77777777" w:rsidTr="009E4E5C">
        <w:trPr>
          <w:trHeight w:val="3977"/>
          <w:jc w:val="center"/>
        </w:trPr>
        <w:tc>
          <w:tcPr>
            <w:tcW w:w="1114" w:type="dxa"/>
            <w:shd w:val="clear" w:color="auto" w:fill="C4EFCE"/>
            <w:tcMar>
              <w:left w:w="28" w:type="dxa"/>
              <w:right w:w="28" w:type="dxa"/>
            </w:tcMar>
            <w:vAlign w:val="center"/>
            <w:hideMark/>
          </w:tcPr>
          <w:p w14:paraId="0C02FD1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8.19</w:t>
            </w:r>
          </w:p>
        </w:tc>
        <w:tc>
          <w:tcPr>
            <w:tcW w:w="1245" w:type="dxa"/>
            <w:shd w:val="clear" w:color="auto" w:fill="C4EFCE"/>
            <w:noWrap/>
            <w:tcMar>
              <w:left w:w="28" w:type="dxa"/>
              <w:right w:w="28" w:type="dxa"/>
            </w:tcMar>
            <w:vAlign w:val="center"/>
            <w:hideMark/>
          </w:tcPr>
          <w:p w14:paraId="69B302CF" w14:textId="3EE53A2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C08-r21</w:t>
            </w:r>
          </w:p>
        </w:tc>
        <w:tc>
          <w:tcPr>
            <w:tcW w:w="1107" w:type="dxa"/>
            <w:shd w:val="clear" w:color="auto" w:fill="C4EFCE"/>
            <w:noWrap/>
            <w:tcMar>
              <w:left w:w="28" w:type="dxa"/>
              <w:right w:w="28" w:type="dxa"/>
            </w:tcMar>
            <w:vAlign w:val="center"/>
            <w:hideMark/>
          </w:tcPr>
          <w:p w14:paraId="137FC1A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58" w:type="dxa"/>
            <w:shd w:val="clear" w:color="auto" w:fill="C4EFCE"/>
            <w:noWrap/>
            <w:tcMar>
              <w:left w:w="28" w:type="dxa"/>
              <w:right w:w="28" w:type="dxa"/>
            </w:tcMar>
            <w:vAlign w:val="center"/>
            <w:hideMark/>
          </w:tcPr>
          <w:p w14:paraId="2734E036" w14:textId="5B04677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Zákon</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vytvorení integrovaného systému riadenia požiarov na vidieku (SGIFR)</w:t>
            </w:r>
          </w:p>
        </w:tc>
        <w:tc>
          <w:tcPr>
            <w:tcW w:w="825" w:type="dxa"/>
            <w:shd w:val="clear" w:color="auto" w:fill="C4EFCE"/>
            <w:noWrap/>
            <w:tcMar>
              <w:left w:w="28" w:type="dxa"/>
              <w:right w:w="28" w:type="dxa"/>
            </w:tcMar>
            <w:vAlign w:val="center"/>
            <w:hideMark/>
          </w:tcPr>
          <w:p w14:paraId="328A4877" w14:textId="1541C35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zákona, ktorým sa zriaďuje integrovaný systém riadenia požiarov na vidieku (SIGIFR)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ktorým sa stanovujú jeho prevádzkové pravidlá.</w:t>
            </w:r>
          </w:p>
        </w:tc>
        <w:tc>
          <w:tcPr>
            <w:tcW w:w="1022" w:type="dxa"/>
            <w:shd w:val="clear" w:color="auto" w:fill="C4EFCE"/>
            <w:noWrap/>
            <w:tcMar>
              <w:left w:w="28" w:type="dxa"/>
              <w:right w:w="28" w:type="dxa"/>
            </w:tcMar>
            <w:vAlign w:val="center"/>
            <w:hideMark/>
          </w:tcPr>
          <w:p w14:paraId="7E0AD6B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218" w:type="dxa"/>
            <w:shd w:val="clear" w:color="auto" w:fill="C4EFCE"/>
            <w:noWrap/>
            <w:tcMar>
              <w:left w:w="28" w:type="dxa"/>
              <w:right w:w="28" w:type="dxa"/>
            </w:tcMar>
            <w:vAlign w:val="center"/>
            <w:hideMark/>
          </w:tcPr>
          <w:p w14:paraId="00DB3FD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23" w:type="dxa"/>
            <w:shd w:val="clear" w:color="auto" w:fill="C4EFCE"/>
            <w:noWrap/>
            <w:tcMar>
              <w:left w:w="28" w:type="dxa"/>
              <w:right w:w="28" w:type="dxa"/>
            </w:tcMar>
            <w:vAlign w:val="center"/>
            <w:hideMark/>
          </w:tcPr>
          <w:p w14:paraId="762DA2A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9" w:type="dxa"/>
            <w:shd w:val="clear" w:color="auto" w:fill="C4EFCE"/>
            <w:noWrap/>
            <w:tcMar>
              <w:left w:w="28" w:type="dxa"/>
              <w:right w:w="28" w:type="dxa"/>
            </w:tcMar>
            <w:vAlign w:val="center"/>
            <w:hideMark/>
          </w:tcPr>
          <w:p w14:paraId="4FC4CDCF" w14:textId="3BF357A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54" w:type="dxa"/>
            <w:shd w:val="clear" w:color="auto" w:fill="C4EFCE"/>
            <w:noWrap/>
            <w:tcMar>
              <w:left w:w="28" w:type="dxa"/>
              <w:right w:w="28" w:type="dxa"/>
            </w:tcMar>
            <w:vAlign w:val="center"/>
            <w:hideMark/>
          </w:tcPr>
          <w:p w14:paraId="4C1862F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4204" w:type="dxa"/>
            <w:shd w:val="clear" w:color="auto" w:fill="C4EFCE"/>
            <w:tcMar>
              <w:left w:w="28" w:type="dxa"/>
              <w:right w:w="28" w:type="dxa"/>
            </w:tcMar>
            <w:vAlign w:val="center"/>
            <w:hideMark/>
          </w:tcPr>
          <w:p w14:paraId="5C398852" w14:textId="07A5A991"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Integrovaný systém riadenia požiarov na vidieku (SGIFR) poskytuje na vnútroštátnej úrovni makropolitiky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strategické usmernenia, ktoré prispievajú</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zníženiu rizika požiarov na vidieku</w:t>
            </w:r>
            <w:r w:rsidR="00A75B3C" w:rsidRPr="003F23AC">
              <w:rPr>
                <w:rFonts w:ascii="Times New Roman" w:hAnsi="Times New Roman" w:cs="Times New Roman"/>
                <w:noProof/>
                <w:lang w:val="sk-SK"/>
              </w:rPr>
              <w:t xml:space="preserve"> a k </w:t>
            </w:r>
            <w:r w:rsidRPr="003F23AC">
              <w:rPr>
                <w:rFonts w:ascii="Times New Roman" w:hAnsi="Times New Roman" w:cs="Times New Roman"/>
                <w:noProof/>
                <w:lang w:val="sk-SK"/>
              </w:rPr>
              <w:t>zmene správania vlastníkov, užívateľov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priamych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nepriamych príjemcov vidieckeho územia.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systéme sa vymedzujú modely medzirezortnej koordinácie, pričom sa vymedzujú právomoci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rozsah činnosti každého subjektu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SIGIFR</w:t>
            </w:r>
            <w:r w:rsidR="00A75B3C" w:rsidRPr="003F23AC">
              <w:rPr>
                <w:rFonts w:ascii="Times New Roman" w:hAnsi="Times New Roman" w:cs="Times New Roman"/>
                <w:noProof/>
                <w:lang w:val="sk-SK"/>
              </w:rPr>
              <w:t>.</w:t>
            </w:r>
          </w:p>
          <w:p w14:paraId="5E99F66C" w14:textId="303F885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Vymedzuje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ňom obsah rôznych nástrojov integrovaného plánovania riadenia požiarov na vidieku na vnútroštátnej, regionálnej, subregionálnej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komunálnej úrovni. Zriaďuje sa informačný systém</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požiaroch na vidieku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zhromažďovať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šíriť všetky relevantné technické informácie zo SIGIFR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existuje jasný záväzok vymedziť model založený na prevencii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minimalizácii rizík,</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to buď prostredníctvom osvetových činností, alebo prostredníctvom vytvorenia regionálnych obranných sietí,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ktorých má riadenie palív vedúcu úlohu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sankčnom režime. Napokon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ňom stanovuje model riadenia, monitorovania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hodnotenia, ktorý prispeje</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neustálemu zlepšovaniu verejných politík</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programov.</w:t>
            </w:r>
          </w:p>
        </w:tc>
      </w:tr>
    </w:tbl>
    <w:p w14:paraId="57422AFC"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349777E8" w14:textId="77777777" w:rsidR="00387C70" w:rsidRPr="003F23AC" w:rsidRDefault="00387C70" w:rsidP="003F23AC">
      <w:pPr>
        <w:spacing w:before="40" w:after="0" w:line="259" w:lineRule="auto"/>
        <w:ind w:left="130" w:firstLine="720"/>
        <w:jc w:val="both"/>
        <w:outlineLvl w:val="2"/>
        <w:rPr>
          <w:rFonts w:ascii="Times New Roman" w:eastAsiaTheme="minorEastAsia" w:hAnsi="Times New Roman" w:cs="Times New Roman"/>
          <w:b/>
          <w:noProof/>
          <w:sz w:val="24"/>
          <w:u w:val="single"/>
          <w:lang w:val="sk-SK"/>
        </w:rPr>
        <w:sectPr w:rsidR="00387C70" w:rsidRPr="003F23AC" w:rsidSect="00E00EDD">
          <w:headerReference w:type="even" r:id="rId174"/>
          <w:headerReference w:type="default" r:id="rId175"/>
          <w:footerReference w:type="even" r:id="rId176"/>
          <w:footerReference w:type="default" r:id="rId177"/>
          <w:headerReference w:type="first" r:id="rId178"/>
          <w:footerReference w:type="first" r:id="rId179"/>
          <w:pgSz w:w="16839" w:h="11907" w:orient="landscape"/>
          <w:pgMar w:top="1134" w:right="1134" w:bottom="1134" w:left="1134" w:header="567" w:footer="567" w:gutter="0"/>
          <w:cols w:space="720"/>
          <w:docGrid w:linePitch="360"/>
        </w:sectPr>
      </w:pPr>
    </w:p>
    <w:p w14:paraId="31DFC5DD" w14:textId="0A9770CC"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I</w:t>
      </w:r>
      <w:r w:rsidR="00C32C63" w:rsidRPr="003F23AC">
        <w:rPr>
          <w:rFonts w:cs="Times New Roman"/>
          <w:noProof/>
          <w:lang w:val="sk-SK"/>
        </w:rPr>
        <w:t>. KOMPONENT</w:t>
      </w:r>
      <w:r w:rsidRPr="003F23AC">
        <w:rPr>
          <w:rFonts w:cs="Times New Roman"/>
          <w:noProof/>
          <w:lang w:val="sk-SK"/>
        </w:rPr>
        <w:t xml:space="preserve"> 9: Vodné hospodárstvo</w:t>
      </w:r>
    </w:p>
    <w:p w14:paraId="70B68D2B" w14:textId="2E967526" w:rsidR="00387C70" w:rsidRPr="003F23AC" w:rsidRDefault="000F5AA4" w:rsidP="003F23AC">
      <w:pPr>
        <w:pStyle w:val="P68B1DB1-Normal4"/>
        <w:spacing w:before="40" w:after="0" w:line="259" w:lineRule="auto"/>
        <w:jc w:val="both"/>
        <w:rPr>
          <w:rFonts w:eastAsiaTheme="minorEastAsia" w:cs="Times New Roman"/>
          <w:i/>
          <w:noProof/>
          <w:lang w:val="sk-SK"/>
        </w:rPr>
      </w:pPr>
      <w:r w:rsidRPr="003F23AC">
        <w:rPr>
          <w:rFonts w:cs="Times New Roman"/>
          <w:noProof/>
          <w:lang w:val="sk-SK"/>
        </w:rPr>
        <w:t>Zložka sa zaoberá týmito výzvami: riešiť vysoký tlak na systémy skladovania, ktoré zabezpečujú zásobovanie vodou,</w:t>
      </w:r>
      <w:r w:rsidR="00A75B3C" w:rsidRPr="003F23AC">
        <w:rPr>
          <w:rFonts w:cs="Times New Roman"/>
          <w:noProof/>
          <w:lang w:val="sk-SK"/>
        </w:rPr>
        <w:t xml:space="preserve"> a </w:t>
      </w:r>
      <w:r w:rsidRPr="003F23AC">
        <w:rPr>
          <w:rFonts w:cs="Times New Roman"/>
          <w:noProof/>
          <w:lang w:val="sk-SK"/>
        </w:rPr>
        <w:t>zlepšiť efektívnosť využívania vody</w:t>
      </w:r>
      <w:r w:rsidR="00A75B3C" w:rsidRPr="003F23AC">
        <w:rPr>
          <w:rFonts w:cs="Times New Roman"/>
          <w:noProof/>
          <w:lang w:val="sk-SK"/>
        </w:rPr>
        <w:t xml:space="preserve"> s </w:t>
      </w:r>
      <w:r w:rsidRPr="003F23AC">
        <w:rPr>
          <w:rFonts w:cs="Times New Roman"/>
          <w:noProof/>
          <w:lang w:val="sk-SK"/>
        </w:rPr>
        <w:t>cieľom čeliť obmedzeniam spôsobeným očakávaným ročným poklesom zrážok, vyššou frekvenciou sucha, sezónnosťou</w:t>
      </w:r>
      <w:r w:rsidR="00A75B3C" w:rsidRPr="003F23AC">
        <w:rPr>
          <w:rFonts w:cs="Times New Roman"/>
          <w:noProof/>
          <w:lang w:val="sk-SK"/>
        </w:rPr>
        <w:t xml:space="preserve"> a </w:t>
      </w:r>
      <w:r w:rsidRPr="003F23AC">
        <w:rPr>
          <w:rFonts w:cs="Times New Roman"/>
          <w:noProof/>
          <w:lang w:val="sk-SK"/>
        </w:rPr>
        <w:t>nárastom úniku vody</w:t>
      </w:r>
    </w:p>
    <w:p w14:paraId="002B2FFB" w14:textId="2001618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zložky je zmierniť nedostatok vody</w:t>
      </w:r>
      <w:r w:rsidR="00A75B3C" w:rsidRPr="003F23AC">
        <w:rPr>
          <w:rFonts w:cs="Times New Roman"/>
          <w:noProof/>
          <w:lang w:val="sk-SK"/>
        </w:rPr>
        <w:t xml:space="preserve"> a </w:t>
      </w:r>
      <w:r w:rsidRPr="003F23AC">
        <w:rPr>
          <w:rFonts w:cs="Times New Roman"/>
          <w:noProof/>
          <w:lang w:val="sk-SK"/>
        </w:rPr>
        <w:t>zabezpečiť odolnosť regiónov</w:t>
      </w:r>
      <w:r w:rsidR="00A75B3C" w:rsidRPr="003F23AC">
        <w:rPr>
          <w:rFonts w:cs="Times New Roman"/>
          <w:noProof/>
          <w:lang w:val="sk-SK"/>
        </w:rPr>
        <w:t xml:space="preserve"> s </w:t>
      </w:r>
      <w:r w:rsidRPr="003F23AC">
        <w:rPr>
          <w:rFonts w:cs="Times New Roman"/>
          <w:noProof/>
          <w:lang w:val="sk-SK"/>
        </w:rPr>
        <w:t>najväčším problémom sucha</w:t>
      </w:r>
      <w:r w:rsidR="00A75B3C" w:rsidRPr="003F23AC">
        <w:rPr>
          <w:rFonts w:cs="Times New Roman"/>
          <w:noProof/>
          <w:lang w:val="sk-SK"/>
        </w:rPr>
        <w:t xml:space="preserve"> a </w:t>
      </w:r>
      <w:r w:rsidRPr="003F23AC">
        <w:rPr>
          <w:rFonts w:cs="Times New Roman"/>
          <w:noProof/>
          <w:lang w:val="sk-SK"/>
        </w:rPr>
        <w:t>kritickou potrebou účinného zásahu na zabezpečenie dodávok vody</w:t>
      </w:r>
      <w:r w:rsidR="00A75B3C" w:rsidRPr="003F23AC">
        <w:rPr>
          <w:rFonts w:cs="Times New Roman"/>
          <w:noProof/>
          <w:lang w:val="sk-SK"/>
        </w:rPr>
        <w:t xml:space="preserve"> v </w:t>
      </w:r>
      <w:r w:rsidRPr="003F23AC">
        <w:rPr>
          <w:rFonts w:cs="Times New Roman"/>
          <w:noProof/>
          <w:lang w:val="sk-SK"/>
        </w:rPr>
        <w:t>Algarve, Alentejo</w:t>
      </w:r>
      <w:r w:rsidR="00A75B3C" w:rsidRPr="003F23AC">
        <w:rPr>
          <w:rFonts w:cs="Times New Roman"/>
          <w:noProof/>
          <w:lang w:val="sk-SK"/>
        </w:rPr>
        <w:t xml:space="preserve"> a </w:t>
      </w:r>
      <w:r w:rsidRPr="003F23AC">
        <w:rPr>
          <w:rFonts w:cs="Times New Roman"/>
          <w:noProof/>
          <w:lang w:val="sk-SK"/>
        </w:rPr>
        <w:t>Madeire</w:t>
      </w:r>
      <w:r w:rsidR="00A75B3C" w:rsidRPr="003F23AC">
        <w:rPr>
          <w:rFonts w:cs="Times New Roman"/>
          <w:noProof/>
          <w:lang w:val="sk-SK"/>
        </w:rPr>
        <w:t>.</w:t>
      </w:r>
    </w:p>
    <w:p w14:paraId="4A1D2D18" w14:textId="7CA71840"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Zvýšená odolnosť voči vode má mimoriadny význam pre rozvoj týchto troch regiónov, čo predstavuje aj povinnú podmienku pre cestovný ruch</w:t>
      </w:r>
      <w:r w:rsidR="00A75B3C" w:rsidRPr="003F23AC">
        <w:rPr>
          <w:rFonts w:cs="Times New Roman"/>
          <w:noProof/>
          <w:lang w:val="sk-SK"/>
        </w:rPr>
        <w:t xml:space="preserve"> a </w:t>
      </w:r>
      <w:r w:rsidRPr="003F23AC">
        <w:rPr>
          <w:rFonts w:cs="Times New Roman"/>
          <w:noProof/>
          <w:lang w:val="sk-SK"/>
        </w:rPr>
        <w:t>ekosystémy (najmä</w:t>
      </w:r>
      <w:r w:rsidR="00A75B3C" w:rsidRPr="003F23AC">
        <w:rPr>
          <w:rFonts w:cs="Times New Roman"/>
          <w:noProof/>
          <w:lang w:val="sk-SK"/>
        </w:rPr>
        <w:t xml:space="preserve"> v </w:t>
      </w:r>
      <w:r w:rsidRPr="003F23AC">
        <w:rPr>
          <w:rFonts w:cs="Times New Roman"/>
          <w:noProof/>
          <w:lang w:val="sk-SK"/>
        </w:rPr>
        <w:t>Algarve</w:t>
      </w:r>
      <w:r w:rsidR="00A75B3C" w:rsidRPr="003F23AC">
        <w:rPr>
          <w:rFonts w:cs="Times New Roman"/>
          <w:noProof/>
          <w:lang w:val="sk-SK"/>
        </w:rPr>
        <w:t xml:space="preserve"> a </w:t>
      </w:r>
      <w:r w:rsidRPr="003F23AC">
        <w:rPr>
          <w:rFonts w:cs="Times New Roman"/>
          <w:noProof/>
          <w:lang w:val="sk-SK"/>
        </w:rPr>
        <w:t>Madeire), poľnohospodárstvo (Alentejo</w:t>
      </w:r>
      <w:r w:rsidR="00A75B3C" w:rsidRPr="003F23AC">
        <w:rPr>
          <w:rFonts w:cs="Times New Roman"/>
          <w:noProof/>
          <w:lang w:val="sk-SK"/>
        </w:rPr>
        <w:t xml:space="preserve"> a </w:t>
      </w:r>
      <w:r w:rsidRPr="003F23AC">
        <w:rPr>
          <w:rFonts w:cs="Times New Roman"/>
          <w:noProof/>
          <w:lang w:val="sk-SK"/>
        </w:rPr>
        <w:t>Madeira), rekonfiguráciu hospodárskej činnosti (Alentejo)</w:t>
      </w:r>
      <w:r w:rsidR="00A75B3C" w:rsidRPr="003F23AC">
        <w:rPr>
          <w:rFonts w:cs="Times New Roman"/>
          <w:noProof/>
          <w:lang w:val="sk-SK"/>
        </w:rPr>
        <w:t xml:space="preserve"> a </w:t>
      </w:r>
      <w:r w:rsidRPr="003F23AC">
        <w:rPr>
          <w:rFonts w:cs="Times New Roman"/>
          <w:noProof/>
          <w:lang w:val="sk-SK"/>
        </w:rPr>
        <w:t>pre reakciu na kombinovaný tlak špičky potrieb zavlažovania</w:t>
      </w:r>
      <w:r w:rsidR="00A75B3C" w:rsidRPr="003F23AC">
        <w:rPr>
          <w:rFonts w:cs="Times New Roman"/>
          <w:noProof/>
          <w:lang w:val="sk-SK"/>
        </w:rPr>
        <w:t xml:space="preserve"> a </w:t>
      </w:r>
      <w:r w:rsidRPr="003F23AC">
        <w:rPr>
          <w:rFonts w:cs="Times New Roman"/>
          <w:noProof/>
          <w:lang w:val="sk-SK"/>
        </w:rPr>
        <w:t>ľudskej spotreby (Madeira).</w:t>
      </w:r>
    </w:p>
    <w:p w14:paraId="06C034E7" w14:textId="5585317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zložka prispieva</w:t>
      </w:r>
      <w:r w:rsidR="00A75B3C" w:rsidRPr="003F23AC">
        <w:rPr>
          <w:rFonts w:cs="Times New Roman"/>
          <w:noProof/>
          <w:lang w:val="sk-SK"/>
        </w:rPr>
        <w:t xml:space="preserve"> k </w:t>
      </w:r>
      <w:r w:rsidRPr="003F23AC">
        <w:rPr>
          <w:rFonts w:cs="Times New Roman"/>
          <w:noProof/>
          <w:lang w:val="sk-SK"/>
        </w:rPr>
        <w:t>plneniu odporúčania pre jednotlivé krajiny týkajúceho sa investícií do klimatickej transformácie (odporúčanie pre jednotlivé krajiny 3 2020)</w:t>
      </w:r>
      <w:r w:rsidR="00A75B3C" w:rsidRPr="003F23AC">
        <w:rPr>
          <w:rFonts w:cs="Times New Roman"/>
          <w:noProof/>
          <w:lang w:val="sk-SK"/>
        </w:rPr>
        <w:t>.</w:t>
      </w:r>
    </w:p>
    <w:p w14:paraId="30738FC0" w14:textId="71D1D96F"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 xml:space="preserve">I.1. </w:t>
      </w:r>
      <w:r w:rsidRPr="003F23AC">
        <w:rPr>
          <w:rFonts w:cs="Times New Roman"/>
          <w:noProof/>
          <w:lang w:val="sk-SK"/>
        </w:rPr>
        <w:tab/>
        <w:t>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5C5E8493" w14:textId="7777777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RE-C09-i01: Algarve Regionálny plán pre efektívne využívanie vody</w:t>
      </w:r>
    </w:p>
    <w:p w14:paraId="008D3E2D" w14:textId="21E18CD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reagovať na nedostatok vody</w:t>
      </w:r>
      <w:r w:rsidR="00A75B3C" w:rsidRPr="003F23AC">
        <w:rPr>
          <w:rFonts w:cs="Times New Roman"/>
          <w:noProof/>
          <w:lang w:val="sk-SK"/>
        </w:rPr>
        <w:t xml:space="preserve"> v </w:t>
      </w:r>
      <w:r w:rsidRPr="003F23AC">
        <w:rPr>
          <w:rFonts w:cs="Times New Roman"/>
          <w:noProof/>
          <w:lang w:val="sk-SK"/>
        </w:rPr>
        <w:t>Algarve, ktorý sa vzhľadom na zmenu klímy naďalej zhoršuje. Reakcia je potrebná na pokračovanie</w:t>
      </w:r>
      <w:r w:rsidR="00A75B3C" w:rsidRPr="003F23AC">
        <w:rPr>
          <w:rFonts w:cs="Times New Roman"/>
          <w:noProof/>
          <w:lang w:val="sk-SK"/>
        </w:rPr>
        <w:t xml:space="preserve"> a </w:t>
      </w:r>
      <w:r w:rsidRPr="003F23AC">
        <w:rPr>
          <w:rFonts w:cs="Times New Roman"/>
          <w:noProof/>
          <w:lang w:val="sk-SK"/>
        </w:rPr>
        <w:t>rozvoj hospodárskej činnosti</w:t>
      </w:r>
      <w:r w:rsidR="00A75B3C" w:rsidRPr="003F23AC">
        <w:rPr>
          <w:rFonts w:cs="Times New Roman"/>
          <w:noProof/>
          <w:lang w:val="sk-SK"/>
        </w:rPr>
        <w:t xml:space="preserve"> a </w:t>
      </w:r>
      <w:r w:rsidRPr="003F23AC">
        <w:rPr>
          <w:rFonts w:cs="Times New Roman"/>
          <w:noProof/>
          <w:lang w:val="sk-SK"/>
        </w:rPr>
        <w:t>na diverzifikáciu hospodárstva Algarve</w:t>
      </w:r>
      <w:r w:rsidR="00A75B3C" w:rsidRPr="003F23AC">
        <w:rPr>
          <w:rFonts w:cs="Times New Roman"/>
          <w:noProof/>
          <w:lang w:val="sk-SK"/>
        </w:rPr>
        <w:t>.</w:t>
      </w:r>
    </w:p>
    <w:p w14:paraId="7288C6E0" w14:textId="27147C7C"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opatrení na zníženie strát vody</w:t>
      </w:r>
      <w:r w:rsidR="00A75B3C" w:rsidRPr="003F23AC">
        <w:rPr>
          <w:rFonts w:cs="Times New Roman"/>
          <w:noProof/>
          <w:lang w:val="sk-SK"/>
        </w:rPr>
        <w:t xml:space="preserve"> v </w:t>
      </w:r>
      <w:r w:rsidRPr="003F23AC">
        <w:rPr>
          <w:rFonts w:cs="Times New Roman"/>
          <w:noProof/>
          <w:lang w:val="sk-SK"/>
        </w:rPr>
        <w:t>mestskom</w:t>
      </w:r>
      <w:r w:rsidR="00A75B3C" w:rsidRPr="003F23AC">
        <w:rPr>
          <w:rFonts w:cs="Times New Roman"/>
          <w:noProof/>
          <w:lang w:val="sk-SK"/>
        </w:rPr>
        <w:t xml:space="preserve"> a </w:t>
      </w:r>
      <w:r w:rsidRPr="003F23AC">
        <w:rPr>
          <w:rFonts w:cs="Times New Roman"/>
          <w:noProof/>
          <w:lang w:val="sk-SK"/>
        </w:rPr>
        <w:t>poľnohospodárskom sektore</w:t>
      </w:r>
      <w:r w:rsidR="00A75B3C" w:rsidRPr="003F23AC">
        <w:rPr>
          <w:rFonts w:cs="Times New Roman"/>
          <w:noProof/>
          <w:lang w:val="sk-SK"/>
        </w:rPr>
        <w:t xml:space="preserve"> v </w:t>
      </w:r>
      <w:r w:rsidRPr="003F23AC">
        <w:rPr>
          <w:rFonts w:cs="Times New Roman"/>
          <w:noProof/>
          <w:lang w:val="sk-SK"/>
        </w:rPr>
        <w:t>Algarve prostredníctvom účinnejších zavlažovacích technológií, ako aj na podporu opätovného využívania upravenej odpadovej vody. Na úrovni dodávok sa</w:t>
      </w:r>
      <w:r w:rsidR="00A75B3C" w:rsidRPr="003F23AC">
        <w:rPr>
          <w:rFonts w:cs="Times New Roman"/>
          <w:noProof/>
          <w:lang w:val="sk-SK"/>
        </w:rPr>
        <w:t xml:space="preserve"> v </w:t>
      </w:r>
      <w:r w:rsidRPr="003F23AC">
        <w:rPr>
          <w:rFonts w:cs="Times New Roman"/>
          <w:noProof/>
          <w:lang w:val="sk-SK"/>
        </w:rPr>
        <w:t>rámci opatrení zváži využitie existujúcej kapacity</w:t>
      </w:r>
      <w:r w:rsidR="00A75B3C" w:rsidRPr="003F23AC">
        <w:rPr>
          <w:rFonts w:cs="Times New Roman"/>
          <w:noProof/>
          <w:lang w:val="sk-SK"/>
        </w:rPr>
        <w:t xml:space="preserve"> a </w:t>
      </w:r>
      <w:r w:rsidRPr="003F23AC">
        <w:rPr>
          <w:rFonts w:cs="Times New Roman"/>
          <w:noProof/>
          <w:lang w:val="sk-SK"/>
        </w:rPr>
        <w:t>zlepšenie odolnosti existujúcich nádrží zvýšením prítoku do nádrže Odeleite odberom na rieke Guadiana, posilnením strategických rezerv</w:t>
      </w:r>
      <w:r w:rsidR="00A75B3C" w:rsidRPr="003F23AC">
        <w:rPr>
          <w:rFonts w:cs="Times New Roman"/>
          <w:noProof/>
          <w:lang w:val="sk-SK"/>
        </w:rPr>
        <w:t xml:space="preserve"> a </w:t>
      </w:r>
      <w:r w:rsidRPr="003F23AC">
        <w:rPr>
          <w:rFonts w:cs="Times New Roman"/>
          <w:noProof/>
          <w:lang w:val="sk-SK"/>
        </w:rPr>
        <w:t>inštaláciou odsoľovača. Tieto nové zdroje vody musia fungovať najmä ako doplnok</w:t>
      </w:r>
      <w:r w:rsidR="00A75B3C" w:rsidRPr="003F23AC">
        <w:rPr>
          <w:rFonts w:cs="Times New Roman"/>
          <w:noProof/>
          <w:lang w:val="sk-SK"/>
        </w:rPr>
        <w:t xml:space="preserve"> k </w:t>
      </w:r>
      <w:r w:rsidRPr="003F23AC">
        <w:rPr>
          <w:rFonts w:cs="Times New Roman"/>
          <w:noProof/>
          <w:lang w:val="sk-SK"/>
        </w:rPr>
        <w:t>súčasnému využívaniu</w:t>
      </w:r>
      <w:r w:rsidR="00A75B3C" w:rsidRPr="003F23AC">
        <w:rPr>
          <w:rFonts w:cs="Times New Roman"/>
          <w:noProof/>
          <w:lang w:val="sk-SK"/>
        </w:rPr>
        <w:t xml:space="preserve"> s </w:t>
      </w:r>
      <w:r w:rsidRPr="003F23AC">
        <w:rPr>
          <w:rFonts w:cs="Times New Roman"/>
          <w:noProof/>
          <w:lang w:val="sk-SK"/>
        </w:rPr>
        <w:t>cieľom čeliť predvídateľným účinkom zmeny klímy. Bude tiež pozostávať</w:t>
      </w:r>
      <w:r w:rsidR="00A75B3C" w:rsidRPr="003F23AC">
        <w:rPr>
          <w:rFonts w:cs="Times New Roman"/>
          <w:noProof/>
          <w:lang w:val="sk-SK"/>
        </w:rPr>
        <w:t xml:space="preserve"> z </w:t>
      </w:r>
      <w:r w:rsidRPr="003F23AC">
        <w:rPr>
          <w:rFonts w:cs="Times New Roman"/>
          <w:noProof/>
          <w:lang w:val="sk-SK"/>
        </w:rPr>
        <w:t>opatrení na zintenzívnenie monitorovania, udeľovania licencií</w:t>
      </w:r>
      <w:r w:rsidR="00A75B3C" w:rsidRPr="003F23AC">
        <w:rPr>
          <w:rFonts w:cs="Times New Roman"/>
          <w:noProof/>
          <w:lang w:val="sk-SK"/>
        </w:rPr>
        <w:t xml:space="preserve"> a </w:t>
      </w:r>
      <w:r w:rsidRPr="003F23AC">
        <w:rPr>
          <w:rFonts w:cs="Times New Roman"/>
          <w:noProof/>
          <w:lang w:val="sk-SK"/>
        </w:rPr>
        <w:t>presadzovania.</w:t>
      </w:r>
    </w:p>
    <w:p w14:paraId="04427AA3" w14:textId="1F050504" w:rsidR="00387C70" w:rsidRPr="009E4E5C" w:rsidRDefault="000F5AA4" w:rsidP="003F23AC">
      <w:pPr>
        <w:pStyle w:val="P68B1DB1-Normal4"/>
        <w:spacing w:before="40" w:after="0" w:line="259" w:lineRule="auto"/>
        <w:jc w:val="both"/>
        <w:rPr>
          <w:rFonts w:eastAsiaTheme="minorEastAsia" w:cs="Times New Roman"/>
          <w:noProof/>
          <w:spacing w:val="-4"/>
          <w:lang w:val="sk-SK"/>
        </w:rPr>
      </w:pPr>
      <w:r w:rsidRPr="009E4E5C">
        <w:rPr>
          <w:rFonts w:cs="Times New Roman"/>
          <w:noProof/>
          <w:spacing w:val="-4"/>
          <w:lang w:val="sk-SK"/>
        </w:rPr>
        <w:t>Očakáva sa, že toto opatrenie výrazne nenarúša plnenie environmentálnych cieľov</w:t>
      </w:r>
      <w:r w:rsidR="00A75B3C" w:rsidRPr="009E4E5C">
        <w:rPr>
          <w:rFonts w:cs="Times New Roman"/>
          <w:noProof/>
          <w:spacing w:val="-4"/>
          <w:lang w:val="sk-SK"/>
        </w:rPr>
        <w:t xml:space="preserve"> v </w:t>
      </w:r>
      <w:r w:rsidRPr="009E4E5C">
        <w:rPr>
          <w:rFonts w:cs="Times New Roman"/>
          <w:noProof/>
          <w:spacing w:val="-4"/>
          <w:lang w:val="sk-SK"/>
        </w:rPr>
        <w:t>zmysle článku 17 nariadenia (EÚ) 2020/852, pričom sa zohľadní opis opatrenia</w:t>
      </w:r>
      <w:r w:rsidR="00A75B3C" w:rsidRPr="009E4E5C">
        <w:rPr>
          <w:rFonts w:cs="Times New Roman"/>
          <w:noProof/>
          <w:spacing w:val="-4"/>
          <w:lang w:val="sk-SK"/>
        </w:rPr>
        <w:t xml:space="preserve"> a </w:t>
      </w:r>
      <w:r w:rsidRPr="009E4E5C">
        <w:rPr>
          <w:rFonts w:cs="Times New Roman"/>
          <w:noProof/>
          <w:spacing w:val="-4"/>
          <w:lang w:val="sk-SK"/>
        </w:rPr>
        <w:t>zmierňujúce kroky stanovené</w:t>
      </w:r>
      <w:r w:rsidR="00A75B3C" w:rsidRPr="009E4E5C">
        <w:rPr>
          <w:rFonts w:cs="Times New Roman"/>
          <w:noProof/>
          <w:spacing w:val="-4"/>
          <w:lang w:val="sk-SK"/>
        </w:rPr>
        <w:t xml:space="preserve"> v </w:t>
      </w:r>
      <w:r w:rsidRPr="009E4E5C">
        <w:rPr>
          <w:rFonts w:cs="Times New Roman"/>
          <w:noProof/>
          <w:spacing w:val="-4"/>
          <w:lang w:val="sk-SK"/>
        </w:rPr>
        <w:t>pláne podpory obnovy</w:t>
      </w:r>
      <w:r w:rsidR="00A75B3C" w:rsidRPr="009E4E5C">
        <w:rPr>
          <w:rFonts w:cs="Times New Roman"/>
          <w:noProof/>
          <w:spacing w:val="-4"/>
          <w:lang w:val="sk-SK"/>
        </w:rPr>
        <w:t xml:space="preserve"> a </w:t>
      </w:r>
      <w:r w:rsidRPr="009E4E5C">
        <w:rPr>
          <w:rFonts w:cs="Times New Roman"/>
          <w:noProof/>
          <w:spacing w:val="-4"/>
          <w:lang w:val="sk-SK"/>
        </w:rPr>
        <w:t>odolnosti</w:t>
      </w:r>
      <w:r w:rsidR="00A75B3C" w:rsidRPr="009E4E5C">
        <w:rPr>
          <w:rFonts w:cs="Times New Roman"/>
          <w:noProof/>
          <w:spacing w:val="-4"/>
          <w:lang w:val="sk-SK"/>
        </w:rPr>
        <w:t xml:space="preserve"> v </w:t>
      </w:r>
      <w:r w:rsidRPr="009E4E5C">
        <w:rPr>
          <w:rFonts w:cs="Times New Roman"/>
          <w:noProof/>
          <w:spacing w:val="-4"/>
          <w:lang w:val="sk-SK"/>
        </w:rPr>
        <w:t>súlade</w:t>
      </w:r>
      <w:r w:rsidR="00A75B3C" w:rsidRPr="009E4E5C">
        <w:rPr>
          <w:rFonts w:cs="Times New Roman"/>
          <w:noProof/>
          <w:spacing w:val="-4"/>
          <w:lang w:val="sk-SK"/>
        </w:rPr>
        <w:t xml:space="preserve"> s </w:t>
      </w:r>
      <w:r w:rsidRPr="009E4E5C">
        <w:rPr>
          <w:rFonts w:cs="Times New Roman"/>
          <w:noProof/>
          <w:spacing w:val="-4"/>
          <w:lang w:val="sk-SK"/>
        </w:rPr>
        <w:t>technickým usmernením týkajúcim sa zásady „výrazne nenarušiť“ (2021/C58/01)</w:t>
      </w:r>
      <w:r w:rsidR="00A75B3C" w:rsidRPr="009E4E5C">
        <w:rPr>
          <w:rFonts w:cs="Times New Roman"/>
          <w:noProof/>
          <w:spacing w:val="-4"/>
          <w:lang w:val="sk-SK"/>
        </w:rPr>
        <w:t xml:space="preserve"> a </w:t>
      </w:r>
      <w:r w:rsidRPr="009E4E5C">
        <w:rPr>
          <w:rFonts w:cs="Times New Roman"/>
          <w:noProof/>
          <w:spacing w:val="-4"/>
          <w:lang w:val="sk-SK"/>
        </w:rPr>
        <w:t>míľniky</w:t>
      </w:r>
      <w:r w:rsidR="00A75B3C" w:rsidRPr="009E4E5C">
        <w:rPr>
          <w:rFonts w:cs="Times New Roman"/>
          <w:noProof/>
          <w:spacing w:val="-4"/>
          <w:lang w:val="sk-SK"/>
        </w:rPr>
        <w:t xml:space="preserve"> a </w:t>
      </w:r>
      <w:r w:rsidRPr="009E4E5C">
        <w:rPr>
          <w:rFonts w:cs="Times New Roman"/>
          <w:noProof/>
          <w:spacing w:val="-4"/>
          <w:lang w:val="sk-SK"/>
        </w:rPr>
        <w:t>ciele, ktoré má Portugalsko splniť. Najmä všetky projekty, ktoré môžu mať významný vplyv na životné prostredie, podliehajú posudzovaniu vplyvov na životné prostredie (EIA), ktoré sa dokončí</w:t>
      </w:r>
      <w:r w:rsidR="00A75B3C" w:rsidRPr="009E4E5C">
        <w:rPr>
          <w:rFonts w:cs="Times New Roman"/>
          <w:noProof/>
          <w:spacing w:val="-4"/>
          <w:lang w:val="sk-SK"/>
        </w:rPr>
        <w:t xml:space="preserve"> v </w:t>
      </w:r>
      <w:r w:rsidRPr="009E4E5C">
        <w:rPr>
          <w:rFonts w:cs="Times New Roman"/>
          <w:noProof/>
          <w:spacing w:val="-4"/>
          <w:lang w:val="sk-SK"/>
        </w:rPr>
        <w:t>súlade so smernicou Európskeho parlamentu</w:t>
      </w:r>
      <w:r w:rsidR="00A75B3C" w:rsidRPr="009E4E5C">
        <w:rPr>
          <w:rFonts w:cs="Times New Roman"/>
          <w:noProof/>
          <w:spacing w:val="-4"/>
          <w:lang w:val="sk-SK"/>
        </w:rPr>
        <w:t xml:space="preserve"> a </w:t>
      </w:r>
      <w:r w:rsidRPr="009E4E5C">
        <w:rPr>
          <w:rFonts w:cs="Times New Roman"/>
          <w:noProof/>
          <w:spacing w:val="-4"/>
          <w:lang w:val="sk-SK"/>
        </w:rPr>
        <w:t>Rady 2011/92/EÚ</w:t>
      </w:r>
      <w:r w:rsidR="00A75B3C" w:rsidRPr="009E4E5C">
        <w:rPr>
          <w:rFonts w:cs="Times New Roman"/>
          <w:noProof/>
          <w:spacing w:val="-4"/>
          <w:lang w:val="sk-SK"/>
        </w:rPr>
        <w:t xml:space="preserve"> z </w:t>
      </w:r>
      <w:r w:rsidRPr="009E4E5C">
        <w:rPr>
          <w:rFonts w:cs="Times New Roman"/>
          <w:noProof/>
          <w:spacing w:val="-4"/>
          <w:lang w:val="sk-SK"/>
        </w:rPr>
        <w:t>13</w:t>
      </w:r>
      <w:r w:rsidR="00A75B3C" w:rsidRPr="009E4E5C">
        <w:rPr>
          <w:rFonts w:cs="Times New Roman"/>
          <w:noProof/>
          <w:spacing w:val="-4"/>
          <w:lang w:val="sk-SK"/>
        </w:rPr>
        <w:t>. decembra</w:t>
      </w:r>
      <w:r w:rsidRPr="009E4E5C">
        <w:rPr>
          <w:rFonts w:cs="Times New Roman"/>
          <w:noProof/>
          <w:spacing w:val="-4"/>
          <w:lang w:val="sk-SK"/>
        </w:rPr>
        <w:t xml:space="preserve"> 2011</w:t>
      </w:r>
      <w:r w:rsidR="00A75B3C" w:rsidRPr="009E4E5C">
        <w:rPr>
          <w:rFonts w:cs="Times New Roman"/>
          <w:noProof/>
          <w:spacing w:val="-4"/>
          <w:lang w:val="sk-SK"/>
        </w:rPr>
        <w:t xml:space="preserve"> o </w:t>
      </w:r>
      <w:r w:rsidRPr="009E4E5C">
        <w:rPr>
          <w:rFonts w:cs="Times New Roman"/>
          <w:noProof/>
          <w:spacing w:val="-4"/>
          <w:lang w:val="sk-SK"/>
        </w:rPr>
        <w:t>posudzovaní vplyvov určitých verejných</w:t>
      </w:r>
      <w:r w:rsidR="00A75B3C" w:rsidRPr="009E4E5C">
        <w:rPr>
          <w:rFonts w:cs="Times New Roman"/>
          <w:noProof/>
          <w:spacing w:val="-4"/>
          <w:lang w:val="sk-SK"/>
        </w:rPr>
        <w:t xml:space="preserve"> a </w:t>
      </w:r>
      <w:r w:rsidRPr="009E4E5C">
        <w:rPr>
          <w:rFonts w:cs="Times New Roman"/>
          <w:noProof/>
          <w:spacing w:val="-4"/>
          <w:lang w:val="sk-SK"/>
        </w:rPr>
        <w:t>súkromných projektov na životné prostredie, ako aj príslušným posúdeniam</w:t>
      </w:r>
      <w:r w:rsidR="00A75B3C" w:rsidRPr="009E4E5C">
        <w:rPr>
          <w:rFonts w:cs="Times New Roman"/>
          <w:noProof/>
          <w:spacing w:val="-4"/>
          <w:lang w:val="sk-SK"/>
        </w:rPr>
        <w:t xml:space="preserve"> v </w:t>
      </w:r>
      <w:r w:rsidRPr="009E4E5C">
        <w:rPr>
          <w:rFonts w:cs="Times New Roman"/>
          <w:noProof/>
          <w:spacing w:val="-4"/>
          <w:lang w:val="sk-SK"/>
        </w:rPr>
        <w:t>kontexte smernice Európskeho parlamentu</w:t>
      </w:r>
      <w:r w:rsidR="00A75B3C" w:rsidRPr="009E4E5C">
        <w:rPr>
          <w:rFonts w:cs="Times New Roman"/>
          <w:noProof/>
          <w:spacing w:val="-4"/>
          <w:lang w:val="sk-SK"/>
        </w:rPr>
        <w:t xml:space="preserve"> a </w:t>
      </w:r>
      <w:r w:rsidRPr="009E4E5C">
        <w:rPr>
          <w:rFonts w:cs="Times New Roman"/>
          <w:noProof/>
          <w:spacing w:val="-4"/>
          <w:lang w:val="sk-SK"/>
        </w:rPr>
        <w:t>Rady 2000/60/ES, ktorou sa stanovuje rámec pôsobnosti pre opatrenia Spoločenstva</w:t>
      </w:r>
      <w:r w:rsidR="00A75B3C" w:rsidRPr="009E4E5C">
        <w:rPr>
          <w:rFonts w:cs="Times New Roman"/>
          <w:noProof/>
          <w:spacing w:val="-4"/>
          <w:lang w:val="sk-SK"/>
        </w:rPr>
        <w:t xml:space="preserve"> v </w:t>
      </w:r>
      <w:r w:rsidRPr="009E4E5C">
        <w:rPr>
          <w:rFonts w:cs="Times New Roman"/>
          <w:noProof/>
          <w:spacing w:val="-4"/>
          <w:lang w:val="sk-SK"/>
        </w:rPr>
        <w:t>oblasti vodného hospodárstva, alebo skrátka, rámcovou smernicou EÚ</w:t>
      </w:r>
      <w:r w:rsidR="00A75B3C" w:rsidRPr="009E4E5C">
        <w:rPr>
          <w:rFonts w:cs="Times New Roman"/>
          <w:noProof/>
          <w:spacing w:val="-4"/>
          <w:lang w:val="sk-SK"/>
        </w:rPr>
        <w:t xml:space="preserve"> o </w:t>
      </w:r>
      <w:r w:rsidRPr="009E4E5C">
        <w:rPr>
          <w:rFonts w:cs="Times New Roman"/>
          <w:noProof/>
          <w:spacing w:val="-4"/>
          <w:lang w:val="sk-SK"/>
        </w:rPr>
        <w:t>vode vrátane vykonávania požadovaných zmierňujúcich opatrení, ktorými sa zabezpečí súlad</w:t>
      </w:r>
      <w:r w:rsidR="00A75B3C" w:rsidRPr="009E4E5C">
        <w:rPr>
          <w:rFonts w:cs="Times New Roman"/>
          <w:noProof/>
          <w:spacing w:val="-4"/>
          <w:lang w:val="sk-SK"/>
        </w:rPr>
        <w:t xml:space="preserve"> s </w:t>
      </w:r>
      <w:r w:rsidRPr="009E4E5C">
        <w:rPr>
          <w:rFonts w:cs="Times New Roman"/>
          <w:noProof/>
          <w:spacing w:val="-4"/>
          <w:lang w:val="sk-SK"/>
        </w:rPr>
        <w:t>technickým usmernením týkajúcim sa zásady „výrazne nenarušiť“ (2021/C58/01). Všetky opatrenia identifikované</w:t>
      </w:r>
      <w:r w:rsidR="00A75B3C" w:rsidRPr="009E4E5C">
        <w:rPr>
          <w:rFonts w:cs="Times New Roman"/>
          <w:noProof/>
          <w:spacing w:val="-4"/>
          <w:lang w:val="sk-SK"/>
        </w:rPr>
        <w:t xml:space="preserve"> v </w:t>
      </w:r>
      <w:r w:rsidRPr="009E4E5C">
        <w:rPr>
          <w:rFonts w:cs="Times New Roman"/>
          <w:noProof/>
          <w:spacing w:val="-4"/>
          <w:lang w:val="sk-SK"/>
        </w:rPr>
        <w:t>rámci posudzovania vplyvov na životné prostredie</w:t>
      </w:r>
      <w:r w:rsidR="00A75B3C" w:rsidRPr="009E4E5C">
        <w:rPr>
          <w:rFonts w:cs="Times New Roman"/>
          <w:noProof/>
          <w:spacing w:val="-4"/>
          <w:lang w:val="sk-SK"/>
        </w:rPr>
        <w:t xml:space="preserve"> a </w:t>
      </w:r>
      <w:r w:rsidRPr="009E4E5C">
        <w:rPr>
          <w:rFonts w:cs="Times New Roman"/>
          <w:noProof/>
          <w:spacing w:val="-4"/>
          <w:lang w:val="sk-SK"/>
        </w:rPr>
        <w:t>posúdenia podľa smernice 2000/60/ES, ktoré sú potrebné na zabezpečenie súladu so zásadou „výrazne nenarušiť“, sa začlenia do projektu</w:t>
      </w:r>
      <w:r w:rsidR="00A75B3C" w:rsidRPr="009E4E5C">
        <w:rPr>
          <w:rFonts w:cs="Times New Roman"/>
          <w:noProof/>
          <w:spacing w:val="-4"/>
          <w:lang w:val="sk-SK"/>
        </w:rPr>
        <w:t xml:space="preserve"> a </w:t>
      </w:r>
      <w:r w:rsidRPr="009E4E5C">
        <w:rPr>
          <w:rFonts w:cs="Times New Roman"/>
          <w:noProof/>
          <w:spacing w:val="-4"/>
          <w:lang w:val="sk-SK"/>
        </w:rPr>
        <w:t>prísne sa dodržiavajú vo fázach výstavby, prevádzky</w:t>
      </w:r>
      <w:r w:rsidR="00A75B3C" w:rsidRPr="009E4E5C">
        <w:rPr>
          <w:rFonts w:cs="Times New Roman"/>
          <w:noProof/>
          <w:spacing w:val="-4"/>
          <w:lang w:val="sk-SK"/>
        </w:rPr>
        <w:t xml:space="preserve"> a </w:t>
      </w:r>
      <w:r w:rsidRPr="009E4E5C">
        <w:rPr>
          <w:rFonts w:cs="Times New Roman"/>
          <w:noProof/>
          <w:spacing w:val="-4"/>
          <w:lang w:val="sk-SK"/>
        </w:rPr>
        <w:t>vyraďovania infraštruktúry</w:t>
      </w:r>
      <w:r w:rsidR="00A75B3C" w:rsidRPr="009E4E5C">
        <w:rPr>
          <w:rFonts w:cs="Times New Roman"/>
          <w:noProof/>
          <w:spacing w:val="-4"/>
          <w:lang w:val="sk-SK"/>
        </w:rPr>
        <w:t xml:space="preserve"> z </w:t>
      </w:r>
      <w:r w:rsidRPr="009E4E5C">
        <w:rPr>
          <w:rFonts w:cs="Times New Roman"/>
          <w:noProof/>
          <w:spacing w:val="-4"/>
          <w:lang w:val="sk-SK"/>
        </w:rPr>
        <w:t>prevádzky.</w:t>
      </w:r>
    </w:p>
    <w:p w14:paraId="4B29394E" w14:textId="3FD0566F" w:rsidR="00A75B3C" w:rsidRPr="003F23AC" w:rsidRDefault="000F5AA4" w:rsidP="003F23AC">
      <w:pPr>
        <w:pStyle w:val="P68B1DB1-Normal17"/>
        <w:autoSpaceDE w:val="0"/>
        <w:autoSpaceDN w:val="0"/>
        <w:spacing w:before="40" w:after="40" w:line="240" w:lineRule="auto"/>
        <w:jc w:val="both"/>
        <w:rPr>
          <w:rFonts w:ascii="Times New Roman" w:hAnsi="Times New Roman" w:cs="Times New Roman"/>
          <w:noProof/>
          <w:lang w:val="sk-SK"/>
        </w:rPr>
      </w:pPr>
      <w:r w:rsidRPr="003F23AC">
        <w:rPr>
          <w:rFonts w:ascii="Times New Roman" w:hAnsi="Times New Roman" w:cs="Times New Roman"/>
          <w:noProof/>
          <w:lang w:val="sk-SK"/>
        </w:rPr>
        <w:t>Ak sa voda odoberá, príslušný orgán vydá</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požiadavkami rámcovej smernice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vode 2000/60/ES príslušné povolenie,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ktorom sa špecifikujú podmienky na zabránenie zhoršeniu stavu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zabezpečenie toho, aby dotknuté vodné útvary zostali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dobrom ekologickom stave</w:t>
      </w:r>
      <w:r w:rsidR="00A75B3C" w:rsidRPr="003F23AC">
        <w:rPr>
          <w:rFonts w:ascii="Times New Roman" w:hAnsi="Times New Roman" w:cs="Times New Roman"/>
          <w:noProof/>
          <w:lang w:val="sk-SK"/>
        </w:rPr>
        <w:t>.</w:t>
      </w:r>
    </w:p>
    <w:p w14:paraId="6B828F29" w14:textId="79EE4998" w:rsidR="00387C70" w:rsidRPr="003F23AC" w:rsidRDefault="000F5AA4" w:rsidP="003F23AC">
      <w:pPr>
        <w:pStyle w:val="P68B1DB1-Normal4"/>
        <w:autoSpaceDE w:val="0"/>
        <w:autoSpaceDN w:val="0"/>
        <w:spacing w:before="40" w:after="40" w:line="240" w:lineRule="auto"/>
        <w:jc w:val="both"/>
        <w:rPr>
          <w:rFonts w:eastAsiaTheme="minorEastAsia"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0ABB1601" w14:textId="221BFC68"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RE-C09-i02: Hydraulický viacúčelový podnik Crato, fáza plánovania</w:t>
      </w:r>
    </w:p>
    <w:p w14:paraId="13D4F187" w14:textId="3619BA66"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tohto opatrenia je zabezpečiť zásobovanie pitnou vodou, bojovať proti dezertifikácii regiónu, diverzifikovať poľnohospodárstvo</w:t>
      </w:r>
      <w:r w:rsidR="00A75B3C" w:rsidRPr="003F23AC">
        <w:rPr>
          <w:rFonts w:cs="Times New Roman"/>
          <w:noProof/>
          <w:lang w:val="sk-SK"/>
        </w:rPr>
        <w:t xml:space="preserve"> a </w:t>
      </w:r>
      <w:r w:rsidRPr="003F23AC">
        <w:rPr>
          <w:rFonts w:cs="Times New Roman"/>
          <w:noProof/>
          <w:lang w:val="sk-SK"/>
        </w:rPr>
        <w:t>prispieť</w:t>
      </w:r>
      <w:r w:rsidR="00A75B3C" w:rsidRPr="003F23AC">
        <w:rPr>
          <w:rFonts w:cs="Times New Roman"/>
          <w:noProof/>
          <w:lang w:val="sk-SK"/>
        </w:rPr>
        <w:t xml:space="preserve"> k </w:t>
      </w:r>
      <w:r w:rsidRPr="003F23AC">
        <w:rPr>
          <w:rFonts w:cs="Times New Roman"/>
          <w:noProof/>
          <w:lang w:val="sk-SK"/>
        </w:rPr>
        <w:t>rekonfigurácii výroby energie</w:t>
      </w:r>
      <w:r w:rsidR="00A75B3C" w:rsidRPr="003F23AC">
        <w:rPr>
          <w:rFonts w:cs="Times New Roman"/>
          <w:noProof/>
          <w:lang w:val="sk-SK"/>
        </w:rPr>
        <w:t xml:space="preserve"> v </w:t>
      </w:r>
      <w:r w:rsidRPr="003F23AC">
        <w:rPr>
          <w:rFonts w:cs="Times New Roman"/>
          <w:noProof/>
          <w:lang w:val="sk-SK"/>
        </w:rPr>
        <w:t>tejto oblasti. Opatrenie pozostáva</w:t>
      </w:r>
      <w:r w:rsidR="00A75B3C" w:rsidRPr="003F23AC">
        <w:rPr>
          <w:rFonts w:cs="Times New Roman"/>
          <w:noProof/>
          <w:lang w:val="sk-SK"/>
        </w:rPr>
        <w:t xml:space="preserve"> z </w:t>
      </w:r>
      <w:r w:rsidRPr="003F23AC">
        <w:rPr>
          <w:rFonts w:cs="Times New Roman"/>
          <w:noProof/>
          <w:lang w:val="sk-SK"/>
        </w:rPr>
        <w:t>týchto krokov: výstavba priehrady</w:t>
      </w:r>
      <w:r w:rsidR="00A75B3C" w:rsidRPr="003F23AC">
        <w:rPr>
          <w:rFonts w:cs="Times New Roman"/>
          <w:noProof/>
          <w:lang w:val="sk-SK"/>
        </w:rPr>
        <w:t xml:space="preserve"> v </w:t>
      </w:r>
      <w:r w:rsidRPr="003F23AC">
        <w:rPr>
          <w:rFonts w:cs="Times New Roman"/>
          <w:noProof/>
          <w:lang w:val="sk-SK"/>
        </w:rPr>
        <w:t>údolí Crato</w:t>
      </w:r>
      <w:r w:rsidR="00A75B3C" w:rsidRPr="003F23AC">
        <w:rPr>
          <w:rFonts w:cs="Times New Roman"/>
          <w:noProof/>
          <w:lang w:val="sk-SK"/>
        </w:rPr>
        <w:t xml:space="preserve"> s </w:t>
      </w:r>
      <w:r w:rsidRPr="003F23AC">
        <w:rPr>
          <w:rFonts w:cs="Times New Roman"/>
          <w:noProof/>
          <w:lang w:val="sk-SK"/>
        </w:rPr>
        <w:t>cieľom zabezpečiť zásobovanie vodou na ľudskú spotrebu</w:t>
      </w:r>
      <w:r w:rsidR="00A75B3C" w:rsidRPr="003F23AC">
        <w:rPr>
          <w:rFonts w:cs="Times New Roman"/>
          <w:noProof/>
          <w:lang w:val="sk-SK"/>
        </w:rPr>
        <w:t xml:space="preserve"> a </w:t>
      </w:r>
      <w:r w:rsidRPr="003F23AC">
        <w:rPr>
          <w:rFonts w:cs="Times New Roman"/>
          <w:noProof/>
          <w:lang w:val="sk-SK"/>
        </w:rPr>
        <w:t>rekonfiguráciu poľnohospodárstva</w:t>
      </w:r>
      <w:r w:rsidR="00A75B3C" w:rsidRPr="003F23AC">
        <w:rPr>
          <w:rFonts w:cs="Times New Roman"/>
          <w:noProof/>
          <w:lang w:val="sk-SK"/>
        </w:rPr>
        <w:t xml:space="preserve"> a </w:t>
      </w:r>
      <w:r w:rsidRPr="003F23AC">
        <w:rPr>
          <w:rFonts w:cs="Times New Roman"/>
          <w:noProof/>
          <w:lang w:val="sk-SK"/>
        </w:rPr>
        <w:t>zároveň ponúknuť privilegovanému miestu na inštaláciu plávajúcich fotovoltaických panelov (ktoré sa majú inštalovať vo vodnom zrkadle</w:t>
      </w:r>
      <w:r w:rsidR="00A75B3C" w:rsidRPr="003F23AC">
        <w:rPr>
          <w:rFonts w:cs="Times New Roman"/>
          <w:noProof/>
          <w:lang w:val="sk-SK"/>
        </w:rPr>
        <w:t xml:space="preserve"> s </w:t>
      </w:r>
      <w:r w:rsidRPr="003F23AC">
        <w:rPr>
          <w:rFonts w:cs="Times New Roman"/>
          <w:noProof/>
          <w:lang w:val="sk-SK"/>
        </w:rPr>
        <w:t>prostriedkami mimo Mechanizmu na podporu obnovy</w:t>
      </w:r>
      <w:r w:rsidR="00A75B3C" w:rsidRPr="003F23AC">
        <w:rPr>
          <w:rFonts w:cs="Times New Roman"/>
          <w:noProof/>
          <w:lang w:val="sk-SK"/>
        </w:rPr>
        <w:t xml:space="preserve"> a </w:t>
      </w:r>
      <w:r w:rsidRPr="003F23AC">
        <w:rPr>
          <w:rFonts w:cs="Times New Roman"/>
          <w:noProof/>
          <w:lang w:val="sk-SK"/>
        </w:rPr>
        <w:t>odolnosti)</w:t>
      </w:r>
      <w:r w:rsidR="00A75B3C" w:rsidRPr="003F23AC">
        <w:rPr>
          <w:rFonts w:cs="Times New Roman"/>
          <w:noProof/>
          <w:lang w:val="sk-SK"/>
        </w:rPr>
        <w:t xml:space="preserve"> a </w:t>
      </w:r>
      <w:r w:rsidRPr="003F23AC">
        <w:rPr>
          <w:rFonts w:cs="Times New Roman"/>
          <w:noProof/>
          <w:lang w:val="sk-SK"/>
        </w:rPr>
        <w:t>na výrobu elektriny autonómne</w:t>
      </w:r>
      <w:r w:rsidR="00A75B3C" w:rsidRPr="003F23AC">
        <w:rPr>
          <w:rFonts w:cs="Times New Roman"/>
          <w:noProof/>
          <w:lang w:val="sk-SK"/>
        </w:rPr>
        <w:t xml:space="preserve"> z </w:t>
      </w:r>
      <w:r w:rsidRPr="003F23AC">
        <w:rPr>
          <w:rFonts w:cs="Times New Roman"/>
          <w:noProof/>
          <w:lang w:val="sk-SK"/>
        </w:rPr>
        <w:t>plánovanej minivodovej elektrárne</w:t>
      </w:r>
      <w:r w:rsidR="00A75B3C" w:rsidRPr="003F23AC">
        <w:rPr>
          <w:rFonts w:cs="Times New Roman"/>
          <w:noProof/>
          <w:lang w:val="sk-SK"/>
        </w:rPr>
        <w:t>.</w:t>
      </w:r>
    </w:p>
    <w:p w14:paraId="07D1FD53" w14:textId="5972F8E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Napríklad pri inštalovanom výkone 75 MW by fotovoltická elektráreň pokryla viac ako 60</w:t>
      </w:r>
      <w:r w:rsidR="00A75B3C" w:rsidRPr="003F23AC">
        <w:rPr>
          <w:rFonts w:cs="Times New Roman"/>
          <w:noProof/>
          <w:lang w:val="sk-SK"/>
        </w:rPr>
        <w:t> %</w:t>
      </w:r>
      <w:r w:rsidRPr="003F23AC">
        <w:rPr>
          <w:rFonts w:cs="Times New Roman"/>
          <w:noProof/>
          <w:lang w:val="sk-SK"/>
        </w:rPr>
        <w:t xml:space="preserve"> súčasných energetických potrieb</w:t>
      </w:r>
      <w:r w:rsidR="00A75B3C" w:rsidRPr="003F23AC">
        <w:rPr>
          <w:rFonts w:cs="Times New Roman"/>
          <w:noProof/>
          <w:lang w:val="sk-SK"/>
        </w:rPr>
        <w:t xml:space="preserve"> v </w:t>
      </w:r>
      <w:r w:rsidRPr="003F23AC">
        <w:rPr>
          <w:rFonts w:cs="Times New Roman"/>
          <w:noProof/>
          <w:lang w:val="sk-SK"/>
        </w:rPr>
        <w:t>oblasti</w:t>
      </w:r>
    </w:p>
    <w:p w14:paraId="717DC3FE" w14:textId="2B4C58B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zabezpečiť nadbytočnosť</w:t>
      </w:r>
      <w:r w:rsidR="00A75B3C" w:rsidRPr="003F23AC">
        <w:rPr>
          <w:rFonts w:cs="Times New Roman"/>
          <w:noProof/>
          <w:lang w:val="sk-SK"/>
        </w:rPr>
        <w:t xml:space="preserve"> a </w:t>
      </w:r>
      <w:r w:rsidRPr="003F23AC">
        <w:rPr>
          <w:rFonts w:cs="Times New Roman"/>
          <w:noProof/>
          <w:lang w:val="sk-SK"/>
        </w:rPr>
        <w:t>znížiť emisie oxidu uhličitého</w:t>
      </w:r>
      <w:r w:rsidR="00A75B3C" w:rsidRPr="003F23AC">
        <w:rPr>
          <w:rFonts w:cs="Times New Roman"/>
          <w:noProof/>
          <w:lang w:val="sk-SK"/>
        </w:rPr>
        <w:t xml:space="preserve"> o </w:t>
      </w:r>
      <w:r w:rsidRPr="003F23AC">
        <w:rPr>
          <w:rFonts w:cs="Times New Roman"/>
          <w:noProof/>
          <w:lang w:val="sk-SK"/>
        </w:rPr>
        <w:t>viac ako 80000 ton ročne. Podľa jazernej oblasti, ktorá sa má vytvoriť – 7,24 km 2 – a</w:t>
      </w:r>
      <w:r w:rsidRPr="003F23AC">
        <w:rPr>
          <w:rFonts w:cs="Times New Roman"/>
          <w:noProof/>
          <w:vertAlign w:val="superscript"/>
          <w:lang w:val="sk-SK"/>
        </w:rPr>
        <w:t>maximálna</w:t>
      </w:r>
      <w:r w:rsidRPr="003F23AC">
        <w:rPr>
          <w:rFonts w:cs="Times New Roman"/>
          <w:noProof/>
          <w:lang w:val="sk-SK"/>
        </w:rPr>
        <w:t xml:space="preserve"> plocha, ktorá by sa mohla využiť na inštaláciu fotovoltických panelov, predstavuje 20</w:t>
      </w:r>
      <w:r w:rsidR="00A75B3C" w:rsidRPr="003F23AC">
        <w:rPr>
          <w:rFonts w:cs="Times New Roman"/>
          <w:noProof/>
          <w:lang w:val="sk-SK"/>
        </w:rPr>
        <w:t> %</w:t>
      </w:r>
      <w:r w:rsidRPr="003F23AC">
        <w:rPr>
          <w:rFonts w:cs="Times New Roman"/>
          <w:noProof/>
          <w:lang w:val="sk-SK"/>
        </w:rPr>
        <w:t xml:space="preserve"> tejto plochy)</w:t>
      </w:r>
      <w:r w:rsidR="00A75B3C" w:rsidRPr="003F23AC">
        <w:rPr>
          <w:rFonts w:cs="Times New Roman"/>
          <w:noProof/>
          <w:lang w:val="sk-SK"/>
        </w:rPr>
        <w:t>.</w:t>
      </w:r>
    </w:p>
    <w:p w14:paraId="4647CC73" w14:textId="40651F0F" w:rsidR="00387C70" w:rsidRPr="009E4E5C" w:rsidRDefault="000F5AA4" w:rsidP="003F23AC">
      <w:pPr>
        <w:pStyle w:val="P68B1DB1-Normal4"/>
        <w:spacing w:before="40" w:after="0" w:line="259" w:lineRule="auto"/>
        <w:jc w:val="both"/>
        <w:rPr>
          <w:rFonts w:eastAsia="Times New Roman" w:cs="Times New Roman"/>
          <w:noProof/>
          <w:spacing w:val="-6"/>
          <w:lang w:val="sk-SK"/>
        </w:rPr>
      </w:pPr>
      <w:r w:rsidRPr="009E4E5C">
        <w:rPr>
          <w:rFonts w:cs="Times New Roman"/>
          <w:noProof/>
          <w:spacing w:val="-6"/>
          <w:lang w:val="sk-SK"/>
        </w:rPr>
        <w:t>Prispieva tiež</w:t>
      </w:r>
      <w:r w:rsidR="00A75B3C" w:rsidRPr="009E4E5C">
        <w:rPr>
          <w:rFonts w:cs="Times New Roman"/>
          <w:noProof/>
          <w:spacing w:val="-6"/>
          <w:lang w:val="sk-SK"/>
        </w:rPr>
        <w:t xml:space="preserve"> k </w:t>
      </w:r>
      <w:r w:rsidRPr="009E4E5C">
        <w:rPr>
          <w:rFonts w:cs="Times New Roman"/>
          <w:noProof/>
          <w:spacing w:val="-6"/>
          <w:lang w:val="sk-SK"/>
        </w:rPr>
        <w:t>diverzifikácii poľnohospodárskej činnosti</w:t>
      </w:r>
      <w:r w:rsidR="00A75B3C" w:rsidRPr="009E4E5C">
        <w:rPr>
          <w:rFonts w:cs="Times New Roman"/>
          <w:noProof/>
          <w:spacing w:val="-6"/>
          <w:lang w:val="sk-SK"/>
        </w:rPr>
        <w:t xml:space="preserve"> a k </w:t>
      </w:r>
      <w:r w:rsidRPr="009E4E5C">
        <w:rPr>
          <w:rFonts w:cs="Times New Roman"/>
          <w:noProof/>
          <w:spacing w:val="-6"/>
          <w:lang w:val="sk-SK"/>
        </w:rPr>
        <w:t>prilákaniu obyvateľov do tejto demograficky zanedbanej oblasti krajiny, pričom sa zachová účinný systém hospodárenia</w:t>
      </w:r>
      <w:r w:rsidR="00A75B3C" w:rsidRPr="009E4E5C">
        <w:rPr>
          <w:rFonts w:cs="Times New Roman"/>
          <w:noProof/>
          <w:spacing w:val="-6"/>
          <w:lang w:val="sk-SK"/>
        </w:rPr>
        <w:t xml:space="preserve"> s </w:t>
      </w:r>
      <w:r w:rsidRPr="009E4E5C">
        <w:rPr>
          <w:rFonts w:cs="Times New Roman"/>
          <w:noProof/>
          <w:spacing w:val="-6"/>
          <w:lang w:val="sk-SK"/>
        </w:rPr>
        <w:t>vodami.</w:t>
      </w:r>
    </w:p>
    <w:p w14:paraId="4B7B386F" w14:textId="602A5EF7" w:rsidR="00387C70" w:rsidRPr="009E4E5C" w:rsidRDefault="000F5AA4" w:rsidP="003F23AC">
      <w:pPr>
        <w:pStyle w:val="P68B1DB1-Normal4"/>
        <w:widowControl w:val="0"/>
        <w:spacing w:after="120" w:line="307" w:lineRule="exact"/>
        <w:jc w:val="both"/>
        <w:rPr>
          <w:rFonts w:eastAsia="Calibri" w:cs="Times New Roman"/>
          <w:noProof/>
          <w:spacing w:val="-6"/>
          <w:lang w:val="sk-SK"/>
        </w:rPr>
      </w:pPr>
      <w:r w:rsidRPr="009E4E5C">
        <w:rPr>
          <w:rFonts w:cs="Times New Roman"/>
          <w:noProof/>
          <w:spacing w:val="-6"/>
          <w:lang w:val="sk-SK"/>
        </w:rPr>
        <w:t>Výstavba sa nachádza</w:t>
      </w:r>
      <w:r w:rsidR="00A75B3C" w:rsidRPr="009E4E5C">
        <w:rPr>
          <w:rFonts w:cs="Times New Roman"/>
          <w:noProof/>
          <w:spacing w:val="-6"/>
          <w:lang w:val="sk-SK"/>
        </w:rPr>
        <w:t xml:space="preserve"> v </w:t>
      </w:r>
      <w:r w:rsidRPr="009E4E5C">
        <w:rPr>
          <w:rFonts w:cs="Times New Roman"/>
          <w:noProof/>
          <w:spacing w:val="-6"/>
          <w:lang w:val="sk-SK"/>
        </w:rPr>
        <w:t>povodí rieky Tagus</w:t>
      </w:r>
      <w:r w:rsidR="00A75B3C" w:rsidRPr="009E4E5C">
        <w:rPr>
          <w:rFonts w:cs="Times New Roman"/>
          <w:noProof/>
          <w:spacing w:val="-6"/>
          <w:lang w:val="sk-SK"/>
        </w:rPr>
        <w:t xml:space="preserve"> v </w:t>
      </w:r>
      <w:r w:rsidRPr="009E4E5C">
        <w:rPr>
          <w:rFonts w:cs="Times New Roman"/>
          <w:noProof/>
          <w:spacing w:val="-6"/>
          <w:lang w:val="sk-SK"/>
        </w:rPr>
        <w:t>zóne neďaleko hranice povodia Guadiana. Investícia zahŕňa tieto kroky:</w:t>
      </w:r>
    </w:p>
    <w:p w14:paraId="5130E04D" w14:textId="6C544A11" w:rsidR="00387C70" w:rsidRPr="009E4E5C" w:rsidRDefault="000F5AA4" w:rsidP="003F23AC">
      <w:pPr>
        <w:pStyle w:val="P68B1DB1-Normal4"/>
        <w:widowControl w:val="0"/>
        <w:numPr>
          <w:ilvl w:val="0"/>
          <w:numId w:val="28"/>
        </w:numPr>
        <w:spacing w:before="40" w:after="120" w:line="307" w:lineRule="exact"/>
        <w:ind w:left="714" w:hanging="357"/>
        <w:jc w:val="both"/>
        <w:rPr>
          <w:rFonts w:eastAsia="Calibri" w:cs="Times New Roman"/>
          <w:noProof/>
          <w:spacing w:val="-6"/>
          <w:lang w:val="sk-SK"/>
        </w:rPr>
      </w:pPr>
      <w:r w:rsidRPr="009E4E5C">
        <w:rPr>
          <w:rFonts w:cs="Times New Roman"/>
          <w:noProof/>
          <w:spacing w:val="-6"/>
          <w:shd w:val="clear" w:color="auto" w:fill="FFFFFF"/>
          <w:lang w:val="sk-SK"/>
        </w:rPr>
        <w:t>Priehrada</w:t>
      </w:r>
      <w:r w:rsidRPr="009E4E5C">
        <w:rPr>
          <w:rFonts w:cs="Times New Roman"/>
          <w:noProof/>
          <w:spacing w:val="-6"/>
          <w:lang w:val="sk-SK"/>
        </w:rPr>
        <w:t>: Zriadiť kompletný zásobník</w:t>
      </w:r>
      <w:r w:rsidR="00A75B3C" w:rsidRPr="009E4E5C">
        <w:rPr>
          <w:rFonts w:cs="Times New Roman"/>
          <w:noProof/>
          <w:spacing w:val="-6"/>
          <w:lang w:val="sk-SK"/>
        </w:rPr>
        <w:t xml:space="preserve"> v </w:t>
      </w:r>
      <w:r w:rsidRPr="009E4E5C">
        <w:rPr>
          <w:rFonts w:cs="Times New Roman"/>
          <w:noProof/>
          <w:spacing w:val="-6"/>
          <w:lang w:val="sk-SK"/>
        </w:rPr>
        <w:t>nadmorskej výške 248 m (vysoký 48 m)</w:t>
      </w:r>
      <w:r w:rsidR="00A75B3C" w:rsidRPr="009E4E5C">
        <w:rPr>
          <w:rFonts w:cs="Times New Roman"/>
          <w:noProof/>
          <w:spacing w:val="-6"/>
          <w:lang w:val="sk-SK"/>
        </w:rPr>
        <w:t xml:space="preserve"> s </w:t>
      </w:r>
      <w:r w:rsidRPr="009E4E5C">
        <w:rPr>
          <w:rFonts w:cs="Times New Roman"/>
          <w:noProof/>
          <w:spacing w:val="-6"/>
          <w:lang w:val="sk-SK"/>
        </w:rPr>
        <w:t>zaplavenou plochou 7,24 km</w:t>
      </w:r>
      <w:r w:rsidRPr="009E4E5C">
        <w:rPr>
          <w:rFonts w:cs="Times New Roman"/>
          <w:noProof/>
          <w:spacing w:val="-6"/>
          <w:vertAlign w:val="superscript"/>
          <w:lang w:val="sk-SK"/>
        </w:rPr>
        <w:t>2</w:t>
      </w:r>
      <w:r w:rsidRPr="009E4E5C">
        <w:rPr>
          <w:rFonts w:cs="Times New Roman"/>
          <w:noProof/>
          <w:spacing w:val="-6"/>
          <w:lang w:val="sk-SK"/>
        </w:rPr>
        <w:t>,</w:t>
      </w:r>
      <w:r w:rsidR="00A75B3C" w:rsidRPr="009E4E5C">
        <w:rPr>
          <w:rFonts w:cs="Times New Roman"/>
          <w:noProof/>
          <w:spacing w:val="-6"/>
          <w:lang w:val="sk-SK"/>
        </w:rPr>
        <w:t xml:space="preserve"> s </w:t>
      </w:r>
      <w:r w:rsidRPr="009E4E5C">
        <w:rPr>
          <w:rFonts w:cs="Times New Roman"/>
          <w:noProof/>
          <w:spacing w:val="-6"/>
          <w:lang w:val="sk-SK"/>
        </w:rPr>
        <w:t>skladovacou kapacitou 116,1 hm</w:t>
      </w:r>
      <w:r w:rsidRPr="009E4E5C">
        <w:rPr>
          <w:rFonts w:cs="Times New Roman"/>
          <w:noProof/>
          <w:spacing w:val="-6"/>
          <w:vertAlign w:val="superscript"/>
          <w:lang w:val="sk-SK"/>
        </w:rPr>
        <w:t>3</w:t>
      </w:r>
      <w:r w:rsidR="00A75B3C" w:rsidRPr="009E4E5C">
        <w:rPr>
          <w:rFonts w:cs="Times New Roman"/>
          <w:noProof/>
          <w:spacing w:val="-6"/>
          <w:vertAlign w:val="superscript"/>
          <w:lang w:val="sk-SK"/>
        </w:rPr>
        <w:t xml:space="preserve"> a </w:t>
      </w:r>
      <w:r w:rsidRPr="009E4E5C">
        <w:rPr>
          <w:rFonts w:cs="Times New Roman"/>
          <w:noProof/>
          <w:spacing w:val="-6"/>
          <w:lang w:val="sk-SK"/>
        </w:rPr>
        <w:t>ročným priemerným objemom 57,83 hm 3/rok, čo umožňuje 50,3 hm</w:t>
      </w:r>
      <w:r w:rsidRPr="009E4E5C">
        <w:rPr>
          <w:rFonts w:cs="Times New Roman"/>
          <w:noProof/>
          <w:spacing w:val="-6"/>
          <w:vertAlign w:val="superscript"/>
          <w:lang w:val="sk-SK"/>
        </w:rPr>
        <w:t>3</w:t>
      </w:r>
      <w:r w:rsidRPr="009E4E5C">
        <w:rPr>
          <w:rFonts w:cs="Times New Roman"/>
          <w:noProof/>
          <w:spacing w:val="-6"/>
          <w:lang w:val="sk-SK"/>
        </w:rPr>
        <w:t>/rok pre verejné zásobovanie vodou (</w:t>
      </w:r>
      <w:r w:rsidRPr="009E4E5C">
        <w:rPr>
          <w:rFonts w:cs="Times New Roman"/>
          <w:noProof/>
          <w:spacing w:val="-6"/>
          <w:vertAlign w:val="superscript"/>
          <w:lang w:val="sk-SK"/>
        </w:rPr>
        <w:t>verejné</w:t>
      </w:r>
      <w:r w:rsidRPr="009E4E5C">
        <w:rPr>
          <w:rFonts w:cs="Times New Roman"/>
          <w:noProof/>
          <w:spacing w:val="-6"/>
          <w:lang w:val="sk-SK"/>
        </w:rPr>
        <w:t xml:space="preserve"> zásobovanie pitnou vodou (3,3 hm3/rok)</w:t>
      </w:r>
      <w:r w:rsidR="00A75B3C" w:rsidRPr="009E4E5C">
        <w:rPr>
          <w:rFonts w:cs="Times New Roman"/>
          <w:noProof/>
          <w:spacing w:val="-6"/>
          <w:lang w:val="sk-SK"/>
        </w:rPr>
        <w:t xml:space="preserve"> a </w:t>
      </w:r>
      <w:r w:rsidRPr="009E4E5C">
        <w:rPr>
          <w:rFonts w:cs="Times New Roman"/>
          <w:noProof/>
          <w:spacing w:val="-6"/>
          <w:lang w:val="sk-SK"/>
        </w:rPr>
        <w:t>zavlažovanie (47 hm3/rok)), čo je nevyhnutné na zabezpečenie nadbytočnosti dodávok, t. j. dostatočného množstva vody na zásobovanie obyvateľstva (približne 55000 osôb) Alter do Chão, Avis, Crato, Fronteira, Gavião, Nisa, Ponte de Sor</w:t>
      </w:r>
      <w:r w:rsidR="00A75B3C" w:rsidRPr="009E4E5C">
        <w:rPr>
          <w:rFonts w:cs="Times New Roman"/>
          <w:noProof/>
          <w:spacing w:val="-6"/>
          <w:lang w:val="sk-SK"/>
        </w:rPr>
        <w:t xml:space="preserve"> a </w:t>
      </w:r>
      <w:r w:rsidRPr="009E4E5C">
        <w:rPr>
          <w:rFonts w:cs="Times New Roman"/>
          <w:noProof/>
          <w:spacing w:val="-6"/>
          <w:lang w:val="sk-SK"/>
        </w:rPr>
        <w:t>Sousel.</w:t>
      </w:r>
    </w:p>
    <w:p w14:paraId="5B19CBFA" w14:textId="4313FF84" w:rsidR="00387C70" w:rsidRPr="009E4E5C" w:rsidRDefault="000F5AA4" w:rsidP="003F23AC">
      <w:pPr>
        <w:pStyle w:val="P68B1DB1-Normal4"/>
        <w:widowControl w:val="0"/>
        <w:numPr>
          <w:ilvl w:val="0"/>
          <w:numId w:val="28"/>
        </w:numPr>
        <w:spacing w:before="40" w:after="120" w:line="307" w:lineRule="exact"/>
        <w:ind w:left="714" w:hanging="357"/>
        <w:jc w:val="both"/>
        <w:rPr>
          <w:rFonts w:eastAsia="Calibri" w:cs="Times New Roman"/>
          <w:noProof/>
          <w:spacing w:val="-4"/>
          <w:lang w:val="sk-SK"/>
        </w:rPr>
      </w:pPr>
      <w:r w:rsidRPr="009E4E5C">
        <w:rPr>
          <w:rFonts w:cs="Times New Roman"/>
          <w:noProof/>
          <w:spacing w:val="-4"/>
          <w:shd w:val="clear" w:color="auto" w:fill="FFFFFF"/>
          <w:lang w:val="sk-SK"/>
        </w:rPr>
        <w:t>Mini-hydro</w:t>
      </w:r>
      <w:r w:rsidRPr="009E4E5C">
        <w:rPr>
          <w:rFonts w:cs="Times New Roman"/>
          <w:noProof/>
          <w:spacing w:val="-4"/>
          <w:lang w:val="sk-SK"/>
        </w:rPr>
        <w:t>: Na energetické využitie tokov, ktoré sa majú uvoľniť na zavlažovanie</w:t>
      </w:r>
      <w:r w:rsidR="00A75B3C" w:rsidRPr="009E4E5C">
        <w:rPr>
          <w:rFonts w:cs="Times New Roman"/>
          <w:noProof/>
          <w:spacing w:val="-4"/>
          <w:lang w:val="sk-SK"/>
        </w:rPr>
        <w:t xml:space="preserve"> v </w:t>
      </w:r>
      <w:r w:rsidRPr="009E4E5C">
        <w:rPr>
          <w:rFonts w:cs="Times New Roman"/>
          <w:noProof/>
          <w:spacing w:val="-4"/>
          <w:lang w:val="sk-SK"/>
        </w:rPr>
        <w:t>údolí po prúde,</w:t>
      </w:r>
      <w:r w:rsidR="00A75B3C" w:rsidRPr="009E4E5C">
        <w:rPr>
          <w:rFonts w:cs="Times New Roman"/>
          <w:noProof/>
          <w:spacing w:val="-4"/>
          <w:lang w:val="sk-SK"/>
        </w:rPr>
        <w:t xml:space="preserve"> s </w:t>
      </w:r>
      <w:r w:rsidRPr="009E4E5C">
        <w:rPr>
          <w:rFonts w:cs="Times New Roman"/>
          <w:noProof/>
          <w:spacing w:val="-4"/>
          <w:lang w:val="sk-SK"/>
        </w:rPr>
        <w:t>využitím poklesu spôsobeného výškou priehrady. Má inštalovaný výkon 1,0 MW.</w:t>
      </w:r>
    </w:p>
    <w:p w14:paraId="7ECAF144" w14:textId="39378094" w:rsidR="00387C70" w:rsidRPr="003F23AC" w:rsidRDefault="000F5AA4" w:rsidP="003F23AC">
      <w:pPr>
        <w:pStyle w:val="P68B1DB1-Normal4"/>
        <w:widowControl w:val="0"/>
        <w:numPr>
          <w:ilvl w:val="0"/>
          <w:numId w:val="28"/>
        </w:numPr>
        <w:spacing w:before="40" w:after="0" w:line="302" w:lineRule="exact"/>
        <w:ind w:left="714" w:hanging="357"/>
        <w:jc w:val="both"/>
        <w:rPr>
          <w:rFonts w:eastAsia="Calibri" w:cs="Times New Roman"/>
          <w:noProof/>
          <w:lang w:val="sk-SK"/>
        </w:rPr>
      </w:pPr>
      <w:r w:rsidRPr="003F23AC">
        <w:rPr>
          <w:rFonts w:cs="Times New Roman"/>
          <w:noProof/>
          <w:shd w:val="clear" w:color="auto" w:fill="FFFFFF"/>
          <w:lang w:val="sk-SK"/>
        </w:rPr>
        <w:t>Systém na posilnenie dodávok priehrady Póvoa e Meadas</w:t>
      </w:r>
      <w:r w:rsidR="00A75B3C" w:rsidRPr="003F23AC">
        <w:rPr>
          <w:rFonts w:cs="Times New Roman"/>
          <w:noProof/>
          <w:shd w:val="clear" w:color="auto" w:fill="FFFFFF"/>
          <w:lang w:val="sk-SK"/>
        </w:rPr>
        <w:t xml:space="preserve"> z </w:t>
      </w:r>
      <w:r w:rsidRPr="003F23AC">
        <w:rPr>
          <w:rFonts w:cs="Times New Roman"/>
          <w:noProof/>
          <w:shd w:val="clear" w:color="auto" w:fill="FFFFFF"/>
          <w:lang w:val="sk-SK"/>
        </w:rPr>
        <w:t xml:space="preserve">Pisão </w:t>
      </w:r>
      <w:r w:rsidRPr="003F23AC">
        <w:rPr>
          <w:rFonts w:cs="Times New Roman"/>
          <w:noProof/>
          <w:lang w:val="sk-SK"/>
        </w:rPr>
        <w:t>d</w:t>
      </w:r>
      <w:r w:rsidRPr="003F23AC">
        <w:rPr>
          <w:rFonts w:cs="Times New Roman"/>
          <w:noProof/>
          <w:shd w:val="clear" w:color="auto" w:fill="FFFFFF"/>
          <w:lang w:val="sk-SK"/>
        </w:rPr>
        <w:t>am</w:t>
      </w:r>
      <w:r w:rsidRPr="003F23AC">
        <w:rPr>
          <w:rFonts w:cs="Times New Roman"/>
          <w:noProof/>
          <w:lang w:val="sk-SK"/>
        </w:rPr>
        <w:t>: napojenie obce Alter do Chão, Avis, Crato, Fronteira, Gavião, Nisa, Ponte de Sor</w:t>
      </w:r>
      <w:r w:rsidR="00A75B3C" w:rsidRPr="003F23AC">
        <w:rPr>
          <w:rFonts w:cs="Times New Roman"/>
          <w:noProof/>
          <w:lang w:val="sk-SK"/>
        </w:rPr>
        <w:t xml:space="preserve"> a </w:t>
      </w:r>
      <w:r w:rsidRPr="003F23AC">
        <w:rPr>
          <w:rFonts w:cs="Times New Roman"/>
          <w:noProof/>
          <w:lang w:val="sk-SK"/>
        </w:rPr>
        <w:t>Sousel.</w:t>
      </w:r>
    </w:p>
    <w:p w14:paraId="4A96B4C4" w14:textId="424735A0" w:rsidR="00387C70" w:rsidRPr="003F23AC" w:rsidRDefault="000F5AA4" w:rsidP="003F23AC">
      <w:pPr>
        <w:pStyle w:val="P68B1DB1-Normal4"/>
        <w:widowControl w:val="0"/>
        <w:numPr>
          <w:ilvl w:val="0"/>
          <w:numId w:val="28"/>
        </w:numPr>
        <w:tabs>
          <w:tab w:val="left" w:pos="708"/>
        </w:tabs>
        <w:spacing w:before="237" w:after="131" w:line="307" w:lineRule="exact"/>
        <w:ind w:left="714" w:hanging="357"/>
        <w:jc w:val="both"/>
        <w:rPr>
          <w:rFonts w:eastAsia="Calibri" w:cs="Times New Roman"/>
          <w:noProof/>
          <w:lang w:val="sk-SK"/>
        </w:rPr>
      </w:pPr>
      <w:r w:rsidRPr="003F23AC">
        <w:rPr>
          <w:rFonts w:cs="Times New Roman"/>
          <w:noProof/>
          <w:shd w:val="clear" w:color="auto" w:fill="FFFFFF"/>
          <w:lang w:val="sk-SK"/>
        </w:rPr>
        <w:t>Zavlažovacia infraštruktúra na podporu existujúcich poľnohospodárskych plôch:</w:t>
      </w:r>
      <w:r w:rsidRPr="003F23AC">
        <w:rPr>
          <w:rFonts w:cs="Times New Roman"/>
          <w:b/>
          <w:noProof/>
          <w:shd w:val="clear" w:color="auto" w:fill="FFFFFF"/>
          <w:lang w:val="sk-SK"/>
        </w:rPr>
        <w:t xml:space="preserve"> </w:t>
      </w:r>
      <w:r w:rsidRPr="003F23AC">
        <w:rPr>
          <w:rFonts w:cs="Times New Roman"/>
          <w:noProof/>
          <w:shd w:val="clear" w:color="auto" w:fill="FFFFFF"/>
          <w:lang w:val="sk-SK"/>
        </w:rPr>
        <w:t>patria</w:t>
      </w:r>
      <w:r w:rsidRPr="003F23AC">
        <w:rPr>
          <w:rFonts w:cs="Times New Roman"/>
          <w:noProof/>
          <w:lang w:val="sk-SK"/>
        </w:rPr>
        <w:t>sem zdvíhacie stanice na zavlažovanie, kanály, vyrovnávacie nádrže</w:t>
      </w:r>
      <w:r w:rsidR="00A75B3C" w:rsidRPr="003F23AC">
        <w:rPr>
          <w:rFonts w:cs="Times New Roman"/>
          <w:noProof/>
          <w:lang w:val="sk-SK"/>
        </w:rPr>
        <w:t xml:space="preserve"> a </w:t>
      </w:r>
      <w:r w:rsidRPr="003F23AC">
        <w:rPr>
          <w:rFonts w:cs="Times New Roman"/>
          <w:noProof/>
          <w:lang w:val="sk-SK"/>
        </w:rPr>
        <w:t>distribučné siete, zavlažovacie siete</w:t>
      </w:r>
      <w:r w:rsidR="00A75B3C" w:rsidRPr="003F23AC">
        <w:rPr>
          <w:rFonts w:cs="Times New Roman"/>
          <w:noProof/>
          <w:lang w:val="sk-SK"/>
        </w:rPr>
        <w:t xml:space="preserve"> a </w:t>
      </w:r>
      <w:r w:rsidRPr="003F23AC">
        <w:rPr>
          <w:rFonts w:cs="Times New Roman"/>
          <w:noProof/>
          <w:lang w:val="sk-SK"/>
        </w:rPr>
        <w:t>zlepšenie prístupu</w:t>
      </w:r>
      <w:r w:rsidR="00A75B3C" w:rsidRPr="003F23AC">
        <w:rPr>
          <w:rFonts w:cs="Times New Roman"/>
          <w:noProof/>
          <w:lang w:val="sk-SK"/>
        </w:rPr>
        <w:t xml:space="preserve"> v </w:t>
      </w:r>
      <w:r w:rsidRPr="003F23AC">
        <w:rPr>
          <w:rFonts w:cs="Times New Roman"/>
          <w:noProof/>
          <w:lang w:val="sk-SK"/>
        </w:rPr>
        <w:t>poľnohospodárstve</w:t>
      </w:r>
      <w:r w:rsidR="00A75B3C" w:rsidRPr="003F23AC">
        <w:rPr>
          <w:rFonts w:cs="Times New Roman"/>
          <w:noProof/>
          <w:lang w:val="sk-SK"/>
        </w:rPr>
        <w:t xml:space="preserve"> a </w:t>
      </w:r>
      <w:r w:rsidRPr="003F23AC">
        <w:rPr>
          <w:rFonts w:cs="Times New Roman"/>
          <w:noProof/>
          <w:lang w:val="sk-SK"/>
        </w:rPr>
        <w:t>očakáva sa, že vytvoria 5 078 ha nových zavlažovacích blokov (Alter do Chão, Avis, Crato, Fronteira</w:t>
      </w:r>
      <w:r w:rsidR="00A75B3C" w:rsidRPr="003F23AC">
        <w:rPr>
          <w:rFonts w:cs="Times New Roman"/>
          <w:noProof/>
          <w:lang w:val="sk-SK"/>
        </w:rPr>
        <w:t xml:space="preserve"> a </w:t>
      </w:r>
      <w:r w:rsidRPr="003F23AC">
        <w:rPr>
          <w:rFonts w:cs="Times New Roman"/>
          <w:noProof/>
          <w:lang w:val="sk-SK"/>
        </w:rPr>
        <w:t>Sousel). Zavlažovací obvod sa rozdelí na šarže</w:t>
      </w:r>
      <w:r w:rsidR="00A75B3C" w:rsidRPr="003F23AC">
        <w:rPr>
          <w:rFonts w:cs="Times New Roman"/>
          <w:noProof/>
          <w:lang w:val="sk-SK"/>
        </w:rPr>
        <w:t xml:space="preserve"> s </w:t>
      </w:r>
      <w:r w:rsidRPr="003F23AC">
        <w:rPr>
          <w:rFonts w:cs="Times New Roman"/>
          <w:noProof/>
          <w:lang w:val="sk-SK"/>
        </w:rPr>
        <w:t>plochou nepresahujúcou 100 ha.</w:t>
      </w:r>
    </w:p>
    <w:p w14:paraId="12A18ECF" w14:textId="3812A2EA" w:rsidR="00387C70" w:rsidRPr="003F23AC" w:rsidRDefault="000F5AA4" w:rsidP="003F23AC">
      <w:pPr>
        <w:pStyle w:val="P68B1DB1-Normal4"/>
        <w:widowControl w:val="0"/>
        <w:numPr>
          <w:ilvl w:val="0"/>
          <w:numId w:val="28"/>
        </w:numPr>
        <w:tabs>
          <w:tab w:val="left" w:pos="708"/>
        </w:tabs>
        <w:spacing w:before="237" w:after="131" w:line="307" w:lineRule="exact"/>
        <w:ind w:left="714" w:hanging="357"/>
        <w:jc w:val="both"/>
        <w:rPr>
          <w:rFonts w:eastAsia="Calibri" w:cs="Times New Roman"/>
          <w:noProof/>
          <w:lang w:val="sk-SK"/>
        </w:rPr>
      </w:pPr>
      <w:r w:rsidRPr="003F23AC">
        <w:rPr>
          <w:rFonts w:cs="Times New Roman"/>
          <w:noProof/>
          <w:shd w:val="clear" w:color="auto" w:fill="FFFFFF"/>
          <w:lang w:val="sk-SK"/>
        </w:rPr>
        <w:t>Solárna fotovoltická</w:t>
      </w:r>
      <w:r w:rsidRPr="003F23AC">
        <w:rPr>
          <w:rFonts w:cs="Times New Roman"/>
          <w:b/>
          <w:noProof/>
          <w:shd w:val="clear" w:color="auto" w:fill="FFFFFF"/>
          <w:lang w:val="sk-SK"/>
        </w:rPr>
        <w:t xml:space="preserve"> </w:t>
      </w:r>
      <w:r w:rsidRPr="003F23AC">
        <w:rPr>
          <w:rFonts w:cs="Times New Roman"/>
          <w:noProof/>
          <w:shd w:val="clear" w:color="auto" w:fill="FFFFFF"/>
          <w:lang w:val="sk-SK"/>
        </w:rPr>
        <w:t>elektráreň</w:t>
      </w:r>
      <w:r w:rsidR="00E72154" w:rsidRPr="003F23AC">
        <w:rPr>
          <w:rFonts w:cs="Times New Roman"/>
          <w:noProof/>
          <w:shd w:val="clear" w:color="auto" w:fill="FFFFFF"/>
          <w:lang w:val="sk-SK"/>
        </w:rPr>
        <w:t xml:space="preserve"> </w:t>
      </w:r>
      <w:r w:rsidRPr="003F23AC">
        <w:rPr>
          <w:rFonts w:cs="Times New Roman"/>
          <w:noProof/>
          <w:lang w:val="sk-SK"/>
        </w:rPr>
        <w:t>(solárne dosky, invertory, plávajúce zariadenia, nízkonapäťové</w:t>
      </w:r>
      <w:r w:rsidR="00A75B3C" w:rsidRPr="003F23AC">
        <w:rPr>
          <w:rFonts w:cs="Times New Roman"/>
          <w:noProof/>
          <w:lang w:val="sk-SK"/>
        </w:rPr>
        <w:t xml:space="preserve"> a </w:t>
      </w:r>
      <w:r w:rsidRPr="003F23AC">
        <w:rPr>
          <w:rFonts w:cs="Times New Roman"/>
          <w:noProof/>
          <w:lang w:val="sk-SK"/>
        </w:rPr>
        <w:t>strednonapäťové rozvody): inštalácia fotovoltických panelov do vodného zrkadla nádrže. Financovanie sa uskutočňuje mimo plánu obnovy</w:t>
      </w:r>
      <w:r w:rsidR="00A75B3C" w:rsidRPr="003F23AC">
        <w:rPr>
          <w:rFonts w:cs="Times New Roman"/>
          <w:noProof/>
          <w:lang w:val="sk-SK"/>
        </w:rPr>
        <w:t xml:space="preserve"> a </w:t>
      </w:r>
      <w:r w:rsidRPr="003F23AC">
        <w:rPr>
          <w:rFonts w:cs="Times New Roman"/>
          <w:noProof/>
          <w:lang w:val="sk-SK"/>
        </w:rPr>
        <w:t>odolnosti.</w:t>
      </w:r>
    </w:p>
    <w:p w14:paraId="01F20E62" w14:textId="52C3184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Toto opatrenie nesmie výrazne narušiť environmentálne ciele</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opatrenia</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 podpory obnovy</w:t>
      </w:r>
      <w:r w:rsidR="00A75B3C" w:rsidRPr="003F23AC">
        <w:rPr>
          <w:rFonts w:cs="Times New Roman"/>
          <w:noProof/>
          <w:lang w:val="sk-SK"/>
        </w:rPr>
        <w:t xml:space="preserve"> a </w:t>
      </w:r>
      <w:r w:rsidRPr="003F23AC">
        <w:rPr>
          <w:rFonts w:cs="Times New Roman"/>
          <w:noProof/>
          <w:lang w:val="sk-SK"/>
        </w:rPr>
        <w:t>odolnosti</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r w:rsidR="00A75B3C" w:rsidRPr="003F23AC">
        <w:rPr>
          <w:rFonts w:cs="Times New Roman"/>
          <w:noProof/>
          <w:lang w:val="sk-SK"/>
        </w:rPr>
        <w:t xml:space="preserve"> a </w:t>
      </w:r>
      <w:r w:rsidRPr="003F23AC">
        <w:rPr>
          <w:rFonts w:cs="Times New Roman"/>
          <w:noProof/>
          <w:lang w:val="sk-SK"/>
        </w:rPr>
        <w:t>míľniky</w:t>
      </w:r>
      <w:r w:rsidR="00A75B3C" w:rsidRPr="003F23AC">
        <w:rPr>
          <w:rFonts w:cs="Times New Roman"/>
          <w:noProof/>
          <w:lang w:val="sk-SK"/>
        </w:rPr>
        <w:t xml:space="preserve"> a </w:t>
      </w:r>
      <w:r w:rsidRPr="003F23AC">
        <w:rPr>
          <w:rFonts w:cs="Times New Roman"/>
          <w:noProof/>
          <w:lang w:val="sk-SK"/>
        </w:rPr>
        <w:t>ciele, ktoré má Portugalsko splniť. Musí sa preukázať úplný</w:t>
      </w:r>
      <w:r w:rsidR="00A75B3C" w:rsidRPr="003F23AC">
        <w:rPr>
          <w:rFonts w:cs="Times New Roman"/>
          <w:noProof/>
          <w:lang w:val="sk-SK"/>
        </w:rPr>
        <w:t xml:space="preserve"> a </w:t>
      </w:r>
      <w:r w:rsidRPr="003F23AC">
        <w:rPr>
          <w:rFonts w:cs="Times New Roman"/>
          <w:noProof/>
          <w:lang w:val="sk-SK"/>
        </w:rPr>
        <w:t>vecný súlad</w:t>
      </w:r>
      <w:r w:rsidR="00A75B3C" w:rsidRPr="003F23AC">
        <w:rPr>
          <w:rFonts w:cs="Times New Roman"/>
          <w:noProof/>
          <w:lang w:val="sk-SK"/>
        </w:rPr>
        <w:t xml:space="preserve"> s </w:t>
      </w:r>
      <w:r w:rsidRPr="003F23AC">
        <w:rPr>
          <w:rFonts w:cs="Times New Roman"/>
          <w:noProof/>
          <w:lang w:val="sk-SK"/>
        </w:rPr>
        <w:t>uplatniteľnými právnymi ustanoveniami. Pri uverejňovaní návrhu EIA na verejnú konzultáciu zahŕňa 1. predpokladané toky vody</w:t>
      </w:r>
      <w:r w:rsidR="00A75B3C" w:rsidRPr="003F23AC">
        <w:rPr>
          <w:rFonts w:cs="Times New Roman"/>
          <w:noProof/>
          <w:lang w:val="sk-SK"/>
        </w:rPr>
        <w:t xml:space="preserve"> v </w:t>
      </w:r>
      <w:r w:rsidRPr="003F23AC">
        <w:rPr>
          <w:rFonts w:cs="Times New Roman"/>
          <w:noProof/>
          <w:lang w:val="sk-SK"/>
        </w:rPr>
        <w:t>dotknutom vodnom útvare</w:t>
      </w:r>
      <w:r w:rsidR="00A75B3C" w:rsidRPr="003F23AC">
        <w:rPr>
          <w:rFonts w:cs="Times New Roman"/>
          <w:noProof/>
          <w:lang w:val="sk-SK"/>
        </w:rPr>
        <w:t xml:space="preserve"> v </w:t>
      </w:r>
      <w:r w:rsidRPr="003F23AC">
        <w:rPr>
          <w:rFonts w:cs="Times New Roman"/>
          <w:noProof/>
          <w:lang w:val="sk-SK"/>
        </w:rPr>
        <w:t>základnom scenári (žiadna investícia), ako aj po investícii, pričom sa</w:t>
      </w:r>
      <w:r w:rsidR="00A75B3C" w:rsidRPr="003F23AC">
        <w:rPr>
          <w:rFonts w:cs="Times New Roman"/>
          <w:noProof/>
          <w:lang w:val="sk-SK"/>
        </w:rPr>
        <w:t xml:space="preserve"> v </w:t>
      </w:r>
      <w:r w:rsidRPr="003F23AC">
        <w:rPr>
          <w:rFonts w:cs="Times New Roman"/>
          <w:noProof/>
          <w:lang w:val="sk-SK"/>
        </w:rPr>
        <w:t>plnej miere zohľadnia nepriaznivé vplyvy zmeny klímy na základe najlepších dostupných vedeckých prognóz vrátane realistického najhoršieho scenára;</w:t>
      </w:r>
      <w:r w:rsidR="00A75B3C" w:rsidRPr="003F23AC">
        <w:rPr>
          <w:rFonts w:cs="Times New Roman"/>
          <w:noProof/>
          <w:lang w:val="sk-SK"/>
        </w:rPr>
        <w:t xml:space="preserve"> a </w:t>
      </w:r>
      <w:r w:rsidRPr="003F23AC">
        <w:rPr>
          <w:rFonts w:cs="Times New Roman"/>
          <w:noProof/>
          <w:lang w:val="sk-SK"/>
        </w:rPr>
        <w:t>2) odôvodnenie účelu investície</w:t>
      </w:r>
      <w:r w:rsidR="00A75B3C" w:rsidRPr="003F23AC">
        <w:rPr>
          <w:rFonts w:cs="Times New Roman"/>
          <w:noProof/>
          <w:lang w:val="sk-SK"/>
        </w:rPr>
        <w:t xml:space="preserve"> v </w:t>
      </w:r>
      <w:r w:rsidRPr="003F23AC">
        <w:rPr>
          <w:rFonts w:cs="Times New Roman"/>
          <w:noProof/>
          <w:lang w:val="sk-SK"/>
        </w:rPr>
        <w:t>porovnaní</w:t>
      </w:r>
      <w:r w:rsidR="00A75B3C" w:rsidRPr="003F23AC">
        <w:rPr>
          <w:rFonts w:cs="Times New Roman"/>
          <w:noProof/>
          <w:lang w:val="sk-SK"/>
        </w:rPr>
        <w:t xml:space="preserve"> s </w:t>
      </w:r>
      <w:r w:rsidRPr="003F23AC">
        <w:rPr>
          <w:rFonts w:cs="Times New Roman"/>
          <w:noProof/>
          <w:lang w:val="sk-SK"/>
        </w:rPr>
        <w:t>alternatívami</w:t>
      </w:r>
      <w:r w:rsidR="00A75B3C" w:rsidRPr="003F23AC">
        <w:rPr>
          <w:rFonts w:cs="Times New Roman"/>
          <w:noProof/>
          <w:lang w:val="sk-SK"/>
        </w:rPr>
        <w:t xml:space="preserve"> s </w:t>
      </w:r>
      <w:r w:rsidRPr="003F23AC">
        <w:rPr>
          <w:rFonts w:cs="Times New Roman"/>
          <w:noProof/>
          <w:lang w:val="sk-SK"/>
        </w:rPr>
        <w:t>potenciálne nižšími environmentálnymi vplyvmi,</w:t>
      </w:r>
      <w:r w:rsidR="00A75B3C" w:rsidRPr="003F23AC">
        <w:rPr>
          <w:rFonts w:cs="Times New Roman"/>
          <w:noProof/>
          <w:lang w:val="sk-SK"/>
        </w:rPr>
        <w:t xml:space="preserve"> a </w:t>
      </w:r>
      <w:r w:rsidRPr="003F23AC">
        <w:rPr>
          <w:rFonts w:cs="Times New Roman"/>
          <w:noProof/>
          <w:lang w:val="sk-SK"/>
        </w:rPr>
        <w:t>to</w:t>
      </w:r>
      <w:r w:rsidR="00A75B3C" w:rsidRPr="003F23AC">
        <w:rPr>
          <w:rFonts w:cs="Times New Roman"/>
          <w:noProof/>
          <w:lang w:val="sk-SK"/>
        </w:rPr>
        <w:t xml:space="preserve"> z </w:t>
      </w:r>
      <w:r w:rsidRPr="003F23AC">
        <w:rPr>
          <w:rFonts w:cs="Times New Roman"/>
          <w:noProof/>
          <w:lang w:val="sk-SK"/>
        </w:rPr>
        <w:t>hľadiska ich cieľov (rozsah zavlažovanej pôdy verzus udržateľná obnova vidieka)</w:t>
      </w:r>
      <w:r w:rsidR="00A75B3C" w:rsidRPr="003F23AC">
        <w:rPr>
          <w:rFonts w:cs="Times New Roman"/>
          <w:noProof/>
          <w:lang w:val="sk-SK"/>
        </w:rPr>
        <w:t xml:space="preserve"> a </w:t>
      </w:r>
      <w:r w:rsidRPr="003F23AC">
        <w:rPr>
          <w:rFonts w:cs="Times New Roman"/>
          <w:noProof/>
          <w:lang w:val="sk-SK"/>
        </w:rPr>
        <w:t>ich prostriedkov (zníženie dopytu po vode</w:t>
      </w:r>
      <w:r w:rsidR="00A75B3C" w:rsidRPr="003F23AC">
        <w:rPr>
          <w:rFonts w:cs="Times New Roman"/>
          <w:noProof/>
          <w:lang w:val="sk-SK"/>
        </w:rPr>
        <w:t xml:space="preserve"> a </w:t>
      </w:r>
      <w:r w:rsidRPr="003F23AC">
        <w:rPr>
          <w:rFonts w:cs="Times New Roman"/>
          <w:noProof/>
          <w:lang w:val="sk-SK"/>
        </w:rPr>
        <w:t>riešenia inšpirované prírodou). Najmä všetky projekty, ktoré môžu mať významný vplyv na životné prostredie, podliehajú posudzovaniu vplyvov na životné prostredie (EIA), ktoré sa dokončí</w:t>
      </w:r>
      <w:r w:rsidR="00A75B3C" w:rsidRPr="003F23AC">
        <w:rPr>
          <w:rFonts w:cs="Times New Roman"/>
          <w:noProof/>
          <w:lang w:val="sk-SK"/>
        </w:rPr>
        <w:t xml:space="preserve"> v </w:t>
      </w:r>
      <w:r w:rsidRPr="003F23AC">
        <w:rPr>
          <w:rFonts w:cs="Times New Roman"/>
          <w:noProof/>
          <w:lang w:val="sk-SK"/>
        </w:rPr>
        <w:t>súlade so smernicou 2011/92/EÚ, ako aj príslušným posúdeniam</w:t>
      </w:r>
      <w:r w:rsidR="00A75B3C" w:rsidRPr="003F23AC">
        <w:rPr>
          <w:rFonts w:cs="Times New Roman"/>
          <w:noProof/>
          <w:lang w:val="sk-SK"/>
        </w:rPr>
        <w:t xml:space="preserve"> v </w:t>
      </w:r>
      <w:r w:rsidRPr="003F23AC">
        <w:rPr>
          <w:rFonts w:cs="Times New Roman"/>
          <w:noProof/>
          <w:lang w:val="sk-SK"/>
        </w:rPr>
        <w:t>kontexte smernice 2000/60/ES vrátane vykonávania požadovaných zmierňujúcich opatrení, ktorými sa zabezpečí súlad</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r w:rsidR="00A75B3C" w:rsidRPr="003F23AC">
        <w:rPr>
          <w:rFonts w:cs="Times New Roman"/>
          <w:noProof/>
          <w:lang w:val="sk-SK"/>
        </w:rPr>
        <w:t>.</w:t>
      </w:r>
    </w:p>
    <w:p w14:paraId="519C6249" w14:textId="105B1C10"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Všetky opatrenia identifikované</w:t>
      </w:r>
      <w:r w:rsidR="00A75B3C" w:rsidRPr="003F23AC">
        <w:rPr>
          <w:rFonts w:cs="Times New Roman"/>
          <w:noProof/>
          <w:lang w:val="sk-SK"/>
        </w:rPr>
        <w:t xml:space="preserve"> v </w:t>
      </w:r>
      <w:r w:rsidRPr="003F23AC">
        <w:rPr>
          <w:rFonts w:cs="Times New Roman"/>
          <w:noProof/>
          <w:lang w:val="sk-SK"/>
        </w:rPr>
        <w:t>rámci posudzovania vplyvov na životné prostredie</w:t>
      </w:r>
      <w:r w:rsidR="00A75B3C" w:rsidRPr="003F23AC">
        <w:rPr>
          <w:rFonts w:cs="Times New Roman"/>
          <w:noProof/>
          <w:lang w:val="sk-SK"/>
        </w:rPr>
        <w:t xml:space="preserve"> a </w:t>
      </w:r>
      <w:r w:rsidRPr="003F23AC">
        <w:rPr>
          <w:rFonts w:cs="Times New Roman"/>
          <w:noProof/>
          <w:lang w:val="sk-SK"/>
        </w:rPr>
        <w:t>posúdenia podľa smernice 2000/60/ES, ktoré sú potrebné na zabezpečenie súladu so zásadou „výrazne nenarušiť“, sa začlenia do projektu</w:t>
      </w:r>
      <w:r w:rsidR="00A75B3C" w:rsidRPr="003F23AC">
        <w:rPr>
          <w:rFonts w:cs="Times New Roman"/>
          <w:noProof/>
          <w:lang w:val="sk-SK"/>
        </w:rPr>
        <w:t xml:space="preserve"> a </w:t>
      </w:r>
      <w:r w:rsidRPr="003F23AC">
        <w:rPr>
          <w:rFonts w:cs="Times New Roman"/>
          <w:noProof/>
          <w:lang w:val="sk-SK"/>
        </w:rPr>
        <w:t>prísne sa dodržiavajú vo fázach výstavby, prevádzky</w:t>
      </w:r>
      <w:r w:rsidR="00A75B3C" w:rsidRPr="003F23AC">
        <w:rPr>
          <w:rFonts w:cs="Times New Roman"/>
          <w:noProof/>
          <w:lang w:val="sk-SK"/>
        </w:rPr>
        <w:t xml:space="preserve"> a </w:t>
      </w:r>
      <w:r w:rsidRPr="003F23AC">
        <w:rPr>
          <w:rFonts w:cs="Times New Roman"/>
          <w:noProof/>
          <w:lang w:val="sk-SK"/>
        </w:rPr>
        <w:t>vyraďovania infraštruktúry</w:t>
      </w:r>
      <w:r w:rsidR="00A75B3C" w:rsidRPr="003F23AC">
        <w:rPr>
          <w:rFonts w:cs="Times New Roman"/>
          <w:noProof/>
          <w:lang w:val="sk-SK"/>
        </w:rPr>
        <w:t xml:space="preserve"> z </w:t>
      </w:r>
      <w:r w:rsidRPr="003F23AC">
        <w:rPr>
          <w:rFonts w:cs="Times New Roman"/>
          <w:noProof/>
          <w:lang w:val="sk-SK"/>
        </w:rPr>
        <w:t>prevádzky.</w:t>
      </w:r>
    </w:p>
    <w:p w14:paraId="77735E49" w14:textId="541F6AF3"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EIA vychádza</w:t>
      </w:r>
      <w:r w:rsidR="00A75B3C" w:rsidRPr="003F23AC">
        <w:rPr>
          <w:rFonts w:cs="Times New Roman"/>
          <w:noProof/>
          <w:lang w:val="sk-SK"/>
        </w:rPr>
        <w:t xml:space="preserve"> z </w:t>
      </w:r>
      <w:r w:rsidRPr="003F23AC">
        <w:rPr>
          <w:rFonts w:cs="Times New Roman"/>
          <w:noProof/>
          <w:lang w:val="sk-SK"/>
        </w:rPr>
        <w:t>najaktuálnejších, najkomplexnejších</w:t>
      </w:r>
      <w:r w:rsidR="00A75B3C" w:rsidRPr="003F23AC">
        <w:rPr>
          <w:rFonts w:cs="Times New Roman"/>
          <w:noProof/>
          <w:lang w:val="sk-SK"/>
        </w:rPr>
        <w:t xml:space="preserve"> a </w:t>
      </w:r>
      <w:r w:rsidRPr="003F23AC">
        <w:rPr>
          <w:rFonts w:cs="Times New Roman"/>
          <w:noProof/>
          <w:lang w:val="sk-SK"/>
        </w:rPr>
        <w:t>najpresnejších údajov vrátane údajov</w:t>
      </w:r>
      <w:r w:rsidR="00A75B3C" w:rsidRPr="003F23AC">
        <w:rPr>
          <w:rFonts w:cs="Times New Roman"/>
          <w:noProof/>
          <w:lang w:val="sk-SK"/>
        </w:rPr>
        <w:t xml:space="preserve"> z </w:t>
      </w:r>
      <w:r w:rsidRPr="003F23AC">
        <w:rPr>
          <w:rFonts w:cs="Times New Roman"/>
          <w:noProof/>
          <w:lang w:val="sk-SK"/>
        </w:rPr>
        <w:t>monitorovania biologických prvkov kvality, ktoré sú osobitne citlivé na hydromorfologické zmeny,</w:t>
      </w:r>
      <w:r w:rsidR="00A75B3C" w:rsidRPr="003F23AC">
        <w:rPr>
          <w:rFonts w:cs="Times New Roman"/>
          <w:noProof/>
          <w:lang w:val="sk-SK"/>
        </w:rPr>
        <w:t xml:space="preserve"> a z </w:t>
      </w:r>
      <w:r w:rsidRPr="003F23AC">
        <w:rPr>
          <w:rFonts w:cs="Times New Roman"/>
          <w:noProof/>
          <w:lang w:val="sk-SK"/>
        </w:rPr>
        <w:t>očakávaného stavu vodného útvaru</w:t>
      </w:r>
      <w:r w:rsidR="00A75B3C" w:rsidRPr="003F23AC">
        <w:rPr>
          <w:rFonts w:cs="Times New Roman"/>
          <w:noProof/>
          <w:lang w:val="sk-SK"/>
        </w:rPr>
        <w:t xml:space="preserve"> v </w:t>
      </w:r>
      <w:r w:rsidRPr="003F23AC">
        <w:rPr>
          <w:rFonts w:cs="Times New Roman"/>
          <w:noProof/>
          <w:lang w:val="sk-SK"/>
        </w:rPr>
        <w:t>dôsledku nových činností</w:t>
      </w:r>
      <w:r w:rsidR="00A75B3C" w:rsidRPr="003F23AC">
        <w:rPr>
          <w:rFonts w:cs="Times New Roman"/>
          <w:noProof/>
          <w:lang w:val="sk-SK"/>
        </w:rPr>
        <w:t xml:space="preserve"> v </w:t>
      </w:r>
      <w:r w:rsidRPr="003F23AC">
        <w:rPr>
          <w:rFonts w:cs="Times New Roman"/>
          <w:noProof/>
          <w:lang w:val="sk-SK"/>
        </w:rPr>
        <w:t>porovnaní</w:t>
      </w:r>
      <w:r w:rsidR="00A75B3C" w:rsidRPr="003F23AC">
        <w:rPr>
          <w:rFonts w:cs="Times New Roman"/>
          <w:noProof/>
          <w:lang w:val="sk-SK"/>
        </w:rPr>
        <w:t xml:space="preserve"> s </w:t>
      </w:r>
      <w:r w:rsidRPr="003F23AC">
        <w:rPr>
          <w:rFonts w:cs="Times New Roman"/>
          <w:noProof/>
          <w:lang w:val="sk-SK"/>
        </w:rPr>
        <w:t>jeho súčasnou činnosťou. Posúdi najmä kumulované vplyvy tohto nového projektu</w:t>
      </w:r>
      <w:r w:rsidR="00A75B3C" w:rsidRPr="003F23AC">
        <w:rPr>
          <w:rFonts w:cs="Times New Roman"/>
          <w:noProof/>
          <w:lang w:val="sk-SK"/>
        </w:rPr>
        <w:t xml:space="preserve"> s </w:t>
      </w:r>
      <w:r w:rsidRPr="003F23AC">
        <w:rPr>
          <w:rFonts w:cs="Times New Roman"/>
          <w:noProof/>
          <w:lang w:val="sk-SK"/>
        </w:rPr>
        <w:t>inou existujúcou alebo plánovanou infraštruktúrou</w:t>
      </w:r>
      <w:r w:rsidR="00A75B3C" w:rsidRPr="003F23AC">
        <w:rPr>
          <w:rFonts w:cs="Times New Roman"/>
          <w:noProof/>
          <w:lang w:val="sk-SK"/>
        </w:rPr>
        <w:t xml:space="preserve"> v </w:t>
      </w:r>
      <w:r w:rsidRPr="003F23AC">
        <w:rPr>
          <w:rFonts w:cs="Times New Roman"/>
          <w:noProof/>
          <w:lang w:val="sk-SK"/>
        </w:rPr>
        <w:t>povodí.</w:t>
      </w:r>
    </w:p>
    <w:p w14:paraId="3A356255" w14:textId="7C0CA27A"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Na dosiahnutie súladu so smernicou 2000/60/ES sa na základe posúdenia všetkých potenciálnych vplyvov na stav vodných útvarov</w:t>
      </w:r>
      <w:r w:rsidR="00A75B3C" w:rsidRPr="003F23AC">
        <w:rPr>
          <w:rFonts w:cs="Times New Roman"/>
          <w:noProof/>
          <w:lang w:val="sk-SK"/>
        </w:rPr>
        <w:t xml:space="preserve"> v </w:t>
      </w:r>
      <w:r w:rsidRPr="003F23AC">
        <w:rPr>
          <w:rFonts w:cs="Times New Roman"/>
          <w:noProof/>
          <w:lang w:val="sk-SK"/>
        </w:rPr>
        <w:t>rámci toho istého povodia</w:t>
      </w:r>
      <w:r w:rsidR="00A75B3C" w:rsidRPr="003F23AC">
        <w:rPr>
          <w:rFonts w:cs="Times New Roman"/>
          <w:noProof/>
          <w:lang w:val="sk-SK"/>
        </w:rPr>
        <w:t xml:space="preserve"> a </w:t>
      </w:r>
      <w:r w:rsidRPr="003F23AC">
        <w:rPr>
          <w:rFonts w:cs="Times New Roman"/>
          <w:noProof/>
          <w:lang w:val="sk-SK"/>
        </w:rPr>
        <w:t>na chránené biotopy</w:t>
      </w:r>
      <w:r w:rsidR="00A75B3C" w:rsidRPr="003F23AC">
        <w:rPr>
          <w:rFonts w:cs="Times New Roman"/>
          <w:noProof/>
          <w:lang w:val="sk-SK"/>
        </w:rPr>
        <w:t xml:space="preserve"> a </w:t>
      </w:r>
      <w:r w:rsidRPr="003F23AC">
        <w:rPr>
          <w:rFonts w:cs="Times New Roman"/>
          <w:noProof/>
          <w:lang w:val="sk-SK"/>
        </w:rPr>
        <w:t>druhy priamo závislé od vody, najmä vzhľadom na súčasné tlaky súvisiace</w:t>
      </w:r>
      <w:r w:rsidR="00A75B3C" w:rsidRPr="003F23AC">
        <w:rPr>
          <w:rFonts w:cs="Times New Roman"/>
          <w:noProof/>
          <w:lang w:val="sk-SK"/>
        </w:rPr>
        <w:t xml:space="preserve"> s </w:t>
      </w:r>
      <w:r w:rsidRPr="003F23AC">
        <w:rPr>
          <w:rFonts w:cs="Times New Roman"/>
          <w:noProof/>
          <w:lang w:val="sk-SK"/>
        </w:rPr>
        <w:t>odberom vody, preukáže, že opatrenie:</w:t>
      </w:r>
    </w:p>
    <w:p w14:paraId="486C6FCC" w14:textId="7777777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 výrazne ani nezvratne neovplyvňuje dotknuté vodné útvary, ani nebráni tomu, aby konkrétny vodný útvar, ktorého sa týka, ani iné vodné útvary</w:t>
      </w:r>
      <w:r w:rsidR="00A75B3C" w:rsidRPr="003F23AC">
        <w:rPr>
          <w:rFonts w:cs="Times New Roman"/>
          <w:noProof/>
          <w:lang w:val="sk-SK"/>
        </w:rPr>
        <w:t xml:space="preserve"> v </w:t>
      </w:r>
      <w:r w:rsidRPr="003F23AC">
        <w:rPr>
          <w:rFonts w:cs="Times New Roman"/>
          <w:noProof/>
          <w:lang w:val="sk-SK"/>
        </w:rPr>
        <w:t>tom istom povodí dosiahli dobrý stav alebo potenciál do 4. štvrťroka 2025;</w:t>
      </w:r>
      <w:r w:rsidR="00A75B3C" w:rsidRPr="003F23AC">
        <w:rPr>
          <w:rFonts w:cs="Times New Roman"/>
          <w:noProof/>
          <w:lang w:val="sk-SK"/>
        </w:rPr>
        <w:t xml:space="preserve"> a </w:t>
      </w:r>
      <w:r w:rsidRPr="003F23AC">
        <w:rPr>
          <w:rFonts w:cs="Times New Roman"/>
          <w:noProof/>
          <w:lang w:val="sk-SK"/>
        </w:rPr>
        <w:t>zároveň</w:t>
      </w:r>
    </w:p>
    <w:p w14:paraId="41CC86CF" w14:textId="2280F60F"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II) nemá významný negatívny vplyv na chránené biotopy</w:t>
      </w:r>
      <w:r w:rsidR="00A75B3C" w:rsidRPr="003F23AC">
        <w:rPr>
          <w:rFonts w:cs="Times New Roman"/>
          <w:noProof/>
          <w:lang w:val="sk-SK"/>
        </w:rPr>
        <w:t xml:space="preserve"> a </w:t>
      </w:r>
      <w:r w:rsidRPr="003F23AC">
        <w:rPr>
          <w:rFonts w:cs="Times New Roman"/>
          <w:noProof/>
          <w:lang w:val="sk-SK"/>
        </w:rPr>
        <w:t>druhy priamo závislé od vody.</w:t>
      </w:r>
    </w:p>
    <w:p w14:paraId="318AF7C6" w14:textId="4E099A6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Príslušný orgán udelí povolenie na projekt,</w:t>
      </w:r>
      <w:r w:rsidR="00A75B3C" w:rsidRPr="003F23AC">
        <w:rPr>
          <w:rFonts w:cs="Times New Roman"/>
          <w:noProof/>
          <w:lang w:val="sk-SK"/>
        </w:rPr>
        <w:t xml:space="preserve"> v </w:t>
      </w:r>
      <w:r w:rsidRPr="003F23AC">
        <w:rPr>
          <w:rFonts w:cs="Times New Roman"/>
          <w:noProof/>
          <w:lang w:val="sk-SK"/>
        </w:rPr>
        <w:t>ktorom sa uvedú všetky technicky uskutočniteľné</w:t>
      </w:r>
      <w:r w:rsidR="00A75B3C" w:rsidRPr="003F23AC">
        <w:rPr>
          <w:rFonts w:cs="Times New Roman"/>
          <w:noProof/>
          <w:lang w:val="sk-SK"/>
        </w:rPr>
        <w:t xml:space="preserve"> a </w:t>
      </w:r>
      <w:r w:rsidRPr="003F23AC">
        <w:rPr>
          <w:rFonts w:cs="Times New Roman"/>
          <w:noProof/>
          <w:lang w:val="sk-SK"/>
        </w:rPr>
        <w:t>ekologicky relevantné opatrenia vykonané na zmiernenie vplyvov</w:t>
      </w:r>
      <w:r w:rsidR="00A75B3C" w:rsidRPr="003F23AC">
        <w:rPr>
          <w:rFonts w:cs="Times New Roman"/>
          <w:noProof/>
          <w:lang w:val="sk-SK"/>
        </w:rPr>
        <w:t xml:space="preserve"> a </w:t>
      </w:r>
      <w:r w:rsidRPr="003F23AC">
        <w:rPr>
          <w:rFonts w:cs="Times New Roman"/>
          <w:noProof/>
          <w:lang w:val="sk-SK"/>
        </w:rPr>
        <w:t>zabezpečenie dosiahnutia dobrého ekologického stavu</w:t>
      </w:r>
      <w:r w:rsidR="00A75B3C" w:rsidRPr="003F23AC">
        <w:rPr>
          <w:rFonts w:cs="Times New Roman"/>
          <w:noProof/>
          <w:lang w:val="sk-SK"/>
        </w:rPr>
        <w:t xml:space="preserve"> a </w:t>
      </w:r>
      <w:r w:rsidRPr="003F23AC">
        <w:rPr>
          <w:rFonts w:cs="Times New Roman"/>
          <w:noProof/>
          <w:lang w:val="sk-SK"/>
        </w:rPr>
        <w:t>potenciálu</w:t>
      </w:r>
      <w:r w:rsidR="00A75B3C" w:rsidRPr="003F23AC">
        <w:rPr>
          <w:rFonts w:cs="Times New Roman"/>
          <w:noProof/>
          <w:lang w:val="sk-SK"/>
        </w:rPr>
        <w:t xml:space="preserve"> v </w:t>
      </w:r>
      <w:r w:rsidRPr="003F23AC">
        <w:rPr>
          <w:rFonts w:cs="Times New Roman"/>
          <w:noProof/>
          <w:lang w:val="sk-SK"/>
        </w:rPr>
        <w:t>dotknutých vodných útvaroch do 4. štvrťroka 2025</w:t>
      </w:r>
      <w:r w:rsidR="00A75B3C" w:rsidRPr="003F23AC">
        <w:rPr>
          <w:rFonts w:cs="Times New Roman"/>
          <w:noProof/>
          <w:lang w:val="sk-SK"/>
        </w:rPr>
        <w:t xml:space="preserve"> a </w:t>
      </w:r>
      <w:r w:rsidRPr="003F23AC">
        <w:rPr>
          <w:rFonts w:cs="Times New Roman"/>
          <w:noProof/>
          <w:lang w:val="sk-SK"/>
        </w:rPr>
        <w:t>zabezpečí sa monitorovanie účinnosti týchto opatrení</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požiadavkami rámcovej smernice</w:t>
      </w:r>
      <w:r w:rsidR="00A75B3C" w:rsidRPr="003F23AC">
        <w:rPr>
          <w:rFonts w:cs="Times New Roman"/>
          <w:noProof/>
          <w:lang w:val="sk-SK"/>
        </w:rPr>
        <w:t xml:space="preserve"> o </w:t>
      </w:r>
      <w:r w:rsidRPr="003F23AC">
        <w:rPr>
          <w:rFonts w:cs="Times New Roman"/>
          <w:noProof/>
          <w:lang w:val="sk-SK"/>
        </w:rPr>
        <w:t>vode 2000/60/ES</w:t>
      </w:r>
      <w:r w:rsidR="00A75B3C" w:rsidRPr="003F23AC">
        <w:rPr>
          <w:rFonts w:cs="Times New Roman"/>
          <w:noProof/>
          <w:lang w:val="sk-SK"/>
        </w:rPr>
        <w:t>.</w:t>
      </w:r>
    </w:p>
    <w:p w14:paraId="207EA017" w14:textId="3CEEB743"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Realizácia investície sa dokončí do 31</w:t>
      </w:r>
      <w:r w:rsidR="00A75B3C" w:rsidRPr="003F23AC">
        <w:rPr>
          <w:rFonts w:cs="Times New Roman"/>
          <w:noProof/>
          <w:lang w:val="sk-SK"/>
        </w:rPr>
        <w:t>. marca</w:t>
      </w:r>
      <w:r w:rsidRPr="003F23AC">
        <w:rPr>
          <w:rFonts w:cs="Times New Roman"/>
          <w:noProof/>
          <w:lang w:val="sk-SK"/>
        </w:rPr>
        <w:t xml:space="preserve"> 2022.</w:t>
      </w:r>
    </w:p>
    <w:p w14:paraId="34D05917" w14:textId="707802FB"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RE-C09-i03-RAM: Plán efektívneho využívania vody</w:t>
      </w:r>
      <w:r w:rsidR="00A75B3C" w:rsidRPr="003F23AC">
        <w:rPr>
          <w:rFonts w:cs="Times New Roman"/>
          <w:noProof/>
          <w:lang w:val="sk-SK"/>
        </w:rPr>
        <w:t xml:space="preserve"> a </w:t>
      </w:r>
      <w:r w:rsidRPr="003F23AC">
        <w:rPr>
          <w:rFonts w:cs="Times New Roman"/>
          <w:noProof/>
          <w:lang w:val="sk-SK"/>
        </w:rPr>
        <w:t>posilnenia zásobovacích</w:t>
      </w:r>
      <w:r w:rsidR="00A75B3C" w:rsidRPr="003F23AC">
        <w:rPr>
          <w:rFonts w:cs="Times New Roman"/>
          <w:noProof/>
          <w:lang w:val="sk-SK"/>
        </w:rPr>
        <w:t xml:space="preserve"> a </w:t>
      </w:r>
      <w:r w:rsidRPr="003F23AC">
        <w:rPr>
          <w:rFonts w:cs="Times New Roman"/>
          <w:noProof/>
          <w:lang w:val="sk-SK"/>
        </w:rPr>
        <w:t>zavlažovacích systémov Madeiry</w:t>
      </w:r>
    </w:p>
    <w:p w14:paraId="110554EA" w14:textId="652726A5"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opatrenia je zvýšiť odolnosť vodných zdrojov na ostrovoch Madeira</w:t>
      </w:r>
      <w:r w:rsidR="00A75B3C" w:rsidRPr="003F23AC">
        <w:rPr>
          <w:rFonts w:cs="Times New Roman"/>
          <w:noProof/>
          <w:lang w:val="sk-SK"/>
        </w:rPr>
        <w:t xml:space="preserve"> a </w:t>
      </w:r>
      <w:r w:rsidRPr="003F23AC">
        <w:rPr>
          <w:rFonts w:cs="Times New Roman"/>
          <w:noProof/>
          <w:lang w:val="sk-SK"/>
        </w:rPr>
        <w:t>Porto Santo</w:t>
      </w:r>
      <w:r w:rsidR="00A75B3C" w:rsidRPr="003F23AC">
        <w:rPr>
          <w:rFonts w:cs="Times New Roman"/>
          <w:noProof/>
          <w:lang w:val="sk-SK"/>
        </w:rPr>
        <w:t>.</w:t>
      </w:r>
    </w:p>
    <w:p w14:paraId="0B150B1A" w14:textId="160C758F"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spočíva</w:t>
      </w:r>
      <w:r w:rsidR="00A75B3C" w:rsidRPr="003F23AC">
        <w:rPr>
          <w:rFonts w:cs="Times New Roman"/>
          <w:noProof/>
          <w:lang w:val="sk-SK"/>
        </w:rPr>
        <w:t xml:space="preserve"> v </w:t>
      </w:r>
      <w:r w:rsidRPr="003F23AC">
        <w:rPr>
          <w:rFonts w:cs="Times New Roman"/>
          <w:noProof/>
          <w:lang w:val="sk-SK"/>
        </w:rPr>
        <w:t>sprístupnení dodávok vodných zdrojov optimalizáciou využívania existujúcich zdrojov, odberom nadbytočnej vody bez vplyvu na ekosystémy, vytváraním</w:t>
      </w:r>
      <w:r w:rsidR="00A75B3C" w:rsidRPr="003F23AC">
        <w:rPr>
          <w:rFonts w:cs="Times New Roman"/>
          <w:noProof/>
          <w:lang w:val="sk-SK"/>
        </w:rPr>
        <w:t xml:space="preserve"> a </w:t>
      </w:r>
      <w:r w:rsidRPr="003F23AC">
        <w:rPr>
          <w:rFonts w:cs="Times New Roman"/>
          <w:noProof/>
          <w:lang w:val="sk-SK"/>
        </w:rPr>
        <w:t>rozširovaním strategických rezerv</w:t>
      </w:r>
      <w:r w:rsidR="00A75B3C" w:rsidRPr="003F23AC">
        <w:rPr>
          <w:rFonts w:cs="Times New Roman"/>
          <w:noProof/>
          <w:lang w:val="sk-SK"/>
        </w:rPr>
        <w:t xml:space="preserve"> a </w:t>
      </w:r>
      <w:r w:rsidRPr="003F23AC">
        <w:rPr>
          <w:rFonts w:cs="Times New Roman"/>
          <w:noProof/>
          <w:lang w:val="sk-SK"/>
        </w:rPr>
        <w:t>prepojením rôznych vodných zdrojov</w:t>
      </w:r>
      <w:r w:rsidR="00A75B3C" w:rsidRPr="003F23AC">
        <w:rPr>
          <w:rFonts w:cs="Times New Roman"/>
          <w:noProof/>
          <w:lang w:val="sk-SK"/>
        </w:rPr>
        <w:t>.</w:t>
      </w:r>
    </w:p>
    <w:p w14:paraId="6EF884DE" w14:textId="24C9FFE4"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Očakáva sa, že toto opatrenie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opatrenia</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 podpory obnovy</w:t>
      </w:r>
      <w:r w:rsidR="00A75B3C" w:rsidRPr="003F23AC">
        <w:rPr>
          <w:rFonts w:cs="Times New Roman"/>
          <w:noProof/>
          <w:lang w:val="sk-SK"/>
        </w:rPr>
        <w:t xml:space="preserve"> a </w:t>
      </w:r>
      <w:r w:rsidRPr="003F23AC">
        <w:rPr>
          <w:rFonts w:cs="Times New Roman"/>
          <w:noProof/>
          <w:lang w:val="sk-SK"/>
        </w:rPr>
        <w:t>odolnosti</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r w:rsidR="00A75B3C" w:rsidRPr="003F23AC">
        <w:rPr>
          <w:rFonts w:cs="Times New Roman"/>
          <w:noProof/>
          <w:lang w:val="sk-SK"/>
        </w:rPr>
        <w:t xml:space="preserve"> a </w:t>
      </w:r>
      <w:r w:rsidRPr="003F23AC">
        <w:rPr>
          <w:rFonts w:cs="Times New Roman"/>
          <w:noProof/>
          <w:lang w:val="sk-SK"/>
        </w:rPr>
        <w:t>míľniky</w:t>
      </w:r>
      <w:r w:rsidR="00A75B3C" w:rsidRPr="003F23AC">
        <w:rPr>
          <w:rFonts w:cs="Times New Roman"/>
          <w:noProof/>
          <w:lang w:val="sk-SK"/>
        </w:rPr>
        <w:t xml:space="preserve"> a </w:t>
      </w:r>
      <w:r w:rsidRPr="003F23AC">
        <w:rPr>
          <w:rFonts w:cs="Times New Roman"/>
          <w:noProof/>
          <w:lang w:val="sk-SK"/>
        </w:rPr>
        <w:t>ciele, ktoré má Portugalsko splniť. Najmä všetky projekty, ktoré môžu mať významný vplyv na životné prostredie, musia nevyhnutne podliehať posudzovaniu vplyvov na životné prostredie (EIA) podľa smernice 2011/92/EÚ, ako aj príslušným posúdeniam</w:t>
      </w:r>
      <w:r w:rsidR="00A75B3C" w:rsidRPr="003F23AC">
        <w:rPr>
          <w:rFonts w:cs="Times New Roman"/>
          <w:noProof/>
          <w:lang w:val="sk-SK"/>
        </w:rPr>
        <w:t xml:space="preserve"> v </w:t>
      </w:r>
      <w:r w:rsidRPr="003F23AC">
        <w:rPr>
          <w:rFonts w:cs="Times New Roman"/>
          <w:noProof/>
          <w:lang w:val="sk-SK"/>
        </w:rPr>
        <w:t>kontexte smernice 2000/60/ES</w:t>
      </w:r>
      <w:r w:rsidR="00A75B3C" w:rsidRPr="003F23AC">
        <w:rPr>
          <w:rFonts w:cs="Times New Roman"/>
          <w:noProof/>
          <w:lang w:val="sk-SK"/>
        </w:rPr>
        <w:t xml:space="preserve"> a </w:t>
      </w:r>
      <w:r w:rsidRPr="003F23AC">
        <w:rPr>
          <w:rFonts w:cs="Times New Roman"/>
          <w:noProof/>
          <w:lang w:val="sk-SK"/>
        </w:rPr>
        <w:t>smernice 92/43/EHS vrátane vykonávania požadovaných zmierňujúcich opatrení.</w:t>
      </w:r>
    </w:p>
    <w:p w14:paraId="38F7BA54" w14:textId="61E2882D" w:rsidR="00387C70" w:rsidRPr="003F23AC" w:rsidRDefault="000F5AA4" w:rsidP="003F23AC">
      <w:pPr>
        <w:pStyle w:val="P68B1DB1-Normal4"/>
        <w:spacing w:before="40" w:after="0" w:line="259" w:lineRule="auto"/>
        <w:jc w:val="both"/>
        <w:rPr>
          <w:rFonts w:eastAsiaTheme="minorEastAsia" w:cs="Times New Roman"/>
          <w:noProof/>
          <w:lang w:val="sk-SK"/>
        </w:rPr>
        <w:sectPr w:rsidR="00387C70" w:rsidRPr="003F23AC" w:rsidSect="00E00EDD">
          <w:headerReference w:type="even" r:id="rId180"/>
          <w:headerReference w:type="default" r:id="rId181"/>
          <w:footerReference w:type="even" r:id="rId182"/>
          <w:footerReference w:type="default" r:id="rId183"/>
          <w:headerReference w:type="first" r:id="rId184"/>
          <w:footerReference w:type="first" r:id="rId185"/>
          <w:pgSz w:w="11907" w:h="16839"/>
          <w:pgMar w:top="1134" w:right="1134" w:bottom="1134" w:left="1134" w:header="567" w:footer="567" w:gutter="0"/>
          <w:cols w:space="720"/>
          <w:docGrid w:linePitch="360"/>
        </w:sect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12B3E8CF"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1AF6FAD5"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1001889C" w14:textId="3CB0608B"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I.2.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p w14:paraId="25E28A3C" w14:textId="77777777" w:rsidR="00387C70" w:rsidRPr="003F23AC" w:rsidRDefault="00387C70" w:rsidP="003F23AC">
      <w:pPr>
        <w:spacing w:before="40" w:after="0" w:line="259" w:lineRule="auto"/>
        <w:ind w:left="130" w:firstLine="720"/>
        <w:jc w:val="both"/>
        <w:outlineLvl w:val="2"/>
        <w:rPr>
          <w:rFonts w:ascii="Times New Roman" w:eastAsiaTheme="minorEastAsia" w:hAnsi="Times New Roman" w:cs="Times New Roman"/>
          <w:b/>
          <w:noProof/>
          <w:sz w:val="24"/>
          <w:u w:val="single"/>
          <w:lang w:val="sk-SK"/>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134"/>
        <w:gridCol w:w="1701"/>
        <w:gridCol w:w="1275"/>
        <w:gridCol w:w="993"/>
        <w:gridCol w:w="992"/>
        <w:gridCol w:w="709"/>
        <w:gridCol w:w="567"/>
        <w:gridCol w:w="708"/>
        <w:gridCol w:w="3969"/>
      </w:tblGrid>
      <w:tr w:rsidR="00387C70" w:rsidRPr="003F23AC" w14:paraId="600C6CC3" w14:textId="77777777" w:rsidTr="009E4E5C">
        <w:trPr>
          <w:trHeight w:val="300"/>
          <w:tblHeader/>
          <w:jc w:val="center"/>
        </w:trPr>
        <w:tc>
          <w:tcPr>
            <w:tcW w:w="1135" w:type="dxa"/>
            <w:vMerge w:val="restart"/>
            <w:shd w:val="clear" w:color="auto" w:fill="BDD6EE"/>
            <w:tcMar>
              <w:left w:w="28" w:type="dxa"/>
              <w:right w:w="28" w:type="dxa"/>
            </w:tcMar>
            <w:vAlign w:val="center"/>
            <w:hideMark/>
          </w:tcPr>
          <w:p w14:paraId="7EDDF729"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76" w:type="dxa"/>
            <w:vMerge w:val="restart"/>
            <w:shd w:val="clear" w:color="auto" w:fill="BDD6EE"/>
            <w:noWrap/>
            <w:tcMar>
              <w:left w:w="28" w:type="dxa"/>
              <w:right w:w="28" w:type="dxa"/>
            </w:tcMar>
            <w:vAlign w:val="center"/>
            <w:hideMark/>
          </w:tcPr>
          <w:p w14:paraId="245FD828"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34" w:type="dxa"/>
            <w:vMerge w:val="restart"/>
            <w:shd w:val="clear" w:color="auto" w:fill="BDD6EE"/>
            <w:noWrap/>
            <w:tcMar>
              <w:left w:w="28" w:type="dxa"/>
              <w:right w:w="28" w:type="dxa"/>
            </w:tcMar>
            <w:vAlign w:val="center"/>
            <w:hideMark/>
          </w:tcPr>
          <w:p w14:paraId="0BF43E8A" w14:textId="22BCA461"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1701" w:type="dxa"/>
            <w:vMerge w:val="restart"/>
            <w:shd w:val="clear" w:color="auto" w:fill="BDD6EE"/>
            <w:noWrap/>
            <w:tcMar>
              <w:left w:w="28" w:type="dxa"/>
              <w:right w:w="28" w:type="dxa"/>
            </w:tcMar>
            <w:vAlign w:val="center"/>
            <w:hideMark/>
          </w:tcPr>
          <w:p w14:paraId="340FFCF7"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275" w:type="dxa"/>
            <w:vMerge w:val="restart"/>
            <w:shd w:val="clear" w:color="auto" w:fill="BDD6EE"/>
            <w:noWrap/>
            <w:tcMar>
              <w:left w:w="28" w:type="dxa"/>
              <w:right w:w="28" w:type="dxa"/>
            </w:tcMar>
            <w:vAlign w:val="center"/>
            <w:hideMark/>
          </w:tcPr>
          <w:p w14:paraId="6468587C"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694" w:type="dxa"/>
            <w:gridSpan w:val="3"/>
            <w:shd w:val="clear" w:color="auto" w:fill="BDD6EE"/>
            <w:noWrap/>
            <w:tcMar>
              <w:left w:w="28" w:type="dxa"/>
              <w:right w:w="28" w:type="dxa"/>
            </w:tcMar>
            <w:vAlign w:val="center"/>
            <w:hideMark/>
          </w:tcPr>
          <w:p w14:paraId="12177533"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75" w:type="dxa"/>
            <w:gridSpan w:val="2"/>
            <w:shd w:val="clear" w:color="auto" w:fill="BDD6EE"/>
            <w:noWrap/>
            <w:tcMar>
              <w:left w:w="28" w:type="dxa"/>
              <w:right w:w="28" w:type="dxa"/>
            </w:tcMar>
            <w:vAlign w:val="center"/>
            <w:hideMark/>
          </w:tcPr>
          <w:p w14:paraId="28F7EB7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Harmonogram dokončenia</w:t>
            </w:r>
          </w:p>
        </w:tc>
        <w:tc>
          <w:tcPr>
            <w:tcW w:w="3969" w:type="dxa"/>
            <w:vMerge w:val="restart"/>
            <w:shd w:val="clear" w:color="auto" w:fill="BDD6EE"/>
            <w:tcMar>
              <w:left w:w="28" w:type="dxa"/>
              <w:right w:w="28" w:type="dxa"/>
            </w:tcMar>
            <w:vAlign w:val="center"/>
            <w:hideMark/>
          </w:tcPr>
          <w:p w14:paraId="4A0FED38" w14:textId="262746D2"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1E2172AA" w14:textId="77777777" w:rsidTr="009E4E5C">
        <w:trPr>
          <w:trHeight w:val="300"/>
          <w:tblHeader/>
          <w:jc w:val="center"/>
        </w:trPr>
        <w:tc>
          <w:tcPr>
            <w:tcW w:w="1135" w:type="dxa"/>
            <w:vMerge/>
            <w:tcMar>
              <w:left w:w="28" w:type="dxa"/>
              <w:right w:w="28" w:type="dxa"/>
            </w:tcMar>
            <w:vAlign w:val="center"/>
            <w:hideMark/>
          </w:tcPr>
          <w:p w14:paraId="57B55280"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6" w:type="dxa"/>
            <w:vMerge/>
            <w:tcMar>
              <w:left w:w="28" w:type="dxa"/>
              <w:right w:w="28" w:type="dxa"/>
            </w:tcMar>
            <w:vAlign w:val="center"/>
            <w:hideMark/>
          </w:tcPr>
          <w:p w14:paraId="622AD449"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34" w:type="dxa"/>
            <w:vMerge/>
            <w:noWrap/>
            <w:tcMar>
              <w:left w:w="28" w:type="dxa"/>
              <w:right w:w="28" w:type="dxa"/>
            </w:tcMar>
            <w:vAlign w:val="center"/>
            <w:hideMark/>
          </w:tcPr>
          <w:p w14:paraId="201EE1EB" w14:textId="3CE9A911" w:rsidR="00387C70" w:rsidRPr="003F23AC" w:rsidRDefault="00387C70" w:rsidP="003F23AC">
            <w:pPr>
              <w:spacing w:after="0" w:line="240" w:lineRule="auto"/>
              <w:jc w:val="center"/>
              <w:rPr>
                <w:rFonts w:ascii="Times New Roman" w:eastAsia="Times New Roman" w:hAnsi="Times New Roman" w:cs="Times New Roman"/>
                <w:b/>
                <w:noProof/>
                <w:sz w:val="14"/>
                <w:lang w:val="sk-SK"/>
              </w:rPr>
            </w:pPr>
          </w:p>
        </w:tc>
        <w:tc>
          <w:tcPr>
            <w:tcW w:w="1701" w:type="dxa"/>
            <w:vMerge/>
            <w:tcMar>
              <w:left w:w="28" w:type="dxa"/>
              <w:right w:w="28" w:type="dxa"/>
            </w:tcMar>
            <w:vAlign w:val="center"/>
            <w:hideMark/>
          </w:tcPr>
          <w:p w14:paraId="5BCDAF57"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5" w:type="dxa"/>
            <w:vMerge/>
            <w:tcMar>
              <w:left w:w="28" w:type="dxa"/>
              <w:right w:w="28" w:type="dxa"/>
            </w:tcMar>
            <w:vAlign w:val="center"/>
            <w:hideMark/>
          </w:tcPr>
          <w:p w14:paraId="7CCC7491"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993" w:type="dxa"/>
            <w:shd w:val="clear" w:color="auto" w:fill="BDD6EE"/>
            <w:noWrap/>
            <w:tcMar>
              <w:left w:w="28" w:type="dxa"/>
              <w:right w:w="28" w:type="dxa"/>
            </w:tcMar>
            <w:vAlign w:val="center"/>
            <w:hideMark/>
          </w:tcPr>
          <w:p w14:paraId="4AA0E852"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992" w:type="dxa"/>
            <w:shd w:val="clear" w:color="auto" w:fill="BDD6EE"/>
            <w:noWrap/>
            <w:tcMar>
              <w:left w:w="28" w:type="dxa"/>
              <w:right w:w="28" w:type="dxa"/>
            </w:tcMar>
            <w:vAlign w:val="center"/>
            <w:hideMark/>
          </w:tcPr>
          <w:p w14:paraId="19FD5F31" w14:textId="038C97DC"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709" w:type="dxa"/>
            <w:shd w:val="clear" w:color="auto" w:fill="BDD6EE"/>
            <w:noWrap/>
            <w:tcMar>
              <w:left w:w="28" w:type="dxa"/>
              <w:right w:w="28" w:type="dxa"/>
            </w:tcMar>
            <w:vAlign w:val="center"/>
            <w:hideMark/>
          </w:tcPr>
          <w:p w14:paraId="2839A6A1" w14:textId="24C33E3C"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567" w:type="dxa"/>
            <w:shd w:val="clear" w:color="auto" w:fill="BDD6EE"/>
            <w:noWrap/>
            <w:tcMar>
              <w:left w:w="28" w:type="dxa"/>
              <w:right w:w="28" w:type="dxa"/>
            </w:tcMar>
            <w:vAlign w:val="center"/>
            <w:hideMark/>
          </w:tcPr>
          <w:p w14:paraId="46BA416F" w14:textId="395785F1"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708" w:type="dxa"/>
            <w:shd w:val="clear" w:color="auto" w:fill="BDD6EE"/>
            <w:noWrap/>
            <w:tcMar>
              <w:left w:w="28" w:type="dxa"/>
              <w:right w:w="28" w:type="dxa"/>
            </w:tcMar>
            <w:vAlign w:val="center"/>
            <w:hideMark/>
          </w:tcPr>
          <w:p w14:paraId="726D1C15"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3969" w:type="dxa"/>
            <w:vMerge/>
            <w:tcMar>
              <w:left w:w="28" w:type="dxa"/>
              <w:right w:w="28" w:type="dxa"/>
            </w:tcMar>
            <w:vAlign w:val="center"/>
            <w:hideMark/>
          </w:tcPr>
          <w:p w14:paraId="5EDB4CE2"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6349FC7E" w14:textId="77777777" w:rsidTr="009E4E5C">
        <w:trPr>
          <w:trHeight w:val="1480"/>
          <w:jc w:val="center"/>
        </w:trPr>
        <w:tc>
          <w:tcPr>
            <w:tcW w:w="1135" w:type="dxa"/>
            <w:shd w:val="clear" w:color="auto" w:fill="C5EFCE"/>
            <w:noWrap/>
            <w:tcMar>
              <w:left w:w="28" w:type="dxa"/>
              <w:right w:w="28" w:type="dxa"/>
            </w:tcMar>
            <w:vAlign w:val="center"/>
            <w:hideMark/>
          </w:tcPr>
          <w:p w14:paraId="0438A13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9.1</w:t>
            </w:r>
          </w:p>
        </w:tc>
        <w:tc>
          <w:tcPr>
            <w:tcW w:w="1276" w:type="dxa"/>
            <w:shd w:val="clear" w:color="auto" w:fill="C4EFCE"/>
            <w:noWrap/>
            <w:tcMar>
              <w:left w:w="28" w:type="dxa"/>
              <w:right w:w="28" w:type="dxa"/>
            </w:tcMar>
            <w:vAlign w:val="center"/>
            <w:hideMark/>
          </w:tcPr>
          <w:p w14:paraId="0B8CF946" w14:textId="05FF3473"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C09-i01</w:t>
            </w:r>
          </w:p>
        </w:tc>
        <w:tc>
          <w:tcPr>
            <w:tcW w:w="1134" w:type="dxa"/>
            <w:shd w:val="clear" w:color="auto" w:fill="C4EFCE"/>
            <w:noWrap/>
            <w:tcMar>
              <w:left w:w="28" w:type="dxa"/>
              <w:right w:w="28" w:type="dxa"/>
            </w:tcMar>
            <w:vAlign w:val="center"/>
            <w:hideMark/>
          </w:tcPr>
          <w:p w14:paraId="3A439A71" w14:textId="52770067"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4E88BAB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Dodatočné monitorovacie body inštalovaných zdrojov podzemnej vody (SM3)</w:t>
            </w:r>
          </w:p>
        </w:tc>
        <w:tc>
          <w:tcPr>
            <w:tcW w:w="1275" w:type="dxa"/>
            <w:shd w:val="clear" w:color="auto" w:fill="C4EFCE"/>
            <w:noWrap/>
            <w:tcMar>
              <w:left w:w="28" w:type="dxa"/>
              <w:right w:w="28" w:type="dxa"/>
            </w:tcMar>
            <w:vAlign w:val="center"/>
            <w:hideMark/>
          </w:tcPr>
          <w:p w14:paraId="6E70CEC2"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hideMark/>
          </w:tcPr>
          <w:p w14:paraId="78B8CA1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642E61B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32</w:t>
            </w:r>
          </w:p>
        </w:tc>
        <w:tc>
          <w:tcPr>
            <w:tcW w:w="709" w:type="dxa"/>
            <w:shd w:val="clear" w:color="auto" w:fill="C4EFCE"/>
            <w:noWrap/>
            <w:tcMar>
              <w:left w:w="28" w:type="dxa"/>
              <w:right w:w="28" w:type="dxa"/>
            </w:tcMar>
            <w:vAlign w:val="center"/>
            <w:hideMark/>
          </w:tcPr>
          <w:p w14:paraId="6267D00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82</w:t>
            </w:r>
          </w:p>
        </w:tc>
        <w:tc>
          <w:tcPr>
            <w:tcW w:w="567" w:type="dxa"/>
            <w:shd w:val="clear" w:color="auto" w:fill="C4EFCE"/>
            <w:noWrap/>
            <w:tcMar>
              <w:left w:w="28" w:type="dxa"/>
              <w:right w:w="28" w:type="dxa"/>
            </w:tcMar>
            <w:vAlign w:val="center"/>
            <w:hideMark/>
          </w:tcPr>
          <w:p w14:paraId="43A52E08" w14:textId="08C6C91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708" w:type="dxa"/>
            <w:shd w:val="clear" w:color="auto" w:fill="C4EFCE"/>
            <w:noWrap/>
            <w:tcMar>
              <w:left w:w="28" w:type="dxa"/>
              <w:right w:w="28" w:type="dxa"/>
            </w:tcMar>
            <w:vAlign w:val="center"/>
            <w:hideMark/>
          </w:tcPr>
          <w:p w14:paraId="32E3C24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hideMark/>
          </w:tcPr>
          <w:p w14:paraId="66A1ABD5" w14:textId="71EE1472" w:rsidR="00387C70" w:rsidRPr="003F23AC" w:rsidRDefault="000F5AA4" w:rsidP="003F23AC">
            <w:pPr>
              <w:pStyle w:val="P68B1DB1-Normal9"/>
              <w:spacing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Inštalácia monitorovacích</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kontrolných miest zdrojov podzemnej vody (vrátane piezometrov</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telemetrov). Okrem existujúcich 32 sa inštaluje ďalších 50 piezometrov.</w:t>
            </w:r>
            <w:r w:rsidRPr="003F23AC">
              <w:rPr>
                <w:rFonts w:ascii="Times New Roman" w:hAnsi="Times New Roman" w:cs="Times New Roman"/>
                <w:noProof/>
                <w:sz w:val="18"/>
                <w:lang w:val="sk-SK"/>
              </w:rPr>
              <w:t xml:space="preserve"> </w:t>
            </w:r>
          </w:p>
        </w:tc>
      </w:tr>
      <w:tr w:rsidR="00387C70" w:rsidRPr="003F23AC" w14:paraId="0792A2CB" w14:textId="77777777" w:rsidTr="009E4E5C">
        <w:trPr>
          <w:trHeight w:val="1050"/>
          <w:jc w:val="center"/>
        </w:trPr>
        <w:tc>
          <w:tcPr>
            <w:tcW w:w="1135" w:type="dxa"/>
            <w:shd w:val="clear" w:color="auto" w:fill="C4EFCE"/>
            <w:noWrap/>
            <w:tcMar>
              <w:left w:w="28" w:type="dxa"/>
              <w:right w:w="28" w:type="dxa"/>
            </w:tcMar>
            <w:vAlign w:val="center"/>
            <w:hideMark/>
          </w:tcPr>
          <w:p w14:paraId="2868601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9.2</w:t>
            </w:r>
          </w:p>
        </w:tc>
        <w:tc>
          <w:tcPr>
            <w:tcW w:w="1276" w:type="dxa"/>
            <w:shd w:val="clear" w:color="auto" w:fill="C4EFCE"/>
            <w:noWrap/>
            <w:tcMar>
              <w:left w:w="28" w:type="dxa"/>
              <w:right w:w="28" w:type="dxa"/>
            </w:tcMar>
            <w:vAlign w:val="center"/>
            <w:hideMark/>
          </w:tcPr>
          <w:p w14:paraId="473C196B" w14:textId="53509DF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C09-i01</w:t>
            </w:r>
          </w:p>
        </w:tc>
        <w:tc>
          <w:tcPr>
            <w:tcW w:w="1134" w:type="dxa"/>
            <w:shd w:val="clear" w:color="auto" w:fill="C4EFCE"/>
            <w:noWrap/>
            <w:tcMar>
              <w:left w:w="28" w:type="dxa"/>
              <w:right w:w="28" w:type="dxa"/>
            </w:tcMar>
            <w:vAlign w:val="center"/>
            <w:hideMark/>
          </w:tcPr>
          <w:p w14:paraId="67A7F263" w14:textId="44655AD6"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310ABBF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sieťových zásahov na zníženie strát vody (SM1)</w:t>
            </w:r>
          </w:p>
        </w:tc>
        <w:tc>
          <w:tcPr>
            <w:tcW w:w="1275" w:type="dxa"/>
            <w:shd w:val="clear" w:color="auto" w:fill="C4EFCE"/>
            <w:noWrap/>
            <w:tcMar>
              <w:left w:w="28" w:type="dxa"/>
              <w:right w:w="28" w:type="dxa"/>
            </w:tcMar>
            <w:vAlign w:val="center"/>
            <w:hideMark/>
          </w:tcPr>
          <w:p w14:paraId="03DA0A8A"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hideMark/>
          </w:tcPr>
          <w:p w14:paraId="5ED303C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Km</w:t>
            </w:r>
          </w:p>
        </w:tc>
        <w:tc>
          <w:tcPr>
            <w:tcW w:w="992" w:type="dxa"/>
            <w:shd w:val="clear" w:color="auto" w:fill="C4EFCE"/>
            <w:noWrap/>
            <w:tcMar>
              <w:left w:w="28" w:type="dxa"/>
              <w:right w:w="28" w:type="dxa"/>
            </w:tcMar>
            <w:vAlign w:val="center"/>
            <w:hideMark/>
          </w:tcPr>
          <w:p w14:paraId="6044091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2D1D622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125</w:t>
            </w:r>
          </w:p>
        </w:tc>
        <w:tc>
          <w:tcPr>
            <w:tcW w:w="567" w:type="dxa"/>
            <w:shd w:val="clear" w:color="auto" w:fill="C4EFCE"/>
            <w:noWrap/>
            <w:tcMar>
              <w:left w:w="28" w:type="dxa"/>
              <w:right w:w="28" w:type="dxa"/>
            </w:tcMar>
            <w:vAlign w:val="center"/>
            <w:hideMark/>
          </w:tcPr>
          <w:p w14:paraId="5B4ACE0D" w14:textId="11E23A0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708" w:type="dxa"/>
            <w:shd w:val="clear" w:color="auto" w:fill="C4EFCE"/>
            <w:noWrap/>
            <w:tcMar>
              <w:left w:w="28" w:type="dxa"/>
              <w:right w:w="28" w:type="dxa"/>
            </w:tcMar>
            <w:vAlign w:val="center"/>
            <w:hideMark/>
          </w:tcPr>
          <w:p w14:paraId="5FCFB3C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hideMark/>
          </w:tcPr>
          <w:p w14:paraId="3E31623D" w14:textId="5E3DCC0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Dokončenie sieťových zásahov na optimalizáciu tlaku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obnovu siete týmito opatreniami: 1) optimalizácia tlaku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meranie prietoku, 2) obnova siete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mestských/historických oblastiach 3) obnova siete vo vidieckych alebo stredne vidieckych oblastiach.</w:t>
            </w:r>
          </w:p>
        </w:tc>
      </w:tr>
      <w:tr w:rsidR="00387C70" w:rsidRPr="003F23AC" w14:paraId="470669E2" w14:textId="77777777" w:rsidTr="009E4E5C">
        <w:trPr>
          <w:trHeight w:val="1757"/>
          <w:jc w:val="center"/>
        </w:trPr>
        <w:tc>
          <w:tcPr>
            <w:tcW w:w="1135" w:type="dxa"/>
            <w:shd w:val="clear" w:color="auto" w:fill="C5EFCE"/>
            <w:noWrap/>
            <w:tcMar>
              <w:left w:w="28" w:type="dxa"/>
              <w:right w:w="28" w:type="dxa"/>
            </w:tcMar>
            <w:vAlign w:val="center"/>
            <w:hideMark/>
          </w:tcPr>
          <w:p w14:paraId="24335E6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9.3</w:t>
            </w:r>
          </w:p>
        </w:tc>
        <w:tc>
          <w:tcPr>
            <w:tcW w:w="1276" w:type="dxa"/>
            <w:shd w:val="clear" w:color="auto" w:fill="C4EFCE"/>
            <w:noWrap/>
            <w:tcMar>
              <w:left w:w="28" w:type="dxa"/>
              <w:right w:w="28" w:type="dxa"/>
            </w:tcMar>
            <w:vAlign w:val="center"/>
            <w:hideMark/>
          </w:tcPr>
          <w:p w14:paraId="61BA6E03" w14:textId="7E9109FC"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C09-i01</w:t>
            </w:r>
          </w:p>
        </w:tc>
        <w:tc>
          <w:tcPr>
            <w:tcW w:w="1134" w:type="dxa"/>
            <w:shd w:val="clear" w:color="auto" w:fill="C4EFCE"/>
            <w:noWrap/>
            <w:tcMar>
              <w:left w:w="28" w:type="dxa"/>
              <w:right w:w="28" w:type="dxa"/>
            </w:tcMar>
            <w:vAlign w:val="center"/>
            <w:hideMark/>
          </w:tcPr>
          <w:p w14:paraId="481B50F1" w14:textId="4FD84BC5"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5AFCFDF3" w14:textId="5E1A894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Modernizácia pôdnej plochy kolektívneho využívania vodných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individuálneho zavlažovania (SM2)</w:t>
            </w:r>
          </w:p>
        </w:tc>
        <w:tc>
          <w:tcPr>
            <w:tcW w:w="1275" w:type="dxa"/>
            <w:shd w:val="clear" w:color="auto" w:fill="C4EFCE"/>
            <w:noWrap/>
            <w:tcMar>
              <w:left w:w="28" w:type="dxa"/>
              <w:right w:w="28" w:type="dxa"/>
            </w:tcMar>
            <w:vAlign w:val="center"/>
            <w:hideMark/>
          </w:tcPr>
          <w:p w14:paraId="36A7294C"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hideMark/>
          </w:tcPr>
          <w:p w14:paraId="45E8102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Ha</w:t>
            </w:r>
          </w:p>
        </w:tc>
        <w:tc>
          <w:tcPr>
            <w:tcW w:w="992" w:type="dxa"/>
            <w:shd w:val="clear" w:color="auto" w:fill="C4EFCE"/>
            <w:noWrap/>
            <w:tcMar>
              <w:left w:w="28" w:type="dxa"/>
              <w:right w:w="28" w:type="dxa"/>
            </w:tcMar>
            <w:vAlign w:val="center"/>
            <w:hideMark/>
          </w:tcPr>
          <w:p w14:paraId="72C1070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723692D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10 300</w:t>
            </w:r>
          </w:p>
        </w:tc>
        <w:tc>
          <w:tcPr>
            <w:tcW w:w="567" w:type="dxa"/>
            <w:shd w:val="clear" w:color="auto" w:fill="C4EFCE"/>
            <w:noWrap/>
            <w:tcMar>
              <w:left w:w="28" w:type="dxa"/>
              <w:right w:w="28" w:type="dxa"/>
            </w:tcMar>
            <w:vAlign w:val="center"/>
            <w:hideMark/>
          </w:tcPr>
          <w:p w14:paraId="32AC4E73" w14:textId="3BEFD6F4"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708" w:type="dxa"/>
            <w:shd w:val="clear" w:color="auto" w:fill="C4EFCE"/>
            <w:noWrap/>
            <w:tcMar>
              <w:left w:w="28" w:type="dxa"/>
              <w:right w:w="28" w:type="dxa"/>
            </w:tcMar>
            <w:vAlign w:val="center"/>
            <w:hideMark/>
          </w:tcPr>
          <w:p w14:paraId="174A4D7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hideMark/>
          </w:tcPr>
          <w:p w14:paraId="188BD210" w14:textId="3E0F833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Oblasť, ktorej sa týka prijatie účinnejších distribučných systémov nahradením kanálov potrubím, zlepšením tlaku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sieti, zavedením systémov diaľkového snímania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kontroly spotreby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zavedením systémov zisťovania únikov pre kolektívne hydropoľnohospodárske zariadenia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inštaláciu efektívnejších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monitorovateľných zavlažovacích systémov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rámci individuálneho zavlažovania </w:t>
            </w:r>
          </w:p>
        </w:tc>
      </w:tr>
      <w:tr w:rsidR="00387C70" w:rsidRPr="003F23AC" w14:paraId="13208EC3" w14:textId="77777777" w:rsidTr="009E4E5C">
        <w:trPr>
          <w:trHeight w:val="1251"/>
          <w:jc w:val="center"/>
        </w:trPr>
        <w:tc>
          <w:tcPr>
            <w:tcW w:w="1135" w:type="dxa"/>
            <w:shd w:val="clear" w:color="auto" w:fill="C5EFCE"/>
            <w:noWrap/>
            <w:tcMar>
              <w:left w:w="28" w:type="dxa"/>
              <w:right w:w="28" w:type="dxa"/>
            </w:tcMar>
            <w:vAlign w:val="center"/>
            <w:hideMark/>
          </w:tcPr>
          <w:p w14:paraId="5C18D42C"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9.4</w:t>
            </w:r>
          </w:p>
        </w:tc>
        <w:tc>
          <w:tcPr>
            <w:tcW w:w="1276" w:type="dxa"/>
            <w:shd w:val="clear" w:color="auto" w:fill="C4EFCE"/>
            <w:noWrap/>
            <w:tcMar>
              <w:left w:w="28" w:type="dxa"/>
              <w:right w:w="28" w:type="dxa"/>
            </w:tcMar>
            <w:vAlign w:val="center"/>
            <w:hideMark/>
          </w:tcPr>
          <w:p w14:paraId="3F908A5B" w14:textId="323966AB"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C09-i01</w:t>
            </w:r>
          </w:p>
        </w:tc>
        <w:tc>
          <w:tcPr>
            <w:tcW w:w="1134" w:type="dxa"/>
            <w:shd w:val="clear" w:color="auto" w:fill="C4EFCE"/>
            <w:noWrap/>
            <w:tcMar>
              <w:left w:w="28" w:type="dxa"/>
              <w:right w:w="28" w:type="dxa"/>
            </w:tcMar>
            <w:vAlign w:val="center"/>
            <w:hideMark/>
          </w:tcPr>
          <w:p w14:paraId="27188DE4" w14:textId="191D49D6"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74082C95" w14:textId="76DDD3C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 čistiarní na zabezpečenie výroby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zjemnenia vyčistenej odpadovej vody (SM4)</w:t>
            </w:r>
          </w:p>
        </w:tc>
        <w:tc>
          <w:tcPr>
            <w:tcW w:w="1275" w:type="dxa"/>
            <w:shd w:val="clear" w:color="auto" w:fill="C4EFCE"/>
            <w:noWrap/>
            <w:tcMar>
              <w:left w:w="28" w:type="dxa"/>
              <w:right w:w="28" w:type="dxa"/>
            </w:tcMar>
            <w:vAlign w:val="center"/>
            <w:hideMark/>
          </w:tcPr>
          <w:p w14:paraId="78A33847"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hideMark/>
          </w:tcPr>
          <w:p w14:paraId="28B2E83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7283598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340E57D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w:t>
            </w:r>
          </w:p>
        </w:tc>
        <w:tc>
          <w:tcPr>
            <w:tcW w:w="567" w:type="dxa"/>
            <w:shd w:val="clear" w:color="auto" w:fill="C4EFCE"/>
            <w:noWrap/>
            <w:tcMar>
              <w:left w:w="28" w:type="dxa"/>
              <w:right w:w="28" w:type="dxa"/>
            </w:tcMar>
            <w:vAlign w:val="center"/>
            <w:hideMark/>
          </w:tcPr>
          <w:p w14:paraId="254C1418" w14:textId="1DBC959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708" w:type="dxa"/>
            <w:shd w:val="clear" w:color="auto" w:fill="C4EFCE"/>
            <w:noWrap/>
            <w:tcMar>
              <w:left w:w="28" w:type="dxa"/>
              <w:right w:w="28" w:type="dxa"/>
            </w:tcMar>
            <w:vAlign w:val="center"/>
            <w:hideMark/>
          </w:tcPr>
          <w:p w14:paraId="72AB996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hideMark/>
          </w:tcPr>
          <w:p w14:paraId="3C292FEE"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čistiarní otvorených na zabezpečenie výroby upravenej odpadovej vody pripravenej na opätovné použitie</w:t>
            </w:r>
          </w:p>
        </w:tc>
      </w:tr>
      <w:tr w:rsidR="00387C70" w:rsidRPr="003F23AC" w14:paraId="4757E211" w14:textId="77777777" w:rsidTr="009E4E5C">
        <w:trPr>
          <w:trHeight w:val="1050"/>
          <w:jc w:val="center"/>
        </w:trPr>
        <w:tc>
          <w:tcPr>
            <w:tcW w:w="1135" w:type="dxa"/>
            <w:shd w:val="clear" w:color="auto" w:fill="C4EFCE"/>
            <w:noWrap/>
            <w:tcMar>
              <w:left w:w="28" w:type="dxa"/>
              <w:right w:w="28" w:type="dxa"/>
            </w:tcMar>
            <w:vAlign w:val="center"/>
            <w:hideMark/>
          </w:tcPr>
          <w:p w14:paraId="6311856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9.5</w:t>
            </w:r>
          </w:p>
        </w:tc>
        <w:tc>
          <w:tcPr>
            <w:tcW w:w="1276" w:type="dxa"/>
            <w:shd w:val="clear" w:color="auto" w:fill="C4EFCE"/>
            <w:noWrap/>
            <w:tcMar>
              <w:left w:w="28" w:type="dxa"/>
              <w:right w:w="28" w:type="dxa"/>
            </w:tcMar>
            <w:vAlign w:val="center"/>
            <w:hideMark/>
          </w:tcPr>
          <w:p w14:paraId="323709CC" w14:textId="14E2F82D"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C09-i01</w:t>
            </w:r>
          </w:p>
        </w:tc>
        <w:tc>
          <w:tcPr>
            <w:tcW w:w="1134" w:type="dxa"/>
            <w:shd w:val="clear" w:color="auto" w:fill="C4EFCE"/>
            <w:noWrap/>
            <w:tcMar>
              <w:left w:w="28" w:type="dxa"/>
              <w:right w:w="28" w:type="dxa"/>
            </w:tcMar>
            <w:vAlign w:val="center"/>
            <w:hideMark/>
          </w:tcPr>
          <w:p w14:paraId="047FA0F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2F4FE77F" w14:textId="4182722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aktualizovaného návrhu (v prípade potreby) opatrenia týkajúceho sa odberu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Guadiane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úplným začlenením všetkých výsledkov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podmienok</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posudzovania vplyvov na životné prostredie (SM5)</w:t>
            </w:r>
          </w:p>
        </w:tc>
        <w:tc>
          <w:tcPr>
            <w:tcW w:w="1275" w:type="dxa"/>
            <w:shd w:val="clear" w:color="auto" w:fill="C4EFCE"/>
            <w:noWrap/>
            <w:tcMar>
              <w:left w:w="28" w:type="dxa"/>
              <w:right w:w="28" w:type="dxa"/>
            </w:tcMar>
            <w:vAlign w:val="center"/>
            <w:hideMark/>
          </w:tcPr>
          <w:p w14:paraId="2770C7F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aktualizovaného dizajnu (v prípade potreby)</w:t>
            </w:r>
          </w:p>
        </w:tc>
        <w:tc>
          <w:tcPr>
            <w:tcW w:w="993" w:type="dxa"/>
            <w:shd w:val="clear" w:color="auto" w:fill="C4EFCE"/>
            <w:noWrap/>
            <w:tcMar>
              <w:left w:w="28" w:type="dxa"/>
              <w:right w:w="28" w:type="dxa"/>
            </w:tcMar>
            <w:vAlign w:val="center"/>
            <w:hideMark/>
          </w:tcPr>
          <w:p w14:paraId="2CB3CD29"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hideMark/>
          </w:tcPr>
          <w:p w14:paraId="08D2587E"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9" w:type="dxa"/>
            <w:shd w:val="clear" w:color="auto" w:fill="C4EFCE"/>
            <w:noWrap/>
            <w:tcMar>
              <w:left w:w="28" w:type="dxa"/>
              <w:right w:w="28" w:type="dxa"/>
            </w:tcMar>
            <w:vAlign w:val="center"/>
            <w:hideMark/>
          </w:tcPr>
          <w:p w14:paraId="08998EE7"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567" w:type="dxa"/>
            <w:shd w:val="clear" w:color="auto" w:fill="C4EFCE"/>
            <w:noWrap/>
            <w:tcMar>
              <w:left w:w="28" w:type="dxa"/>
              <w:right w:w="28" w:type="dxa"/>
            </w:tcMar>
            <w:vAlign w:val="center"/>
            <w:hideMark/>
          </w:tcPr>
          <w:p w14:paraId="060BDF15" w14:textId="5D3879F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708" w:type="dxa"/>
            <w:shd w:val="clear" w:color="auto" w:fill="C4EFCE"/>
            <w:noWrap/>
            <w:tcMar>
              <w:left w:w="28" w:type="dxa"/>
              <w:right w:w="28" w:type="dxa"/>
            </w:tcMar>
            <w:vAlign w:val="center"/>
            <w:hideMark/>
          </w:tcPr>
          <w:p w14:paraId="1079CDB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hideMark/>
          </w:tcPr>
          <w:p w14:paraId="321C712F" w14:textId="610DF9A4"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Prijatie aktualizovaného návrhu opatrenia (v prípade potreby)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úplným začlenením potrebných výsledkov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podmienok</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posúdenia vplyvov na životné prostredie, ktoré sa dokončí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 so smernicou 2011/92/EÚ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smernicou 92/43/EHS, ako aj príslušných posúdení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kontexte smernice 2000/60/ES vrátane vykonávania požadovaných zmierňujúcich opatrení, ktorými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týkajúcim sa zásady „výrazne nenarušiť“ (2021/C58/01)</w:t>
            </w:r>
            <w:r w:rsidR="00A75B3C" w:rsidRPr="003F23AC">
              <w:rPr>
                <w:rFonts w:ascii="Times New Roman" w:hAnsi="Times New Roman" w:cs="Times New Roman"/>
                <w:noProof/>
                <w:lang w:val="sk-SK"/>
              </w:rPr>
              <w:t>.</w:t>
            </w:r>
          </w:p>
          <w:p w14:paraId="09740D2B" w14:textId="7E46326C"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Všetky opatrenia identifikované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posudzovania vplyvov na životné prostredie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posúdenia podľa smernice 2000/60/ES, ktoré sú potrebné na zabezpečenie súladu so zásadou „výrazne nenarušiť“, sa začlenia do projektu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prísne sa dodržiavajú vo fázach výstavby, prevádzky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vyraďovania infraštruktúry</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prevádzky</w:t>
            </w:r>
            <w:r w:rsidR="00A75B3C" w:rsidRPr="003F23AC">
              <w:rPr>
                <w:rFonts w:ascii="Times New Roman" w:hAnsi="Times New Roman" w:cs="Times New Roman"/>
                <w:noProof/>
                <w:lang w:val="sk-SK"/>
              </w:rPr>
              <w:t>.</w:t>
            </w:r>
          </w:p>
          <w:p w14:paraId="2BD5E250" w14:textId="110C202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Ak sa voda odoberá, príslušný orgán vydá príslušné povolenie,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ktorom sa špecifikujú podmienky na zabránenie zhoršeniu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zabezpečenie toho, aby dotknuté vodné útvary zostali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dobrom ekologickom stave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požiadavkami smernice 2000/60/ES.</w:t>
            </w:r>
          </w:p>
        </w:tc>
      </w:tr>
      <w:tr w:rsidR="00387C70" w:rsidRPr="003F23AC" w14:paraId="192B3758" w14:textId="77777777" w:rsidTr="009E4E5C">
        <w:trPr>
          <w:trHeight w:val="3160"/>
          <w:jc w:val="center"/>
        </w:trPr>
        <w:tc>
          <w:tcPr>
            <w:tcW w:w="1135" w:type="dxa"/>
            <w:shd w:val="clear" w:color="auto" w:fill="C4EFCE"/>
            <w:noWrap/>
            <w:tcMar>
              <w:left w:w="28" w:type="dxa"/>
              <w:right w:w="28" w:type="dxa"/>
            </w:tcMar>
            <w:vAlign w:val="center"/>
            <w:hideMark/>
          </w:tcPr>
          <w:p w14:paraId="2C0C590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9.6</w:t>
            </w:r>
          </w:p>
        </w:tc>
        <w:tc>
          <w:tcPr>
            <w:tcW w:w="1276" w:type="dxa"/>
            <w:shd w:val="clear" w:color="auto" w:fill="C4EFCE"/>
            <w:noWrap/>
            <w:tcMar>
              <w:left w:w="28" w:type="dxa"/>
              <w:right w:w="28" w:type="dxa"/>
            </w:tcMar>
            <w:vAlign w:val="center"/>
            <w:hideMark/>
          </w:tcPr>
          <w:p w14:paraId="70BF118A" w14:textId="53691429"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C09-i01</w:t>
            </w:r>
          </w:p>
        </w:tc>
        <w:tc>
          <w:tcPr>
            <w:tcW w:w="1134" w:type="dxa"/>
            <w:shd w:val="clear" w:color="auto" w:fill="C4EFCE"/>
            <w:noWrap/>
            <w:tcMar>
              <w:left w:w="28" w:type="dxa"/>
              <w:right w:w="28" w:type="dxa"/>
            </w:tcMar>
            <w:vAlign w:val="center"/>
            <w:hideMark/>
          </w:tcPr>
          <w:p w14:paraId="6D10D25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39625382" w14:textId="0CFEDC9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Uvedenie odberu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Guadiane do prevádzky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plnom 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výsledkami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podmienkami stanovenými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posúdení vplyvov na životné prostredie (SM5)</w:t>
            </w:r>
          </w:p>
        </w:tc>
        <w:tc>
          <w:tcPr>
            <w:tcW w:w="1275" w:type="dxa"/>
            <w:shd w:val="clear" w:color="auto" w:fill="C4EFCE"/>
            <w:noWrap/>
            <w:tcMar>
              <w:left w:w="28" w:type="dxa"/>
              <w:right w:w="28" w:type="dxa"/>
            </w:tcMar>
            <w:vAlign w:val="center"/>
            <w:hideMark/>
          </w:tcPr>
          <w:p w14:paraId="0C2A7E7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Uvedenie odberu vody do prevádzky</w:t>
            </w:r>
          </w:p>
        </w:tc>
        <w:tc>
          <w:tcPr>
            <w:tcW w:w="993" w:type="dxa"/>
            <w:shd w:val="clear" w:color="auto" w:fill="C4EFCE"/>
            <w:noWrap/>
            <w:tcMar>
              <w:left w:w="28" w:type="dxa"/>
              <w:right w:w="28" w:type="dxa"/>
            </w:tcMar>
            <w:vAlign w:val="center"/>
            <w:hideMark/>
          </w:tcPr>
          <w:p w14:paraId="554265B5"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hideMark/>
          </w:tcPr>
          <w:p w14:paraId="6F44BFB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9" w:type="dxa"/>
            <w:shd w:val="clear" w:color="auto" w:fill="C4EFCE"/>
            <w:noWrap/>
            <w:tcMar>
              <w:left w:w="28" w:type="dxa"/>
              <w:right w:w="28" w:type="dxa"/>
            </w:tcMar>
            <w:vAlign w:val="center"/>
            <w:hideMark/>
          </w:tcPr>
          <w:p w14:paraId="3B7BF66C"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567" w:type="dxa"/>
            <w:shd w:val="clear" w:color="auto" w:fill="C4EFCE"/>
            <w:noWrap/>
            <w:tcMar>
              <w:left w:w="28" w:type="dxa"/>
              <w:right w:w="28" w:type="dxa"/>
            </w:tcMar>
            <w:vAlign w:val="center"/>
            <w:hideMark/>
          </w:tcPr>
          <w:p w14:paraId="1DA95B63" w14:textId="556B8DD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708" w:type="dxa"/>
            <w:shd w:val="clear" w:color="auto" w:fill="C4EFCE"/>
            <w:noWrap/>
            <w:tcMar>
              <w:left w:w="28" w:type="dxa"/>
              <w:right w:w="28" w:type="dxa"/>
            </w:tcMar>
            <w:vAlign w:val="center"/>
            <w:hideMark/>
          </w:tcPr>
          <w:p w14:paraId="0523A9C1" w14:textId="7596D46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hideMark/>
          </w:tcPr>
          <w:p w14:paraId="4433FAD9" w14:textId="5195B00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Uvedenie odberu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Guadiane do prevádzky pri plnom rešpektovaní výsledku posudzovania vplyvov na životné prostredie, ktoré sa malo dokončiť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 so smernicou 2011/92/EÚ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smernicou 92/43/EHS, vrátane vykonania požadovaných zmierňujúcich opatrení, pričom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technickým usmernením týkajúcim sa zásady „výrazne nenarušiť“ (2021/C58/01) </w:t>
            </w:r>
          </w:p>
        </w:tc>
      </w:tr>
      <w:tr w:rsidR="00387C70" w:rsidRPr="003F23AC" w14:paraId="6F9F9602" w14:textId="77777777" w:rsidTr="009E4E5C">
        <w:trPr>
          <w:trHeight w:val="2966"/>
          <w:jc w:val="center"/>
        </w:trPr>
        <w:tc>
          <w:tcPr>
            <w:tcW w:w="1135" w:type="dxa"/>
            <w:shd w:val="clear" w:color="auto" w:fill="C4EFCE"/>
            <w:noWrap/>
            <w:tcMar>
              <w:left w:w="28" w:type="dxa"/>
              <w:right w:w="28" w:type="dxa"/>
            </w:tcMar>
            <w:vAlign w:val="center"/>
            <w:hideMark/>
          </w:tcPr>
          <w:p w14:paraId="29F6DCA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9.7</w:t>
            </w:r>
          </w:p>
        </w:tc>
        <w:tc>
          <w:tcPr>
            <w:tcW w:w="1276" w:type="dxa"/>
            <w:shd w:val="clear" w:color="auto" w:fill="C4EFCE"/>
            <w:noWrap/>
            <w:tcMar>
              <w:left w:w="28" w:type="dxa"/>
              <w:right w:w="28" w:type="dxa"/>
            </w:tcMar>
            <w:vAlign w:val="center"/>
            <w:hideMark/>
          </w:tcPr>
          <w:p w14:paraId="7E7B9030" w14:textId="4027968C"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C09-i01</w:t>
            </w:r>
          </w:p>
        </w:tc>
        <w:tc>
          <w:tcPr>
            <w:tcW w:w="1134" w:type="dxa"/>
            <w:shd w:val="clear" w:color="auto" w:fill="C4EFCE"/>
            <w:noWrap/>
            <w:tcMar>
              <w:left w:w="28" w:type="dxa"/>
              <w:right w:w="28" w:type="dxa"/>
            </w:tcMar>
            <w:vAlign w:val="center"/>
            <w:hideMark/>
          </w:tcPr>
          <w:p w14:paraId="6557710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66971F09" w14:textId="579C88A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aktualizovaného návrhu (v prípade potreby) odsoľovacieho opatrenia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úplným začlenením všetkých výsledkov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podmienok</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posudzovania vplyvov na životné prostredie (SM6)</w:t>
            </w:r>
          </w:p>
        </w:tc>
        <w:tc>
          <w:tcPr>
            <w:tcW w:w="1275" w:type="dxa"/>
            <w:shd w:val="clear" w:color="auto" w:fill="C4EFCE"/>
            <w:noWrap/>
            <w:tcMar>
              <w:left w:w="28" w:type="dxa"/>
              <w:right w:w="28" w:type="dxa"/>
            </w:tcMar>
            <w:vAlign w:val="center"/>
            <w:hideMark/>
          </w:tcPr>
          <w:p w14:paraId="4E8E76C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aktualizovaného dizajnu (v prípade potreby)</w:t>
            </w:r>
          </w:p>
        </w:tc>
        <w:tc>
          <w:tcPr>
            <w:tcW w:w="993" w:type="dxa"/>
            <w:shd w:val="clear" w:color="auto" w:fill="C4EFCE"/>
            <w:noWrap/>
            <w:tcMar>
              <w:left w:w="28" w:type="dxa"/>
              <w:right w:w="28" w:type="dxa"/>
            </w:tcMar>
            <w:vAlign w:val="center"/>
            <w:hideMark/>
          </w:tcPr>
          <w:p w14:paraId="4A6FC0AE"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hideMark/>
          </w:tcPr>
          <w:p w14:paraId="3C3FADE0"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9" w:type="dxa"/>
            <w:shd w:val="clear" w:color="auto" w:fill="C4EFCE"/>
            <w:noWrap/>
            <w:tcMar>
              <w:left w:w="28" w:type="dxa"/>
              <w:right w:w="28" w:type="dxa"/>
            </w:tcMar>
            <w:vAlign w:val="center"/>
            <w:hideMark/>
          </w:tcPr>
          <w:p w14:paraId="71FE3BF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567" w:type="dxa"/>
            <w:shd w:val="clear" w:color="auto" w:fill="C4EFCE"/>
            <w:noWrap/>
            <w:tcMar>
              <w:left w:w="28" w:type="dxa"/>
              <w:right w:w="28" w:type="dxa"/>
            </w:tcMar>
            <w:vAlign w:val="center"/>
            <w:hideMark/>
          </w:tcPr>
          <w:p w14:paraId="414F91E1" w14:textId="6C74B064"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708" w:type="dxa"/>
            <w:shd w:val="clear" w:color="auto" w:fill="C4EFCE"/>
            <w:noWrap/>
            <w:tcMar>
              <w:left w:w="28" w:type="dxa"/>
              <w:right w:w="28" w:type="dxa"/>
            </w:tcMar>
            <w:vAlign w:val="center"/>
            <w:hideMark/>
          </w:tcPr>
          <w:p w14:paraId="249C3716" w14:textId="0AB6998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hideMark/>
          </w:tcPr>
          <w:p w14:paraId="17FA125F" w14:textId="5532A7B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Prijatie aktualizovaného návrhu odsoľovacieho opatrenia (v prípade potreby)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úplným začlenením potrebných výsledkov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podmienok</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posúdenia vplyvov na životné prostredie, ktoré sa dokončí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 so smernicou 2011/92/EÚ, ako aj príslušných posúdení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kontexte smernice 2000/60/ES vrátane vykonávania požadovaných zmierňujúcich opatrení, ktorými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týkajúcim sa zásady „výrazne nenarušiť“ (2021/C58/01). Všetky opatrenia identifikované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posudzovania vplyvov na životné prostredie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posúdenia podľa smernice 2000/60/ES, ktoré sú potrebné na zabezpečenie súladu so zásadou „výrazne nenarušiť“, sa začlenia do projektu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prísne sa dodržiavajú vo fázach výstavby, prevádzky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vyraďovania infraštruktúry</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prevádzky.</w:t>
            </w:r>
          </w:p>
        </w:tc>
      </w:tr>
      <w:tr w:rsidR="00387C70" w:rsidRPr="003F23AC" w14:paraId="3DA4741E" w14:textId="77777777" w:rsidTr="009E4E5C">
        <w:trPr>
          <w:trHeight w:val="1250"/>
          <w:jc w:val="center"/>
        </w:trPr>
        <w:tc>
          <w:tcPr>
            <w:tcW w:w="1135" w:type="dxa"/>
            <w:shd w:val="clear" w:color="auto" w:fill="C4EFCE"/>
            <w:noWrap/>
            <w:tcMar>
              <w:left w:w="28" w:type="dxa"/>
              <w:right w:w="28" w:type="dxa"/>
            </w:tcMar>
            <w:vAlign w:val="center"/>
            <w:hideMark/>
          </w:tcPr>
          <w:p w14:paraId="584AC037"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9.8</w:t>
            </w:r>
          </w:p>
        </w:tc>
        <w:tc>
          <w:tcPr>
            <w:tcW w:w="1276" w:type="dxa"/>
            <w:shd w:val="clear" w:color="auto" w:fill="C4EFCE"/>
            <w:noWrap/>
            <w:tcMar>
              <w:left w:w="28" w:type="dxa"/>
              <w:right w:w="28" w:type="dxa"/>
            </w:tcMar>
            <w:vAlign w:val="center"/>
            <w:hideMark/>
          </w:tcPr>
          <w:p w14:paraId="46BCD0A0" w14:textId="7D9FE6F7"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C09-i01</w:t>
            </w:r>
          </w:p>
        </w:tc>
        <w:tc>
          <w:tcPr>
            <w:tcW w:w="1134" w:type="dxa"/>
            <w:shd w:val="clear" w:color="auto" w:fill="C4EFCE"/>
            <w:noWrap/>
            <w:tcMar>
              <w:left w:w="28" w:type="dxa"/>
              <w:right w:w="28" w:type="dxa"/>
            </w:tcMar>
            <w:vAlign w:val="center"/>
            <w:hideMark/>
          </w:tcPr>
          <w:p w14:paraId="549C716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10B65542" w14:textId="6FD9C0D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Uvedenie opatrenia odsoľovania do prevádzky pri plnom rešpektovaní výsledkov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podmienok stanovených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posúdení vplyvov na životné prostredie (SM6)</w:t>
            </w:r>
          </w:p>
        </w:tc>
        <w:tc>
          <w:tcPr>
            <w:tcW w:w="1275" w:type="dxa"/>
            <w:shd w:val="clear" w:color="auto" w:fill="C4EFCE"/>
            <w:noWrap/>
            <w:tcMar>
              <w:left w:w="28" w:type="dxa"/>
              <w:right w:w="28" w:type="dxa"/>
            </w:tcMar>
            <w:vAlign w:val="center"/>
            <w:hideMark/>
          </w:tcPr>
          <w:p w14:paraId="3DF16F3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Uvedenie odsoľovača do prevádzky</w:t>
            </w:r>
          </w:p>
        </w:tc>
        <w:tc>
          <w:tcPr>
            <w:tcW w:w="993" w:type="dxa"/>
            <w:shd w:val="clear" w:color="auto" w:fill="C4EFCE"/>
            <w:noWrap/>
            <w:tcMar>
              <w:left w:w="28" w:type="dxa"/>
              <w:right w:w="28" w:type="dxa"/>
            </w:tcMar>
            <w:vAlign w:val="center"/>
            <w:hideMark/>
          </w:tcPr>
          <w:p w14:paraId="72453BB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hideMark/>
          </w:tcPr>
          <w:p w14:paraId="6510E366"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9" w:type="dxa"/>
            <w:shd w:val="clear" w:color="auto" w:fill="C4EFCE"/>
            <w:noWrap/>
            <w:tcMar>
              <w:left w:w="28" w:type="dxa"/>
              <w:right w:w="28" w:type="dxa"/>
            </w:tcMar>
            <w:vAlign w:val="center"/>
            <w:hideMark/>
          </w:tcPr>
          <w:p w14:paraId="53F0AD13"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567" w:type="dxa"/>
            <w:shd w:val="clear" w:color="auto" w:fill="C4EFCE"/>
            <w:noWrap/>
            <w:tcMar>
              <w:left w:w="28" w:type="dxa"/>
              <w:right w:w="28" w:type="dxa"/>
            </w:tcMar>
            <w:vAlign w:val="center"/>
            <w:hideMark/>
          </w:tcPr>
          <w:p w14:paraId="532C96C1" w14:textId="0CD96B4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708" w:type="dxa"/>
            <w:shd w:val="clear" w:color="auto" w:fill="C4EFCE"/>
            <w:noWrap/>
            <w:tcMar>
              <w:left w:w="28" w:type="dxa"/>
              <w:right w:w="28" w:type="dxa"/>
            </w:tcMar>
            <w:vAlign w:val="center"/>
            <w:hideMark/>
          </w:tcPr>
          <w:p w14:paraId="70A056A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hideMark/>
          </w:tcPr>
          <w:p w14:paraId="522A58FB" w14:textId="55806AB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Uvedenie odsoľovača do prevádzky pri plnom rešpektovaní výsledku posudzovania vplyvov na životné prostredie, ktoré sa malo dokončiť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 so smernicou 2011/92/EÚ, vrátane vykonania požadovaných zmierňujúcich opatrení, pričom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technickým usmernením týkajúcim sa zásady „výrazne nenarušiť“ (2021/C58/01) </w:t>
            </w:r>
          </w:p>
        </w:tc>
      </w:tr>
      <w:tr w:rsidR="00387C70" w:rsidRPr="003F23AC" w14:paraId="0EE35F32" w14:textId="77777777" w:rsidTr="009E4E5C">
        <w:trPr>
          <w:trHeight w:val="1260"/>
          <w:jc w:val="center"/>
        </w:trPr>
        <w:tc>
          <w:tcPr>
            <w:tcW w:w="1135" w:type="dxa"/>
            <w:shd w:val="clear" w:color="auto" w:fill="C4EFCE"/>
            <w:noWrap/>
            <w:tcMar>
              <w:left w:w="28" w:type="dxa"/>
              <w:right w:w="28" w:type="dxa"/>
            </w:tcMar>
            <w:vAlign w:val="center"/>
            <w:hideMark/>
          </w:tcPr>
          <w:p w14:paraId="6907820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9.9</w:t>
            </w:r>
          </w:p>
        </w:tc>
        <w:tc>
          <w:tcPr>
            <w:tcW w:w="1276" w:type="dxa"/>
            <w:shd w:val="clear" w:color="auto" w:fill="C4EFCE"/>
            <w:noWrap/>
            <w:tcMar>
              <w:left w:w="28" w:type="dxa"/>
              <w:right w:w="28" w:type="dxa"/>
            </w:tcMar>
            <w:vAlign w:val="center"/>
            <w:hideMark/>
          </w:tcPr>
          <w:p w14:paraId="60154726" w14:textId="2EC8F65F"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C09-i02</w:t>
            </w:r>
          </w:p>
        </w:tc>
        <w:tc>
          <w:tcPr>
            <w:tcW w:w="1134" w:type="dxa"/>
            <w:shd w:val="clear" w:color="auto" w:fill="C4EFCE"/>
            <w:noWrap/>
            <w:tcMar>
              <w:left w:w="28" w:type="dxa"/>
              <w:right w:w="28" w:type="dxa"/>
            </w:tcMar>
            <w:vAlign w:val="center"/>
            <w:hideMark/>
          </w:tcPr>
          <w:p w14:paraId="2B57648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52B791B0" w14:textId="657C31C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Uverejnenie plánovacej dokumentácie opatrenia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úplným zahrnutím všetkých výsledkov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podmienok vyplývajúcich</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 xml:space="preserve">posudzovania vplyvov na životné prostredie </w:t>
            </w:r>
          </w:p>
        </w:tc>
        <w:tc>
          <w:tcPr>
            <w:tcW w:w="1275" w:type="dxa"/>
            <w:shd w:val="clear" w:color="auto" w:fill="C4EFCE"/>
            <w:noWrap/>
            <w:tcMar>
              <w:left w:w="28" w:type="dxa"/>
              <w:right w:w="28" w:type="dxa"/>
            </w:tcMar>
            <w:vAlign w:val="center"/>
            <w:hideMark/>
          </w:tcPr>
          <w:p w14:paraId="675CEB32" w14:textId="5F1773E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Uverejnenie plánovacej dokumentácie opatrenia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úplným zahrnutím všetkých výsledkov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podmienok vyplývajúcich</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posudzovania vplyvov na životné prostredie</w:t>
            </w:r>
          </w:p>
        </w:tc>
        <w:tc>
          <w:tcPr>
            <w:tcW w:w="993" w:type="dxa"/>
            <w:shd w:val="clear" w:color="auto" w:fill="C4EFCE"/>
            <w:noWrap/>
            <w:tcMar>
              <w:left w:w="28" w:type="dxa"/>
              <w:right w:w="28" w:type="dxa"/>
            </w:tcMar>
            <w:vAlign w:val="center"/>
            <w:hideMark/>
          </w:tcPr>
          <w:p w14:paraId="72B7CA55"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hideMark/>
          </w:tcPr>
          <w:p w14:paraId="0FDA11AC"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9" w:type="dxa"/>
            <w:shd w:val="clear" w:color="auto" w:fill="C4EFCE"/>
            <w:noWrap/>
            <w:tcMar>
              <w:left w:w="28" w:type="dxa"/>
              <w:right w:w="28" w:type="dxa"/>
            </w:tcMar>
            <w:vAlign w:val="center"/>
            <w:hideMark/>
          </w:tcPr>
          <w:p w14:paraId="3BE4B173"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567" w:type="dxa"/>
            <w:shd w:val="clear" w:color="auto" w:fill="C4EFCE"/>
            <w:noWrap/>
            <w:tcMar>
              <w:left w:w="28" w:type="dxa"/>
              <w:right w:w="28" w:type="dxa"/>
            </w:tcMar>
            <w:vAlign w:val="center"/>
            <w:hideMark/>
          </w:tcPr>
          <w:p w14:paraId="4F786AEF" w14:textId="5A6BF88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708" w:type="dxa"/>
            <w:shd w:val="clear" w:color="auto" w:fill="C4EFCE"/>
            <w:noWrap/>
            <w:tcMar>
              <w:left w:w="28" w:type="dxa"/>
              <w:right w:w="28" w:type="dxa"/>
            </w:tcMar>
            <w:vAlign w:val="center"/>
            <w:hideMark/>
          </w:tcPr>
          <w:p w14:paraId="59AB2AB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69" w:type="dxa"/>
            <w:shd w:val="clear" w:color="auto" w:fill="C4EFCE"/>
            <w:tcMar>
              <w:left w:w="28" w:type="dxa"/>
              <w:right w:w="28" w:type="dxa"/>
            </w:tcMar>
            <w:vAlign w:val="center"/>
            <w:hideMark/>
          </w:tcPr>
          <w:p w14:paraId="17FD56F1" w14:textId="049F0710"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Pod podmienkou pozitívneho posúdenia vplyvov na životné prostredie, ktoré úplne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vecne splnilo právne kritériá, uverejnenie plánovacej dokumentácie opatrenia, pričom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plnej miere začlenia všetky výsledky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podmienky</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posúdenia vplyvov na životné prostredie, ak sa to vyžaduje na dosiahnutie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týkajúcim sa zásady „výrazne nenarušiť“ (2021/C58/01). EIA sa uverejňuje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dokončí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 so smernicou 2011/92/EÚ, ako aj príslušné posúdenia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kontexte smernice 2000/60/ES vrátane vykonávania požadovaných zmierňujúcich opatrení</w:t>
            </w:r>
            <w:r w:rsidR="00A75B3C" w:rsidRPr="003F23AC">
              <w:rPr>
                <w:rFonts w:ascii="Times New Roman" w:hAnsi="Times New Roman" w:cs="Times New Roman"/>
                <w:noProof/>
                <w:lang w:val="sk-SK"/>
              </w:rPr>
              <w:t>.</w:t>
            </w:r>
          </w:p>
          <w:p w14:paraId="16928ACC" w14:textId="6D04E12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Všetky opatrenia identifikované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posudzovania vplyvov na životné prostredie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posúdenia podľa smernice 2000/60/ES, ktoré sú potrebné na zabezpečenie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týkajúcim sa zásady „výrazne nenarušiť“ (2021/C58/01), sa začlenia do projektu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budú sa dodržiavať vo fázach výstavby, prevádzky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vyraďovania infraštruktúry</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prevádzky.</w:t>
            </w:r>
          </w:p>
        </w:tc>
      </w:tr>
      <w:tr w:rsidR="00387C70" w:rsidRPr="003F23AC" w14:paraId="6E7029E4" w14:textId="77777777" w:rsidTr="009E4E5C">
        <w:trPr>
          <w:trHeight w:val="850"/>
          <w:jc w:val="center"/>
        </w:trPr>
        <w:tc>
          <w:tcPr>
            <w:tcW w:w="1135" w:type="dxa"/>
            <w:shd w:val="clear" w:color="auto" w:fill="C4EFCE"/>
            <w:noWrap/>
            <w:tcMar>
              <w:left w:w="28" w:type="dxa"/>
              <w:right w:w="28" w:type="dxa"/>
            </w:tcMar>
            <w:vAlign w:val="center"/>
            <w:hideMark/>
          </w:tcPr>
          <w:p w14:paraId="7DFAB53A"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9.12</w:t>
            </w:r>
          </w:p>
        </w:tc>
        <w:tc>
          <w:tcPr>
            <w:tcW w:w="1276" w:type="dxa"/>
            <w:shd w:val="clear" w:color="auto" w:fill="C4EFCE"/>
            <w:noWrap/>
            <w:tcMar>
              <w:left w:w="28" w:type="dxa"/>
              <w:right w:w="28" w:type="dxa"/>
            </w:tcMar>
            <w:vAlign w:val="center"/>
            <w:hideMark/>
          </w:tcPr>
          <w:p w14:paraId="16076ED4" w14:textId="19271A34"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C09-i03-RAM</w:t>
            </w:r>
          </w:p>
        </w:tc>
        <w:tc>
          <w:tcPr>
            <w:tcW w:w="1134" w:type="dxa"/>
            <w:shd w:val="clear" w:color="auto" w:fill="C4EFCE"/>
            <w:noWrap/>
            <w:tcMar>
              <w:left w:w="28" w:type="dxa"/>
              <w:right w:w="28" w:type="dxa"/>
            </w:tcMar>
            <w:vAlign w:val="center"/>
            <w:hideMark/>
          </w:tcPr>
          <w:p w14:paraId="36337F20" w14:textId="6D5D594E"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70A0CCB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Ďalšie km renovovaných alebo rekonštruovaných kanálov</w:t>
            </w:r>
          </w:p>
        </w:tc>
        <w:tc>
          <w:tcPr>
            <w:tcW w:w="1275" w:type="dxa"/>
            <w:shd w:val="clear" w:color="auto" w:fill="C4EFCE"/>
            <w:noWrap/>
            <w:tcMar>
              <w:left w:w="28" w:type="dxa"/>
              <w:right w:w="28" w:type="dxa"/>
            </w:tcMar>
            <w:vAlign w:val="center"/>
            <w:hideMark/>
          </w:tcPr>
          <w:p w14:paraId="63DB2787"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hideMark/>
          </w:tcPr>
          <w:p w14:paraId="6988612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km</w:t>
            </w:r>
          </w:p>
        </w:tc>
        <w:tc>
          <w:tcPr>
            <w:tcW w:w="992" w:type="dxa"/>
            <w:shd w:val="clear" w:color="auto" w:fill="C4EFCE"/>
            <w:noWrap/>
            <w:tcMar>
              <w:left w:w="28" w:type="dxa"/>
              <w:right w:w="28" w:type="dxa"/>
            </w:tcMar>
            <w:vAlign w:val="center"/>
            <w:hideMark/>
          </w:tcPr>
          <w:p w14:paraId="3003D95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1EB636C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53</w:t>
            </w:r>
          </w:p>
        </w:tc>
        <w:tc>
          <w:tcPr>
            <w:tcW w:w="567" w:type="dxa"/>
            <w:shd w:val="clear" w:color="auto" w:fill="C4EFCE"/>
            <w:noWrap/>
            <w:tcMar>
              <w:left w:w="28" w:type="dxa"/>
              <w:right w:w="28" w:type="dxa"/>
            </w:tcMar>
            <w:vAlign w:val="center"/>
            <w:hideMark/>
          </w:tcPr>
          <w:p w14:paraId="4F60250B" w14:textId="3BC80CCE"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708" w:type="dxa"/>
            <w:shd w:val="clear" w:color="auto" w:fill="C4EFCE"/>
            <w:noWrap/>
            <w:tcMar>
              <w:left w:w="28" w:type="dxa"/>
              <w:right w:w="28" w:type="dxa"/>
            </w:tcMar>
            <w:vAlign w:val="center"/>
            <w:hideMark/>
          </w:tcPr>
          <w:p w14:paraId="3679EC0A" w14:textId="68FE60D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7E611BB0" w14:textId="4DB9554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Dĺžka vybudovaných, renovovaných alebo rekonštruovaných vodných potrubí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km</w:t>
            </w:r>
          </w:p>
        </w:tc>
      </w:tr>
      <w:tr w:rsidR="00387C70" w:rsidRPr="003F23AC" w14:paraId="31E82792" w14:textId="77777777" w:rsidTr="009E4E5C">
        <w:trPr>
          <w:trHeight w:val="2110"/>
          <w:jc w:val="center"/>
        </w:trPr>
        <w:tc>
          <w:tcPr>
            <w:tcW w:w="1135" w:type="dxa"/>
            <w:shd w:val="clear" w:color="auto" w:fill="C4EFCE"/>
            <w:noWrap/>
            <w:tcMar>
              <w:left w:w="28" w:type="dxa"/>
              <w:right w:w="28" w:type="dxa"/>
            </w:tcMar>
            <w:vAlign w:val="center"/>
            <w:hideMark/>
          </w:tcPr>
          <w:p w14:paraId="600412E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9.13</w:t>
            </w:r>
          </w:p>
        </w:tc>
        <w:tc>
          <w:tcPr>
            <w:tcW w:w="1276" w:type="dxa"/>
            <w:shd w:val="clear" w:color="auto" w:fill="C4EFCE"/>
            <w:noWrap/>
            <w:tcMar>
              <w:left w:w="28" w:type="dxa"/>
              <w:right w:w="28" w:type="dxa"/>
            </w:tcMar>
            <w:vAlign w:val="center"/>
            <w:hideMark/>
          </w:tcPr>
          <w:p w14:paraId="17550FBE" w14:textId="009912A7"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C09-i03-RAM</w:t>
            </w:r>
          </w:p>
        </w:tc>
        <w:tc>
          <w:tcPr>
            <w:tcW w:w="1134" w:type="dxa"/>
            <w:shd w:val="clear" w:color="auto" w:fill="C4EFCE"/>
            <w:noWrap/>
            <w:tcMar>
              <w:left w:w="28" w:type="dxa"/>
              <w:right w:w="28" w:type="dxa"/>
            </w:tcMar>
            <w:vAlign w:val="center"/>
            <w:hideMark/>
          </w:tcPr>
          <w:p w14:paraId="3549A2DF" w14:textId="4D954CBE"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64FA1D5A" w14:textId="6C605C6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Dodatočný objem vody dostupnej</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južnej časti ostrova Madeira na verejné zásobovanie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zavlažovanie</w:t>
            </w:r>
          </w:p>
        </w:tc>
        <w:tc>
          <w:tcPr>
            <w:tcW w:w="1275" w:type="dxa"/>
            <w:shd w:val="clear" w:color="auto" w:fill="C4EFCE"/>
            <w:noWrap/>
            <w:tcMar>
              <w:left w:w="28" w:type="dxa"/>
              <w:right w:w="28" w:type="dxa"/>
            </w:tcMar>
            <w:vAlign w:val="center"/>
            <w:hideMark/>
          </w:tcPr>
          <w:p w14:paraId="6A44E574"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hideMark/>
          </w:tcPr>
          <w:p w14:paraId="7023723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hm3</w:t>
            </w:r>
          </w:p>
        </w:tc>
        <w:tc>
          <w:tcPr>
            <w:tcW w:w="992" w:type="dxa"/>
            <w:shd w:val="clear" w:color="auto" w:fill="C4EFCE"/>
            <w:noWrap/>
            <w:tcMar>
              <w:left w:w="28" w:type="dxa"/>
              <w:right w:w="28" w:type="dxa"/>
            </w:tcMar>
            <w:vAlign w:val="center"/>
            <w:hideMark/>
          </w:tcPr>
          <w:p w14:paraId="1AE1E1C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NEUVÁDZA SA</w:t>
            </w:r>
          </w:p>
        </w:tc>
        <w:tc>
          <w:tcPr>
            <w:tcW w:w="709" w:type="dxa"/>
            <w:shd w:val="clear" w:color="auto" w:fill="C4EFCE"/>
            <w:noWrap/>
            <w:tcMar>
              <w:left w:w="28" w:type="dxa"/>
              <w:right w:w="28" w:type="dxa"/>
            </w:tcMar>
            <w:vAlign w:val="center"/>
            <w:hideMark/>
          </w:tcPr>
          <w:p w14:paraId="66A0614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w:t>
            </w:r>
          </w:p>
        </w:tc>
        <w:tc>
          <w:tcPr>
            <w:tcW w:w="567" w:type="dxa"/>
            <w:shd w:val="clear" w:color="auto" w:fill="C4EFCE"/>
            <w:noWrap/>
            <w:tcMar>
              <w:left w:w="28" w:type="dxa"/>
              <w:right w:w="28" w:type="dxa"/>
            </w:tcMar>
            <w:vAlign w:val="center"/>
            <w:hideMark/>
          </w:tcPr>
          <w:p w14:paraId="31C162B3" w14:textId="37A401C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708" w:type="dxa"/>
            <w:shd w:val="clear" w:color="auto" w:fill="C4EFCE"/>
            <w:noWrap/>
            <w:tcMar>
              <w:left w:w="28" w:type="dxa"/>
              <w:right w:w="28" w:type="dxa"/>
            </w:tcMar>
            <w:vAlign w:val="center"/>
            <w:hideMark/>
          </w:tcPr>
          <w:p w14:paraId="62F4287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4BC078D4" w14:textId="2F345C2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Dodatočný objem vody sprístupnenej na verejné zásobovanie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zavlažovanie; to sa dosiahne posilnením, obnovou, obnovou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výstavbou nových potrubí, kanálov, rybníkov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nádrží.</w:t>
            </w:r>
          </w:p>
        </w:tc>
      </w:tr>
    </w:tbl>
    <w:p w14:paraId="5E4AB6BD"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E00EDD">
          <w:headerReference w:type="even" r:id="rId186"/>
          <w:headerReference w:type="default" r:id="rId187"/>
          <w:footerReference w:type="even" r:id="rId188"/>
          <w:footerReference w:type="default" r:id="rId189"/>
          <w:headerReference w:type="first" r:id="rId190"/>
          <w:footerReference w:type="first" r:id="rId191"/>
          <w:pgSz w:w="16839" w:h="11907" w:orient="landscape"/>
          <w:pgMar w:top="1134" w:right="1134" w:bottom="1134" w:left="1134" w:header="567" w:footer="567" w:gutter="0"/>
          <w:cols w:space="720"/>
          <w:docGrid w:linePitch="360"/>
        </w:sectPr>
      </w:pPr>
    </w:p>
    <w:p w14:paraId="49EFEC21"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7B247B33" w14:textId="77777777" w:rsidR="00A75B3C" w:rsidRPr="003F23AC" w:rsidRDefault="000F5AA4" w:rsidP="003F23AC">
      <w:pPr>
        <w:pStyle w:val="P68B1DB1-Normal3"/>
        <w:spacing w:before="40" w:after="0" w:line="259" w:lineRule="auto"/>
        <w:ind w:left="130" w:firstLine="720"/>
        <w:jc w:val="both"/>
        <w:outlineLvl w:val="2"/>
        <w:rPr>
          <w:rFonts w:cs="Times New Roman"/>
          <w:noProof/>
          <w:lang w:val="sk-SK"/>
        </w:rPr>
      </w:pPr>
      <w:r w:rsidRPr="003F23AC">
        <w:rPr>
          <w:rFonts w:cs="Times New Roman"/>
          <w:noProof/>
          <w:lang w:val="sk-SK"/>
        </w:rPr>
        <w:t xml:space="preserve">I.3. </w:t>
      </w:r>
      <w:r w:rsidRPr="003F23AC">
        <w:rPr>
          <w:rFonts w:cs="Times New Roman"/>
          <w:noProof/>
          <w:lang w:val="sk-SK"/>
        </w:rPr>
        <w:tab/>
        <w:t>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úverového financovania</w:t>
      </w:r>
    </w:p>
    <w:p w14:paraId="39E334BC" w14:textId="2B2D1251"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RE-C09-i04: Hydraulický viacúčelový podnik Crato, fáza výstavby</w:t>
      </w:r>
    </w:p>
    <w:p w14:paraId="1780F8E1" w14:textId="44E97B20" w:rsidR="00A75B3C" w:rsidRPr="003F23AC" w:rsidRDefault="000F5AA4" w:rsidP="003F23AC">
      <w:pPr>
        <w:pStyle w:val="P68B1DB1-Normal4"/>
        <w:spacing w:before="40" w:after="0" w:line="259" w:lineRule="auto"/>
        <w:jc w:val="both"/>
        <w:outlineLvl w:val="2"/>
        <w:rPr>
          <w:rFonts w:cs="Times New Roman"/>
          <w:noProof/>
          <w:lang w:val="sk-SK"/>
        </w:rPr>
      </w:pPr>
      <w:r w:rsidRPr="003F23AC">
        <w:rPr>
          <w:rFonts w:cs="Times New Roman"/>
          <w:noProof/>
          <w:lang w:val="sk-SK"/>
        </w:rPr>
        <w:t>Táto investícia sa týka projektu opísaného pod investíciou RE-C09-i02, hydrodraulickým viacúčelovým podnikom spoločnosti Crato, fáza plánovania. Táto investícia zahŕňa prijatie aktualizovaného návrhu priehrady (DCAPE)</w:t>
      </w:r>
      <w:r w:rsidR="00A75B3C" w:rsidRPr="003F23AC">
        <w:rPr>
          <w:rFonts w:cs="Times New Roman"/>
          <w:noProof/>
          <w:lang w:val="sk-SK"/>
        </w:rPr>
        <w:t xml:space="preserve"> a </w:t>
      </w:r>
      <w:r w:rsidRPr="003F23AC">
        <w:rPr>
          <w:rFonts w:cs="Times New Roman"/>
          <w:noProof/>
          <w:lang w:val="sk-SK"/>
        </w:rPr>
        <w:t>uvedenie priehrady do prevádzky</w:t>
      </w:r>
      <w:r w:rsidR="00A75B3C" w:rsidRPr="003F23AC">
        <w:rPr>
          <w:rFonts w:cs="Times New Roman"/>
          <w:noProof/>
          <w:lang w:val="sk-SK"/>
        </w:rPr>
        <w:t>.</w:t>
      </w:r>
    </w:p>
    <w:p w14:paraId="1211E7F3" w14:textId="25D8FE26" w:rsidR="00A75B3C" w:rsidRPr="003F23AC" w:rsidRDefault="000F5AA4" w:rsidP="003F23AC">
      <w:pPr>
        <w:pStyle w:val="P68B1DB1-Normal4"/>
        <w:spacing w:before="40" w:after="0" w:line="259" w:lineRule="auto"/>
        <w:jc w:val="both"/>
        <w:outlineLvl w:val="2"/>
        <w:rPr>
          <w:rFonts w:cs="Times New Roman"/>
          <w:noProof/>
          <w:lang w:val="sk-SK"/>
        </w:rPr>
      </w:pPr>
      <w:r w:rsidRPr="003F23AC">
        <w:rPr>
          <w:rFonts w:cs="Times New Roman"/>
          <w:noProof/>
          <w:lang w:val="sk-SK"/>
        </w:rPr>
        <w:t>Všetky ostatné prvky vrátane povinností týkajúcich sa zásady „výrazne nenarušiť“ musia byť rovnaké ako tie, ktoré sú uvedené</w:t>
      </w:r>
      <w:r w:rsidR="00A75B3C" w:rsidRPr="003F23AC">
        <w:rPr>
          <w:rFonts w:cs="Times New Roman"/>
          <w:noProof/>
          <w:lang w:val="sk-SK"/>
        </w:rPr>
        <w:t xml:space="preserve"> v </w:t>
      </w:r>
      <w:r w:rsidRPr="003F23AC">
        <w:rPr>
          <w:rFonts w:cs="Times New Roman"/>
          <w:noProof/>
          <w:lang w:val="sk-SK"/>
        </w:rPr>
        <w:t>investícii RE-C09-i02 Hydraulic multifunkčný podnik Crato vo fáze plánovania</w:t>
      </w:r>
      <w:r w:rsidR="00A75B3C" w:rsidRPr="003F23AC">
        <w:rPr>
          <w:rFonts w:cs="Times New Roman"/>
          <w:noProof/>
          <w:lang w:val="sk-SK"/>
        </w:rPr>
        <w:t>.</w:t>
      </w:r>
    </w:p>
    <w:p w14:paraId="0D565263" w14:textId="270BBDE3"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735167DE" w14:textId="77777777" w:rsidR="00387C70" w:rsidRPr="003F23AC" w:rsidRDefault="00387C70" w:rsidP="003F23AC">
      <w:pPr>
        <w:spacing w:before="40" w:after="0" w:line="259" w:lineRule="auto"/>
        <w:ind w:left="130" w:firstLine="720"/>
        <w:jc w:val="both"/>
        <w:outlineLvl w:val="2"/>
        <w:rPr>
          <w:rFonts w:ascii="Times New Roman" w:eastAsia="Times New Roman" w:hAnsi="Times New Roman" w:cs="Times New Roman"/>
          <w:noProof/>
          <w:sz w:val="24"/>
          <w:lang w:val="sk-SK"/>
        </w:rPr>
        <w:sectPr w:rsidR="00387C70" w:rsidRPr="003F23AC" w:rsidSect="009A4B20">
          <w:headerReference w:type="even" r:id="rId192"/>
          <w:headerReference w:type="default" r:id="rId193"/>
          <w:footerReference w:type="even" r:id="rId194"/>
          <w:footerReference w:type="default" r:id="rId195"/>
          <w:headerReference w:type="first" r:id="rId196"/>
          <w:footerReference w:type="first" r:id="rId197"/>
          <w:pgSz w:w="11907" w:h="16839"/>
          <w:pgMar w:top="1134" w:right="1134" w:bottom="1134" w:left="1134" w:header="567" w:footer="567" w:gutter="0"/>
          <w:cols w:space="720"/>
          <w:docGrid w:linePitch="360"/>
        </w:sectPr>
      </w:pPr>
    </w:p>
    <w:p w14:paraId="1FFCEE23" w14:textId="294E64C0"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I.4.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w:t>
      </w:r>
      <w:r w:rsidR="00A75B3C" w:rsidRPr="003F23AC">
        <w:rPr>
          <w:rFonts w:cs="Times New Roman"/>
          <w:noProof/>
          <w:lang w:val="sk-SK"/>
        </w:rPr>
        <w:t xml:space="preserve"> v </w:t>
      </w:r>
      <w:r w:rsidRPr="003F23AC">
        <w:rPr>
          <w:rFonts w:cs="Times New Roman"/>
          <w:noProof/>
          <w:lang w:val="sk-SK"/>
        </w:rPr>
        <w:t>súvislosti</w:t>
      </w:r>
      <w:r w:rsidR="00A75B3C" w:rsidRPr="003F23AC">
        <w:rPr>
          <w:rFonts w:cs="Times New Roman"/>
          <w:noProof/>
          <w:lang w:val="sk-SK"/>
        </w:rPr>
        <w:t xml:space="preserve"> s </w:t>
      </w:r>
      <w:r w:rsidRPr="003F23AC">
        <w:rPr>
          <w:rFonts w:cs="Times New Roman"/>
          <w:noProof/>
          <w:lang w:val="sk-SK"/>
        </w:rPr>
        <w:t>úverom</w:t>
      </w:r>
    </w:p>
    <w:p w14:paraId="4548674B" w14:textId="77777777" w:rsidR="00387C70" w:rsidRPr="003F23AC" w:rsidRDefault="00387C70" w:rsidP="003F23AC">
      <w:pPr>
        <w:spacing w:before="40" w:after="0" w:line="259" w:lineRule="auto"/>
        <w:ind w:left="130" w:firstLine="720"/>
        <w:jc w:val="both"/>
        <w:outlineLvl w:val="2"/>
        <w:rPr>
          <w:rFonts w:ascii="Times New Roman" w:eastAsiaTheme="minorEastAsia" w:hAnsi="Times New Roman" w:cs="Times New Roman"/>
          <w:b/>
          <w:noProof/>
          <w:sz w:val="24"/>
          <w:u w:val="single"/>
          <w:lang w:val="sk-SK"/>
        </w:rPr>
      </w:pP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134"/>
        <w:gridCol w:w="1701"/>
        <w:gridCol w:w="1275"/>
        <w:gridCol w:w="993"/>
        <w:gridCol w:w="992"/>
        <w:gridCol w:w="709"/>
        <w:gridCol w:w="567"/>
        <w:gridCol w:w="708"/>
        <w:gridCol w:w="3969"/>
      </w:tblGrid>
      <w:tr w:rsidR="00387C70" w:rsidRPr="003F23AC" w14:paraId="5B622BB4" w14:textId="77777777" w:rsidTr="009E4E5C">
        <w:trPr>
          <w:trHeight w:val="300"/>
          <w:tblHeader/>
        </w:trPr>
        <w:tc>
          <w:tcPr>
            <w:tcW w:w="1135" w:type="dxa"/>
            <w:vMerge w:val="restart"/>
            <w:shd w:val="clear" w:color="auto" w:fill="BDD6EE"/>
            <w:tcMar>
              <w:left w:w="28" w:type="dxa"/>
              <w:right w:w="28" w:type="dxa"/>
            </w:tcMar>
            <w:vAlign w:val="center"/>
            <w:hideMark/>
          </w:tcPr>
          <w:p w14:paraId="05AF7307" w14:textId="77777777" w:rsidR="00387C70" w:rsidRPr="003F23AC" w:rsidRDefault="000F5AA4" w:rsidP="003F23AC">
            <w:pPr>
              <w:pStyle w:val="P68B1DB1-Normal6"/>
              <w:spacing w:after="0" w:line="240" w:lineRule="auto"/>
              <w:jc w:val="center"/>
              <w:rPr>
                <w:rFonts w:eastAsia="Times New Roman" w:cs="Times New Roman"/>
                <w:noProof/>
                <w:lang w:val="sk-SK"/>
              </w:rPr>
            </w:pPr>
            <w:bookmarkStart w:id="22" w:name="_Hlk145941568"/>
            <w:r w:rsidRPr="003F23AC">
              <w:rPr>
                <w:rFonts w:cs="Times New Roman"/>
                <w:noProof/>
                <w:lang w:val="sk-SK"/>
              </w:rPr>
              <w:t>Poradové číslo</w:t>
            </w:r>
          </w:p>
        </w:tc>
        <w:tc>
          <w:tcPr>
            <w:tcW w:w="1276" w:type="dxa"/>
            <w:vMerge w:val="restart"/>
            <w:shd w:val="clear" w:color="auto" w:fill="BDD6EE"/>
            <w:noWrap/>
            <w:tcMar>
              <w:left w:w="28" w:type="dxa"/>
              <w:right w:w="28" w:type="dxa"/>
            </w:tcMar>
            <w:vAlign w:val="center"/>
            <w:hideMark/>
          </w:tcPr>
          <w:p w14:paraId="36DC91A9"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34" w:type="dxa"/>
            <w:vMerge w:val="restart"/>
            <w:shd w:val="clear" w:color="auto" w:fill="BDD6EE"/>
            <w:noWrap/>
            <w:tcMar>
              <w:left w:w="28" w:type="dxa"/>
              <w:right w:w="28" w:type="dxa"/>
            </w:tcMar>
            <w:vAlign w:val="center"/>
            <w:hideMark/>
          </w:tcPr>
          <w:p w14:paraId="46CCCA20" w14:textId="75056E55"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1701" w:type="dxa"/>
            <w:vMerge w:val="restart"/>
            <w:shd w:val="clear" w:color="auto" w:fill="BDD6EE"/>
            <w:noWrap/>
            <w:tcMar>
              <w:left w:w="28" w:type="dxa"/>
              <w:right w:w="28" w:type="dxa"/>
            </w:tcMar>
            <w:vAlign w:val="center"/>
            <w:hideMark/>
          </w:tcPr>
          <w:p w14:paraId="3972FD46"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275" w:type="dxa"/>
            <w:vMerge w:val="restart"/>
            <w:shd w:val="clear" w:color="auto" w:fill="BDD6EE"/>
            <w:noWrap/>
            <w:tcMar>
              <w:left w:w="28" w:type="dxa"/>
              <w:right w:w="28" w:type="dxa"/>
            </w:tcMar>
            <w:vAlign w:val="center"/>
            <w:hideMark/>
          </w:tcPr>
          <w:p w14:paraId="0B6B437F"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694" w:type="dxa"/>
            <w:gridSpan w:val="3"/>
            <w:shd w:val="clear" w:color="auto" w:fill="BDD6EE"/>
            <w:noWrap/>
            <w:tcMar>
              <w:left w:w="28" w:type="dxa"/>
              <w:right w:w="28" w:type="dxa"/>
            </w:tcMar>
            <w:vAlign w:val="center"/>
            <w:hideMark/>
          </w:tcPr>
          <w:p w14:paraId="2D09032E"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75" w:type="dxa"/>
            <w:gridSpan w:val="2"/>
            <w:shd w:val="clear" w:color="auto" w:fill="BDD6EE"/>
            <w:noWrap/>
            <w:tcMar>
              <w:left w:w="28" w:type="dxa"/>
              <w:right w:w="28" w:type="dxa"/>
            </w:tcMar>
            <w:vAlign w:val="center"/>
            <w:hideMark/>
          </w:tcPr>
          <w:p w14:paraId="4DCBBD59"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Harmonogram dokončenia</w:t>
            </w:r>
          </w:p>
        </w:tc>
        <w:tc>
          <w:tcPr>
            <w:tcW w:w="3969" w:type="dxa"/>
            <w:vMerge w:val="restart"/>
            <w:shd w:val="clear" w:color="auto" w:fill="BDD6EE"/>
            <w:tcMar>
              <w:left w:w="28" w:type="dxa"/>
              <w:right w:w="28" w:type="dxa"/>
            </w:tcMar>
            <w:vAlign w:val="center"/>
            <w:hideMark/>
          </w:tcPr>
          <w:p w14:paraId="1C2BDDAB" w14:textId="137A23A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bookmarkEnd w:id="22"/>
      <w:tr w:rsidR="00387C70" w:rsidRPr="003F23AC" w14:paraId="2512663C" w14:textId="77777777" w:rsidTr="009E4E5C">
        <w:trPr>
          <w:trHeight w:val="300"/>
          <w:tblHeader/>
        </w:trPr>
        <w:tc>
          <w:tcPr>
            <w:tcW w:w="1135" w:type="dxa"/>
            <w:vMerge/>
            <w:tcMar>
              <w:left w:w="28" w:type="dxa"/>
              <w:right w:w="28" w:type="dxa"/>
            </w:tcMar>
            <w:vAlign w:val="center"/>
            <w:hideMark/>
          </w:tcPr>
          <w:p w14:paraId="71D29AAD"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6" w:type="dxa"/>
            <w:vMerge/>
            <w:tcMar>
              <w:left w:w="28" w:type="dxa"/>
              <w:right w:w="28" w:type="dxa"/>
            </w:tcMar>
            <w:vAlign w:val="center"/>
            <w:hideMark/>
          </w:tcPr>
          <w:p w14:paraId="3784C786"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34" w:type="dxa"/>
            <w:vMerge/>
            <w:shd w:val="clear" w:color="auto" w:fill="BDD6EE"/>
            <w:noWrap/>
            <w:tcMar>
              <w:left w:w="28" w:type="dxa"/>
              <w:right w:w="28" w:type="dxa"/>
            </w:tcMar>
            <w:vAlign w:val="center"/>
            <w:hideMark/>
          </w:tcPr>
          <w:p w14:paraId="7BE73013" w14:textId="1244C4EB"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701" w:type="dxa"/>
            <w:vMerge/>
            <w:tcMar>
              <w:left w:w="28" w:type="dxa"/>
              <w:right w:w="28" w:type="dxa"/>
            </w:tcMar>
            <w:vAlign w:val="center"/>
            <w:hideMark/>
          </w:tcPr>
          <w:p w14:paraId="6F2C4548"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5" w:type="dxa"/>
            <w:vMerge/>
            <w:tcMar>
              <w:left w:w="28" w:type="dxa"/>
              <w:right w:w="28" w:type="dxa"/>
            </w:tcMar>
            <w:vAlign w:val="center"/>
            <w:hideMark/>
          </w:tcPr>
          <w:p w14:paraId="106AC914"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993" w:type="dxa"/>
            <w:shd w:val="clear" w:color="auto" w:fill="BDD6EE"/>
            <w:noWrap/>
            <w:tcMar>
              <w:left w:w="28" w:type="dxa"/>
              <w:right w:w="28" w:type="dxa"/>
            </w:tcMar>
            <w:vAlign w:val="center"/>
            <w:hideMark/>
          </w:tcPr>
          <w:p w14:paraId="6BB0C9B9"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992" w:type="dxa"/>
            <w:shd w:val="clear" w:color="auto" w:fill="BDD6EE"/>
            <w:noWrap/>
            <w:tcMar>
              <w:left w:w="28" w:type="dxa"/>
              <w:right w:w="28" w:type="dxa"/>
            </w:tcMar>
            <w:vAlign w:val="center"/>
            <w:hideMark/>
          </w:tcPr>
          <w:p w14:paraId="7837A6A7" w14:textId="7D3B2805"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709" w:type="dxa"/>
            <w:shd w:val="clear" w:color="auto" w:fill="BDD6EE"/>
            <w:noWrap/>
            <w:tcMar>
              <w:left w:w="28" w:type="dxa"/>
              <w:right w:w="28" w:type="dxa"/>
            </w:tcMar>
            <w:vAlign w:val="center"/>
            <w:hideMark/>
          </w:tcPr>
          <w:p w14:paraId="0A015CF7" w14:textId="705B7290"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567" w:type="dxa"/>
            <w:shd w:val="clear" w:color="auto" w:fill="BDD6EE"/>
            <w:noWrap/>
            <w:tcMar>
              <w:left w:w="28" w:type="dxa"/>
              <w:right w:w="28" w:type="dxa"/>
            </w:tcMar>
            <w:vAlign w:val="center"/>
            <w:hideMark/>
          </w:tcPr>
          <w:p w14:paraId="715832CA" w14:textId="1F7D8A3C"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708" w:type="dxa"/>
            <w:shd w:val="clear" w:color="auto" w:fill="BDD6EE"/>
            <w:noWrap/>
            <w:tcMar>
              <w:left w:w="28" w:type="dxa"/>
              <w:right w:w="28" w:type="dxa"/>
            </w:tcMar>
            <w:vAlign w:val="center"/>
            <w:hideMark/>
          </w:tcPr>
          <w:p w14:paraId="5FA15F06"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3969" w:type="dxa"/>
            <w:vMerge/>
            <w:tcMar>
              <w:left w:w="28" w:type="dxa"/>
              <w:right w:w="28" w:type="dxa"/>
            </w:tcMar>
            <w:vAlign w:val="center"/>
            <w:hideMark/>
          </w:tcPr>
          <w:p w14:paraId="4CC75BE5"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7A04D420" w14:textId="77777777" w:rsidTr="009E4E5C">
        <w:trPr>
          <w:trHeight w:val="1260"/>
          <w:tblHeader/>
        </w:trPr>
        <w:tc>
          <w:tcPr>
            <w:tcW w:w="1135" w:type="dxa"/>
            <w:shd w:val="clear" w:color="auto" w:fill="C4EFCE"/>
            <w:noWrap/>
            <w:tcMar>
              <w:left w:w="28" w:type="dxa"/>
              <w:right w:w="28" w:type="dxa"/>
            </w:tcMar>
            <w:vAlign w:val="center"/>
          </w:tcPr>
          <w:p w14:paraId="5AE76F1F" w14:textId="0E0C05FE"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9.10</w:t>
            </w:r>
          </w:p>
        </w:tc>
        <w:tc>
          <w:tcPr>
            <w:tcW w:w="1276" w:type="dxa"/>
            <w:shd w:val="clear" w:color="auto" w:fill="C4EFCE"/>
            <w:noWrap/>
            <w:tcMar>
              <w:left w:w="28" w:type="dxa"/>
              <w:right w:w="28" w:type="dxa"/>
            </w:tcMar>
            <w:vAlign w:val="center"/>
          </w:tcPr>
          <w:p w14:paraId="7B9ECDFA" w14:textId="164681E0"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C09-i04</w:t>
            </w:r>
          </w:p>
        </w:tc>
        <w:tc>
          <w:tcPr>
            <w:tcW w:w="1134" w:type="dxa"/>
            <w:shd w:val="clear" w:color="auto" w:fill="C4EFCE"/>
            <w:noWrap/>
            <w:tcMar>
              <w:left w:w="28" w:type="dxa"/>
              <w:right w:w="28" w:type="dxa"/>
            </w:tcMar>
            <w:vAlign w:val="center"/>
          </w:tcPr>
          <w:p w14:paraId="1650E83C" w14:textId="2A98B9C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38E9F561" w14:textId="51220EF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Podmienené pozitívnym posúdením vplyvov na životné prostredie, ktoré úplne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vecne spĺňa právne kritériá, prijatím aktualizovaného návrhu priehrady, výroby vodnej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solárnej energie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zavlažovania, pričom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plnej miere zohľadnia všetky výsledky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podmienky</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EIA.</w:t>
            </w:r>
          </w:p>
        </w:tc>
        <w:tc>
          <w:tcPr>
            <w:tcW w:w="1275" w:type="dxa"/>
            <w:shd w:val="clear" w:color="auto" w:fill="C4EFCE"/>
            <w:noWrap/>
            <w:tcMar>
              <w:left w:w="28" w:type="dxa"/>
              <w:right w:w="28" w:type="dxa"/>
            </w:tcMar>
            <w:vAlign w:val="center"/>
          </w:tcPr>
          <w:p w14:paraId="02774AD5" w14:textId="25B357D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aktualizovaného dizajnu</w:t>
            </w:r>
          </w:p>
        </w:tc>
        <w:tc>
          <w:tcPr>
            <w:tcW w:w="993" w:type="dxa"/>
            <w:shd w:val="clear" w:color="auto" w:fill="C4EFCE"/>
            <w:noWrap/>
            <w:tcMar>
              <w:left w:w="28" w:type="dxa"/>
              <w:right w:w="28" w:type="dxa"/>
            </w:tcMar>
            <w:vAlign w:val="center"/>
          </w:tcPr>
          <w:p w14:paraId="357E7085"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4EAF7F6D"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9" w:type="dxa"/>
            <w:shd w:val="clear" w:color="auto" w:fill="C4EFCE"/>
            <w:noWrap/>
            <w:tcMar>
              <w:left w:w="28" w:type="dxa"/>
              <w:right w:w="28" w:type="dxa"/>
            </w:tcMar>
            <w:vAlign w:val="center"/>
          </w:tcPr>
          <w:p w14:paraId="3DB852A9"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567" w:type="dxa"/>
            <w:shd w:val="clear" w:color="auto" w:fill="C4EFCE"/>
            <w:noWrap/>
            <w:tcMar>
              <w:left w:w="28" w:type="dxa"/>
              <w:right w:w="28" w:type="dxa"/>
            </w:tcMar>
            <w:vAlign w:val="center"/>
          </w:tcPr>
          <w:p w14:paraId="634803F8" w14:textId="40559506"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708" w:type="dxa"/>
            <w:shd w:val="clear" w:color="auto" w:fill="C4EFCE"/>
            <w:noWrap/>
            <w:tcMar>
              <w:left w:w="28" w:type="dxa"/>
              <w:right w:w="28" w:type="dxa"/>
            </w:tcMar>
            <w:vAlign w:val="center"/>
          </w:tcPr>
          <w:p w14:paraId="5CCD347B" w14:textId="6A4D3ED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69" w:type="dxa"/>
            <w:shd w:val="clear" w:color="auto" w:fill="C4EFCE"/>
            <w:tcMar>
              <w:left w:w="28" w:type="dxa"/>
              <w:right w:w="28" w:type="dxa"/>
            </w:tcMar>
            <w:vAlign w:val="center"/>
          </w:tcPr>
          <w:p w14:paraId="0D8D35DD" w14:textId="1477A24F"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Pod podmienkou posúdenia vplyvov na životné prostredie,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ktorom sa dospeje</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záveru, že nedošlo</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žiadnemu významnému poškodeniu, prijatie aktualizovaného návrhu priehrady, výroby vodnej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solárnej energie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zavlažovania, ktorý</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plnej miere zahŕňa všetky výsledky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podmienky</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komplexného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kumulatívneho posudzovania vplyvov na životné prostredie, ak je to potrebné na dosiahnutie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týkajúcim sa zásady „výrazne nenarušiť“ (2021/C58/01). Posudzovanie vplyvov na životné prostredie sa dokončí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 so smernicou 2011/92/EÚ, ako aj</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posúdeniami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kontexte smernice 2000/60/ES vrátane vykonávania požadovaných zmierňujúcich opatrení</w:t>
            </w:r>
            <w:r w:rsidR="00A75B3C" w:rsidRPr="003F23AC">
              <w:rPr>
                <w:rFonts w:ascii="Times New Roman" w:hAnsi="Times New Roman" w:cs="Times New Roman"/>
                <w:noProof/>
                <w:lang w:val="sk-SK"/>
              </w:rPr>
              <w:t>.</w:t>
            </w:r>
          </w:p>
          <w:p w14:paraId="6301C6F9" w14:textId="6EFA25E8" w:rsidR="00387C70" w:rsidRPr="003F23AC" w:rsidRDefault="00387C70" w:rsidP="003F23AC">
            <w:pPr>
              <w:spacing w:after="0" w:line="240" w:lineRule="auto"/>
              <w:jc w:val="both"/>
              <w:rPr>
                <w:rFonts w:ascii="Times New Roman" w:eastAsia="Times New Roman" w:hAnsi="Times New Roman" w:cs="Times New Roman"/>
                <w:noProof/>
                <w:sz w:val="16"/>
                <w:lang w:val="sk-SK"/>
              </w:rPr>
            </w:pPr>
          </w:p>
          <w:p w14:paraId="563B34EB" w14:textId="1CEFDB2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Všetky opatrenia identifikované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posudzovania vplyvov na životné prostredie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posúdenia podľa smernice 2000/60/ES, ktoré sú potrebné na zabezpečenie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týkajúcim sa zásady „výrazne nenarušiť“ (2021/C58/01), sa začlenia do projektu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budú sa dodržiavať vo fázach výstavby, prevádzky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vyraďovania infraštruktúry</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prevádzky.</w:t>
            </w:r>
          </w:p>
          <w:p w14:paraId="47634865" w14:textId="7A8CAFDB" w:rsidR="00387C70" w:rsidRPr="003F23AC" w:rsidRDefault="00387C70" w:rsidP="003F23AC">
            <w:pPr>
              <w:spacing w:after="0" w:line="240" w:lineRule="auto"/>
              <w:jc w:val="both"/>
              <w:rPr>
                <w:rFonts w:ascii="Times New Roman" w:eastAsia="Times New Roman" w:hAnsi="Times New Roman" w:cs="Times New Roman"/>
                <w:noProof/>
                <w:sz w:val="16"/>
                <w:lang w:val="sk-SK"/>
              </w:rPr>
            </w:pPr>
          </w:p>
        </w:tc>
      </w:tr>
    </w:tbl>
    <w:p w14:paraId="7E0C9D80" w14:textId="77777777" w:rsidR="00387C70" w:rsidRPr="003F23AC" w:rsidRDefault="00387C70" w:rsidP="003F23AC">
      <w:pPr>
        <w:spacing w:after="0" w:line="240" w:lineRule="auto"/>
        <w:jc w:val="center"/>
        <w:rPr>
          <w:rFonts w:ascii="Times New Roman" w:eastAsia="Times New Roman" w:hAnsi="Times New Roman" w:cs="Times New Roman"/>
          <w:b/>
          <w:noProof/>
          <w:sz w:val="16"/>
          <w:lang w:val="sk-SK"/>
        </w:rPr>
        <w:sectPr w:rsidR="00387C70" w:rsidRPr="003F23AC" w:rsidSect="00E00EDD">
          <w:headerReference w:type="even" r:id="rId198"/>
          <w:headerReference w:type="default" r:id="rId199"/>
          <w:footerReference w:type="even" r:id="rId200"/>
          <w:footerReference w:type="default" r:id="rId201"/>
          <w:headerReference w:type="first" r:id="rId202"/>
          <w:footerReference w:type="first" r:id="rId203"/>
          <w:pgSz w:w="16839" w:h="11907" w:orient="landscape"/>
          <w:pgMar w:top="1134" w:right="1134" w:bottom="1134" w:left="1134" w:header="567" w:footer="567" w:gutter="0"/>
          <w:cols w:space="720"/>
          <w:docGrid w:linePitch="360"/>
        </w:sectPr>
      </w:pP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134"/>
        <w:gridCol w:w="1701"/>
        <w:gridCol w:w="1275"/>
        <w:gridCol w:w="993"/>
        <w:gridCol w:w="992"/>
        <w:gridCol w:w="709"/>
        <w:gridCol w:w="567"/>
        <w:gridCol w:w="708"/>
        <w:gridCol w:w="3969"/>
      </w:tblGrid>
      <w:tr w:rsidR="00387C70" w:rsidRPr="003F23AC" w14:paraId="645A7A24" w14:textId="77777777" w:rsidTr="009E4E5C">
        <w:trPr>
          <w:trHeight w:val="525"/>
          <w:tblHeader/>
        </w:trPr>
        <w:tc>
          <w:tcPr>
            <w:tcW w:w="1135" w:type="dxa"/>
            <w:vMerge w:val="restart"/>
            <w:shd w:val="clear" w:color="auto" w:fill="BDD6EE"/>
            <w:noWrap/>
            <w:tcMar>
              <w:left w:w="28" w:type="dxa"/>
              <w:right w:w="28" w:type="dxa"/>
            </w:tcMar>
            <w:vAlign w:val="center"/>
          </w:tcPr>
          <w:p w14:paraId="49BCA749" w14:textId="574691EA"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76" w:type="dxa"/>
            <w:vMerge w:val="restart"/>
            <w:shd w:val="clear" w:color="auto" w:fill="BDD6EE"/>
            <w:noWrap/>
            <w:tcMar>
              <w:left w:w="28" w:type="dxa"/>
              <w:right w:w="28" w:type="dxa"/>
            </w:tcMar>
            <w:vAlign w:val="center"/>
          </w:tcPr>
          <w:p w14:paraId="656A6E3D" w14:textId="65A6BE6F"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34" w:type="dxa"/>
            <w:vMerge w:val="restart"/>
            <w:shd w:val="clear" w:color="auto" w:fill="BDD6EE"/>
            <w:noWrap/>
            <w:tcMar>
              <w:left w:w="28" w:type="dxa"/>
              <w:right w:w="28" w:type="dxa"/>
            </w:tcMar>
            <w:vAlign w:val="center"/>
          </w:tcPr>
          <w:p w14:paraId="3F140861" w14:textId="05956691"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1701" w:type="dxa"/>
            <w:vMerge w:val="restart"/>
            <w:shd w:val="clear" w:color="auto" w:fill="BDD6EE"/>
            <w:noWrap/>
            <w:tcMar>
              <w:left w:w="28" w:type="dxa"/>
              <w:right w:w="28" w:type="dxa"/>
            </w:tcMar>
            <w:vAlign w:val="center"/>
          </w:tcPr>
          <w:p w14:paraId="7E92527E" w14:textId="5A6FC241"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275" w:type="dxa"/>
            <w:vMerge w:val="restart"/>
            <w:shd w:val="clear" w:color="auto" w:fill="BDD6EE"/>
            <w:noWrap/>
            <w:tcMar>
              <w:left w:w="28" w:type="dxa"/>
              <w:right w:w="28" w:type="dxa"/>
            </w:tcMar>
            <w:vAlign w:val="center"/>
          </w:tcPr>
          <w:p w14:paraId="4E73A322" w14:textId="10710CE6"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694" w:type="dxa"/>
            <w:gridSpan w:val="3"/>
            <w:shd w:val="clear" w:color="auto" w:fill="BDD6EE"/>
            <w:noWrap/>
            <w:tcMar>
              <w:left w:w="28" w:type="dxa"/>
              <w:right w:w="28" w:type="dxa"/>
            </w:tcMar>
            <w:vAlign w:val="center"/>
          </w:tcPr>
          <w:p w14:paraId="1CF25973" w14:textId="50C0721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75" w:type="dxa"/>
            <w:gridSpan w:val="2"/>
            <w:shd w:val="clear" w:color="auto" w:fill="BDD6EE"/>
            <w:noWrap/>
            <w:tcMar>
              <w:left w:w="28" w:type="dxa"/>
              <w:right w:w="28" w:type="dxa"/>
            </w:tcMar>
            <w:vAlign w:val="center"/>
          </w:tcPr>
          <w:p w14:paraId="7627C3DB" w14:textId="67658CFC"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Harmonogram dokončenia</w:t>
            </w:r>
          </w:p>
        </w:tc>
        <w:tc>
          <w:tcPr>
            <w:tcW w:w="3969" w:type="dxa"/>
            <w:vMerge w:val="restart"/>
            <w:shd w:val="clear" w:color="auto" w:fill="BDD6EE"/>
            <w:tcMar>
              <w:left w:w="28" w:type="dxa"/>
              <w:right w:w="28" w:type="dxa"/>
            </w:tcMar>
            <w:vAlign w:val="center"/>
          </w:tcPr>
          <w:p w14:paraId="6E91A456" w14:textId="2DF1926A"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6AF10782" w14:textId="77777777" w:rsidTr="009E4E5C">
        <w:trPr>
          <w:trHeight w:val="525"/>
          <w:tblHeader/>
        </w:trPr>
        <w:tc>
          <w:tcPr>
            <w:tcW w:w="1135" w:type="dxa"/>
            <w:vMerge/>
            <w:shd w:val="clear" w:color="auto" w:fill="BDD6EE"/>
            <w:noWrap/>
            <w:tcMar>
              <w:left w:w="28" w:type="dxa"/>
              <w:right w:w="28" w:type="dxa"/>
            </w:tcMar>
            <w:vAlign w:val="center"/>
          </w:tcPr>
          <w:p w14:paraId="5D493835" w14:textId="77777777"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276" w:type="dxa"/>
            <w:vMerge/>
            <w:shd w:val="clear" w:color="auto" w:fill="BDD6EE"/>
            <w:noWrap/>
            <w:tcMar>
              <w:left w:w="28" w:type="dxa"/>
              <w:right w:w="28" w:type="dxa"/>
            </w:tcMar>
            <w:vAlign w:val="center"/>
          </w:tcPr>
          <w:p w14:paraId="5CFE31A1" w14:textId="77777777"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134" w:type="dxa"/>
            <w:vMerge/>
            <w:shd w:val="clear" w:color="auto" w:fill="BDD6EE"/>
            <w:noWrap/>
            <w:tcMar>
              <w:left w:w="28" w:type="dxa"/>
              <w:right w:w="28" w:type="dxa"/>
            </w:tcMar>
            <w:vAlign w:val="center"/>
          </w:tcPr>
          <w:p w14:paraId="1EC2C84E" w14:textId="77777777"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701" w:type="dxa"/>
            <w:vMerge/>
            <w:shd w:val="clear" w:color="auto" w:fill="BDD6EE"/>
            <w:noWrap/>
            <w:tcMar>
              <w:left w:w="28" w:type="dxa"/>
              <w:right w:w="28" w:type="dxa"/>
            </w:tcMar>
            <w:vAlign w:val="center"/>
          </w:tcPr>
          <w:p w14:paraId="318B1182" w14:textId="77777777"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275" w:type="dxa"/>
            <w:vMerge/>
            <w:shd w:val="clear" w:color="auto" w:fill="BDD6EE"/>
            <w:noWrap/>
            <w:tcMar>
              <w:left w:w="28" w:type="dxa"/>
              <w:right w:w="28" w:type="dxa"/>
            </w:tcMar>
            <w:vAlign w:val="center"/>
          </w:tcPr>
          <w:p w14:paraId="3F2B7268" w14:textId="77777777"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993" w:type="dxa"/>
            <w:shd w:val="clear" w:color="auto" w:fill="BDD6EE"/>
            <w:noWrap/>
            <w:tcMar>
              <w:left w:w="28" w:type="dxa"/>
              <w:right w:w="28" w:type="dxa"/>
            </w:tcMar>
            <w:vAlign w:val="center"/>
          </w:tcPr>
          <w:p w14:paraId="442EF0A7" w14:textId="46709A64"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992" w:type="dxa"/>
            <w:shd w:val="clear" w:color="auto" w:fill="BDD6EE"/>
            <w:tcMar>
              <w:left w:w="28" w:type="dxa"/>
              <w:right w:w="28" w:type="dxa"/>
            </w:tcMar>
            <w:vAlign w:val="center"/>
          </w:tcPr>
          <w:p w14:paraId="57D31F6B" w14:textId="516FBA99"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709" w:type="dxa"/>
            <w:shd w:val="clear" w:color="auto" w:fill="BDD6EE"/>
            <w:tcMar>
              <w:left w:w="28" w:type="dxa"/>
              <w:right w:w="28" w:type="dxa"/>
            </w:tcMar>
            <w:vAlign w:val="center"/>
          </w:tcPr>
          <w:p w14:paraId="00D0D2E2" w14:textId="5E6304F2"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567" w:type="dxa"/>
            <w:shd w:val="clear" w:color="auto" w:fill="C6D9F1" w:themeFill="text2" w:themeFillTint="33"/>
            <w:noWrap/>
            <w:tcMar>
              <w:left w:w="28" w:type="dxa"/>
              <w:right w:w="28" w:type="dxa"/>
            </w:tcMar>
            <w:vAlign w:val="center"/>
          </w:tcPr>
          <w:p w14:paraId="0C609051" w14:textId="09EE27E1" w:rsidR="00387C70" w:rsidRPr="003F23AC" w:rsidRDefault="00680FF6"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Štvrťrok</w:t>
            </w:r>
          </w:p>
        </w:tc>
        <w:tc>
          <w:tcPr>
            <w:tcW w:w="708" w:type="dxa"/>
            <w:shd w:val="clear" w:color="auto" w:fill="BDD6EE"/>
            <w:tcMar>
              <w:left w:w="28" w:type="dxa"/>
              <w:right w:w="28" w:type="dxa"/>
            </w:tcMar>
            <w:vAlign w:val="center"/>
          </w:tcPr>
          <w:p w14:paraId="5E59938E" w14:textId="4687ACDB" w:rsidR="00387C70" w:rsidRPr="003F23AC" w:rsidRDefault="000F5AA4" w:rsidP="003F23AC">
            <w:pPr>
              <w:pStyle w:val="P68B1DB1-Normal6"/>
              <w:spacing w:after="0" w:line="240" w:lineRule="auto"/>
              <w:jc w:val="center"/>
              <w:rPr>
                <w:rFonts w:eastAsia="Times New Roman" w:cs="Times New Roman"/>
                <w:noProof/>
                <w:sz w:val="16"/>
                <w:lang w:val="sk-SK"/>
              </w:rPr>
            </w:pPr>
            <w:r w:rsidRPr="003F23AC">
              <w:rPr>
                <w:rFonts w:cs="Times New Roman"/>
                <w:noProof/>
                <w:lang w:val="sk-SK"/>
              </w:rPr>
              <w:t>Rok</w:t>
            </w:r>
          </w:p>
        </w:tc>
        <w:tc>
          <w:tcPr>
            <w:tcW w:w="3969" w:type="dxa"/>
            <w:vMerge/>
            <w:shd w:val="clear" w:color="auto" w:fill="B8CCE4" w:themeFill="accent1" w:themeFillTint="66"/>
            <w:tcMar>
              <w:left w:w="28" w:type="dxa"/>
              <w:right w:w="28" w:type="dxa"/>
            </w:tcMar>
            <w:vAlign w:val="center"/>
          </w:tcPr>
          <w:p w14:paraId="2D7E8CEC" w14:textId="77777777" w:rsidR="00387C70" w:rsidRPr="003F23AC" w:rsidRDefault="00387C70" w:rsidP="003F23AC">
            <w:pPr>
              <w:spacing w:after="0" w:line="240" w:lineRule="auto"/>
              <w:jc w:val="both"/>
              <w:rPr>
                <w:rFonts w:ascii="Times New Roman" w:eastAsia="Times New Roman" w:hAnsi="Times New Roman" w:cs="Times New Roman"/>
                <w:noProof/>
                <w:sz w:val="16"/>
                <w:lang w:val="sk-SK"/>
              </w:rPr>
            </w:pPr>
          </w:p>
        </w:tc>
      </w:tr>
      <w:tr w:rsidR="00387C70" w:rsidRPr="003F23AC" w14:paraId="377F90B7" w14:textId="77777777" w:rsidTr="009E4E5C">
        <w:trPr>
          <w:trHeight w:val="1050"/>
          <w:tblHeader/>
        </w:trPr>
        <w:tc>
          <w:tcPr>
            <w:tcW w:w="1135" w:type="dxa"/>
            <w:shd w:val="clear" w:color="auto" w:fill="C4EFCE"/>
            <w:noWrap/>
            <w:tcMar>
              <w:left w:w="28" w:type="dxa"/>
              <w:right w:w="28" w:type="dxa"/>
            </w:tcMar>
            <w:vAlign w:val="center"/>
          </w:tcPr>
          <w:p w14:paraId="1879CF06" w14:textId="2ED24A15"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9.11</w:t>
            </w:r>
          </w:p>
        </w:tc>
        <w:tc>
          <w:tcPr>
            <w:tcW w:w="1276" w:type="dxa"/>
            <w:shd w:val="clear" w:color="auto" w:fill="C4EFCE"/>
            <w:noWrap/>
            <w:tcMar>
              <w:left w:w="28" w:type="dxa"/>
              <w:right w:w="28" w:type="dxa"/>
            </w:tcMar>
            <w:vAlign w:val="center"/>
          </w:tcPr>
          <w:p w14:paraId="1407D8DF" w14:textId="48F9EEE5"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C09-i04</w:t>
            </w:r>
          </w:p>
        </w:tc>
        <w:tc>
          <w:tcPr>
            <w:tcW w:w="1134" w:type="dxa"/>
            <w:shd w:val="clear" w:color="auto" w:fill="C4EFCE"/>
            <w:noWrap/>
            <w:tcMar>
              <w:left w:w="28" w:type="dxa"/>
              <w:right w:w="28" w:type="dxa"/>
            </w:tcMar>
            <w:vAlign w:val="center"/>
          </w:tcPr>
          <w:p w14:paraId="0C17A5A0" w14:textId="063C502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0239B0F6" w14:textId="46DE145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Uvedenie do prevádzky priehrady, výroby vodnej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slnečnej energie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zavlažovania pri plnom rešpektovaní výsledkov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podmienok stanovených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posúdení vplyvov na životné prostredie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dosiahnutie dobrého stavu príslušných vodných útvarov</w:t>
            </w:r>
          </w:p>
        </w:tc>
        <w:tc>
          <w:tcPr>
            <w:tcW w:w="1275" w:type="dxa"/>
            <w:shd w:val="clear" w:color="auto" w:fill="C4EFCE"/>
            <w:noWrap/>
            <w:tcMar>
              <w:left w:w="28" w:type="dxa"/>
              <w:right w:w="28" w:type="dxa"/>
            </w:tcMar>
            <w:vAlign w:val="center"/>
          </w:tcPr>
          <w:p w14:paraId="7A468BEE" w14:textId="5C17978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Uvedenie priehrady do prevádzky</w:t>
            </w:r>
          </w:p>
        </w:tc>
        <w:tc>
          <w:tcPr>
            <w:tcW w:w="993" w:type="dxa"/>
            <w:shd w:val="clear" w:color="auto" w:fill="C4EFCE"/>
            <w:noWrap/>
            <w:tcMar>
              <w:left w:w="28" w:type="dxa"/>
              <w:right w:w="28" w:type="dxa"/>
            </w:tcMar>
            <w:vAlign w:val="center"/>
          </w:tcPr>
          <w:p w14:paraId="7F731D00"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7E2C7D5C"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9" w:type="dxa"/>
            <w:shd w:val="clear" w:color="auto" w:fill="C4EFCE"/>
            <w:noWrap/>
            <w:tcMar>
              <w:left w:w="28" w:type="dxa"/>
              <w:right w:w="28" w:type="dxa"/>
            </w:tcMar>
            <w:vAlign w:val="center"/>
          </w:tcPr>
          <w:p w14:paraId="0BD23613"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567" w:type="dxa"/>
            <w:shd w:val="clear" w:color="auto" w:fill="C4EFCE"/>
            <w:noWrap/>
            <w:tcMar>
              <w:left w:w="28" w:type="dxa"/>
              <w:right w:w="28" w:type="dxa"/>
            </w:tcMar>
            <w:vAlign w:val="center"/>
          </w:tcPr>
          <w:p w14:paraId="1A712FED" w14:textId="40BED82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708" w:type="dxa"/>
            <w:shd w:val="clear" w:color="auto" w:fill="C4EFCE"/>
            <w:noWrap/>
            <w:tcMar>
              <w:left w:w="28" w:type="dxa"/>
              <w:right w:w="28" w:type="dxa"/>
            </w:tcMar>
            <w:vAlign w:val="center"/>
          </w:tcPr>
          <w:p w14:paraId="03485358" w14:textId="49F63D8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tcPr>
          <w:p w14:paraId="06A29FB6" w14:textId="2373FBD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Uvedenie do prevádzky priehrady, vodných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solárnych elektrární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zavlažovacieho systému pri plnom rešpektovaní výsledkov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podmienok stanovených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komplexnom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kumulatívnom posudzovaní vplyvov na životné prostredie, ktoré sa musí dokončiť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 so smernicou 2011/92/EÚ, ako aj príslušných posúdení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kontexte smernice 2000/60/ES vrátane vykonávania požadovaných zmierňujúcich opatrení. Zabezpečí sa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týkajúcim sa zásady „výrazne nenarušiť“ (2021/C58/01).</w:t>
            </w:r>
          </w:p>
          <w:p w14:paraId="27D5C9C8" w14:textId="77777777" w:rsidR="00387C70" w:rsidRPr="003F23AC" w:rsidRDefault="00387C70" w:rsidP="003F23AC">
            <w:pPr>
              <w:spacing w:after="0" w:line="240" w:lineRule="auto"/>
              <w:jc w:val="both"/>
              <w:rPr>
                <w:rFonts w:ascii="Times New Roman" w:eastAsia="Times New Roman" w:hAnsi="Times New Roman" w:cs="Times New Roman"/>
                <w:noProof/>
                <w:sz w:val="16"/>
                <w:lang w:val="sk-SK"/>
              </w:rPr>
            </w:pPr>
          </w:p>
          <w:p w14:paraId="4FAACE21" w14:textId="01C41B1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Opatrením sa zabezpečí splnenie potrieb mestskej vody pre populácie Alter do Chão, Avis, Crato, Fronteira, Gavião, Nisa, Ponte de Sor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Sousel.</w:t>
            </w:r>
          </w:p>
          <w:p w14:paraId="66B2A4F9" w14:textId="77777777" w:rsidR="00387C70" w:rsidRPr="003F23AC" w:rsidRDefault="00387C70" w:rsidP="003F23AC">
            <w:pPr>
              <w:spacing w:after="0" w:line="240" w:lineRule="auto"/>
              <w:jc w:val="both"/>
              <w:rPr>
                <w:rFonts w:ascii="Times New Roman" w:eastAsia="Times New Roman" w:hAnsi="Times New Roman" w:cs="Times New Roman"/>
                <w:noProof/>
                <w:sz w:val="16"/>
                <w:lang w:val="sk-SK"/>
              </w:rPr>
            </w:pPr>
          </w:p>
          <w:p w14:paraId="6E6FCE41" w14:textId="07307D7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Zvýšenie kapacity výroby čistej energie podľa výkonu solárnej jednotky, ktorá sa má inštalovať, plus 1,0 MW/rok</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mini-vodových zariadení; inštalácia infraštruktúry zavlažovacích blokov, ktorá umožní vytvorenie novej zavlažovanej plochy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rozlohou 5 078 ha vhodnej pre ekologické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diverzifikované plodiny.</w:t>
            </w:r>
          </w:p>
          <w:p w14:paraId="52487FBC" w14:textId="77777777" w:rsidR="00387C70" w:rsidRPr="003F23AC" w:rsidRDefault="00387C70" w:rsidP="003F23AC">
            <w:pPr>
              <w:spacing w:after="0" w:line="240" w:lineRule="auto"/>
              <w:jc w:val="both"/>
              <w:rPr>
                <w:rFonts w:ascii="Times New Roman" w:eastAsia="Times New Roman" w:hAnsi="Times New Roman" w:cs="Times New Roman"/>
                <w:noProof/>
                <w:sz w:val="16"/>
                <w:lang w:val="sk-SK"/>
              </w:rPr>
            </w:pPr>
          </w:p>
          <w:p w14:paraId="42592D55" w14:textId="2BF0E1C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Bol dosiahnutý</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certifikovaný dobrý ekologický stav/potenciál príslušných vodných útvarov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požiadavkami rámcovej smernice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vode 2000/60/ES.</w:t>
            </w:r>
          </w:p>
          <w:p w14:paraId="08B20BF2" w14:textId="24EAFAF5" w:rsidR="00387C70" w:rsidRPr="003F23AC" w:rsidRDefault="00387C70" w:rsidP="003F23AC">
            <w:pPr>
              <w:spacing w:after="0" w:line="240" w:lineRule="auto"/>
              <w:jc w:val="both"/>
              <w:rPr>
                <w:rFonts w:ascii="Times New Roman" w:eastAsia="Times New Roman" w:hAnsi="Times New Roman" w:cs="Times New Roman"/>
                <w:noProof/>
                <w:sz w:val="16"/>
                <w:lang w:val="sk-SK"/>
              </w:rPr>
            </w:pPr>
          </w:p>
        </w:tc>
      </w:tr>
    </w:tbl>
    <w:p w14:paraId="67B8C802" w14:textId="150ED53E" w:rsidR="00387C70" w:rsidRPr="003F23AC" w:rsidRDefault="00387C70" w:rsidP="003F23AC">
      <w:pPr>
        <w:spacing w:before="40" w:after="0" w:line="259" w:lineRule="auto"/>
        <w:ind w:left="130" w:firstLine="720"/>
        <w:jc w:val="both"/>
        <w:outlineLvl w:val="2"/>
        <w:rPr>
          <w:rFonts w:ascii="Times New Roman" w:eastAsiaTheme="minorEastAsia" w:hAnsi="Times New Roman" w:cs="Times New Roman"/>
          <w:b/>
          <w:noProof/>
          <w:sz w:val="24"/>
          <w:u w:val="single"/>
          <w:lang w:val="sk-SK"/>
        </w:rPr>
        <w:sectPr w:rsidR="00387C70" w:rsidRPr="003F23AC" w:rsidSect="00E00EDD">
          <w:headerReference w:type="even" r:id="rId204"/>
          <w:headerReference w:type="default" r:id="rId205"/>
          <w:footerReference w:type="even" r:id="rId206"/>
          <w:footerReference w:type="default" r:id="rId207"/>
          <w:headerReference w:type="first" r:id="rId208"/>
          <w:footerReference w:type="first" r:id="rId209"/>
          <w:pgSz w:w="16839" w:h="11907" w:orient="landscape"/>
          <w:pgMar w:top="1134" w:right="1134" w:bottom="1134" w:left="1134" w:header="567" w:footer="567" w:gutter="0"/>
          <w:cols w:space="720"/>
          <w:docGrid w:linePitch="360"/>
        </w:sectPr>
      </w:pPr>
    </w:p>
    <w:p w14:paraId="36DDF044" w14:textId="17091223"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J</w:t>
      </w:r>
      <w:r w:rsidR="00C32C63" w:rsidRPr="003F23AC">
        <w:rPr>
          <w:rFonts w:cs="Times New Roman"/>
          <w:noProof/>
          <w:lang w:val="sk-SK"/>
        </w:rPr>
        <w:t>. KOMPONENT</w:t>
      </w:r>
      <w:r w:rsidRPr="003F23AC">
        <w:rPr>
          <w:rFonts w:cs="Times New Roman"/>
          <w:noProof/>
          <w:lang w:val="sk-SK"/>
        </w:rPr>
        <w:t xml:space="preserve"> 10: Námorná</w:t>
      </w:r>
    </w:p>
    <w:p w14:paraId="7B573033" w14:textId="653A0AA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zložka sa zaoberá výzvou pripraviť pôdu pre konkurencieschopnejšie, súdržnejšie, inkluzívnejšie</w:t>
      </w:r>
      <w:r w:rsidR="00A75B3C" w:rsidRPr="003F23AC">
        <w:rPr>
          <w:rFonts w:cs="Times New Roman"/>
          <w:noProof/>
          <w:lang w:val="sk-SK"/>
        </w:rPr>
        <w:t xml:space="preserve"> a </w:t>
      </w:r>
      <w:r w:rsidRPr="003F23AC">
        <w:rPr>
          <w:rFonts w:cs="Times New Roman"/>
          <w:noProof/>
          <w:lang w:val="sk-SK"/>
        </w:rPr>
        <w:t>okrem toho dekarbonizované</w:t>
      </w:r>
      <w:r w:rsidR="00A75B3C" w:rsidRPr="003F23AC">
        <w:rPr>
          <w:rFonts w:cs="Times New Roman"/>
          <w:noProof/>
          <w:lang w:val="sk-SK"/>
        </w:rPr>
        <w:t xml:space="preserve"> a </w:t>
      </w:r>
      <w:r w:rsidRPr="003F23AC">
        <w:rPr>
          <w:rFonts w:cs="Times New Roman"/>
          <w:noProof/>
          <w:lang w:val="sk-SK"/>
        </w:rPr>
        <w:t>udržateľnejšie morské hospodárstvo, čo je oblasť,</w:t>
      </w:r>
      <w:r w:rsidR="00A75B3C" w:rsidRPr="003F23AC">
        <w:rPr>
          <w:rFonts w:cs="Times New Roman"/>
          <w:noProof/>
          <w:lang w:val="sk-SK"/>
        </w:rPr>
        <w:t xml:space="preserve"> v </w:t>
      </w:r>
      <w:r w:rsidRPr="003F23AC">
        <w:rPr>
          <w:rFonts w:cs="Times New Roman"/>
          <w:noProof/>
          <w:lang w:val="sk-SK"/>
        </w:rPr>
        <w:t>ktorej má Portugalsko veľký potenciál. Táto zložka pomôže využiť príležitosti vyplývajúce</w:t>
      </w:r>
      <w:r w:rsidR="00A75B3C" w:rsidRPr="003F23AC">
        <w:rPr>
          <w:rFonts w:cs="Times New Roman"/>
          <w:noProof/>
          <w:lang w:val="sk-SK"/>
        </w:rPr>
        <w:t xml:space="preserve"> z </w:t>
      </w:r>
      <w:r w:rsidRPr="003F23AC">
        <w:rPr>
          <w:rFonts w:cs="Times New Roman"/>
          <w:noProof/>
          <w:lang w:val="sk-SK"/>
        </w:rPr>
        <w:t>klimatickej</w:t>
      </w:r>
      <w:r w:rsidR="00A75B3C" w:rsidRPr="003F23AC">
        <w:rPr>
          <w:rFonts w:cs="Times New Roman"/>
          <w:noProof/>
          <w:lang w:val="sk-SK"/>
        </w:rPr>
        <w:t xml:space="preserve"> a </w:t>
      </w:r>
      <w:r w:rsidRPr="003F23AC">
        <w:rPr>
          <w:rFonts w:cs="Times New Roman"/>
          <w:noProof/>
          <w:lang w:val="sk-SK"/>
        </w:rPr>
        <w:t>digitálnej transformácie</w:t>
      </w:r>
      <w:r w:rsidR="00A75B3C" w:rsidRPr="003F23AC">
        <w:rPr>
          <w:rFonts w:cs="Times New Roman"/>
          <w:noProof/>
          <w:lang w:val="sk-SK"/>
        </w:rPr>
        <w:t xml:space="preserve"> v </w:t>
      </w:r>
      <w:r w:rsidRPr="003F23AC">
        <w:rPr>
          <w:rFonts w:cs="Times New Roman"/>
          <w:noProof/>
          <w:lang w:val="sk-SK"/>
        </w:rPr>
        <w:t>námornom hospodárstve. Cieľom tejto zložky je podporiť dosiahnutie národných cieľov súvisiacich</w:t>
      </w:r>
      <w:r w:rsidR="00A75B3C" w:rsidRPr="003F23AC">
        <w:rPr>
          <w:rFonts w:cs="Times New Roman"/>
          <w:noProof/>
          <w:lang w:val="sk-SK"/>
        </w:rPr>
        <w:t xml:space="preserve"> s </w:t>
      </w:r>
      <w:r w:rsidRPr="003F23AC">
        <w:rPr>
          <w:rFonts w:cs="Times New Roman"/>
          <w:noProof/>
          <w:lang w:val="sk-SK"/>
        </w:rPr>
        <w:t>výrobným potenciálom námorného hospodárstva. Cieľom zložky je najmä zabezpečiť udržateľnosť</w:t>
      </w:r>
      <w:r w:rsidR="00A75B3C" w:rsidRPr="003F23AC">
        <w:rPr>
          <w:rFonts w:cs="Times New Roman"/>
          <w:noProof/>
          <w:lang w:val="sk-SK"/>
        </w:rPr>
        <w:t xml:space="preserve"> a </w:t>
      </w:r>
      <w:r w:rsidRPr="003F23AC">
        <w:rPr>
          <w:rFonts w:cs="Times New Roman"/>
          <w:noProof/>
          <w:lang w:val="sk-SK"/>
        </w:rPr>
        <w:t>konkurencieschopnosť obchodného systému súvisiaceho</w:t>
      </w:r>
      <w:r w:rsidR="00A75B3C" w:rsidRPr="003F23AC">
        <w:rPr>
          <w:rFonts w:cs="Times New Roman"/>
          <w:noProof/>
          <w:lang w:val="sk-SK"/>
        </w:rPr>
        <w:t xml:space="preserve"> s </w:t>
      </w:r>
      <w:r w:rsidRPr="003F23AC">
        <w:rPr>
          <w:rFonts w:cs="Times New Roman"/>
          <w:noProof/>
          <w:lang w:val="sk-SK"/>
        </w:rPr>
        <w:t>morom. Okrem toho má táto zložka ambíciu aspoň čiastočne riešiť chudobu</w:t>
      </w:r>
      <w:r w:rsidR="00A75B3C" w:rsidRPr="003F23AC">
        <w:rPr>
          <w:rFonts w:cs="Times New Roman"/>
          <w:noProof/>
          <w:lang w:val="sk-SK"/>
        </w:rPr>
        <w:t xml:space="preserve"> v </w:t>
      </w:r>
      <w:r w:rsidRPr="003F23AC">
        <w:rPr>
          <w:rFonts w:cs="Times New Roman"/>
          <w:noProof/>
          <w:lang w:val="sk-SK"/>
        </w:rPr>
        <w:t>pobrežných komunitách</w:t>
      </w:r>
      <w:r w:rsidR="00A75B3C" w:rsidRPr="003F23AC">
        <w:rPr>
          <w:rFonts w:cs="Times New Roman"/>
          <w:noProof/>
          <w:lang w:val="sk-SK"/>
        </w:rPr>
        <w:t xml:space="preserve"> a </w:t>
      </w:r>
      <w:r w:rsidRPr="003F23AC">
        <w:rPr>
          <w:rFonts w:cs="Times New Roman"/>
          <w:noProof/>
          <w:lang w:val="sk-SK"/>
        </w:rPr>
        <w:t>zároveň zabezpečiť konkurencieschopné</w:t>
      </w:r>
      <w:r w:rsidR="00A75B3C" w:rsidRPr="003F23AC">
        <w:rPr>
          <w:rFonts w:cs="Times New Roman"/>
          <w:noProof/>
          <w:lang w:val="sk-SK"/>
        </w:rPr>
        <w:t xml:space="preserve"> a </w:t>
      </w:r>
      <w:r w:rsidRPr="003F23AC">
        <w:rPr>
          <w:rFonts w:cs="Times New Roman"/>
          <w:noProof/>
          <w:lang w:val="sk-SK"/>
        </w:rPr>
        <w:t>súdržné územie</w:t>
      </w:r>
      <w:r w:rsidR="00A75B3C" w:rsidRPr="003F23AC">
        <w:rPr>
          <w:rFonts w:cs="Times New Roman"/>
          <w:noProof/>
          <w:lang w:val="sk-SK"/>
        </w:rPr>
        <w:t xml:space="preserve"> v </w:t>
      </w:r>
      <w:r w:rsidRPr="003F23AC">
        <w:rPr>
          <w:rFonts w:cs="Times New Roman"/>
          <w:noProof/>
          <w:lang w:val="sk-SK"/>
        </w:rPr>
        <w:t>kontexte adaptácie na klimatickú</w:t>
      </w:r>
      <w:r w:rsidR="00A75B3C" w:rsidRPr="003F23AC">
        <w:rPr>
          <w:rFonts w:cs="Times New Roman"/>
          <w:noProof/>
          <w:lang w:val="sk-SK"/>
        </w:rPr>
        <w:t xml:space="preserve"> a </w:t>
      </w:r>
      <w:r w:rsidRPr="003F23AC">
        <w:rPr>
          <w:rFonts w:cs="Times New Roman"/>
          <w:noProof/>
          <w:lang w:val="sk-SK"/>
        </w:rPr>
        <w:t>digitálnu transformáciu,</w:t>
      </w:r>
      <w:r w:rsidR="00A75B3C" w:rsidRPr="003F23AC">
        <w:rPr>
          <w:rFonts w:cs="Times New Roman"/>
          <w:noProof/>
          <w:lang w:val="sk-SK"/>
        </w:rPr>
        <w:t xml:space="preserve"> a </w:t>
      </w:r>
      <w:r w:rsidRPr="003F23AC">
        <w:rPr>
          <w:rFonts w:cs="Times New Roman"/>
          <w:noProof/>
          <w:lang w:val="sk-SK"/>
        </w:rPr>
        <w:t>to aj so zameraním na zručnosti relevantné pre morské odvetvia. Zložka prispieva aj</w:t>
      </w:r>
      <w:r w:rsidR="00A75B3C" w:rsidRPr="003F23AC">
        <w:rPr>
          <w:rFonts w:cs="Times New Roman"/>
          <w:noProof/>
          <w:lang w:val="sk-SK"/>
        </w:rPr>
        <w:t xml:space="preserve"> k </w:t>
      </w:r>
      <w:r w:rsidRPr="003F23AC">
        <w:rPr>
          <w:rFonts w:cs="Times New Roman"/>
          <w:noProof/>
          <w:lang w:val="sk-SK"/>
        </w:rPr>
        <w:t>zachovaniu hodnoty služieb oceánskeho ekosystému.</w:t>
      </w:r>
    </w:p>
    <w:p w14:paraId="417E6288" w14:textId="5E66B6C6"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zložka podporuje plnenie odporúčaní pre jednotlivé krajiny, pokiaľ ide</w:t>
      </w:r>
      <w:r w:rsidR="00A75B3C" w:rsidRPr="003F23AC">
        <w:rPr>
          <w:rFonts w:cs="Times New Roman"/>
          <w:noProof/>
          <w:lang w:val="sk-SK"/>
        </w:rPr>
        <w:t xml:space="preserve"> o </w:t>
      </w:r>
      <w:r w:rsidRPr="003F23AC">
        <w:rPr>
          <w:rFonts w:cs="Times New Roman"/>
          <w:noProof/>
          <w:lang w:val="sk-SK"/>
        </w:rPr>
        <w:t>zameranie hospodárskej politiky týkajúcej sa investícií do prístavov</w:t>
      </w:r>
      <w:r w:rsidR="00A75B3C" w:rsidRPr="003F23AC">
        <w:rPr>
          <w:rFonts w:cs="Times New Roman"/>
          <w:noProof/>
          <w:lang w:val="sk-SK"/>
        </w:rPr>
        <w:t xml:space="preserve"> a </w:t>
      </w:r>
      <w:r w:rsidRPr="003F23AC">
        <w:rPr>
          <w:rFonts w:cs="Times New Roman"/>
          <w:noProof/>
          <w:lang w:val="sk-SK"/>
        </w:rPr>
        <w:t>inovácií (odporúčanie pre jednotlivé krajiny 3 2019)</w:t>
      </w:r>
      <w:r w:rsidR="00A75B3C" w:rsidRPr="003F23AC">
        <w:rPr>
          <w:rFonts w:cs="Times New Roman"/>
          <w:noProof/>
          <w:lang w:val="sk-SK"/>
        </w:rPr>
        <w:t xml:space="preserve"> a </w:t>
      </w:r>
      <w:r w:rsidRPr="003F23AC">
        <w:rPr>
          <w:rFonts w:cs="Times New Roman"/>
          <w:noProof/>
          <w:lang w:val="sk-SK"/>
        </w:rPr>
        <w:t>zameranie investícií na zelenú transformáciu (odporúčanie pre jednotlivé krajiny 3 2020). Okrem toho táto zložka prispieva</w:t>
      </w:r>
      <w:r w:rsidR="00A75B3C" w:rsidRPr="003F23AC">
        <w:rPr>
          <w:rFonts w:cs="Times New Roman"/>
          <w:noProof/>
          <w:lang w:val="sk-SK"/>
        </w:rPr>
        <w:t xml:space="preserve"> k </w:t>
      </w:r>
      <w:r w:rsidRPr="003F23AC">
        <w:rPr>
          <w:rFonts w:cs="Times New Roman"/>
          <w:noProof/>
          <w:lang w:val="sk-SK"/>
        </w:rPr>
        <w:t>plneniu odporúčania pre jednotlivé krajiny týkajúceho sa zlepšenia úrovne zručností obyvateľstva (odporúčanie pre jednotlivé krajiny 2 2020)</w:t>
      </w:r>
      <w:r w:rsidR="00A75B3C" w:rsidRPr="003F23AC">
        <w:rPr>
          <w:rFonts w:cs="Times New Roman"/>
          <w:noProof/>
          <w:lang w:val="sk-SK"/>
        </w:rPr>
        <w:t>.</w:t>
      </w:r>
    </w:p>
    <w:p w14:paraId="064A0E1A" w14:textId="08FE2FF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p>
    <w:p w14:paraId="620BBC55"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7744EE41" w14:textId="3CB8A5E5"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J.1.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3FB30A36" w14:textId="77777777" w:rsidR="00A75B3C" w:rsidRPr="003F23AC" w:rsidRDefault="000F5AA4" w:rsidP="003F23AC">
      <w:pPr>
        <w:pStyle w:val="P68B1DB1-Normal5"/>
        <w:spacing w:before="240" w:after="0" w:line="259" w:lineRule="auto"/>
        <w:ind w:left="851"/>
        <w:jc w:val="both"/>
        <w:outlineLvl w:val="3"/>
        <w:rPr>
          <w:rFonts w:cs="Times New Roman"/>
          <w:noProof/>
          <w:lang w:val="sk-SK"/>
        </w:rPr>
      </w:pPr>
      <w:r w:rsidRPr="003F23AC">
        <w:rPr>
          <w:rFonts w:cs="Times New Roman"/>
          <w:noProof/>
          <w:lang w:val="sk-SK"/>
        </w:rPr>
        <w:t>Reforma TC-r23: Reforma ekosystému infraštruktúry modrého hospodárstva</w:t>
      </w:r>
      <w:r w:rsidR="00A75B3C" w:rsidRPr="003F23AC">
        <w:rPr>
          <w:rFonts w:cs="Times New Roman"/>
          <w:noProof/>
          <w:lang w:val="sk-SK"/>
        </w:rPr>
        <w:t>.</w:t>
      </w:r>
    </w:p>
    <w:p w14:paraId="35130593" w14:textId="2634A21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reformy je zrevidovať právne predpisy</w:t>
      </w:r>
      <w:r w:rsidR="00A75B3C" w:rsidRPr="003F23AC">
        <w:rPr>
          <w:rFonts w:cs="Times New Roman"/>
          <w:noProof/>
          <w:lang w:val="sk-SK"/>
        </w:rPr>
        <w:t xml:space="preserve"> o </w:t>
      </w:r>
      <w:r w:rsidRPr="003F23AC">
        <w:rPr>
          <w:rFonts w:cs="Times New Roman"/>
          <w:noProof/>
          <w:lang w:val="sk-SK"/>
        </w:rPr>
        <w:t>sieti prístavných technologických zoskupení (schválené Radou ministrov</w:t>
      </w:r>
      <w:r w:rsidR="00A75B3C" w:rsidRPr="003F23AC">
        <w:rPr>
          <w:rFonts w:cs="Times New Roman"/>
          <w:noProof/>
          <w:lang w:val="sk-SK"/>
        </w:rPr>
        <w:t xml:space="preserve"> v </w:t>
      </w:r>
      <w:r w:rsidRPr="003F23AC">
        <w:rPr>
          <w:rFonts w:cs="Times New Roman"/>
          <w:noProof/>
          <w:lang w:val="sk-SK"/>
        </w:rPr>
        <w:t>roku 2017), prostredníctvom ktorých sa Portugalsko zameriava na posilnenie hospodárskych činností súvisiacich</w:t>
      </w:r>
      <w:r w:rsidR="00A75B3C" w:rsidRPr="003F23AC">
        <w:rPr>
          <w:rFonts w:cs="Times New Roman"/>
          <w:noProof/>
          <w:lang w:val="sk-SK"/>
        </w:rPr>
        <w:t xml:space="preserve"> s </w:t>
      </w:r>
      <w:r w:rsidRPr="003F23AC">
        <w:rPr>
          <w:rFonts w:cs="Times New Roman"/>
          <w:noProof/>
          <w:lang w:val="sk-SK"/>
        </w:rPr>
        <w:t>morom vytváraním obchodných príležitostí, nových pracovných miest, podporou vývozu, podporou rastu námornej dopravy</w:t>
      </w:r>
      <w:r w:rsidR="00A75B3C" w:rsidRPr="003F23AC">
        <w:rPr>
          <w:rFonts w:cs="Times New Roman"/>
          <w:noProof/>
          <w:lang w:val="sk-SK"/>
        </w:rPr>
        <w:t xml:space="preserve"> a </w:t>
      </w:r>
      <w:r w:rsidRPr="003F23AC">
        <w:rPr>
          <w:rFonts w:cs="Times New Roman"/>
          <w:noProof/>
          <w:lang w:val="sk-SK"/>
        </w:rPr>
        <w:t>presadzovaním udržateľného využívania morského potenciálu. Reformou sa sieť Port Tech Clusters Network rozširuje na ďalšie oblasti</w:t>
      </w:r>
      <w:r w:rsidR="00A75B3C" w:rsidRPr="003F23AC">
        <w:rPr>
          <w:rFonts w:cs="Times New Roman"/>
          <w:noProof/>
          <w:lang w:val="sk-SK"/>
        </w:rPr>
        <w:t xml:space="preserve"> s </w:t>
      </w:r>
      <w:r w:rsidRPr="003F23AC">
        <w:rPr>
          <w:rFonts w:cs="Times New Roman"/>
          <w:noProof/>
          <w:lang w:val="sk-SK"/>
        </w:rPr>
        <w:t>prístupom</w:t>
      </w:r>
      <w:r w:rsidR="00A75B3C" w:rsidRPr="003F23AC">
        <w:rPr>
          <w:rFonts w:cs="Times New Roman"/>
          <w:noProof/>
          <w:lang w:val="sk-SK"/>
        </w:rPr>
        <w:t xml:space="preserve"> k </w:t>
      </w:r>
      <w:r w:rsidRPr="003F23AC">
        <w:rPr>
          <w:rFonts w:cs="Times New Roman"/>
          <w:noProof/>
          <w:lang w:val="sk-SK"/>
        </w:rPr>
        <w:t>moru</w:t>
      </w:r>
      <w:r w:rsidR="00A75B3C" w:rsidRPr="003F23AC">
        <w:rPr>
          <w:rFonts w:cs="Times New Roman"/>
          <w:noProof/>
          <w:lang w:val="sk-SK"/>
        </w:rPr>
        <w:t xml:space="preserve"> a </w:t>
      </w:r>
      <w:r w:rsidRPr="003F23AC">
        <w:rPr>
          <w:rFonts w:cs="Times New Roman"/>
          <w:noProof/>
          <w:lang w:val="sk-SK"/>
        </w:rPr>
        <w:t>stanovujú sa nové ciele, ako je posilnenie finančnej kapacity námorného hospodárstva prostredníctvom revidovaného modrého fondu, podpora využívania oceánov na zlepšenie odolnosti na zmiernenie zmeny klímy, podpora rozvoja zručností súvisiacich</w:t>
      </w:r>
      <w:r w:rsidR="00A75B3C" w:rsidRPr="003F23AC">
        <w:rPr>
          <w:rFonts w:cs="Times New Roman"/>
          <w:noProof/>
          <w:lang w:val="sk-SK"/>
        </w:rPr>
        <w:t xml:space="preserve"> s </w:t>
      </w:r>
      <w:r w:rsidRPr="003F23AC">
        <w:rPr>
          <w:rFonts w:cs="Times New Roman"/>
          <w:noProof/>
          <w:lang w:val="sk-SK"/>
        </w:rPr>
        <w:t>morským hospodárstvom</w:t>
      </w:r>
      <w:r w:rsidR="00A75B3C" w:rsidRPr="003F23AC">
        <w:rPr>
          <w:rFonts w:cs="Times New Roman"/>
          <w:noProof/>
          <w:lang w:val="sk-SK"/>
        </w:rPr>
        <w:t xml:space="preserve"> a </w:t>
      </w:r>
      <w:r w:rsidRPr="003F23AC">
        <w:rPr>
          <w:rFonts w:cs="Times New Roman"/>
          <w:noProof/>
          <w:lang w:val="sk-SK"/>
        </w:rPr>
        <w:t>dvojaká transformácia</w:t>
      </w:r>
      <w:r w:rsidR="00A75B3C" w:rsidRPr="003F23AC">
        <w:rPr>
          <w:rFonts w:cs="Times New Roman"/>
          <w:noProof/>
          <w:lang w:val="sk-SK"/>
        </w:rPr>
        <w:t xml:space="preserve"> a </w:t>
      </w:r>
      <w:r w:rsidRPr="003F23AC">
        <w:rPr>
          <w:rFonts w:cs="Times New Roman"/>
          <w:noProof/>
          <w:lang w:val="sk-SK"/>
        </w:rPr>
        <w:t>posilnenie verejnej podpory inovácií</w:t>
      </w:r>
      <w:r w:rsidR="00A75B3C" w:rsidRPr="003F23AC">
        <w:rPr>
          <w:rFonts w:cs="Times New Roman"/>
          <w:noProof/>
          <w:lang w:val="sk-SK"/>
        </w:rPr>
        <w:t xml:space="preserve"> v </w:t>
      </w:r>
      <w:r w:rsidRPr="003F23AC">
        <w:rPr>
          <w:rFonts w:cs="Times New Roman"/>
          <w:noProof/>
          <w:lang w:val="sk-SK"/>
        </w:rPr>
        <w:t>záujme udržateľného rozvoja morského hospodárstva</w:t>
      </w:r>
      <w:r w:rsidR="00A75B3C" w:rsidRPr="003F23AC">
        <w:rPr>
          <w:rFonts w:cs="Times New Roman"/>
          <w:noProof/>
          <w:lang w:val="sk-SK"/>
        </w:rPr>
        <w:t>.</w:t>
      </w:r>
    </w:p>
    <w:p w14:paraId="13B6DDFF" w14:textId="6440B0A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Reformou sa stanovuje model riadenia nového modrého centra, ktoré by malo byť hnacou silou transferu technológií medzi rôznymi aktérmi</w:t>
      </w:r>
      <w:r w:rsidR="00A75B3C" w:rsidRPr="003F23AC">
        <w:rPr>
          <w:rFonts w:cs="Times New Roman"/>
          <w:noProof/>
          <w:lang w:val="sk-SK"/>
        </w:rPr>
        <w:t xml:space="preserve"> v </w:t>
      </w:r>
      <w:r w:rsidRPr="003F23AC">
        <w:rPr>
          <w:rFonts w:cs="Times New Roman"/>
          <w:noProof/>
          <w:lang w:val="sk-SK"/>
        </w:rPr>
        <w:t>hodnotovom reťazci nového, odolnejšieho</w:t>
      </w:r>
      <w:r w:rsidR="00A75B3C" w:rsidRPr="003F23AC">
        <w:rPr>
          <w:rFonts w:cs="Times New Roman"/>
          <w:noProof/>
          <w:lang w:val="sk-SK"/>
        </w:rPr>
        <w:t xml:space="preserve"> a </w:t>
      </w:r>
      <w:r w:rsidRPr="003F23AC">
        <w:rPr>
          <w:rFonts w:cs="Times New Roman"/>
          <w:noProof/>
          <w:lang w:val="sk-SK"/>
        </w:rPr>
        <w:t>udržateľnejšieho morského hospodárstva, ktorého vplyv má byť trvalý</w:t>
      </w:r>
      <w:r w:rsidR="00A75B3C" w:rsidRPr="003F23AC">
        <w:rPr>
          <w:rFonts w:cs="Times New Roman"/>
          <w:noProof/>
          <w:lang w:val="sk-SK"/>
        </w:rPr>
        <w:t xml:space="preserve"> a </w:t>
      </w:r>
      <w:r w:rsidRPr="003F23AC">
        <w:rPr>
          <w:rFonts w:cs="Times New Roman"/>
          <w:noProof/>
          <w:lang w:val="sk-SK"/>
        </w:rPr>
        <w:t>významný na zmenu paradigmy smerom</w:t>
      </w:r>
      <w:r w:rsidR="00A75B3C" w:rsidRPr="003F23AC">
        <w:rPr>
          <w:rFonts w:cs="Times New Roman"/>
          <w:noProof/>
          <w:lang w:val="sk-SK"/>
        </w:rPr>
        <w:t xml:space="preserve"> k </w:t>
      </w:r>
      <w:r w:rsidRPr="003F23AC">
        <w:rPr>
          <w:rFonts w:cs="Times New Roman"/>
          <w:noProof/>
          <w:lang w:val="sk-SK"/>
        </w:rPr>
        <w:t>inteligentnému, udržateľnému</w:t>
      </w:r>
      <w:r w:rsidR="00A75B3C" w:rsidRPr="003F23AC">
        <w:rPr>
          <w:rFonts w:cs="Times New Roman"/>
          <w:noProof/>
          <w:lang w:val="sk-SK"/>
        </w:rPr>
        <w:t xml:space="preserve"> a </w:t>
      </w:r>
      <w:r w:rsidRPr="003F23AC">
        <w:rPr>
          <w:rFonts w:cs="Times New Roman"/>
          <w:noProof/>
          <w:lang w:val="sk-SK"/>
        </w:rPr>
        <w:t>inkluzívnemu hospodárskemu rozvoju dotknutých odvetví</w:t>
      </w:r>
      <w:r w:rsidR="00A75B3C" w:rsidRPr="003F23AC">
        <w:rPr>
          <w:rFonts w:cs="Times New Roman"/>
          <w:noProof/>
          <w:lang w:val="sk-SK"/>
        </w:rPr>
        <w:t>.</w:t>
      </w:r>
    </w:p>
    <w:p w14:paraId="268AFDE5" w14:textId="4A3AD24F"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tejto reformy sa dokončí do 31</w:t>
      </w:r>
      <w:r w:rsidR="00A75B3C" w:rsidRPr="003F23AC">
        <w:rPr>
          <w:rFonts w:cs="Times New Roman"/>
          <w:noProof/>
          <w:lang w:val="sk-SK"/>
        </w:rPr>
        <w:t>. decembra</w:t>
      </w:r>
      <w:r w:rsidRPr="003F23AC">
        <w:rPr>
          <w:rFonts w:cs="Times New Roman"/>
          <w:noProof/>
          <w:lang w:val="sk-SK"/>
        </w:rPr>
        <w:t xml:space="preserve"> 2021.</w:t>
      </w:r>
    </w:p>
    <w:p w14:paraId="3D3AF8C2" w14:textId="77777777"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bookmarkStart w:id="23" w:name="_Hlk67034111"/>
      <w:r w:rsidRPr="003F23AC">
        <w:rPr>
          <w:rFonts w:cs="Times New Roman"/>
          <w:noProof/>
          <w:lang w:val="sk-SK"/>
        </w:rPr>
        <w:t>Investície TC-C10-i01: Modré centrum, sieť infraštruktúry pre modré hospodárstvo</w:t>
      </w:r>
      <w:bookmarkEnd w:id="23"/>
    </w:p>
    <w:p w14:paraId="689E8180" w14:textId="3D69E9AC"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vytvoriť celoštátnu sieť infraštruktúr pre modré hospodárstvo</w:t>
      </w:r>
      <w:r w:rsidR="00A75B3C" w:rsidRPr="003F23AC">
        <w:rPr>
          <w:rFonts w:cs="Times New Roman"/>
          <w:noProof/>
          <w:lang w:val="sk-SK"/>
        </w:rPr>
        <w:t xml:space="preserve"> v </w:t>
      </w:r>
      <w:r w:rsidRPr="003F23AC">
        <w:rPr>
          <w:rFonts w:cs="Times New Roman"/>
          <w:noProof/>
          <w:lang w:val="sk-SK"/>
        </w:rPr>
        <w:t>celej krajine</w:t>
      </w:r>
      <w:r w:rsidR="00A75B3C" w:rsidRPr="003F23AC">
        <w:rPr>
          <w:rFonts w:cs="Times New Roman"/>
          <w:noProof/>
          <w:lang w:val="sk-SK"/>
        </w:rPr>
        <w:t xml:space="preserve"> a </w:t>
      </w:r>
      <w:r w:rsidRPr="003F23AC">
        <w:rPr>
          <w:rFonts w:cs="Times New Roman"/>
          <w:noProof/>
          <w:lang w:val="sk-SK"/>
        </w:rPr>
        <w:t>posilniť inovačný ekosystém modrého hospodárstva</w:t>
      </w:r>
      <w:r w:rsidR="00A75B3C" w:rsidRPr="003F23AC">
        <w:rPr>
          <w:rFonts w:cs="Times New Roman"/>
          <w:noProof/>
          <w:lang w:val="sk-SK"/>
        </w:rPr>
        <w:t>.</w:t>
      </w:r>
    </w:p>
    <w:p w14:paraId="229F699F" w14:textId="7B51653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výstavby alebo renovácie novej alebo existujúcej infraštruktúry, ako aj investícií do zariadení súvisiacich</w:t>
      </w:r>
      <w:r w:rsidR="00A75B3C" w:rsidRPr="003F23AC">
        <w:rPr>
          <w:rFonts w:cs="Times New Roman"/>
          <w:noProof/>
          <w:lang w:val="sk-SK"/>
        </w:rPr>
        <w:t xml:space="preserve"> s </w:t>
      </w:r>
      <w:r w:rsidRPr="003F23AC">
        <w:rPr>
          <w:rFonts w:cs="Times New Roman"/>
          <w:noProof/>
          <w:lang w:val="sk-SK"/>
        </w:rPr>
        <w:t>morským hospodárstvom. Investícia zahŕňa vytvorenie nových modrých klastrov</w:t>
      </w:r>
      <w:r w:rsidR="00A75B3C" w:rsidRPr="003F23AC">
        <w:rPr>
          <w:rFonts w:cs="Times New Roman"/>
          <w:noProof/>
          <w:lang w:val="sk-SK"/>
        </w:rPr>
        <w:t xml:space="preserve"> v </w:t>
      </w:r>
      <w:r w:rsidRPr="003F23AC">
        <w:rPr>
          <w:rFonts w:cs="Times New Roman"/>
          <w:noProof/>
          <w:lang w:val="sk-SK"/>
        </w:rPr>
        <w:t>celej krajine</w:t>
      </w:r>
      <w:r w:rsidR="00A75B3C" w:rsidRPr="003F23AC">
        <w:rPr>
          <w:rFonts w:cs="Times New Roman"/>
          <w:noProof/>
          <w:lang w:val="sk-SK"/>
        </w:rPr>
        <w:t xml:space="preserve"> a </w:t>
      </w:r>
      <w:r w:rsidRPr="003F23AC">
        <w:rPr>
          <w:rFonts w:cs="Times New Roman"/>
          <w:noProof/>
          <w:lang w:val="sk-SK"/>
        </w:rPr>
        <w:t>modernizáciu alebo obnovu existujúcich modrých zoskupení, ako aj investície do odbornej prípravy</w:t>
      </w:r>
      <w:r w:rsidR="00A75B3C" w:rsidRPr="003F23AC">
        <w:rPr>
          <w:rFonts w:cs="Times New Roman"/>
          <w:noProof/>
          <w:lang w:val="sk-SK"/>
        </w:rPr>
        <w:t xml:space="preserve"> a </w:t>
      </w:r>
      <w:r w:rsidRPr="003F23AC">
        <w:rPr>
          <w:rFonts w:cs="Times New Roman"/>
          <w:noProof/>
          <w:lang w:val="sk-SK"/>
        </w:rPr>
        <w:t>zručností prostredníctvom novej koncepcie modrej školy. Investícia pozostáva</w:t>
      </w:r>
      <w:r w:rsidR="00A75B3C" w:rsidRPr="003F23AC">
        <w:rPr>
          <w:rFonts w:cs="Times New Roman"/>
          <w:noProof/>
          <w:lang w:val="sk-SK"/>
        </w:rPr>
        <w:t xml:space="preserve"> z </w:t>
      </w:r>
      <w:r w:rsidRPr="003F23AC">
        <w:rPr>
          <w:rFonts w:cs="Times New Roman"/>
          <w:noProof/>
          <w:lang w:val="sk-SK"/>
        </w:rPr>
        <w:t>výstavby nových budov alebo rekonštrukcií</w:t>
      </w:r>
      <w:r w:rsidR="00A75B3C" w:rsidRPr="003F23AC">
        <w:rPr>
          <w:rFonts w:cs="Times New Roman"/>
          <w:noProof/>
          <w:lang w:val="sk-SK"/>
        </w:rPr>
        <w:t xml:space="preserve"> a </w:t>
      </w:r>
      <w:r w:rsidRPr="003F23AC">
        <w:rPr>
          <w:rFonts w:cs="Times New Roman"/>
          <w:noProof/>
          <w:lang w:val="sk-SK"/>
        </w:rPr>
        <w:t>modernizácie budov</w:t>
      </w:r>
      <w:r w:rsidR="00A75B3C" w:rsidRPr="003F23AC">
        <w:rPr>
          <w:rFonts w:cs="Times New Roman"/>
          <w:noProof/>
          <w:lang w:val="sk-SK"/>
        </w:rPr>
        <w:t xml:space="preserve"> a </w:t>
      </w:r>
      <w:r w:rsidRPr="003F23AC">
        <w:rPr>
          <w:rFonts w:cs="Times New Roman"/>
          <w:noProof/>
          <w:lang w:val="sk-SK"/>
        </w:rPr>
        <w:t>zariadení súvisiacich</w:t>
      </w:r>
      <w:r w:rsidR="00A75B3C" w:rsidRPr="003F23AC">
        <w:rPr>
          <w:rFonts w:cs="Times New Roman"/>
          <w:noProof/>
          <w:lang w:val="sk-SK"/>
        </w:rPr>
        <w:t xml:space="preserve"> s </w:t>
      </w:r>
      <w:r w:rsidRPr="003F23AC">
        <w:rPr>
          <w:rFonts w:cs="Times New Roman"/>
          <w:noProof/>
          <w:lang w:val="sk-SK"/>
        </w:rPr>
        <w:t>námorným hospodárstvom. Investícia umožní prenos výsledkov výskumu do výrobných špecializácií</w:t>
      </w:r>
      <w:r w:rsidR="00A75B3C" w:rsidRPr="003F23AC">
        <w:rPr>
          <w:rFonts w:cs="Times New Roman"/>
          <w:noProof/>
          <w:lang w:val="sk-SK"/>
        </w:rPr>
        <w:t xml:space="preserve"> v </w:t>
      </w:r>
      <w:r w:rsidRPr="003F23AC">
        <w:rPr>
          <w:rFonts w:cs="Times New Roman"/>
          <w:noProof/>
          <w:lang w:val="sk-SK"/>
        </w:rPr>
        <w:t>hospodárstve</w:t>
      </w:r>
      <w:r w:rsidR="00A75B3C" w:rsidRPr="003F23AC">
        <w:rPr>
          <w:rFonts w:cs="Times New Roman"/>
          <w:noProof/>
          <w:lang w:val="sk-SK"/>
        </w:rPr>
        <w:t xml:space="preserve"> v </w:t>
      </w:r>
      <w:r w:rsidRPr="003F23AC">
        <w:rPr>
          <w:rFonts w:cs="Times New Roman"/>
          <w:noProof/>
          <w:lang w:val="sk-SK"/>
        </w:rPr>
        <w:t>rôznych zoskupeniach</w:t>
      </w:r>
      <w:r w:rsidR="00A75B3C" w:rsidRPr="003F23AC">
        <w:rPr>
          <w:rFonts w:cs="Times New Roman"/>
          <w:noProof/>
          <w:lang w:val="sk-SK"/>
        </w:rPr>
        <w:t xml:space="preserve"> v </w:t>
      </w:r>
      <w:r w:rsidRPr="003F23AC">
        <w:rPr>
          <w:rFonts w:cs="Times New Roman"/>
          <w:noProof/>
          <w:lang w:val="sk-SK"/>
        </w:rPr>
        <w:t>Portugalsku (vrátane Lisabonu, Oeirasu, Peniche, Aveiro, Porta, Algarve). Zahŕňa aj investície do jedného modrého centra, ktoré spája poznatky získané rôznymi zoskupeniami</w:t>
      </w:r>
      <w:r w:rsidR="00A75B3C" w:rsidRPr="003F23AC">
        <w:rPr>
          <w:rFonts w:cs="Times New Roman"/>
          <w:noProof/>
          <w:lang w:val="sk-SK"/>
        </w:rPr>
        <w:t xml:space="preserve"> a </w:t>
      </w:r>
      <w:r w:rsidRPr="003F23AC">
        <w:rPr>
          <w:rFonts w:cs="Times New Roman"/>
          <w:noProof/>
          <w:lang w:val="sk-SK"/>
        </w:rPr>
        <w:t>podporuje vytváranie sietí medzi nimi. Toto modré centrum odráža najmodernejšiu metodiku hospodárskeho rozvoja</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portugalskou stratégiou pre inteligentnú špecializáciu, ktorá sa výrazne zameriava na oceánske hospodárstvo. Zahŕňa aj projekt Blue Hub School, ktorý zahŕňa predovšetkým investície do infraštruktúry</w:t>
      </w:r>
      <w:r w:rsidR="00A75B3C" w:rsidRPr="003F23AC">
        <w:rPr>
          <w:rFonts w:cs="Times New Roman"/>
          <w:noProof/>
          <w:lang w:val="sk-SK"/>
        </w:rPr>
        <w:t xml:space="preserve"> a </w:t>
      </w:r>
      <w:r w:rsidRPr="003F23AC">
        <w:rPr>
          <w:rFonts w:cs="Times New Roman"/>
          <w:noProof/>
          <w:lang w:val="sk-SK"/>
        </w:rPr>
        <w:t>vybavenia, ktoré zahŕňajú významný rozmer rozvoja zručností, najmä prostredníctvom navrhovania učebných osnov</w:t>
      </w:r>
      <w:r w:rsidR="00A75B3C" w:rsidRPr="003F23AC">
        <w:rPr>
          <w:rFonts w:cs="Times New Roman"/>
          <w:noProof/>
          <w:lang w:val="sk-SK"/>
        </w:rPr>
        <w:t xml:space="preserve"> v </w:t>
      </w:r>
      <w:r w:rsidRPr="003F23AC">
        <w:rPr>
          <w:rFonts w:cs="Times New Roman"/>
          <w:noProof/>
          <w:lang w:val="sk-SK"/>
        </w:rPr>
        <w:t>spolupráci</w:t>
      </w:r>
      <w:r w:rsidR="00A75B3C" w:rsidRPr="003F23AC">
        <w:rPr>
          <w:rFonts w:cs="Times New Roman"/>
          <w:noProof/>
          <w:lang w:val="sk-SK"/>
        </w:rPr>
        <w:t xml:space="preserve"> s </w:t>
      </w:r>
      <w:r w:rsidRPr="003F23AC">
        <w:rPr>
          <w:rFonts w:cs="Times New Roman"/>
          <w:noProof/>
          <w:lang w:val="sk-SK"/>
        </w:rPr>
        <w:t>Národnou agentúrou pre kvalifikácie</w:t>
      </w:r>
      <w:r w:rsidR="00A75B3C" w:rsidRPr="003F23AC">
        <w:rPr>
          <w:rFonts w:cs="Times New Roman"/>
          <w:noProof/>
          <w:lang w:val="sk-SK"/>
        </w:rPr>
        <w:t xml:space="preserve"> a </w:t>
      </w:r>
      <w:r w:rsidRPr="003F23AC">
        <w:rPr>
          <w:rFonts w:cs="Times New Roman"/>
          <w:noProof/>
          <w:lang w:val="sk-SK"/>
        </w:rPr>
        <w:t>odborné vzdelávanie</w:t>
      </w:r>
      <w:r w:rsidR="00A75B3C" w:rsidRPr="003F23AC">
        <w:rPr>
          <w:rFonts w:cs="Times New Roman"/>
          <w:noProof/>
          <w:lang w:val="sk-SK"/>
        </w:rPr>
        <w:t xml:space="preserve"> a </w:t>
      </w:r>
      <w:r w:rsidRPr="003F23AC">
        <w:rPr>
          <w:rFonts w:cs="Times New Roman"/>
          <w:noProof/>
          <w:lang w:val="sk-SK"/>
        </w:rPr>
        <w:t>prípravu (ANQEP)</w:t>
      </w:r>
      <w:r w:rsidR="00A75B3C" w:rsidRPr="003F23AC">
        <w:rPr>
          <w:rFonts w:cs="Times New Roman"/>
          <w:noProof/>
          <w:lang w:val="sk-SK"/>
        </w:rPr>
        <w:t xml:space="preserve"> a s </w:t>
      </w:r>
      <w:r w:rsidRPr="003F23AC">
        <w:rPr>
          <w:rFonts w:cs="Times New Roman"/>
          <w:noProof/>
          <w:lang w:val="sk-SK"/>
        </w:rPr>
        <w:t>dôrazom na digitálne platformy</w:t>
      </w:r>
      <w:r w:rsidR="00A75B3C" w:rsidRPr="003F23AC">
        <w:rPr>
          <w:rFonts w:cs="Times New Roman"/>
          <w:noProof/>
          <w:lang w:val="sk-SK"/>
        </w:rPr>
        <w:t xml:space="preserve"> a </w:t>
      </w:r>
      <w:r w:rsidRPr="003F23AC">
        <w:rPr>
          <w:rFonts w:cs="Times New Roman"/>
          <w:noProof/>
          <w:lang w:val="sk-SK"/>
        </w:rPr>
        <w:t>odbornú prípravu</w:t>
      </w:r>
      <w:r w:rsidR="00A75B3C" w:rsidRPr="003F23AC">
        <w:rPr>
          <w:rFonts w:cs="Times New Roman"/>
          <w:noProof/>
          <w:lang w:val="sk-SK"/>
        </w:rPr>
        <w:t>.</w:t>
      </w:r>
    </w:p>
    <w:p w14:paraId="1B38A4A5" w14:textId="7F869C68"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3AECA6EA" w14:textId="4A81EB31"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TC-C10-i02: Zelená</w:t>
      </w:r>
      <w:r w:rsidR="00A75B3C" w:rsidRPr="003F23AC">
        <w:rPr>
          <w:rFonts w:cs="Times New Roman"/>
          <w:noProof/>
          <w:lang w:val="sk-SK"/>
        </w:rPr>
        <w:t xml:space="preserve"> a </w:t>
      </w:r>
      <w:r w:rsidRPr="003F23AC">
        <w:rPr>
          <w:rFonts w:cs="Times New Roman"/>
          <w:noProof/>
          <w:lang w:val="sk-SK"/>
        </w:rPr>
        <w:t>digitálna transformácia</w:t>
      </w:r>
      <w:r w:rsidR="00A75B3C" w:rsidRPr="003F23AC">
        <w:rPr>
          <w:rFonts w:cs="Times New Roman"/>
          <w:noProof/>
          <w:lang w:val="sk-SK"/>
        </w:rPr>
        <w:t xml:space="preserve"> a </w:t>
      </w:r>
      <w:r w:rsidRPr="003F23AC">
        <w:rPr>
          <w:rFonts w:cs="Times New Roman"/>
          <w:noProof/>
          <w:lang w:val="sk-SK"/>
        </w:rPr>
        <w:t>bezpečnosť</w:t>
      </w:r>
      <w:r w:rsidR="00A75B3C" w:rsidRPr="003F23AC">
        <w:rPr>
          <w:rFonts w:cs="Times New Roman"/>
          <w:noProof/>
          <w:lang w:val="sk-SK"/>
        </w:rPr>
        <w:t xml:space="preserve"> v </w:t>
      </w:r>
      <w:r w:rsidRPr="003F23AC">
        <w:rPr>
          <w:rFonts w:cs="Times New Roman"/>
          <w:noProof/>
          <w:lang w:val="sk-SK"/>
        </w:rPr>
        <w:t>rybárstve</w:t>
      </w:r>
    </w:p>
    <w:p w14:paraId="129E357A" w14:textId="1208EA9B"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w:t>
      </w:r>
      <w:r w:rsidRPr="003F23AC">
        <w:rPr>
          <w:rFonts w:cs="Times New Roman"/>
          <w:b/>
          <w:noProof/>
          <w:lang w:val="sk-SK"/>
        </w:rPr>
        <w:t xml:space="preserve"> </w:t>
      </w:r>
      <w:r w:rsidRPr="003F23AC">
        <w:rPr>
          <w:rFonts w:cs="Times New Roman"/>
          <w:noProof/>
          <w:lang w:val="sk-SK"/>
        </w:rPr>
        <w:t>podporiť financovanie projektov zameraných na inovácie, modernizáciu procesov, znižovanie uhlíkovej stopy</w:t>
      </w:r>
      <w:r w:rsidR="00A75B3C" w:rsidRPr="003F23AC">
        <w:rPr>
          <w:rFonts w:cs="Times New Roman"/>
          <w:noProof/>
          <w:lang w:val="sk-SK"/>
        </w:rPr>
        <w:t xml:space="preserve"> a </w:t>
      </w:r>
      <w:r w:rsidRPr="003F23AC">
        <w:rPr>
          <w:rFonts w:cs="Times New Roman"/>
          <w:noProof/>
          <w:lang w:val="sk-SK"/>
        </w:rPr>
        <w:t>obehové hospodárstvo rybieho priemyslu</w:t>
      </w:r>
      <w:r w:rsidR="00A75B3C" w:rsidRPr="003F23AC">
        <w:rPr>
          <w:rFonts w:cs="Times New Roman"/>
          <w:noProof/>
          <w:lang w:val="sk-SK"/>
        </w:rPr>
        <w:t xml:space="preserve"> a </w:t>
      </w:r>
      <w:r w:rsidRPr="003F23AC">
        <w:rPr>
          <w:rFonts w:cs="Times New Roman"/>
          <w:noProof/>
          <w:lang w:val="sk-SK"/>
        </w:rPr>
        <w:t>organizácií. Investícia sa realizuje prostredníctvom úzkych väzieb medzi podnikmi, združeniami zastupujúcimi sektor, organizáciami výrobcov, vedeckými orgánmi</w:t>
      </w:r>
      <w:r w:rsidR="00A75B3C" w:rsidRPr="003F23AC">
        <w:rPr>
          <w:rFonts w:cs="Times New Roman"/>
          <w:noProof/>
          <w:lang w:val="sk-SK"/>
        </w:rPr>
        <w:t xml:space="preserve"> a </w:t>
      </w:r>
      <w:r w:rsidRPr="003F23AC">
        <w:rPr>
          <w:rFonts w:cs="Times New Roman"/>
          <w:noProof/>
          <w:lang w:val="sk-SK"/>
        </w:rPr>
        <w:t>ústrednými orgánmi štátnej správy</w:t>
      </w:r>
      <w:r w:rsidR="00A75B3C" w:rsidRPr="003F23AC">
        <w:rPr>
          <w:rFonts w:cs="Times New Roman"/>
          <w:noProof/>
          <w:lang w:val="sk-SK"/>
        </w:rPr>
        <w:t xml:space="preserve"> s </w:t>
      </w:r>
      <w:r w:rsidRPr="003F23AC">
        <w:rPr>
          <w:rFonts w:cs="Times New Roman"/>
          <w:noProof/>
          <w:lang w:val="sk-SK"/>
        </w:rPr>
        <w:t>cieľom maximalizovať sociálny prínos uskutočnených investícií. Investícia pozostáva</w:t>
      </w:r>
      <w:r w:rsidR="00A75B3C" w:rsidRPr="003F23AC">
        <w:rPr>
          <w:rFonts w:cs="Times New Roman"/>
          <w:noProof/>
          <w:lang w:val="sk-SK"/>
        </w:rPr>
        <w:t xml:space="preserve"> z </w:t>
      </w:r>
      <w:r w:rsidRPr="003F23AC">
        <w:rPr>
          <w:rFonts w:cs="Times New Roman"/>
          <w:noProof/>
          <w:lang w:val="sk-SK"/>
        </w:rPr>
        <w:t>výzvy na predkladanie ponúk na 70 projektov týkajúcich sa inovácie, modernizácie procesov, obehového hospodárstva</w:t>
      </w:r>
      <w:r w:rsidR="00A75B3C" w:rsidRPr="003F23AC">
        <w:rPr>
          <w:rFonts w:cs="Times New Roman"/>
          <w:noProof/>
          <w:lang w:val="sk-SK"/>
        </w:rPr>
        <w:t xml:space="preserve"> a </w:t>
      </w:r>
      <w:r w:rsidRPr="003F23AC">
        <w:rPr>
          <w:rFonts w:cs="Times New Roman"/>
          <w:noProof/>
          <w:lang w:val="sk-SK"/>
        </w:rPr>
        <w:t>zníženia ekologickej stopy firiem</w:t>
      </w:r>
      <w:r w:rsidR="00A75B3C" w:rsidRPr="003F23AC">
        <w:rPr>
          <w:rFonts w:cs="Times New Roman"/>
          <w:noProof/>
          <w:lang w:val="sk-SK"/>
        </w:rPr>
        <w:t xml:space="preserve"> v </w:t>
      </w:r>
      <w:r w:rsidRPr="003F23AC">
        <w:rPr>
          <w:rFonts w:cs="Times New Roman"/>
          <w:noProof/>
          <w:lang w:val="sk-SK"/>
        </w:rPr>
        <w:t>odvetví rybárstva</w:t>
      </w:r>
      <w:r w:rsidR="00A75B3C" w:rsidRPr="003F23AC">
        <w:rPr>
          <w:rFonts w:cs="Times New Roman"/>
          <w:noProof/>
          <w:lang w:val="sk-SK"/>
        </w:rPr>
        <w:t>.</w:t>
      </w:r>
    </w:p>
    <w:p w14:paraId="0693DDF0" w14:textId="17643FBF"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6D430790" w14:textId="77777777" w:rsidR="00A75B3C" w:rsidRPr="003F23AC" w:rsidRDefault="000F5AA4" w:rsidP="003F23AC">
      <w:pPr>
        <w:pStyle w:val="P68B1DB1-Normal5"/>
        <w:spacing w:before="240" w:after="0" w:line="259" w:lineRule="auto"/>
        <w:ind w:left="851"/>
        <w:jc w:val="both"/>
        <w:outlineLvl w:val="3"/>
        <w:rPr>
          <w:rFonts w:cs="Times New Roman"/>
          <w:noProof/>
          <w:lang w:val="sk-SK"/>
        </w:rPr>
      </w:pPr>
      <w:r w:rsidRPr="003F23AC">
        <w:rPr>
          <w:rFonts w:cs="Times New Roman"/>
          <w:noProof/>
          <w:lang w:val="sk-SK"/>
        </w:rPr>
        <w:t>Investície TC-C10 – i04-RAA: Vývoj „Cluster do Mar dos Açores“</w:t>
      </w:r>
      <w:r w:rsidR="00A75B3C" w:rsidRPr="003F23AC">
        <w:rPr>
          <w:rFonts w:cs="Times New Roman"/>
          <w:noProof/>
          <w:lang w:val="sk-SK"/>
        </w:rPr>
        <w:t>.</w:t>
      </w:r>
    </w:p>
    <w:p w14:paraId="1745DEC6" w14:textId="6AA477F5"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modernizovať pevnú</w:t>
      </w:r>
      <w:r w:rsidR="00A75B3C" w:rsidRPr="003F23AC">
        <w:rPr>
          <w:rFonts w:cs="Times New Roman"/>
          <w:noProof/>
          <w:lang w:val="sk-SK"/>
        </w:rPr>
        <w:t xml:space="preserve"> a </w:t>
      </w:r>
      <w:r w:rsidRPr="003F23AC">
        <w:rPr>
          <w:rFonts w:cs="Times New Roman"/>
          <w:noProof/>
          <w:lang w:val="sk-SK"/>
        </w:rPr>
        <w:t>mobilnú infraštruktúru morského výskumu</w:t>
      </w:r>
      <w:r w:rsidR="00A75B3C" w:rsidRPr="003F23AC">
        <w:rPr>
          <w:rFonts w:cs="Times New Roman"/>
          <w:noProof/>
          <w:lang w:val="sk-SK"/>
        </w:rPr>
        <w:t xml:space="preserve"> v </w:t>
      </w:r>
      <w:r w:rsidRPr="003F23AC">
        <w:rPr>
          <w:rFonts w:cs="Times New Roman"/>
          <w:noProof/>
          <w:lang w:val="sk-SK"/>
        </w:rPr>
        <w:t>autonómnej oblasti Azory. Jedno opatrenie spočíva</w:t>
      </w:r>
      <w:r w:rsidR="00A75B3C" w:rsidRPr="003F23AC">
        <w:rPr>
          <w:rFonts w:cs="Times New Roman"/>
          <w:noProof/>
          <w:lang w:val="sk-SK"/>
        </w:rPr>
        <w:t xml:space="preserve"> v </w:t>
      </w:r>
      <w:r w:rsidRPr="003F23AC">
        <w:rPr>
          <w:rFonts w:cs="Times New Roman"/>
          <w:noProof/>
          <w:lang w:val="sk-SK"/>
        </w:rPr>
        <w:t>nahradení plavidla „Archipelago“, ktoré dosahuje koniec svojej prevádzkovej životnosti, moderným plavidlom</w:t>
      </w:r>
      <w:r w:rsidR="00A75B3C" w:rsidRPr="003F23AC">
        <w:rPr>
          <w:rFonts w:cs="Times New Roman"/>
          <w:noProof/>
          <w:lang w:val="sk-SK"/>
        </w:rPr>
        <w:t xml:space="preserve"> s </w:t>
      </w:r>
      <w:r w:rsidRPr="003F23AC">
        <w:rPr>
          <w:rFonts w:cs="Times New Roman"/>
          <w:noProof/>
          <w:lang w:val="sk-SK"/>
        </w:rPr>
        <w:t>vysokými technologickými normami, pokiaľ ide</w:t>
      </w:r>
      <w:r w:rsidR="00A75B3C" w:rsidRPr="003F23AC">
        <w:rPr>
          <w:rFonts w:cs="Times New Roman"/>
          <w:noProof/>
          <w:lang w:val="sk-SK"/>
        </w:rPr>
        <w:t xml:space="preserve"> o </w:t>
      </w:r>
      <w:r w:rsidRPr="003F23AC">
        <w:rPr>
          <w:rFonts w:cs="Times New Roman"/>
          <w:noProof/>
          <w:lang w:val="sk-SK"/>
        </w:rPr>
        <w:t>schopnosti</w:t>
      </w:r>
      <w:r w:rsidR="00A75B3C" w:rsidRPr="003F23AC">
        <w:rPr>
          <w:rFonts w:cs="Times New Roman"/>
          <w:noProof/>
          <w:lang w:val="sk-SK"/>
        </w:rPr>
        <w:t xml:space="preserve"> a </w:t>
      </w:r>
      <w:r w:rsidRPr="003F23AC">
        <w:rPr>
          <w:rFonts w:cs="Times New Roman"/>
          <w:noProof/>
          <w:lang w:val="sk-SK"/>
        </w:rPr>
        <w:t>vybavenie</w:t>
      </w:r>
      <w:r w:rsidR="00A75B3C" w:rsidRPr="003F23AC">
        <w:rPr>
          <w:rFonts w:cs="Times New Roman"/>
          <w:noProof/>
          <w:lang w:val="sk-SK"/>
        </w:rPr>
        <w:t xml:space="preserve"> a </w:t>
      </w:r>
      <w:r w:rsidRPr="003F23AC">
        <w:rPr>
          <w:rFonts w:cs="Times New Roman"/>
          <w:noProof/>
          <w:lang w:val="sk-SK"/>
        </w:rPr>
        <w:t>vysokú energetickú výkonnosť na uspokojenie súčasných potrieb</w:t>
      </w:r>
      <w:r w:rsidR="00A75B3C" w:rsidRPr="003F23AC">
        <w:rPr>
          <w:rFonts w:cs="Times New Roman"/>
          <w:noProof/>
          <w:lang w:val="sk-SK"/>
        </w:rPr>
        <w:t xml:space="preserve"> v </w:t>
      </w:r>
      <w:r w:rsidRPr="003F23AC">
        <w:rPr>
          <w:rFonts w:cs="Times New Roman"/>
          <w:noProof/>
          <w:lang w:val="sk-SK"/>
        </w:rPr>
        <w:t>oblasti morského výskumu</w:t>
      </w:r>
      <w:r w:rsidR="00A75B3C" w:rsidRPr="003F23AC">
        <w:rPr>
          <w:rFonts w:cs="Times New Roman"/>
          <w:noProof/>
          <w:lang w:val="sk-SK"/>
        </w:rPr>
        <w:t xml:space="preserve"> a </w:t>
      </w:r>
      <w:r w:rsidRPr="003F23AC">
        <w:rPr>
          <w:rFonts w:cs="Times New Roman"/>
          <w:noProof/>
          <w:lang w:val="sk-SK"/>
        </w:rPr>
        <w:t>monitorovania alebo pri podpore udržateľného využívania oceánov. Druhé opatrenie pozostáva</w:t>
      </w:r>
      <w:r w:rsidR="00A75B3C" w:rsidRPr="003F23AC">
        <w:rPr>
          <w:rFonts w:cs="Times New Roman"/>
          <w:noProof/>
          <w:lang w:val="sk-SK"/>
        </w:rPr>
        <w:t xml:space="preserve"> z </w:t>
      </w:r>
      <w:r w:rsidRPr="003F23AC">
        <w:rPr>
          <w:rFonts w:cs="Times New Roman"/>
          <w:noProof/>
          <w:lang w:val="sk-SK"/>
        </w:rPr>
        <w:t>nadobudnutia dvoch modulov, ktoré sa majú začleniť do pridruženého výskumného plavidla,</w:t>
      </w:r>
      <w:r w:rsidR="00A75B3C" w:rsidRPr="003F23AC">
        <w:rPr>
          <w:rFonts w:cs="Times New Roman"/>
          <w:noProof/>
          <w:lang w:val="sk-SK"/>
        </w:rPr>
        <w:t xml:space="preserve"> a </w:t>
      </w:r>
      <w:r w:rsidRPr="003F23AC">
        <w:rPr>
          <w:rFonts w:cs="Times New Roman"/>
          <w:noProof/>
          <w:lang w:val="sk-SK"/>
        </w:rPr>
        <w:t>to modulu vlečného zariadenia</w:t>
      </w:r>
      <w:r w:rsidR="00A75B3C" w:rsidRPr="003F23AC">
        <w:rPr>
          <w:rFonts w:cs="Times New Roman"/>
          <w:noProof/>
          <w:lang w:val="sk-SK"/>
        </w:rPr>
        <w:t xml:space="preserve"> a </w:t>
      </w:r>
      <w:r w:rsidRPr="003F23AC">
        <w:rPr>
          <w:rFonts w:cs="Times New Roman"/>
          <w:noProof/>
          <w:lang w:val="sk-SK"/>
        </w:rPr>
        <w:t>modulu pre diaľkovo prevádzkované vodné vozidlo (ROV). Posledné opatrenie spočíva vo vytvorení experimentálneho strediska pre výskum</w:t>
      </w:r>
      <w:r w:rsidR="00A75B3C" w:rsidRPr="003F23AC">
        <w:rPr>
          <w:rFonts w:cs="Times New Roman"/>
          <w:noProof/>
          <w:lang w:val="sk-SK"/>
        </w:rPr>
        <w:t xml:space="preserve"> a </w:t>
      </w:r>
      <w:r w:rsidRPr="003F23AC">
        <w:rPr>
          <w:rFonts w:cs="Times New Roman"/>
          <w:noProof/>
          <w:lang w:val="sk-SK"/>
        </w:rPr>
        <w:t>vývoj spojeného</w:t>
      </w:r>
      <w:r w:rsidR="00A75B3C" w:rsidRPr="003F23AC">
        <w:rPr>
          <w:rFonts w:cs="Times New Roman"/>
          <w:noProof/>
          <w:lang w:val="sk-SK"/>
        </w:rPr>
        <w:t xml:space="preserve"> s </w:t>
      </w:r>
      <w:r w:rsidRPr="003F23AC">
        <w:rPr>
          <w:rFonts w:cs="Times New Roman"/>
          <w:noProof/>
          <w:lang w:val="sk-SK"/>
        </w:rPr>
        <w:t>morom, ktoré by bolo spoločné</w:t>
      </w:r>
      <w:r w:rsidR="00A75B3C" w:rsidRPr="003F23AC">
        <w:rPr>
          <w:rFonts w:cs="Times New Roman"/>
          <w:noProof/>
          <w:lang w:val="sk-SK"/>
        </w:rPr>
        <w:t xml:space="preserve"> s </w:t>
      </w:r>
      <w:r w:rsidRPr="003F23AC">
        <w:rPr>
          <w:rFonts w:cs="Times New Roman"/>
          <w:noProof/>
          <w:lang w:val="sk-SK"/>
        </w:rPr>
        <w:t>inštitúciami Azorského vedeckého</w:t>
      </w:r>
      <w:r w:rsidR="00A75B3C" w:rsidRPr="003F23AC">
        <w:rPr>
          <w:rFonts w:cs="Times New Roman"/>
          <w:noProof/>
          <w:lang w:val="sk-SK"/>
        </w:rPr>
        <w:t xml:space="preserve"> a </w:t>
      </w:r>
      <w:r w:rsidRPr="003F23AC">
        <w:rPr>
          <w:rFonts w:cs="Times New Roman"/>
          <w:noProof/>
          <w:lang w:val="sk-SK"/>
        </w:rPr>
        <w:t>technologického systému (SCTA)</w:t>
      </w:r>
      <w:r w:rsidR="00A75B3C" w:rsidRPr="003F23AC">
        <w:rPr>
          <w:rFonts w:cs="Times New Roman"/>
          <w:noProof/>
          <w:lang w:val="sk-SK"/>
        </w:rPr>
        <w:t xml:space="preserve"> a </w:t>
      </w:r>
      <w:r w:rsidRPr="003F23AC">
        <w:rPr>
          <w:rFonts w:cs="Times New Roman"/>
          <w:noProof/>
          <w:lang w:val="sk-SK"/>
        </w:rPr>
        <w:t>spoločnosťami, ktoré by viedlo</w:t>
      </w:r>
      <w:r w:rsidR="00A75B3C" w:rsidRPr="003F23AC">
        <w:rPr>
          <w:rFonts w:cs="Times New Roman"/>
          <w:noProof/>
          <w:lang w:val="sk-SK"/>
        </w:rPr>
        <w:t xml:space="preserve"> k </w:t>
      </w:r>
      <w:r w:rsidRPr="003F23AC">
        <w:rPr>
          <w:rFonts w:cs="Times New Roman"/>
          <w:noProof/>
          <w:lang w:val="sk-SK"/>
        </w:rPr>
        <w:t>výskumu</w:t>
      </w:r>
      <w:r w:rsidR="00A75B3C" w:rsidRPr="003F23AC">
        <w:rPr>
          <w:rFonts w:cs="Times New Roman"/>
          <w:noProof/>
          <w:lang w:val="sk-SK"/>
        </w:rPr>
        <w:t xml:space="preserve"> a </w:t>
      </w:r>
      <w:r w:rsidRPr="003F23AC">
        <w:rPr>
          <w:rFonts w:cs="Times New Roman"/>
          <w:noProof/>
          <w:lang w:val="sk-SK"/>
        </w:rPr>
        <w:t>vývoju</w:t>
      </w:r>
      <w:r w:rsidR="00A75B3C" w:rsidRPr="003F23AC">
        <w:rPr>
          <w:rFonts w:cs="Times New Roman"/>
          <w:noProof/>
          <w:lang w:val="sk-SK"/>
        </w:rPr>
        <w:t xml:space="preserve"> v </w:t>
      </w:r>
      <w:r w:rsidRPr="003F23AC">
        <w:rPr>
          <w:rFonts w:cs="Times New Roman"/>
          <w:noProof/>
          <w:lang w:val="sk-SK"/>
        </w:rPr>
        <w:t>tradičných</w:t>
      </w:r>
      <w:r w:rsidR="00A75B3C" w:rsidRPr="003F23AC">
        <w:rPr>
          <w:rFonts w:cs="Times New Roman"/>
          <w:noProof/>
          <w:lang w:val="sk-SK"/>
        </w:rPr>
        <w:t xml:space="preserve"> a </w:t>
      </w:r>
      <w:r w:rsidRPr="003F23AC">
        <w:rPr>
          <w:rFonts w:cs="Times New Roman"/>
          <w:noProof/>
          <w:lang w:val="sk-SK"/>
        </w:rPr>
        <w:t>vznikajúcich oblastiach, ako sú rybolov</w:t>
      </w:r>
      <w:r w:rsidR="00A75B3C" w:rsidRPr="003F23AC">
        <w:rPr>
          <w:rFonts w:cs="Times New Roman"/>
          <w:noProof/>
          <w:lang w:val="sk-SK"/>
        </w:rPr>
        <w:t xml:space="preserve"> a </w:t>
      </w:r>
      <w:r w:rsidRPr="003F23AC">
        <w:rPr>
          <w:rFonts w:cs="Times New Roman"/>
          <w:noProof/>
          <w:lang w:val="sk-SK"/>
        </w:rPr>
        <w:t>odvodené produkty, morské biotechnológie, biomateriály alebo morské technológie</w:t>
      </w:r>
      <w:r w:rsidR="00A75B3C" w:rsidRPr="003F23AC">
        <w:rPr>
          <w:rFonts w:cs="Times New Roman"/>
          <w:noProof/>
          <w:lang w:val="sk-SK"/>
        </w:rPr>
        <w:t xml:space="preserve"> a </w:t>
      </w:r>
      <w:r w:rsidRPr="003F23AC">
        <w:rPr>
          <w:rFonts w:cs="Times New Roman"/>
          <w:noProof/>
          <w:lang w:val="sk-SK"/>
        </w:rPr>
        <w:t>výstroj vrátane „modrého inkubátora“, akvakultúrne centrum na Azorských ostrovoch</w:t>
      </w:r>
      <w:r w:rsidR="00A75B3C" w:rsidRPr="003F23AC">
        <w:rPr>
          <w:rFonts w:cs="Times New Roman"/>
          <w:noProof/>
          <w:lang w:val="sk-SK"/>
        </w:rPr>
        <w:t>.</w:t>
      </w:r>
    </w:p>
    <w:p w14:paraId="6F19EFBB" w14:textId="5C2C14A3"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17D3B2E6" w14:textId="53CB008D" w:rsidR="00387C70" w:rsidRPr="003F23AC" w:rsidRDefault="000F5AA4" w:rsidP="003F23AC">
      <w:pPr>
        <w:pStyle w:val="P68B1DB1-Normal5"/>
        <w:spacing w:before="240" w:after="0" w:line="259" w:lineRule="auto"/>
        <w:ind w:left="851"/>
        <w:jc w:val="both"/>
        <w:outlineLvl w:val="3"/>
        <w:rPr>
          <w:rFonts w:cs="Times New Roman"/>
          <w:b/>
          <w:noProof/>
          <w:lang w:val="sk-SK"/>
        </w:rPr>
      </w:pPr>
      <w:bookmarkStart w:id="24" w:name="_Toc137472457"/>
      <w:r w:rsidRPr="003F23AC">
        <w:rPr>
          <w:rFonts w:cs="Times New Roman"/>
          <w:noProof/>
          <w:lang w:val="sk-SK"/>
        </w:rPr>
        <w:t>Investície TC-C10 – i05-</w:t>
      </w:r>
      <w:bookmarkStart w:id="25" w:name="_Toc137472458"/>
      <w:bookmarkEnd w:id="24"/>
      <w:r w:rsidRPr="003F23AC">
        <w:rPr>
          <w:rFonts w:cs="Times New Roman"/>
          <w:noProof/>
          <w:lang w:val="sk-SK"/>
        </w:rPr>
        <w:t>RAA: Energetická transformácia, digitalizácia</w:t>
      </w:r>
      <w:r w:rsidR="00A75B3C" w:rsidRPr="003F23AC">
        <w:rPr>
          <w:rFonts w:cs="Times New Roman"/>
          <w:noProof/>
          <w:lang w:val="sk-SK"/>
        </w:rPr>
        <w:t xml:space="preserve"> a </w:t>
      </w:r>
      <w:r w:rsidRPr="003F23AC">
        <w:rPr>
          <w:rFonts w:cs="Times New Roman"/>
          <w:noProof/>
          <w:lang w:val="sk-SK"/>
        </w:rPr>
        <w:t>zníženie vplyvu na životné prostredie</w:t>
      </w:r>
      <w:r w:rsidR="00A75B3C" w:rsidRPr="003F23AC">
        <w:rPr>
          <w:rFonts w:cs="Times New Roman"/>
          <w:noProof/>
          <w:lang w:val="sk-SK"/>
        </w:rPr>
        <w:t xml:space="preserve"> v </w:t>
      </w:r>
      <w:r w:rsidRPr="003F23AC">
        <w:rPr>
          <w:rFonts w:cs="Times New Roman"/>
          <w:noProof/>
          <w:lang w:val="sk-SK"/>
        </w:rPr>
        <w:t>odvetví rybolovu</w:t>
      </w:r>
      <w:r w:rsidR="00A75B3C" w:rsidRPr="003F23AC">
        <w:rPr>
          <w:rFonts w:cs="Times New Roman"/>
          <w:noProof/>
          <w:lang w:val="sk-SK"/>
        </w:rPr>
        <w:t xml:space="preserve"> a </w:t>
      </w:r>
      <w:r w:rsidRPr="003F23AC">
        <w:rPr>
          <w:rFonts w:cs="Times New Roman"/>
          <w:noProof/>
          <w:lang w:val="sk-SK"/>
        </w:rPr>
        <w:t>akvakultúry</w:t>
      </w:r>
      <w:bookmarkEnd w:id="25"/>
    </w:p>
    <w:p w14:paraId="3FB85FD3" w14:textId="057080E5"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podporiť projekty zamerané na: energetická transformácia, digitalizácia</w:t>
      </w:r>
      <w:r w:rsidR="00A75B3C" w:rsidRPr="003F23AC">
        <w:rPr>
          <w:rFonts w:cs="Times New Roman"/>
          <w:noProof/>
          <w:lang w:val="sk-SK"/>
        </w:rPr>
        <w:t xml:space="preserve"> a </w:t>
      </w:r>
      <w:r w:rsidRPr="003F23AC">
        <w:rPr>
          <w:rFonts w:cs="Times New Roman"/>
          <w:noProof/>
          <w:lang w:val="sk-SK"/>
        </w:rPr>
        <w:t>zníženie vplyvu na životné prostredie</w:t>
      </w:r>
      <w:r w:rsidR="00A75B3C" w:rsidRPr="003F23AC">
        <w:rPr>
          <w:rFonts w:cs="Times New Roman"/>
          <w:noProof/>
          <w:lang w:val="sk-SK"/>
        </w:rPr>
        <w:t xml:space="preserve"> v </w:t>
      </w:r>
      <w:r w:rsidRPr="003F23AC">
        <w:rPr>
          <w:rFonts w:cs="Times New Roman"/>
          <w:noProof/>
          <w:lang w:val="sk-SK"/>
        </w:rPr>
        <w:t>odvetví rybolovu</w:t>
      </w:r>
      <w:r w:rsidR="00A75B3C" w:rsidRPr="003F23AC">
        <w:rPr>
          <w:rFonts w:cs="Times New Roman"/>
          <w:noProof/>
          <w:lang w:val="sk-SK"/>
        </w:rPr>
        <w:t xml:space="preserve"> a </w:t>
      </w:r>
      <w:r w:rsidRPr="003F23AC">
        <w:rPr>
          <w:rFonts w:cs="Times New Roman"/>
          <w:noProof/>
          <w:lang w:val="sk-SK"/>
        </w:rPr>
        <w:t>akvakultúry</w:t>
      </w:r>
      <w:r w:rsidR="00A75B3C" w:rsidRPr="003F23AC">
        <w:rPr>
          <w:rFonts w:cs="Times New Roman"/>
          <w:noProof/>
          <w:lang w:val="sk-SK"/>
        </w:rPr>
        <w:t xml:space="preserve"> v </w:t>
      </w:r>
      <w:r w:rsidRPr="003F23AC">
        <w:rPr>
          <w:rFonts w:cs="Times New Roman"/>
          <w:noProof/>
          <w:lang w:val="sk-SK"/>
        </w:rPr>
        <w:t>autonómnej oblasti Azory</w:t>
      </w:r>
      <w:r w:rsidR="00A75B3C" w:rsidRPr="003F23AC">
        <w:rPr>
          <w:rFonts w:cs="Times New Roman"/>
          <w:noProof/>
          <w:lang w:val="sk-SK"/>
        </w:rPr>
        <w:t>.</w:t>
      </w:r>
    </w:p>
    <w:p w14:paraId="1BA39AF2" w14:textId="4620529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 xml:space="preserve"> Investícia pozostáva</w:t>
      </w:r>
      <w:r w:rsidR="00A75B3C" w:rsidRPr="003F23AC">
        <w:rPr>
          <w:rFonts w:cs="Times New Roman"/>
          <w:noProof/>
          <w:lang w:val="sk-SK"/>
        </w:rPr>
        <w:t xml:space="preserve"> z </w:t>
      </w:r>
      <w:r w:rsidRPr="003F23AC">
        <w:rPr>
          <w:rFonts w:cs="Times New Roman"/>
          <w:noProof/>
          <w:lang w:val="sk-SK"/>
        </w:rPr>
        <w:t>15 projektov, ktorým boli udelené granty</w:t>
      </w:r>
      <w:r w:rsidR="00A75B3C" w:rsidRPr="003F23AC">
        <w:rPr>
          <w:rFonts w:cs="Times New Roman"/>
          <w:noProof/>
          <w:lang w:val="sk-SK"/>
        </w:rPr>
        <w:t xml:space="preserve"> a </w:t>
      </w:r>
      <w:r w:rsidRPr="003F23AC">
        <w:rPr>
          <w:rFonts w:cs="Times New Roman"/>
          <w:noProof/>
          <w:lang w:val="sk-SK"/>
        </w:rPr>
        <w:t>ktoré sa týkajú modernizácie</w:t>
      </w:r>
      <w:r w:rsidR="00A75B3C" w:rsidRPr="003F23AC">
        <w:rPr>
          <w:rFonts w:cs="Times New Roman"/>
          <w:noProof/>
          <w:lang w:val="sk-SK"/>
        </w:rPr>
        <w:t xml:space="preserve"> a </w:t>
      </w:r>
      <w:r w:rsidRPr="003F23AC">
        <w:rPr>
          <w:rFonts w:cs="Times New Roman"/>
          <w:noProof/>
          <w:lang w:val="sk-SK"/>
        </w:rPr>
        <w:t>obnovy rybárskej flotily, inovácií</w:t>
      </w:r>
      <w:r w:rsidR="00A75B3C" w:rsidRPr="003F23AC">
        <w:rPr>
          <w:rFonts w:cs="Times New Roman"/>
          <w:noProof/>
          <w:lang w:val="sk-SK"/>
        </w:rPr>
        <w:t xml:space="preserve"> v </w:t>
      </w:r>
      <w:r w:rsidRPr="003F23AC">
        <w:rPr>
          <w:rFonts w:cs="Times New Roman"/>
          <w:noProof/>
          <w:lang w:val="sk-SK"/>
        </w:rPr>
        <w:t>oblasti rybolovu</w:t>
      </w:r>
      <w:r w:rsidR="00A75B3C" w:rsidRPr="003F23AC">
        <w:rPr>
          <w:rFonts w:cs="Times New Roman"/>
          <w:noProof/>
          <w:lang w:val="sk-SK"/>
        </w:rPr>
        <w:t xml:space="preserve"> a </w:t>
      </w:r>
      <w:r w:rsidRPr="003F23AC">
        <w:rPr>
          <w:rFonts w:cs="Times New Roman"/>
          <w:noProof/>
          <w:lang w:val="sk-SK"/>
        </w:rPr>
        <w:t>akvakultúry</w:t>
      </w:r>
      <w:r w:rsidR="00A75B3C" w:rsidRPr="003F23AC">
        <w:rPr>
          <w:rFonts w:cs="Times New Roman"/>
          <w:noProof/>
          <w:lang w:val="sk-SK"/>
        </w:rPr>
        <w:t xml:space="preserve"> s </w:t>
      </w:r>
      <w:r w:rsidRPr="003F23AC">
        <w:rPr>
          <w:rFonts w:cs="Times New Roman"/>
          <w:noProof/>
          <w:lang w:val="sk-SK"/>
        </w:rPr>
        <w:t>cieľom zlepšiť energetickú výkonnosť, modernizácie procesov, zníženia produkcie odpadu na mori</w:t>
      </w:r>
      <w:r w:rsidR="00A75B3C" w:rsidRPr="003F23AC">
        <w:rPr>
          <w:rFonts w:cs="Times New Roman"/>
          <w:noProof/>
          <w:lang w:val="sk-SK"/>
        </w:rPr>
        <w:t xml:space="preserve"> a </w:t>
      </w:r>
      <w:r w:rsidRPr="003F23AC">
        <w:rPr>
          <w:rFonts w:cs="Times New Roman"/>
          <w:noProof/>
          <w:lang w:val="sk-SK"/>
        </w:rPr>
        <w:t>podpory obehového hospodárstva vo všetkých odvetviach rybolovu</w:t>
      </w:r>
      <w:r w:rsidR="00A75B3C" w:rsidRPr="003F23AC">
        <w:rPr>
          <w:rFonts w:cs="Times New Roman"/>
          <w:noProof/>
          <w:lang w:val="sk-SK"/>
        </w:rPr>
        <w:t xml:space="preserve"> a </w:t>
      </w:r>
      <w:r w:rsidRPr="003F23AC">
        <w:rPr>
          <w:rFonts w:cs="Times New Roman"/>
          <w:noProof/>
          <w:lang w:val="sk-SK"/>
        </w:rPr>
        <w:t>akvakultúry</w:t>
      </w:r>
      <w:r w:rsidR="00A75B3C" w:rsidRPr="003F23AC">
        <w:rPr>
          <w:rFonts w:cs="Times New Roman"/>
          <w:noProof/>
          <w:lang w:val="sk-SK"/>
        </w:rPr>
        <w:t xml:space="preserve"> a </w:t>
      </w:r>
      <w:r w:rsidRPr="003F23AC">
        <w:rPr>
          <w:rFonts w:cs="Times New Roman"/>
          <w:noProof/>
          <w:lang w:val="sk-SK"/>
        </w:rPr>
        <w:t>diverzifikácie rybolovnej činnosti</w:t>
      </w:r>
      <w:r w:rsidR="00A75B3C" w:rsidRPr="003F23AC">
        <w:rPr>
          <w:rFonts w:cs="Times New Roman"/>
          <w:noProof/>
          <w:lang w:val="sk-SK"/>
        </w:rPr>
        <w:t>.</w:t>
      </w:r>
    </w:p>
    <w:p w14:paraId="2CDB0CE1" w14:textId="66008F2A"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V prípade výberu projektov</w:t>
      </w:r>
      <w:r w:rsidR="00A75B3C" w:rsidRPr="003F23AC">
        <w:rPr>
          <w:rFonts w:cs="Times New Roman"/>
          <w:noProof/>
          <w:lang w:val="sk-SK"/>
        </w:rPr>
        <w:t xml:space="preserve"> s </w:t>
      </w:r>
      <w:r w:rsidRPr="003F23AC">
        <w:rPr>
          <w:rFonts w:cs="Times New Roman"/>
          <w:noProof/>
          <w:lang w:val="sk-SK"/>
        </w:rPr>
        <w:t>cieľom zabezpečiť, aby opatrenie bolo</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„výrazne nenarušiť“ (2021/C58/01), kritériá oprávnenosti uvedené</w:t>
      </w:r>
      <w:r w:rsidR="00A75B3C" w:rsidRPr="003F23AC">
        <w:rPr>
          <w:rFonts w:cs="Times New Roman"/>
          <w:noProof/>
          <w:lang w:val="sk-SK"/>
        </w:rPr>
        <w:t xml:space="preserve"> v </w:t>
      </w:r>
      <w:r w:rsidRPr="003F23AC">
        <w:rPr>
          <w:rFonts w:cs="Times New Roman"/>
          <w:noProof/>
          <w:lang w:val="sk-SK"/>
        </w:rPr>
        <w:t>referenčnom rámci pre nadchádzajúce výzvy na predkladanie projektov nezahŕňajú tento zoznam činností: I) činnosti súvisiace</w:t>
      </w:r>
      <w:r w:rsidR="00A75B3C" w:rsidRPr="003F23AC">
        <w:rPr>
          <w:rFonts w:cs="Times New Roman"/>
          <w:noProof/>
          <w:lang w:val="sk-SK"/>
        </w:rPr>
        <w:t xml:space="preserve"> s </w:t>
      </w:r>
      <w:r w:rsidRPr="003F23AC">
        <w:rPr>
          <w:rFonts w:cs="Times New Roman"/>
          <w:noProof/>
          <w:lang w:val="sk-SK"/>
        </w:rPr>
        <w:t>fosílnymi palivami vrátane následného použitia</w:t>
      </w:r>
      <w:r w:rsidRPr="003F23AC">
        <w:rPr>
          <w:rFonts w:cs="Times New Roman"/>
          <w:noProof/>
          <w:lang w:val="sk-SK"/>
        </w:rPr>
        <w:footnoteReference w:id="40"/>
      </w:r>
      <w:r w:rsidRPr="003F23AC">
        <w:rPr>
          <w:rFonts w:cs="Times New Roman"/>
          <w:noProof/>
          <w:lang w:val="sk-SK"/>
        </w:rPr>
        <w:t>; II) činnosti</w:t>
      </w:r>
      <w:r w:rsidR="00A75B3C" w:rsidRPr="003F23AC">
        <w:rPr>
          <w:rFonts w:cs="Times New Roman"/>
          <w:noProof/>
          <w:lang w:val="sk-SK"/>
        </w:rPr>
        <w:t xml:space="preserve"> v </w:t>
      </w:r>
      <w:r w:rsidRPr="003F23AC">
        <w:rPr>
          <w:rFonts w:cs="Times New Roman"/>
          <w:noProof/>
          <w:lang w:val="sk-SK"/>
        </w:rPr>
        <w:t>rámci systému EÚ na obchodovanie</w:t>
      </w:r>
      <w:r w:rsidR="00A75B3C" w:rsidRPr="003F23AC">
        <w:rPr>
          <w:rFonts w:cs="Times New Roman"/>
          <w:noProof/>
          <w:lang w:val="sk-SK"/>
        </w:rPr>
        <w:t xml:space="preserve"> s </w:t>
      </w:r>
      <w:r w:rsidRPr="003F23AC">
        <w:rPr>
          <w:rFonts w:cs="Times New Roman"/>
          <w:noProof/>
          <w:lang w:val="sk-SK"/>
        </w:rPr>
        <w:t>emisiami (ETS), ktorými sa dosahujú predpokladané emisie skleníkových plynov, ktoré nie sú nižšie ako príslušné referenčné hodnoty</w:t>
      </w:r>
      <w:r w:rsidRPr="003F23AC">
        <w:rPr>
          <w:rFonts w:cs="Times New Roman"/>
          <w:noProof/>
          <w:lang w:val="sk-SK"/>
        </w:rPr>
        <w:footnoteReference w:id="41"/>
      </w:r>
      <w:r w:rsidRPr="003F23AC">
        <w:rPr>
          <w:rFonts w:cs="Times New Roman"/>
          <w:noProof/>
          <w:lang w:val="sk-SK"/>
        </w:rPr>
        <w:t>; III) činnosti týkajúce sa skládok odpadu, spaľovní</w:t>
      </w:r>
      <w:r w:rsidRPr="003F23AC">
        <w:rPr>
          <w:rFonts w:cs="Times New Roman"/>
          <w:noProof/>
          <w:lang w:val="sk-SK"/>
        </w:rPr>
        <w:footnoteReference w:id="42"/>
      </w:r>
      <w:r w:rsidR="00A75B3C" w:rsidRPr="003F23AC">
        <w:rPr>
          <w:rFonts w:cs="Times New Roman"/>
          <w:noProof/>
          <w:lang w:val="sk-SK"/>
        </w:rPr>
        <w:t xml:space="preserve"> a </w:t>
      </w:r>
      <w:r w:rsidRPr="003F23AC">
        <w:rPr>
          <w:rFonts w:cs="Times New Roman"/>
          <w:noProof/>
          <w:lang w:val="sk-SK"/>
        </w:rPr>
        <w:t>mechanických biologických čistiarní</w:t>
      </w:r>
      <w:r w:rsidRPr="003F23AC">
        <w:rPr>
          <w:rFonts w:cs="Times New Roman"/>
          <w:noProof/>
          <w:lang w:val="sk-SK"/>
        </w:rPr>
        <w:footnoteReference w:id="43"/>
      </w:r>
      <w:r w:rsidRPr="003F23AC">
        <w:rPr>
          <w:rFonts w:cs="Times New Roman"/>
          <w:noProof/>
          <w:lang w:val="sk-SK"/>
        </w:rPr>
        <w:t>.</w:t>
      </w:r>
      <w:r w:rsidR="00A75B3C" w:rsidRPr="003F23AC">
        <w:rPr>
          <w:rFonts w:cs="Times New Roman"/>
          <w:noProof/>
          <w:lang w:val="sk-SK"/>
        </w:rPr>
        <w:t xml:space="preserve"> V </w:t>
      </w:r>
      <w:r w:rsidRPr="003F23AC">
        <w:rPr>
          <w:rFonts w:cs="Times New Roman"/>
          <w:noProof/>
          <w:lang w:val="sk-SK"/>
        </w:rPr>
        <w:t>referenčnom rámci sa okrem toho vyžaduje, aby sa mohli vybrať len činnosti, ktoré sú</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príslušnými právnymi predpismi EÚ</w:t>
      </w:r>
      <w:r w:rsidR="00A75B3C" w:rsidRPr="003F23AC">
        <w:rPr>
          <w:rFonts w:cs="Times New Roman"/>
          <w:noProof/>
          <w:lang w:val="sk-SK"/>
        </w:rPr>
        <w:t xml:space="preserve"> a </w:t>
      </w:r>
      <w:r w:rsidRPr="003F23AC">
        <w:rPr>
          <w:rFonts w:cs="Times New Roman"/>
          <w:noProof/>
          <w:lang w:val="sk-SK"/>
        </w:rPr>
        <w:t>vnútroštátnymi právnymi predpismi</w:t>
      </w:r>
      <w:r w:rsidR="00A75B3C" w:rsidRPr="003F23AC">
        <w:rPr>
          <w:rFonts w:cs="Times New Roman"/>
          <w:noProof/>
          <w:lang w:val="sk-SK"/>
        </w:rPr>
        <w:t xml:space="preserve"> v </w:t>
      </w:r>
      <w:r w:rsidRPr="003F23AC">
        <w:rPr>
          <w:rFonts w:cs="Times New Roman"/>
          <w:noProof/>
          <w:lang w:val="sk-SK"/>
        </w:rPr>
        <w:t>oblasti životného prostredia.</w:t>
      </w:r>
    </w:p>
    <w:p w14:paraId="6A89D7B3" w14:textId="57F2E9CF" w:rsidR="00387C70" w:rsidRPr="003F23AC" w:rsidRDefault="000F5AA4" w:rsidP="003F23AC">
      <w:pPr>
        <w:pStyle w:val="P68B1DB1-Normal4"/>
        <w:spacing w:before="40" w:after="0" w:line="259" w:lineRule="auto"/>
        <w:jc w:val="both"/>
        <w:rPr>
          <w:rFonts w:cs="Times New Roman"/>
          <w:i/>
          <w:noProof/>
          <w:lang w:val="sk-SK"/>
        </w:rPr>
      </w:pPr>
      <w:r w:rsidRPr="003F23AC">
        <w:rPr>
          <w:rFonts w:cs="Times New Roman"/>
          <w:noProof/>
          <w:lang w:val="sk-SK"/>
        </w:rPr>
        <w:t>Implementácia investície sa dokončí do 31</w:t>
      </w:r>
      <w:r w:rsidR="00A75B3C" w:rsidRPr="003F23AC">
        <w:rPr>
          <w:rFonts w:cs="Times New Roman"/>
          <w:noProof/>
          <w:lang w:val="sk-SK"/>
        </w:rPr>
        <w:t>. marca</w:t>
      </w:r>
      <w:r w:rsidRPr="003F23AC">
        <w:rPr>
          <w:rFonts w:cs="Times New Roman"/>
          <w:noProof/>
          <w:lang w:val="sk-SK"/>
        </w:rPr>
        <w:t xml:space="preserve"> 2026.</w:t>
      </w:r>
    </w:p>
    <w:p w14:paraId="4524D534" w14:textId="590264E0" w:rsidR="00387C70" w:rsidRPr="003F23AC" w:rsidRDefault="000F5AA4" w:rsidP="003F23AC">
      <w:pPr>
        <w:pStyle w:val="P68B1DB1-Heading214"/>
        <w:keepNext w:val="0"/>
        <w:spacing w:before="120"/>
        <w:rPr>
          <w:noProof/>
          <w:lang w:val="sk-SK"/>
        </w:rPr>
      </w:pPr>
      <w:bookmarkStart w:id="26" w:name="_Toc137472459"/>
      <w:r w:rsidRPr="003F23AC">
        <w:rPr>
          <w:noProof/>
          <w:lang w:val="sk-SK"/>
        </w:rPr>
        <w:t>Investície TC-C10 – i06-RAM: Oceánske technológie</w:t>
      </w:r>
      <w:bookmarkEnd w:id="26"/>
    </w:p>
    <w:p w14:paraId="2710C0D3" w14:textId="31402F4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uspokojiť potreby infraštruktúry morského vedeckého výskumu</w:t>
      </w:r>
      <w:r w:rsidR="00A75B3C" w:rsidRPr="003F23AC">
        <w:rPr>
          <w:rFonts w:cs="Times New Roman"/>
          <w:noProof/>
          <w:lang w:val="sk-SK"/>
        </w:rPr>
        <w:t xml:space="preserve"> v </w:t>
      </w:r>
      <w:r w:rsidRPr="003F23AC">
        <w:rPr>
          <w:rFonts w:cs="Times New Roman"/>
          <w:noProof/>
          <w:lang w:val="sk-SK"/>
        </w:rPr>
        <w:t>autonómnej oblasti Madeira</w:t>
      </w:r>
      <w:r w:rsidR="00A75B3C" w:rsidRPr="003F23AC">
        <w:rPr>
          <w:rFonts w:cs="Times New Roman"/>
          <w:noProof/>
          <w:lang w:val="sk-SK"/>
        </w:rPr>
        <w:t xml:space="preserve"> a </w:t>
      </w:r>
      <w:r w:rsidRPr="003F23AC">
        <w:rPr>
          <w:rFonts w:cs="Times New Roman"/>
          <w:noProof/>
          <w:lang w:val="sk-SK"/>
        </w:rPr>
        <w:t>podporiť prepojenie medzi morským výskumom</w:t>
      </w:r>
      <w:r w:rsidR="00A75B3C" w:rsidRPr="003F23AC">
        <w:rPr>
          <w:rFonts w:cs="Times New Roman"/>
          <w:noProof/>
          <w:lang w:val="sk-SK"/>
        </w:rPr>
        <w:t xml:space="preserve"> a </w:t>
      </w:r>
      <w:r w:rsidRPr="003F23AC">
        <w:rPr>
          <w:rFonts w:cs="Times New Roman"/>
          <w:noProof/>
          <w:lang w:val="sk-SK"/>
        </w:rPr>
        <w:t>hospodárskym sektorom</w:t>
      </w:r>
      <w:r w:rsidR="00A75B3C" w:rsidRPr="003F23AC">
        <w:rPr>
          <w:rFonts w:cs="Times New Roman"/>
          <w:noProof/>
          <w:lang w:val="sk-SK"/>
        </w:rPr>
        <w:t>.</w:t>
      </w:r>
    </w:p>
    <w:p w14:paraId="5A0A38F7" w14:textId="4885EE99"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výstavby energeticky účinného viacúčelového výskumného plavidla zameraného na výskum</w:t>
      </w:r>
      <w:r w:rsidR="00A75B3C" w:rsidRPr="003F23AC">
        <w:rPr>
          <w:rFonts w:cs="Times New Roman"/>
          <w:noProof/>
          <w:lang w:val="sk-SK"/>
        </w:rPr>
        <w:t xml:space="preserve"> a </w:t>
      </w:r>
      <w:r w:rsidRPr="003F23AC">
        <w:rPr>
          <w:rFonts w:cs="Times New Roman"/>
          <w:noProof/>
          <w:lang w:val="sk-SK"/>
        </w:rPr>
        <w:t>odbornú prípravu</w:t>
      </w:r>
      <w:r w:rsidR="00A75B3C" w:rsidRPr="003F23AC">
        <w:rPr>
          <w:rFonts w:cs="Times New Roman"/>
          <w:noProof/>
          <w:lang w:val="sk-SK"/>
        </w:rPr>
        <w:t xml:space="preserve"> v </w:t>
      </w:r>
      <w:r w:rsidRPr="003F23AC">
        <w:rPr>
          <w:rFonts w:cs="Times New Roman"/>
          <w:noProof/>
          <w:lang w:val="sk-SK"/>
        </w:rPr>
        <w:t>plytkých vodách okolo ostrovov Madeiry</w:t>
      </w:r>
      <w:r w:rsidR="00A75B3C" w:rsidRPr="003F23AC">
        <w:rPr>
          <w:rFonts w:cs="Times New Roman"/>
          <w:noProof/>
          <w:lang w:val="sk-SK"/>
        </w:rPr>
        <w:t xml:space="preserve"> a </w:t>
      </w:r>
      <w:r w:rsidRPr="003F23AC">
        <w:rPr>
          <w:rFonts w:cs="Times New Roman"/>
          <w:noProof/>
          <w:lang w:val="sk-SK"/>
        </w:rPr>
        <w:t>na otvorenom mori. Zahŕňa aj nákup troch autonómnych bezpilotných dopravných prostriedkov</w:t>
      </w:r>
      <w:r w:rsidR="00A75B3C" w:rsidRPr="003F23AC">
        <w:rPr>
          <w:rFonts w:cs="Times New Roman"/>
          <w:noProof/>
          <w:lang w:val="sk-SK"/>
        </w:rPr>
        <w:t xml:space="preserve"> s </w:t>
      </w:r>
      <w:r w:rsidRPr="003F23AC">
        <w:rPr>
          <w:rFonts w:cs="Times New Roman"/>
          <w:noProof/>
          <w:lang w:val="sk-SK"/>
        </w:rPr>
        <w:t>cieľom umožniť zvýšenie počtu dní na mori</w:t>
      </w:r>
      <w:r w:rsidR="00A75B3C" w:rsidRPr="003F23AC">
        <w:rPr>
          <w:rFonts w:cs="Times New Roman"/>
          <w:noProof/>
          <w:lang w:val="sk-SK"/>
        </w:rPr>
        <w:t xml:space="preserve"> v </w:t>
      </w:r>
      <w:r w:rsidRPr="003F23AC">
        <w:rPr>
          <w:rFonts w:cs="Times New Roman"/>
          <w:noProof/>
          <w:lang w:val="sk-SK"/>
        </w:rPr>
        <w:t>severnom Atlantiku na účely morského výskumu, ako aj zber kvalitných akustických údajov</w:t>
      </w:r>
      <w:r w:rsidR="00A75B3C" w:rsidRPr="003F23AC">
        <w:rPr>
          <w:rFonts w:cs="Times New Roman"/>
          <w:noProof/>
          <w:lang w:val="sk-SK"/>
        </w:rPr>
        <w:t xml:space="preserve"> v </w:t>
      </w:r>
      <w:r w:rsidRPr="003F23AC">
        <w:rPr>
          <w:rFonts w:cs="Times New Roman"/>
          <w:noProof/>
          <w:lang w:val="sk-SK"/>
        </w:rPr>
        <w:t>porovnaní</w:t>
      </w:r>
      <w:r w:rsidR="00A75B3C" w:rsidRPr="003F23AC">
        <w:rPr>
          <w:rFonts w:cs="Times New Roman"/>
          <w:noProof/>
          <w:lang w:val="sk-SK"/>
        </w:rPr>
        <w:t xml:space="preserve"> s </w:t>
      </w:r>
      <w:r w:rsidRPr="003F23AC">
        <w:rPr>
          <w:rFonts w:cs="Times New Roman"/>
          <w:noProof/>
          <w:lang w:val="sk-SK"/>
        </w:rPr>
        <w:t>inými tradičnými vyhľadávacími metódami</w:t>
      </w:r>
      <w:r w:rsidR="00A75B3C" w:rsidRPr="003F23AC">
        <w:rPr>
          <w:rFonts w:cs="Times New Roman"/>
          <w:noProof/>
          <w:lang w:val="sk-SK"/>
        </w:rPr>
        <w:t>.</w:t>
      </w:r>
    </w:p>
    <w:p w14:paraId="5B145707" w14:textId="5767A4F4" w:rsidR="00387C70" w:rsidRPr="003F23AC" w:rsidRDefault="000F5AA4" w:rsidP="003F23AC">
      <w:pPr>
        <w:pStyle w:val="P68B1DB1-Normal4"/>
        <w:spacing w:before="40" w:after="0" w:line="259" w:lineRule="auto"/>
        <w:jc w:val="both"/>
        <w:rPr>
          <w:rFonts w:eastAsia="@MS Mincho" w:cs="Times New Roman"/>
          <w:noProof/>
          <w:lang w:val="sk-SK"/>
        </w:rPr>
      </w:pPr>
      <w:r w:rsidRPr="003F23AC">
        <w:rPr>
          <w:rFonts w:cs="Times New Roman"/>
          <w:noProof/>
          <w:lang w:val="sk-SK"/>
        </w:rPr>
        <w:t>Očakáva sa, že toto opatrenie výrazne nenarúša environmentálne ciele</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opatrenia</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 podpory obnovy</w:t>
      </w:r>
      <w:r w:rsidR="00A75B3C" w:rsidRPr="003F23AC">
        <w:rPr>
          <w:rFonts w:cs="Times New Roman"/>
          <w:noProof/>
          <w:lang w:val="sk-SK"/>
        </w:rPr>
        <w:t xml:space="preserve"> a </w:t>
      </w:r>
      <w:r w:rsidRPr="003F23AC">
        <w:rPr>
          <w:rFonts w:cs="Times New Roman"/>
          <w:noProof/>
          <w:lang w:val="sk-SK"/>
        </w:rPr>
        <w:t>odolnosti</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„výrazne nenarušiť“ (2021/C58/01). Výskumné plavidlo</w:t>
      </w:r>
      <w:r w:rsidR="00A75B3C" w:rsidRPr="003F23AC">
        <w:rPr>
          <w:rFonts w:cs="Times New Roman"/>
          <w:noProof/>
          <w:lang w:val="sk-SK"/>
        </w:rPr>
        <w:t xml:space="preserve"> a </w:t>
      </w:r>
      <w:r w:rsidRPr="003F23AC">
        <w:rPr>
          <w:rFonts w:cs="Times New Roman"/>
          <w:noProof/>
          <w:lang w:val="sk-SK"/>
        </w:rPr>
        <w:t>autonómne bezpilotné vozidlá využívajú najmä najlepšiu dostupnú technológiu</w:t>
      </w:r>
      <w:r w:rsidR="00A75B3C" w:rsidRPr="003F23AC">
        <w:rPr>
          <w:rFonts w:cs="Times New Roman"/>
          <w:noProof/>
          <w:lang w:val="sk-SK"/>
        </w:rPr>
        <w:t xml:space="preserve"> s </w:t>
      </w:r>
      <w:r w:rsidRPr="003F23AC">
        <w:rPr>
          <w:rFonts w:cs="Times New Roman"/>
          <w:noProof/>
          <w:lang w:val="sk-SK"/>
        </w:rPr>
        <w:t>najnižšími vplyvmi na životné prostredie</w:t>
      </w:r>
      <w:r w:rsidR="00A75B3C" w:rsidRPr="003F23AC">
        <w:rPr>
          <w:rFonts w:cs="Times New Roman"/>
          <w:noProof/>
          <w:lang w:val="sk-SK"/>
        </w:rPr>
        <w:t xml:space="preserve"> v </w:t>
      </w:r>
      <w:r w:rsidRPr="003F23AC">
        <w:rPr>
          <w:rFonts w:cs="Times New Roman"/>
          <w:noProof/>
          <w:lang w:val="sk-SK"/>
        </w:rPr>
        <w:t>tomto odvetví.</w:t>
      </w:r>
    </w:p>
    <w:p w14:paraId="365B8C9F" w14:textId="5854E94C"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6121D230"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3D6BEFF2" w14:textId="3AF4D913"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E00EDD">
          <w:headerReference w:type="even" r:id="rId210"/>
          <w:headerReference w:type="default" r:id="rId211"/>
          <w:footerReference w:type="even" r:id="rId212"/>
          <w:footerReference w:type="default" r:id="rId213"/>
          <w:headerReference w:type="first" r:id="rId214"/>
          <w:footerReference w:type="first" r:id="rId215"/>
          <w:pgSz w:w="11907" w:h="16839"/>
          <w:pgMar w:top="1134" w:right="1134" w:bottom="1134" w:left="1134" w:header="567" w:footer="567" w:gutter="0"/>
          <w:cols w:space="720"/>
          <w:docGrid w:linePitch="360"/>
        </w:sectPr>
      </w:pPr>
    </w:p>
    <w:p w14:paraId="5D1E2539" w14:textId="49A20C4C"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J.2.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p w14:paraId="6886E91A"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15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31"/>
        <w:gridCol w:w="1096"/>
        <w:gridCol w:w="1640"/>
        <w:gridCol w:w="1231"/>
        <w:gridCol w:w="962"/>
        <w:gridCol w:w="961"/>
        <w:gridCol w:w="690"/>
        <w:gridCol w:w="554"/>
        <w:gridCol w:w="684"/>
        <w:gridCol w:w="5223"/>
      </w:tblGrid>
      <w:tr w:rsidR="00387C70" w:rsidRPr="003F23AC" w14:paraId="0F42C60E" w14:textId="77777777" w:rsidTr="009E4E5C">
        <w:trPr>
          <w:trHeight w:val="910"/>
          <w:tblHeader/>
          <w:jc w:val="center"/>
        </w:trPr>
        <w:tc>
          <w:tcPr>
            <w:tcW w:w="1101" w:type="dxa"/>
            <w:vMerge w:val="restart"/>
            <w:shd w:val="clear" w:color="auto" w:fill="BDD6EE"/>
            <w:tcMar>
              <w:left w:w="28" w:type="dxa"/>
              <w:right w:w="28" w:type="dxa"/>
            </w:tcMar>
            <w:vAlign w:val="center"/>
            <w:hideMark/>
          </w:tcPr>
          <w:p w14:paraId="1AA982C8"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Poradové číslo</w:t>
            </w:r>
          </w:p>
        </w:tc>
        <w:tc>
          <w:tcPr>
            <w:tcW w:w="1231" w:type="dxa"/>
            <w:vMerge w:val="restart"/>
            <w:shd w:val="clear" w:color="auto" w:fill="BDD6EE"/>
            <w:tcMar>
              <w:left w:w="28" w:type="dxa"/>
              <w:right w:w="28" w:type="dxa"/>
            </w:tcMar>
            <w:vAlign w:val="center"/>
            <w:hideMark/>
          </w:tcPr>
          <w:p w14:paraId="740B018E"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096" w:type="dxa"/>
            <w:vMerge w:val="restart"/>
            <w:shd w:val="clear" w:color="auto" w:fill="BDD6EE"/>
            <w:tcMar>
              <w:left w:w="28" w:type="dxa"/>
              <w:right w:w="28" w:type="dxa"/>
            </w:tcMar>
            <w:vAlign w:val="center"/>
            <w:hideMark/>
          </w:tcPr>
          <w:p w14:paraId="654788B0" w14:textId="0180B006" w:rsidR="00387C70" w:rsidRPr="003F23AC" w:rsidRDefault="000F5AA4" w:rsidP="003F23AC">
            <w:pPr>
              <w:pStyle w:val="P68B1DB1-Normal6"/>
              <w:spacing w:before="40" w:after="0" w:line="240" w:lineRule="auto"/>
              <w:jc w:val="center"/>
              <w:rPr>
                <w:rFonts w:eastAsia="Times New Roman" w:cs="Times New Roman"/>
                <w:noProof/>
                <w:sz w:val="14"/>
                <w:lang w:val="sk-SK"/>
              </w:rPr>
            </w:pPr>
            <w:r w:rsidRPr="003F23AC">
              <w:rPr>
                <w:rFonts w:cs="Times New Roman"/>
                <w:noProof/>
                <w:lang w:val="sk-SK"/>
              </w:rPr>
              <w:t>Míľnik/cieľ</w:t>
            </w:r>
          </w:p>
        </w:tc>
        <w:tc>
          <w:tcPr>
            <w:tcW w:w="1640" w:type="dxa"/>
            <w:vMerge w:val="restart"/>
            <w:shd w:val="clear" w:color="auto" w:fill="BDD6EE"/>
            <w:tcMar>
              <w:left w:w="28" w:type="dxa"/>
              <w:right w:w="28" w:type="dxa"/>
            </w:tcMar>
            <w:vAlign w:val="center"/>
            <w:hideMark/>
          </w:tcPr>
          <w:p w14:paraId="0453BB8E"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Názov</w:t>
            </w:r>
          </w:p>
        </w:tc>
        <w:tc>
          <w:tcPr>
            <w:tcW w:w="1231" w:type="dxa"/>
            <w:vMerge w:val="restart"/>
            <w:shd w:val="clear" w:color="auto" w:fill="BDD6EE"/>
            <w:tcMar>
              <w:left w:w="28" w:type="dxa"/>
              <w:right w:w="28" w:type="dxa"/>
            </w:tcMar>
            <w:vAlign w:val="center"/>
            <w:hideMark/>
          </w:tcPr>
          <w:p w14:paraId="1B4EF47B"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613" w:type="dxa"/>
            <w:gridSpan w:val="3"/>
            <w:shd w:val="clear" w:color="auto" w:fill="BDD6EE"/>
            <w:tcMar>
              <w:left w:w="28" w:type="dxa"/>
              <w:right w:w="28" w:type="dxa"/>
            </w:tcMar>
            <w:vAlign w:val="center"/>
            <w:hideMark/>
          </w:tcPr>
          <w:p w14:paraId="3F05C782"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38" w:type="dxa"/>
            <w:gridSpan w:val="2"/>
            <w:shd w:val="clear" w:color="auto" w:fill="BDD6EE"/>
            <w:tcMar>
              <w:left w:w="28" w:type="dxa"/>
              <w:right w:w="28" w:type="dxa"/>
            </w:tcMar>
            <w:vAlign w:val="center"/>
            <w:hideMark/>
          </w:tcPr>
          <w:p w14:paraId="5BC3A23D"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5223" w:type="dxa"/>
            <w:vMerge w:val="restart"/>
            <w:shd w:val="clear" w:color="auto" w:fill="BDD6EE"/>
            <w:tcMar>
              <w:left w:w="28" w:type="dxa"/>
              <w:right w:w="28" w:type="dxa"/>
            </w:tcMar>
            <w:vAlign w:val="center"/>
            <w:hideMark/>
          </w:tcPr>
          <w:p w14:paraId="7B33DA18" w14:textId="11BB513F"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13FCEFA1" w14:textId="77777777" w:rsidTr="009E4E5C">
        <w:trPr>
          <w:trHeight w:val="470"/>
          <w:tblHeader/>
          <w:jc w:val="center"/>
        </w:trPr>
        <w:tc>
          <w:tcPr>
            <w:tcW w:w="1101" w:type="dxa"/>
            <w:vMerge/>
            <w:tcMar>
              <w:left w:w="28" w:type="dxa"/>
              <w:right w:w="28" w:type="dxa"/>
            </w:tcMar>
            <w:vAlign w:val="center"/>
            <w:hideMark/>
          </w:tcPr>
          <w:p w14:paraId="0FB4B9F7" w14:textId="77777777" w:rsidR="00387C70" w:rsidRPr="003F23AC" w:rsidRDefault="00387C70" w:rsidP="003F23AC">
            <w:pPr>
              <w:spacing w:before="40" w:after="0" w:line="240" w:lineRule="auto"/>
              <w:jc w:val="both"/>
              <w:rPr>
                <w:rFonts w:ascii="Times New Roman" w:eastAsia="Times New Roman" w:hAnsi="Times New Roman" w:cs="Times New Roman"/>
                <w:b/>
                <w:noProof/>
                <w:sz w:val="18"/>
                <w:lang w:val="sk-SK"/>
              </w:rPr>
            </w:pPr>
          </w:p>
        </w:tc>
        <w:tc>
          <w:tcPr>
            <w:tcW w:w="1231" w:type="dxa"/>
            <w:vMerge/>
            <w:tcMar>
              <w:left w:w="28" w:type="dxa"/>
              <w:right w:w="28" w:type="dxa"/>
            </w:tcMar>
            <w:vAlign w:val="center"/>
            <w:hideMark/>
          </w:tcPr>
          <w:p w14:paraId="234EF905" w14:textId="77777777" w:rsidR="00387C70" w:rsidRPr="003F23AC" w:rsidRDefault="00387C70" w:rsidP="003F23AC">
            <w:pPr>
              <w:spacing w:before="40" w:after="0" w:line="240" w:lineRule="auto"/>
              <w:jc w:val="both"/>
              <w:rPr>
                <w:rFonts w:ascii="Times New Roman" w:eastAsia="Times New Roman" w:hAnsi="Times New Roman" w:cs="Times New Roman"/>
                <w:b/>
                <w:noProof/>
                <w:sz w:val="18"/>
                <w:lang w:val="sk-SK"/>
              </w:rPr>
            </w:pPr>
          </w:p>
        </w:tc>
        <w:tc>
          <w:tcPr>
            <w:tcW w:w="1096" w:type="dxa"/>
            <w:vMerge/>
            <w:tcMar>
              <w:left w:w="28" w:type="dxa"/>
              <w:right w:w="28" w:type="dxa"/>
            </w:tcMar>
            <w:vAlign w:val="center"/>
            <w:hideMark/>
          </w:tcPr>
          <w:p w14:paraId="27B408D0" w14:textId="11212B07" w:rsidR="00387C70" w:rsidRPr="003F23AC" w:rsidRDefault="00387C70" w:rsidP="003F23AC">
            <w:pPr>
              <w:spacing w:before="40" w:after="0" w:line="240" w:lineRule="auto"/>
              <w:jc w:val="center"/>
              <w:rPr>
                <w:rFonts w:ascii="Times New Roman" w:eastAsia="Times New Roman" w:hAnsi="Times New Roman" w:cs="Times New Roman"/>
                <w:b/>
                <w:noProof/>
                <w:sz w:val="14"/>
                <w:lang w:val="sk-SK"/>
              </w:rPr>
            </w:pPr>
          </w:p>
        </w:tc>
        <w:tc>
          <w:tcPr>
            <w:tcW w:w="1640" w:type="dxa"/>
            <w:vMerge/>
            <w:tcMar>
              <w:left w:w="28" w:type="dxa"/>
              <w:right w:w="28" w:type="dxa"/>
            </w:tcMar>
            <w:vAlign w:val="center"/>
            <w:hideMark/>
          </w:tcPr>
          <w:p w14:paraId="40C2DECA" w14:textId="77777777" w:rsidR="00387C70" w:rsidRPr="003F23AC" w:rsidRDefault="00387C70" w:rsidP="003F23AC">
            <w:pPr>
              <w:spacing w:before="40" w:after="0" w:line="240" w:lineRule="auto"/>
              <w:jc w:val="both"/>
              <w:rPr>
                <w:rFonts w:ascii="Times New Roman" w:eastAsia="Times New Roman" w:hAnsi="Times New Roman" w:cs="Times New Roman"/>
                <w:b/>
                <w:noProof/>
                <w:sz w:val="18"/>
                <w:lang w:val="sk-SK"/>
              </w:rPr>
            </w:pPr>
          </w:p>
        </w:tc>
        <w:tc>
          <w:tcPr>
            <w:tcW w:w="1231" w:type="dxa"/>
            <w:vMerge/>
            <w:tcMar>
              <w:left w:w="28" w:type="dxa"/>
              <w:right w:w="28" w:type="dxa"/>
            </w:tcMar>
            <w:vAlign w:val="center"/>
            <w:hideMark/>
          </w:tcPr>
          <w:p w14:paraId="0EE9D350" w14:textId="77777777" w:rsidR="00387C70" w:rsidRPr="003F23AC" w:rsidRDefault="00387C70" w:rsidP="003F23AC">
            <w:pPr>
              <w:spacing w:before="40" w:after="0" w:line="240" w:lineRule="auto"/>
              <w:jc w:val="both"/>
              <w:rPr>
                <w:rFonts w:ascii="Times New Roman" w:eastAsia="Times New Roman" w:hAnsi="Times New Roman" w:cs="Times New Roman"/>
                <w:b/>
                <w:noProof/>
                <w:sz w:val="18"/>
                <w:lang w:val="sk-SK"/>
              </w:rPr>
            </w:pPr>
          </w:p>
        </w:tc>
        <w:tc>
          <w:tcPr>
            <w:tcW w:w="962" w:type="dxa"/>
            <w:shd w:val="clear" w:color="auto" w:fill="BDD6EE"/>
            <w:tcMar>
              <w:left w:w="28" w:type="dxa"/>
              <w:right w:w="28" w:type="dxa"/>
            </w:tcMar>
            <w:vAlign w:val="center"/>
            <w:hideMark/>
          </w:tcPr>
          <w:p w14:paraId="3B5C5511"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Merná jednotka</w:t>
            </w:r>
          </w:p>
        </w:tc>
        <w:tc>
          <w:tcPr>
            <w:tcW w:w="961" w:type="dxa"/>
            <w:shd w:val="clear" w:color="auto" w:fill="BDD6EE"/>
            <w:tcMar>
              <w:left w:w="28" w:type="dxa"/>
              <w:right w:w="28" w:type="dxa"/>
            </w:tcMar>
            <w:vAlign w:val="center"/>
            <w:hideMark/>
          </w:tcPr>
          <w:p w14:paraId="60383F12" w14:textId="79DC73F7" w:rsidR="00387C70" w:rsidRPr="003F23AC" w:rsidRDefault="00680FF6"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Východisková hodnota</w:t>
            </w:r>
          </w:p>
        </w:tc>
        <w:tc>
          <w:tcPr>
            <w:tcW w:w="690" w:type="dxa"/>
            <w:shd w:val="clear" w:color="auto" w:fill="BDD6EE"/>
            <w:tcMar>
              <w:left w:w="28" w:type="dxa"/>
              <w:right w:w="28" w:type="dxa"/>
            </w:tcMar>
            <w:vAlign w:val="center"/>
            <w:hideMark/>
          </w:tcPr>
          <w:p w14:paraId="68D883D5" w14:textId="78A2638A" w:rsidR="00387C70" w:rsidRPr="003F23AC" w:rsidRDefault="00680FF6"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Cieľová hodnota</w:t>
            </w:r>
          </w:p>
        </w:tc>
        <w:tc>
          <w:tcPr>
            <w:tcW w:w="554" w:type="dxa"/>
            <w:shd w:val="clear" w:color="auto" w:fill="BDD6EE"/>
            <w:tcMar>
              <w:left w:w="28" w:type="dxa"/>
              <w:right w:w="28" w:type="dxa"/>
            </w:tcMar>
            <w:vAlign w:val="center"/>
            <w:hideMark/>
          </w:tcPr>
          <w:p w14:paraId="55466A9A" w14:textId="17988246" w:rsidR="00387C70" w:rsidRPr="003F23AC" w:rsidRDefault="00680FF6"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Štvrťrok</w:t>
            </w:r>
          </w:p>
        </w:tc>
        <w:tc>
          <w:tcPr>
            <w:tcW w:w="684" w:type="dxa"/>
            <w:shd w:val="clear" w:color="auto" w:fill="BDD6EE"/>
            <w:tcMar>
              <w:left w:w="28" w:type="dxa"/>
              <w:right w:w="28" w:type="dxa"/>
            </w:tcMar>
            <w:vAlign w:val="center"/>
            <w:hideMark/>
          </w:tcPr>
          <w:p w14:paraId="09748930"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Rok</w:t>
            </w:r>
          </w:p>
        </w:tc>
        <w:tc>
          <w:tcPr>
            <w:tcW w:w="5223" w:type="dxa"/>
            <w:vMerge/>
            <w:tcMar>
              <w:left w:w="28" w:type="dxa"/>
              <w:right w:w="28" w:type="dxa"/>
            </w:tcMar>
            <w:vAlign w:val="center"/>
            <w:hideMark/>
          </w:tcPr>
          <w:p w14:paraId="56BFB7D9" w14:textId="77777777" w:rsidR="00387C70" w:rsidRPr="003F23AC" w:rsidRDefault="00387C70" w:rsidP="003F23AC">
            <w:pPr>
              <w:spacing w:before="40" w:after="0" w:line="240" w:lineRule="auto"/>
              <w:jc w:val="both"/>
              <w:rPr>
                <w:rFonts w:ascii="Times New Roman" w:eastAsia="Times New Roman" w:hAnsi="Times New Roman" w:cs="Times New Roman"/>
                <w:b/>
                <w:noProof/>
                <w:sz w:val="18"/>
                <w:lang w:val="sk-SK"/>
              </w:rPr>
            </w:pPr>
          </w:p>
        </w:tc>
      </w:tr>
      <w:tr w:rsidR="00387C70" w:rsidRPr="003F23AC" w14:paraId="2FD34264" w14:textId="77777777" w:rsidTr="009E4E5C">
        <w:trPr>
          <w:trHeight w:val="290"/>
          <w:jc w:val="center"/>
        </w:trPr>
        <w:tc>
          <w:tcPr>
            <w:tcW w:w="1101" w:type="dxa"/>
            <w:shd w:val="clear" w:color="auto" w:fill="C4EFCE"/>
            <w:tcMar>
              <w:left w:w="28" w:type="dxa"/>
              <w:right w:w="28" w:type="dxa"/>
            </w:tcMar>
            <w:vAlign w:val="center"/>
            <w:hideMark/>
          </w:tcPr>
          <w:p w14:paraId="6981A743" w14:textId="77777777" w:rsidR="00387C70" w:rsidRPr="003F23AC" w:rsidRDefault="000F5AA4" w:rsidP="003F23AC">
            <w:pPr>
              <w:pStyle w:val="P68B1DB1-Normal7"/>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10.1</w:t>
            </w:r>
          </w:p>
        </w:tc>
        <w:tc>
          <w:tcPr>
            <w:tcW w:w="1231" w:type="dxa"/>
            <w:shd w:val="clear" w:color="auto" w:fill="C4EFCE"/>
            <w:noWrap/>
            <w:tcMar>
              <w:left w:w="28" w:type="dxa"/>
              <w:right w:w="28" w:type="dxa"/>
            </w:tcMar>
            <w:vAlign w:val="center"/>
            <w:hideMark/>
          </w:tcPr>
          <w:p w14:paraId="2DFAA2E3"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TC-C10-r23</w:t>
            </w:r>
          </w:p>
        </w:tc>
        <w:tc>
          <w:tcPr>
            <w:tcW w:w="1096" w:type="dxa"/>
            <w:shd w:val="clear" w:color="auto" w:fill="C4EFCE"/>
            <w:noWrap/>
            <w:tcMar>
              <w:left w:w="28" w:type="dxa"/>
              <w:right w:w="28" w:type="dxa"/>
            </w:tcMar>
            <w:vAlign w:val="center"/>
            <w:hideMark/>
          </w:tcPr>
          <w:p w14:paraId="0347A760"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40" w:type="dxa"/>
            <w:shd w:val="clear" w:color="auto" w:fill="C4EFCE"/>
            <w:noWrap/>
            <w:tcMar>
              <w:left w:w="28" w:type="dxa"/>
              <w:right w:w="28" w:type="dxa"/>
            </w:tcMar>
            <w:vAlign w:val="center"/>
            <w:hideMark/>
          </w:tcPr>
          <w:p w14:paraId="6EECB73C" w14:textId="620706D3"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revízie aktov ministerstva mora týkajúcich sa posilnenia finančnej kapacity pre morské hospodárstvo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inovácie prostredníctvom modrého fondu</w:t>
            </w:r>
          </w:p>
        </w:tc>
        <w:tc>
          <w:tcPr>
            <w:tcW w:w="1231" w:type="dxa"/>
            <w:shd w:val="clear" w:color="auto" w:fill="C4EFCE"/>
            <w:noWrap/>
            <w:tcMar>
              <w:left w:w="28" w:type="dxa"/>
              <w:right w:w="28" w:type="dxa"/>
            </w:tcMar>
            <w:vAlign w:val="center"/>
            <w:hideMark/>
          </w:tcPr>
          <w:p w14:paraId="0A3E5CD5" w14:textId="38C63661"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revidovaných aktov ministerstva mora týkajúcich sa posilnenia finančnej kapacity pre morské hospodárstvo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inovácie prostredníctvom modrého fondu</w:t>
            </w:r>
          </w:p>
        </w:tc>
        <w:tc>
          <w:tcPr>
            <w:tcW w:w="962" w:type="dxa"/>
            <w:shd w:val="clear" w:color="auto" w:fill="C4EFCE"/>
            <w:noWrap/>
            <w:tcMar>
              <w:left w:w="28" w:type="dxa"/>
              <w:right w:w="28" w:type="dxa"/>
            </w:tcMar>
            <w:vAlign w:val="center"/>
            <w:hideMark/>
          </w:tcPr>
          <w:p w14:paraId="157C0E4E"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1" w:type="dxa"/>
            <w:shd w:val="clear" w:color="auto" w:fill="C4EFCE"/>
            <w:noWrap/>
            <w:tcMar>
              <w:left w:w="28" w:type="dxa"/>
              <w:right w:w="28" w:type="dxa"/>
            </w:tcMar>
            <w:vAlign w:val="center"/>
            <w:hideMark/>
          </w:tcPr>
          <w:p w14:paraId="533D7F48"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690" w:type="dxa"/>
            <w:shd w:val="clear" w:color="auto" w:fill="C4EFCE"/>
            <w:noWrap/>
            <w:tcMar>
              <w:left w:w="28" w:type="dxa"/>
              <w:right w:w="28" w:type="dxa"/>
            </w:tcMar>
            <w:vAlign w:val="center"/>
            <w:hideMark/>
          </w:tcPr>
          <w:p w14:paraId="7948C8CA"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554" w:type="dxa"/>
            <w:shd w:val="clear" w:color="auto" w:fill="C4EFCE"/>
            <w:noWrap/>
            <w:tcMar>
              <w:left w:w="28" w:type="dxa"/>
              <w:right w:w="28" w:type="dxa"/>
            </w:tcMar>
            <w:vAlign w:val="center"/>
            <w:hideMark/>
          </w:tcPr>
          <w:p w14:paraId="784BF334" w14:textId="4DBDC052" w:rsidR="00387C70" w:rsidRPr="003F23AC" w:rsidRDefault="00FF0A91"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684" w:type="dxa"/>
            <w:shd w:val="clear" w:color="auto" w:fill="C4EFCE"/>
            <w:noWrap/>
            <w:tcMar>
              <w:left w:w="28" w:type="dxa"/>
              <w:right w:w="28" w:type="dxa"/>
            </w:tcMar>
            <w:vAlign w:val="center"/>
            <w:hideMark/>
          </w:tcPr>
          <w:p w14:paraId="14BDFB9E"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5223" w:type="dxa"/>
            <w:shd w:val="clear" w:color="auto" w:fill="C4EFCE"/>
            <w:tcMar>
              <w:left w:w="28" w:type="dxa"/>
              <w:right w:w="28" w:type="dxa"/>
            </w:tcMar>
            <w:vAlign w:val="center"/>
            <w:hideMark/>
          </w:tcPr>
          <w:p w14:paraId="6D35F1EA" w14:textId="77777777" w:rsidR="00A75B3C" w:rsidRPr="003F23AC" w:rsidRDefault="000F5AA4" w:rsidP="003F23AC">
            <w:pPr>
              <w:pStyle w:val="P68B1DB1-Normal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Revidujú sa tieto akty</w:t>
            </w:r>
            <w:r w:rsidR="00A75B3C" w:rsidRPr="003F23AC">
              <w:rPr>
                <w:rFonts w:ascii="Times New Roman" w:hAnsi="Times New Roman" w:cs="Times New Roman"/>
                <w:noProof/>
                <w:lang w:val="sk-SK"/>
              </w:rPr>
              <w:t>:</w:t>
            </w:r>
          </w:p>
          <w:p w14:paraId="0BC279C4" w14:textId="28547084" w:rsidR="00A75B3C" w:rsidRPr="003F23AC" w:rsidRDefault="000F5AA4" w:rsidP="003F23AC">
            <w:pPr>
              <w:pStyle w:val="P68B1DB1-Normal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 xml:space="preserve">Zákonný dekrét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16/2016</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9</w:t>
            </w:r>
            <w:r w:rsidR="00A75B3C" w:rsidRPr="003F23AC">
              <w:rPr>
                <w:rFonts w:ascii="Times New Roman" w:hAnsi="Times New Roman" w:cs="Times New Roman"/>
                <w:noProof/>
                <w:lang w:val="sk-SK"/>
              </w:rPr>
              <w:t>. marca;</w:t>
            </w:r>
          </w:p>
          <w:p w14:paraId="68763D89" w14:textId="5C4148F0" w:rsidR="00A75B3C" w:rsidRPr="003F23AC" w:rsidRDefault="000F5AA4" w:rsidP="003F23AC">
            <w:pPr>
              <w:pStyle w:val="P68B1DB1-Normal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 xml:space="preserve">Uznesenie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343/2016</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30</w:t>
            </w:r>
            <w:r w:rsidR="00A75B3C" w:rsidRPr="003F23AC">
              <w:rPr>
                <w:rFonts w:ascii="Times New Roman" w:hAnsi="Times New Roman" w:cs="Times New Roman"/>
                <w:noProof/>
                <w:lang w:val="sk-SK"/>
              </w:rPr>
              <w:t>. decembra</w:t>
            </w:r>
            <w:r w:rsidRPr="003F23AC">
              <w:rPr>
                <w:rFonts w:ascii="Times New Roman" w:hAnsi="Times New Roman" w:cs="Times New Roman"/>
                <w:noProof/>
                <w:lang w:val="sk-SK"/>
              </w:rPr>
              <w:t>,</w:t>
            </w:r>
          </w:p>
          <w:p w14:paraId="31AECAA9" w14:textId="162D7CB7" w:rsidR="00A75B3C" w:rsidRPr="003F23AC" w:rsidRDefault="000F5AA4" w:rsidP="003F23AC">
            <w:pPr>
              <w:pStyle w:val="P68B1DB1-Normal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 xml:space="preserve">Uznesenie Rady ministrov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175/2017</w:t>
            </w:r>
            <w:r w:rsidR="00A75B3C" w:rsidRPr="003F23AC">
              <w:rPr>
                <w:rFonts w:ascii="Times New Roman" w:hAnsi="Times New Roman" w:cs="Times New Roman"/>
                <w:noProof/>
                <w:lang w:val="sk-SK"/>
              </w:rPr>
              <w:t>.</w:t>
            </w:r>
          </w:p>
          <w:p w14:paraId="576A9B43" w14:textId="243CA780"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Revízia týchto aktov pozostáva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aktualizácie stratégie Port Tech Clusters Network, ktorou sa rozšíri jej rozsah pôsobnosti na dekarbonizáciu námorného hospodárstva; revízia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prispôsobenie ekologického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prevádzkového režimu modrého fondu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prispôsobiť ho riadeniu investícií do zložky; vytvorenie modelu riadenia centra.</w:t>
            </w:r>
            <w:r w:rsidR="00A75B3C" w:rsidRPr="003F23AC">
              <w:rPr>
                <w:rFonts w:ascii="Times New Roman" w:hAnsi="Times New Roman" w:cs="Times New Roman"/>
                <w:noProof/>
                <w:lang w:val="sk-SK"/>
              </w:rPr>
              <w:t xml:space="preserve"> </w:t>
            </w:r>
          </w:p>
        </w:tc>
      </w:tr>
      <w:tr w:rsidR="00387C70" w:rsidRPr="003F23AC" w14:paraId="1C9ED07F" w14:textId="77777777" w:rsidTr="009E4E5C">
        <w:trPr>
          <w:trHeight w:val="630"/>
          <w:jc w:val="center"/>
        </w:trPr>
        <w:tc>
          <w:tcPr>
            <w:tcW w:w="1101" w:type="dxa"/>
            <w:shd w:val="clear" w:color="auto" w:fill="C4EFCE"/>
            <w:tcMar>
              <w:left w:w="28" w:type="dxa"/>
              <w:right w:w="28" w:type="dxa"/>
            </w:tcMar>
            <w:vAlign w:val="center"/>
            <w:hideMark/>
          </w:tcPr>
          <w:p w14:paraId="20846F99" w14:textId="77777777" w:rsidR="00387C70" w:rsidRPr="003F23AC" w:rsidRDefault="000F5AA4" w:rsidP="003F23AC">
            <w:pPr>
              <w:pStyle w:val="P68B1DB1-Normal7"/>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10.2</w:t>
            </w:r>
          </w:p>
        </w:tc>
        <w:tc>
          <w:tcPr>
            <w:tcW w:w="1231" w:type="dxa"/>
            <w:shd w:val="clear" w:color="auto" w:fill="C4EFCE"/>
            <w:noWrap/>
            <w:tcMar>
              <w:left w:w="28" w:type="dxa"/>
              <w:right w:w="28" w:type="dxa"/>
            </w:tcMar>
            <w:vAlign w:val="center"/>
            <w:hideMark/>
          </w:tcPr>
          <w:p w14:paraId="13BA066B"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TC-C10-i01</w:t>
            </w:r>
          </w:p>
        </w:tc>
        <w:tc>
          <w:tcPr>
            <w:tcW w:w="1096" w:type="dxa"/>
            <w:shd w:val="clear" w:color="auto" w:fill="C4EFCE"/>
            <w:noWrap/>
            <w:tcMar>
              <w:left w:w="28" w:type="dxa"/>
              <w:right w:w="28" w:type="dxa"/>
            </w:tcMar>
            <w:vAlign w:val="center"/>
            <w:hideMark/>
          </w:tcPr>
          <w:p w14:paraId="6294F56F" w14:textId="712797AC" w:rsidR="00387C70" w:rsidRPr="003F23AC" w:rsidRDefault="00C32C63"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40" w:type="dxa"/>
            <w:shd w:val="clear" w:color="auto" w:fill="C4EFCE"/>
            <w:noWrap/>
            <w:tcMar>
              <w:left w:w="28" w:type="dxa"/>
              <w:right w:w="28" w:type="dxa"/>
            </w:tcMar>
            <w:vAlign w:val="center"/>
            <w:hideMark/>
          </w:tcPr>
          <w:p w14:paraId="079896DE" w14:textId="0C12BAB8"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modernizácie školy Blue Hub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posilnenie dodávok</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vybavenia</w:t>
            </w:r>
          </w:p>
        </w:tc>
        <w:tc>
          <w:tcPr>
            <w:tcW w:w="1231" w:type="dxa"/>
            <w:shd w:val="clear" w:color="auto" w:fill="C4EFCE"/>
            <w:noWrap/>
            <w:tcMar>
              <w:left w:w="28" w:type="dxa"/>
              <w:right w:w="28" w:type="dxa"/>
            </w:tcMar>
            <w:vAlign w:val="center"/>
            <w:hideMark/>
          </w:tcPr>
          <w:p w14:paraId="03E07993"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55A4B559"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61" w:type="dxa"/>
            <w:shd w:val="clear" w:color="auto" w:fill="C4EFCE"/>
            <w:noWrap/>
            <w:tcMar>
              <w:left w:w="28" w:type="dxa"/>
              <w:right w:w="28" w:type="dxa"/>
            </w:tcMar>
            <w:vAlign w:val="center"/>
            <w:hideMark/>
          </w:tcPr>
          <w:p w14:paraId="2ACDF2F9"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690" w:type="dxa"/>
            <w:shd w:val="clear" w:color="auto" w:fill="C4EFCE"/>
            <w:noWrap/>
            <w:tcMar>
              <w:left w:w="28" w:type="dxa"/>
              <w:right w:w="28" w:type="dxa"/>
            </w:tcMar>
            <w:vAlign w:val="center"/>
            <w:hideMark/>
          </w:tcPr>
          <w:p w14:paraId="39EEF38E"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100</w:t>
            </w:r>
          </w:p>
        </w:tc>
        <w:tc>
          <w:tcPr>
            <w:tcW w:w="554" w:type="dxa"/>
            <w:shd w:val="clear" w:color="auto" w:fill="C4EFCE"/>
            <w:noWrap/>
            <w:tcMar>
              <w:left w:w="28" w:type="dxa"/>
              <w:right w:w="28" w:type="dxa"/>
            </w:tcMar>
            <w:vAlign w:val="center"/>
            <w:hideMark/>
          </w:tcPr>
          <w:p w14:paraId="1F0251CD" w14:textId="126D640C" w:rsidR="00387C70" w:rsidRPr="003F23AC" w:rsidRDefault="00FF0A91"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684" w:type="dxa"/>
            <w:shd w:val="clear" w:color="auto" w:fill="C4EFCE"/>
            <w:noWrap/>
            <w:tcMar>
              <w:left w:w="28" w:type="dxa"/>
              <w:right w:w="28" w:type="dxa"/>
            </w:tcMar>
            <w:vAlign w:val="center"/>
            <w:hideMark/>
          </w:tcPr>
          <w:p w14:paraId="3708D654"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5223" w:type="dxa"/>
            <w:shd w:val="clear" w:color="auto" w:fill="C4EFCE"/>
            <w:tcMar>
              <w:left w:w="28" w:type="dxa"/>
              <w:right w:w="28" w:type="dxa"/>
            </w:tcMar>
            <w:vAlign w:val="center"/>
            <w:hideMark/>
          </w:tcPr>
          <w:p w14:paraId="7E1C1D96" w14:textId="514CE661" w:rsidR="00A75B3C" w:rsidRPr="003F23AC" w:rsidRDefault="000F5AA4" w:rsidP="003F23AC">
            <w:pPr>
              <w:pStyle w:val="P68B1DB1-Normal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Ukončenie modernizačných prác, posilnenie ponuky odbornej prípravy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renovácia vybavením školy Blue Hub. Finalizácia uvedeného sa uskutoční po potvrdení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technickými špecifikáciami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zmluvnými záväzkami. Musí obsahovať</w:t>
            </w:r>
            <w:r w:rsidR="00A75B3C" w:rsidRPr="003F23AC">
              <w:rPr>
                <w:rFonts w:ascii="Times New Roman" w:hAnsi="Times New Roman" w:cs="Times New Roman"/>
                <w:noProof/>
                <w:lang w:val="sk-SK"/>
              </w:rPr>
              <w:t>:</w:t>
            </w:r>
          </w:p>
          <w:p w14:paraId="3A3F2EF4" w14:textId="3F4A3C74" w:rsidR="00387C70" w:rsidRPr="003F23AC" w:rsidRDefault="000F5AA4" w:rsidP="003F23AC">
            <w:pPr>
              <w:spacing w:before="40"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investície do infraštruktúry</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 xml:space="preserve">systémov </w:t>
            </w:r>
            <w:r w:rsidRPr="003F23AC">
              <w:rPr>
                <w:rFonts w:ascii="Times New Roman" w:hAnsi="Times New Roman" w:cs="Times New Roman"/>
                <w:i/>
                <w:noProof/>
                <w:sz w:val="16"/>
                <w:lang w:val="sk-SK"/>
              </w:rPr>
              <w:t>Escola Superior Náutica Infante D. Henrique</w:t>
            </w:r>
            <w:r w:rsidRPr="003F23AC">
              <w:rPr>
                <w:rFonts w:ascii="Times New Roman" w:hAnsi="Times New Roman" w:cs="Times New Roman"/>
                <w:noProof/>
                <w:sz w:val="16"/>
                <w:lang w:val="sk-SK"/>
              </w:rPr>
              <w:t xml:space="preserve"> (ENIDH) vrátane modernizácie 16 laboratórií</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nákupu simulátorov (na určovanie polohy plavidiel, služby lodnej dopravy, ako aj logistické</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prístavné operácie)</w:t>
            </w:r>
          </w:p>
          <w:p w14:paraId="37CC213B" w14:textId="1E9D8A11" w:rsidR="00387C70" w:rsidRPr="003F23AC" w:rsidRDefault="000F5AA4" w:rsidP="003F23AC">
            <w:pPr>
              <w:spacing w:before="40"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Modernizácia systému For-MAR: modernizácia 6 stredísk odbornej prípravy, podporné vybavenie pre odbornú prípravu, modernizácia informačných</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komunikačných systémov, digitalizácia procesov odbornej prípravy</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navrhovanie elektronického vzdelávania.</w:t>
            </w:r>
          </w:p>
          <w:p w14:paraId="69131879" w14:textId="16DD0144"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 Obnovami zameranými na energetickú efektívnosť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dosiahne aspoň stredná hĺbková obnova,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87C70" w:rsidRPr="003F23AC" w14:paraId="3B18127E" w14:textId="77777777" w:rsidTr="009E4E5C">
        <w:trPr>
          <w:trHeight w:val="290"/>
          <w:jc w:val="center"/>
        </w:trPr>
        <w:tc>
          <w:tcPr>
            <w:tcW w:w="1101" w:type="dxa"/>
            <w:shd w:val="clear" w:color="auto" w:fill="C4EFCE"/>
            <w:tcMar>
              <w:left w:w="28" w:type="dxa"/>
              <w:right w:w="28" w:type="dxa"/>
            </w:tcMar>
            <w:vAlign w:val="center"/>
            <w:hideMark/>
          </w:tcPr>
          <w:p w14:paraId="1A210116" w14:textId="77777777" w:rsidR="00387C70" w:rsidRPr="003F23AC" w:rsidRDefault="000F5AA4" w:rsidP="003F23AC">
            <w:pPr>
              <w:pStyle w:val="P68B1DB1-Normal7"/>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10.3</w:t>
            </w:r>
          </w:p>
        </w:tc>
        <w:tc>
          <w:tcPr>
            <w:tcW w:w="1231" w:type="dxa"/>
            <w:shd w:val="clear" w:color="auto" w:fill="C4EFCE"/>
            <w:noWrap/>
            <w:tcMar>
              <w:left w:w="28" w:type="dxa"/>
              <w:right w:w="28" w:type="dxa"/>
            </w:tcMar>
            <w:vAlign w:val="center"/>
            <w:hideMark/>
          </w:tcPr>
          <w:p w14:paraId="7F3373D8"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TC-C10-i01</w:t>
            </w:r>
          </w:p>
        </w:tc>
        <w:tc>
          <w:tcPr>
            <w:tcW w:w="1096" w:type="dxa"/>
            <w:shd w:val="clear" w:color="auto" w:fill="C4EFCE"/>
            <w:noWrap/>
            <w:tcMar>
              <w:left w:w="28" w:type="dxa"/>
              <w:right w:w="28" w:type="dxa"/>
            </w:tcMar>
            <w:vAlign w:val="center"/>
            <w:hideMark/>
          </w:tcPr>
          <w:p w14:paraId="73F010EA" w14:textId="73828215" w:rsidR="00387C70" w:rsidRPr="003F23AC" w:rsidRDefault="00C32C63"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40" w:type="dxa"/>
            <w:shd w:val="clear" w:color="auto" w:fill="C4EFCE"/>
            <w:noWrap/>
            <w:tcMar>
              <w:left w:w="28" w:type="dxa"/>
              <w:right w:w="28" w:type="dxa"/>
            </w:tcMar>
            <w:vAlign w:val="center"/>
            <w:hideMark/>
          </w:tcPr>
          <w:p w14:paraId="5BC5CD21"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inštalácie a/alebo modernizácie centier modrého centra</w:t>
            </w:r>
          </w:p>
        </w:tc>
        <w:tc>
          <w:tcPr>
            <w:tcW w:w="1231" w:type="dxa"/>
            <w:shd w:val="clear" w:color="auto" w:fill="C4EFCE"/>
            <w:noWrap/>
            <w:tcMar>
              <w:left w:w="28" w:type="dxa"/>
              <w:right w:w="28" w:type="dxa"/>
            </w:tcMar>
            <w:vAlign w:val="center"/>
            <w:hideMark/>
          </w:tcPr>
          <w:p w14:paraId="4E5B4906"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1F0D4373"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w:t>
            </w:r>
          </w:p>
        </w:tc>
        <w:tc>
          <w:tcPr>
            <w:tcW w:w="961" w:type="dxa"/>
            <w:shd w:val="clear" w:color="auto" w:fill="C4EFCE"/>
            <w:noWrap/>
            <w:tcMar>
              <w:left w:w="28" w:type="dxa"/>
              <w:right w:w="28" w:type="dxa"/>
            </w:tcMar>
            <w:vAlign w:val="center"/>
            <w:hideMark/>
          </w:tcPr>
          <w:p w14:paraId="5AE14534"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690" w:type="dxa"/>
            <w:shd w:val="clear" w:color="auto" w:fill="C4EFCE"/>
            <w:noWrap/>
            <w:tcMar>
              <w:left w:w="28" w:type="dxa"/>
              <w:right w:w="28" w:type="dxa"/>
            </w:tcMar>
            <w:vAlign w:val="center"/>
            <w:hideMark/>
          </w:tcPr>
          <w:p w14:paraId="0F28BF19"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w:t>
            </w:r>
          </w:p>
        </w:tc>
        <w:tc>
          <w:tcPr>
            <w:tcW w:w="554" w:type="dxa"/>
            <w:shd w:val="clear" w:color="auto" w:fill="C4EFCE"/>
            <w:noWrap/>
            <w:tcMar>
              <w:left w:w="28" w:type="dxa"/>
              <w:right w:w="28" w:type="dxa"/>
            </w:tcMar>
            <w:vAlign w:val="center"/>
            <w:hideMark/>
          </w:tcPr>
          <w:p w14:paraId="2937E871" w14:textId="6DEB5FF0" w:rsidR="00387C70" w:rsidRPr="003F23AC" w:rsidRDefault="00FF0A91"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684" w:type="dxa"/>
            <w:shd w:val="clear" w:color="auto" w:fill="C4EFCE"/>
            <w:noWrap/>
            <w:tcMar>
              <w:left w:w="28" w:type="dxa"/>
              <w:right w:w="28" w:type="dxa"/>
            </w:tcMar>
            <w:vAlign w:val="center"/>
            <w:hideMark/>
          </w:tcPr>
          <w:p w14:paraId="60DD0007"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5223" w:type="dxa"/>
            <w:shd w:val="clear" w:color="auto" w:fill="C4EFCE"/>
            <w:tcMar>
              <w:left w:w="28" w:type="dxa"/>
              <w:right w:w="28" w:type="dxa"/>
            </w:tcMar>
            <w:vAlign w:val="center"/>
            <w:hideMark/>
          </w:tcPr>
          <w:p w14:paraId="238E763E" w14:textId="04A5326D" w:rsidR="00A75B3C" w:rsidRPr="003F23AC" w:rsidRDefault="000F5AA4" w:rsidP="003F23AC">
            <w:pPr>
              <w:pStyle w:val="P68B1DB1-Normal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Ukončenie prác (stavba, renovácia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vybavenie) pre 7 modrých uzlov. Nové alebo modernizované modré uzly zahŕňajú</w:t>
            </w:r>
            <w:r w:rsidR="00A75B3C" w:rsidRPr="003F23AC">
              <w:rPr>
                <w:rFonts w:ascii="Times New Roman" w:hAnsi="Times New Roman" w:cs="Times New Roman"/>
                <w:noProof/>
                <w:lang w:val="sk-SK"/>
              </w:rPr>
              <w:t>:</w:t>
            </w:r>
          </w:p>
          <w:p w14:paraId="670656B3" w14:textId="53179159" w:rsidR="00A75B3C" w:rsidRPr="003F23AC" w:rsidRDefault="000F5AA4" w:rsidP="003F23AC">
            <w:pPr>
              <w:spacing w:before="40" w:after="0" w:line="240" w:lineRule="auto"/>
              <w:jc w:val="both"/>
              <w:rPr>
                <w:rFonts w:ascii="Times New Roman" w:hAnsi="Times New Roman" w:cs="Times New Roman"/>
                <w:noProof/>
                <w:sz w:val="16"/>
                <w:lang w:val="sk-SK"/>
              </w:rPr>
            </w:pPr>
            <w:r w:rsidRPr="003F23AC">
              <w:rPr>
                <w:rFonts w:ascii="Times New Roman" w:hAnsi="Times New Roman" w:cs="Times New Roman"/>
                <w:noProof/>
                <w:sz w:val="16"/>
                <w:lang w:val="sk-SK"/>
              </w:rPr>
              <w:t>1.</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Centrum podnikov</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spoločné oceánske laboratórium</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Lisabone: obnova budovy pre oceánske laboratórium, okrem iného</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priestormi laboratórnej infraštruktúry, biorafinérskymi jednotkami, priestorom pre národnú biobanku morských zdrojov</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kancelárskymi priestormi pre technické spoločnosti</w:t>
            </w:r>
            <w:r w:rsidR="00A75B3C" w:rsidRPr="003F23AC">
              <w:rPr>
                <w:rFonts w:ascii="Times New Roman" w:hAnsi="Times New Roman" w:cs="Times New Roman"/>
                <w:noProof/>
                <w:sz w:val="16"/>
                <w:lang w:val="sk-SK"/>
              </w:rPr>
              <w:t>.</w:t>
            </w:r>
          </w:p>
          <w:p w14:paraId="18D06A3A" w14:textId="0D8954A6" w:rsidR="00A75B3C" w:rsidRPr="003F23AC" w:rsidRDefault="000F5AA4" w:rsidP="003F23AC">
            <w:pPr>
              <w:spacing w:before="40" w:after="0" w:line="240" w:lineRule="auto"/>
              <w:jc w:val="both"/>
              <w:rPr>
                <w:rFonts w:ascii="Times New Roman" w:hAnsi="Times New Roman" w:cs="Times New Roman"/>
                <w:noProof/>
                <w:sz w:val="16"/>
                <w:lang w:val="sk-SK"/>
              </w:rPr>
            </w:pPr>
            <w:r w:rsidRPr="003F23AC">
              <w:rPr>
                <w:rFonts w:ascii="Times New Roman" w:hAnsi="Times New Roman" w:cs="Times New Roman"/>
                <w:noProof/>
                <w:sz w:val="16"/>
                <w:lang w:val="sk-SK"/>
              </w:rPr>
              <w:t>2.</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Centrum IPMA/Sea Oeiras na zlepšenie spôsobilostí na monitorovanie oceánov: vrátane výstavby hangára pre oceánsku inžiniersku jednotku vrátane valcovacích mostov, dielenských priestorov, archivačnej budovy</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rotujúcimi regálmi pre vzorky, ktoré je potrebné uchovávať</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tekutom prostredí, vybavenia na výskum rybolovu. Zahŕňa aj radarové zariadenia na monitorovanie</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reálnom čase</w:t>
            </w:r>
            <w:r w:rsidR="00A75B3C" w:rsidRPr="003F23AC">
              <w:rPr>
                <w:rFonts w:ascii="Times New Roman" w:hAnsi="Times New Roman" w:cs="Times New Roman"/>
                <w:noProof/>
                <w:sz w:val="16"/>
                <w:lang w:val="sk-SK"/>
              </w:rPr>
              <w:t>.</w:t>
            </w:r>
          </w:p>
          <w:p w14:paraId="1D5FC4FC" w14:textId="5D192939" w:rsidR="00387C70" w:rsidRPr="003F23AC" w:rsidRDefault="000F5AA4" w:rsidP="003F23AC">
            <w:pPr>
              <w:spacing w:before="40"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3.</w:t>
            </w:r>
            <w:r w:rsidRPr="003F23AC">
              <w:rPr>
                <w:rFonts w:ascii="Times New Roman" w:hAnsi="Times New Roman" w:cs="Times New Roman"/>
                <w:noProof/>
                <w:sz w:val="14"/>
                <w:lang w:val="sk-SK"/>
              </w:rPr>
              <w:t xml:space="preserve"> Peniche Hub pre</w:t>
            </w:r>
            <w:r w:rsidRPr="003F23AC">
              <w:rPr>
                <w:rFonts w:ascii="Times New Roman" w:hAnsi="Times New Roman" w:cs="Times New Roman"/>
                <w:noProof/>
                <w:sz w:val="16"/>
                <w:lang w:val="sk-SK"/>
              </w:rPr>
              <w:t>inteligentné oceány: vrátane budovania infraštruktúry, vedeckého</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technologického parku</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oblasti rybárskeho prístavu Peniche, výstavby</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zavedenia systému zberu</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čistenia slanej vody, otvoreného priestoru na šírenie námorných poznatkov.</w:t>
            </w:r>
          </w:p>
          <w:p w14:paraId="65B36634" w14:textId="3538DF70" w:rsidR="00387C70" w:rsidRPr="003F23AC" w:rsidRDefault="000F5AA4" w:rsidP="003F23AC">
            <w:pPr>
              <w:spacing w:before="40"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4.</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Centrum Aveiro: vrátane obnovy starého systému lovu, úpravy</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distribúcie morskej vody, národného laboratória pre vývoj</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testovanie produktov rybolovu</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akvakultúry, produkcie 5.0 laboratória pre riasy</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šelfu.</w:t>
            </w:r>
          </w:p>
          <w:p w14:paraId="62DA030E" w14:textId="79352541" w:rsidR="00387C70" w:rsidRPr="003F23AC" w:rsidRDefault="000F5AA4" w:rsidP="003F23AC">
            <w:pPr>
              <w:spacing w:before="40"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5.</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The Ocean.Plus hub in Porto, Leixões I: vrátane súboru spoločnej infraštruktúry pre vedeckú komunitu na podporu výskumných pracovníkov vo všetkých fázach vývoja vedy</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techniky, od návrhu po vývoj prototypov, zavádzanie testov</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teréne, overovanie technológií</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prenos poznatkov vrátane logistických</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oceánskych platforiem</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jednoduchým prístupom pre vedeckú</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inovačnú komunitu.</w:t>
            </w:r>
          </w:p>
          <w:p w14:paraId="191EC3E9" w14:textId="37CFDA83" w:rsidR="00387C70" w:rsidRPr="003F23AC" w:rsidRDefault="000F5AA4" w:rsidP="003F23AC">
            <w:pPr>
              <w:spacing w:before="40"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6.</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Porto Hub/Leixões II: Stredisko pre velenie</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riadenie bezpilotných vozidiel podporujúcich more: vrátane viacdoménnych bezpilotných prostriedkov (podpovrchových, povrchových</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dlhodobých vzdušných prostriedkov) vybavených snímačmi na meranie základných premenných oceánu (EoV), centrom velenia</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riadenia</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výpočtovými</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komunikačnými systémami.</w:t>
            </w:r>
          </w:p>
          <w:p w14:paraId="77BDFD13" w14:textId="3E3D0AD7" w:rsidR="00387C70" w:rsidRPr="003F23AC" w:rsidRDefault="000F5AA4" w:rsidP="003F23AC">
            <w:pPr>
              <w:spacing w:before="40"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7.</w:t>
            </w:r>
            <w:r w:rsidRPr="003F23AC">
              <w:rPr>
                <w:rFonts w:ascii="Times New Roman" w:hAnsi="Times New Roman" w:cs="Times New Roman"/>
                <w:noProof/>
                <w:sz w:val="14"/>
                <w:lang w:val="sk-SK"/>
              </w:rPr>
              <w:t xml:space="preserve"> </w:t>
            </w:r>
            <w:r w:rsidRPr="003F23AC">
              <w:rPr>
                <w:rFonts w:ascii="Times New Roman" w:hAnsi="Times New Roman" w:cs="Times New Roman"/>
                <w:noProof/>
                <w:sz w:val="16"/>
                <w:lang w:val="sk-SK"/>
              </w:rPr>
              <w:t>Centrum Algarve: zahŕňa vytvorenie novej infraštruktúry</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vybavenia, laboratórií</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kancelárií, priestorov pre nové podniky (kapacita približne 15 spoločností</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90 pracovných miest) so zameraním na modrú biotechnológiu, akvakultúru, potraviny</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krmivá</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morské biologické zdroje, vývoj valorizačných produktov</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tvorbu poznatkov.</w:t>
            </w:r>
          </w:p>
          <w:p w14:paraId="7AE1994E" w14:textId="5770AFB6"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Obchodný model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odborný dočasný obchodný riadiaci tím pre modrý uzol sa opätovne vytvoria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prijmú (zahŕňajúc aj školu Blue Hub School).</w:t>
            </w:r>
          </w:p>
          <w:p w14:paraId="104247E9" w14:textId="5B13243F" w:rsidR="00A75B3C" w:rsidRPr="003F23AC" w:rsidRDefault="000F5AA4" w:rsidP="003F23AC">
            <w:pPr>
              <w:pStyle w:val="P68B1DB1-Normal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Táto iniciatíva je súčasťou vykonávania národnej stratégie pre oceány na roky 2021 – 2030, konkrétne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strategických cieľov 1, 2, 3, 6, 7</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9</w:t>
            </w:r>
            <w:r w:rsidR="00A75B3C" w:rsidRPr="003F23AC">
              <w:rPr>
                <w:rFonts w:ascii="Times New Roman" w:hAnsi="Times New Roman" w:cs="Times New Roman"/>
                <w:noProof/>
                <w:lang w:val="sk-SK"/>
              </w:rPr>
              <w:t>.</w:t>
            </w:r>
          </w:p>
          <w:p w14:paraId="1957099A" w14:textId="3584E79D"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Finalizácia uvedeného sa uskutoční po potvrdení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technickými špecifikáciami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zmluvnými záväzkami.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 Obnovami zameranými na energetickú efektívnosť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dosiahne aspoň stredná hĺbková obnova,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87C70" w:rsidRPr="003F23AC" w14:paraId="476877EB" w14:textId="77777777" w:rsidTr="009E4E5C">
        <w:trPr>
          <w:trHeight w:val="2116"/>
          <w:jc w:val="center"/>
        </w:trPr>
        <w:tc>
          <w:tcPr>
            <w:tcW w:w="1101" w:type="dxa"/>
            <w:shd w:val="clear" w:color="auto" w:fill="C4EFCE"/>
            <w:tcMar>
              <w:left w:w="28" w:type="dxa"/>
              <w:right w:w="28" w:type="dxa"/>
            </w:tcMar>
            <w:vAlign w:val="center"/>
            <w:hideMark/>
          </w:tcPr>
          <w:p w14:paraId="789549CF" w14:textId="77777777" w:rsidR="00387C70" w:rsidRPr="003F23AC" w:rsidRDefault="000F5AA4" w:rsidP="003F23AC">
            <w:pPr>
              <w:pStyle w:val="P68B1DB1-Normal7"/>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10.4</w:t>
            </w:r>
          </w:p>
        </w:tc>
        <w:tc>
          <w:tcPr>
            <w:tcW w:w="1231" w:type="dxa"/>
            <w:shd w:val="clear" w:color="auto" w:fill="C4EFCE"/>
            <w:noWrap/>
            <w:tcMar>
              <w:left w:w="28" w:type="dxa"/>
              <w:right w:w="28" w:type="dxa"/>
            </w:tcMar>
            <w:vAlign w:val="center"/>
            <w:hideMark/>
          </w:tcPr>
          <w:p w14:paraId="123D829D"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TC-C10-i02</w:t>
            </w:r>
          </w:p>
        </w:tc>
        <w:tc>
          <w:tcPr>
            <w:tcW w:w="1096" w:type="dxa"/>
            <w:shd w:val="clear" w:color="auto" w:fill="C4EFCE"/>
            <w:noWrap/>
            <w:tcMar>
              <w:left w:w="28" w:type="dxa"/>
              <w:right w:w="28" w:type="dxa"/>
            </w:tcMar>
            <w:vAlign w:val="center"/>
            <w:hideMark/>
          </w:tcPr>
          <w:p w14:paraId="5CC8709D" w14:textId="5ADB4F83" w:rsidR="00387C70" w:rsidRPr="003F23AC" w:rsidRDefault="00C32C63"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40" w:type="dxa"/>
            <w:shd w:val="clear" w:color="auto" w:fill="C4EFCE"/>
            <w:noWrap/>
            <w:tcMar>
              <w:left w:w="28" w:type="dxa"/>
              <w:right w:w="28" w:type="dxa"/>
            </w:tcMar>
            <w:vAlign w:val="center"/>
            <w:hideMark/>
          </w:tcPr>
          <w:p w14:paraId="10951DFD" w14:textId="7118613B"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Schválenie záverečných správ</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70 projektoch na podporu inovácií, energetickej transformácie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zníženia vplyvu na životné prostredie pre subjekty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odvetví rybolovu</w:t>
            </w:r>
          </w:p>
        </w:tc>
        <w:tc>
          <w:tcPr>
            <w:tcW w:w="1231" w:type="dxa"/>
            <w:shd w:val="clear" w:color="auto" w:fill="C4EFCE"/>
            <w:noWrap/>
            <w:tcMar>
              <w:left w:w="28" w:type="dxa"/>
              <w:right w:w="28" w:type="dxa"/>
            </w:tcMar>
            <w:vAlign w:val="center"/>
            <w:hideMark/>
          </w:tcPr>
          <w:p w14:paraId="43AC3C6A"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2" w:type="dxa"/>
            <w:shd w:val="clear" w:color="auto" w:fill="C4EFCE"/>
            <w:noWrap/>
            <w:tcMar>
              <w:left w:w="28" w:type="dxa"/>
              <w:right w:w="28" w:type="dxa"/>
            </w:tcMar>
            <w:vAlign w:val="center"/>
            <w:hideMark/>
          </w:tcPr>
          <w:p w14:paraId="41968F9D"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w:t>
            </w:r>
          </w:p>
        </w:tc>
        <w:tc>
          <w:tcPr>
            <w:tcW w:w="961" w:type="dxa"/>
            <w:shd w:val="clear" w:color="auto" w:fill="C4EFCE"/>
            <w:noWrap/>
            <w:tcMar>
              <w:left w:w="28" w:type="dxa"/>
              <w:right w:w="28" w:type="dxa"/>
            </w:tcMar>
            <w:vAlign w:val="center"/>
            <w:hideMark/>
          </w:tcPr>
          <w:p w14:paraId="48106376"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690" w:type="dxa"/>
            <w:shd w:val="clear" w:color="auto" w:fill="C4EFCE"/>
            <w:noWrap/>
            <w:tcMar>
              <w:left w:w="28" w:type="dxa"/>
              <w:right w:w="28" w:type="dxa"/>
            </w:tcMar>
            <w:vAlign w:val="center"/>
            <w:hideMark/>
          </w:tcPr>
          <w:p w14:paraId="37C46F26"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70</w:t>
            </w:r>
          </w:p>
        </w:tc>
        <w:tc>
          <w:tcPr>
            <w:tcW w:w="554" w:type="dxa"/>
            <w:shd w:val="clear" w:color="auto" w:fill="C4EFCE"/>
            <w:noWrap/>
            <w:tcMar>
              <w:left w:w="28" w:type="dxa"/>
              <w:right w:w="28" w:type="dxa"/>
            </w:tcMar>
            <w:vAlign w:val="center"/>
            <w:hideMark/>
          </w:tcPr>
          <w:p w14:paraId="05E8D103" w14:textId="3066EF5B" w:rsidR="00387C70" w:rsidRPr="003F23AC" w:rsidRDefault="00FF0A91"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684" w:type="dxa"/>
            <w:shd w:val="clear" w:color="auto" w:fill="C4EFCE"/>
            <w:noWrap/>
            <w:tcMar>
              <w:left w:w="28" w:type="dxa"/>
              <w:right w:w="28" w:type="dxa"/>
            </w:tcMar>
            <w:vAlign w:val="center"/>
            <w:hideMark/>
          </w:tcPr>
          <w:p w14:paraId="4FA70926"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5223" w:type="dxa"/>
            <w:shd w:val="clear" w:color="auto" w:fill="C4EFCE"/>
            <w:tcMar>
              <w:left w:w="28" w:type="dxa"/>
              <w:right w:w="28" w:type="dxa"/>
            </w:tcMar>
            <w:vAlign w:val="center"/>
            <w:hideMark/>
          </w:tcPr>
          <w:p w14:paraId="5616E553" w14:textId="0DF2E016"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Schválenie záverečných správ</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realizácii 70 projektov na podporu inovácií, energetickej transformácie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zníženia vplyvu na životné prostredie pre subjekty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odvetví rybolovu zo strany DGRM-IFAP (Generálne riaditeľstvo pre prírodné zdroje, bezpečnosť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námorné služby). DGRM-IFAP meria kvantitatívny pokrok</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porovnaní so špecifickými cieľmi dohodnutými pri prideľovaní základného financovania na základe dvoch výziev na predkladanie ponúk, ktoré zorganizovalo DGRM-IFAP</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ktoré sa majú začať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rokoch 2021</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2022</w:t>
            </w:r>
            <w:r w:rsidRPr="003F23AC">
              <w:rPr>
                <w:rFonts w:ascii="Times New Roman" w:hAnsi="Times New Roman" w:cs="Times New Roman"/>
                <w:noProof/>
                <w:shd w:val="clear" w:color="auto" w:fill="E6E6E6"/>
                <w:lang w:val="sk-SK"/>
              </w:rPr>
              <w:t>.</w:t>
            </w:r>
          </w:p>
        </w:tc>
      </w:tr>
      <w:tr w:rsidR="00387C70" w:rsidRPr="003F23AC" w14:paraId="7741B9D8" w14:textId="77777777" w:rsidTr="009E4E5C">
        <w:trPr>
          <w:trHeight w:val="630"/>
          <w:jc w:val="center"/>
        </w:trPr>
        <w:tc>
          <w:tcPr>
            <w:tcW w:w="1101" w:type="dxa"/>
            <w:shd w:val="clear" w:color="auto" w:fill="C4EFCE"/>
            <w:tcMar>
              <w:left w:w="28" w:type="dxa"/>
              <w:right w:w="28" w:type="dxa"/>
            </w:tcMar>
            <w:vAlign w:val="center"/>
            <w:hideMark/>
          </w:tcPr>
          <w:p w14:paraId="39E27BD5" w14:textId="77777777" w:rsidR="00387C70" w:rsidRPr="003F23AC" w:rsidRDefault="000F5AA4" w:rsidP="003F23AC">
            <w:pPr>
              <w:pStyle w:val="P68B1DB1-Normal7"/>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10.8</w:t>
            </w:r>
          </w:p>
        </w:tc>
        <w:tc>
          <w:tcPr>
            <w:tcW w:w="1231" w:type="dxa"/>
            <w:shd w:val="clear" w:color="auto" w:fill="C4EFCE"/>
            <w:noWrap/>
            <w:tcMar>
              <w:left w:w="28" w:type="dxa"/>
              <w:right w:w="28" w:type="dxa"/>
            </w:tcMar>
            <w:vAlign w:val="center"/>
            <w:hideMark/>
          </w:tcPr>
          <w:p w14:paraId="40B57651"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TC-C10 – i04-RAA</w:t>
            </w:r>
          </w:p>
        </w:tc>
        <w:tc>
          <w:tcPr>
            <w:tcW w:w="1096" w:type="dxa"/>
            <w:shd w:val="clear" w:color="auto" w:fill="C4EFCE"/>
            <w:noWrap/>
            <w:tcMar>
              <w:left w:w="28" w:type="dxa"/>
              <w:right w:w="28" w:type="dxa"/>
            </w:tcMar>
            <w:vAlign w:val="center"/>
            <w:hideMark/>
          </w:tcPr>
          <w:p w14:paraId="0C88D666"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40" w:type="dxa"/>
            <w:shd w:val="clear" w:color="auto" w:fill="C4EFCE"/>
            <w:noWrap/>
            <w:tcMar>
              <w:left w:w="28" w:type="dxa"/>
              <w:right w:w="28" w:type="dxa"/>
            </w:tcMar>
            <w:vAlign w:val="center"/>
            <w:hideMark/>
          </w:tcPr>
          <w:p w14:paraId="7895B9C7" w14:textId="52B5B1C6"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Začiatok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verejných prácach pre technické centrum MARTEC</w:t>
            </w:r>
          </w:p>
        </w:tc>
        <w:tc>
          <w:tcPr>
            <w:tcW w:w="1231" w:type="dxa"/>
            <w:shd w:val="clear" w:color="auto" w:fill="C4EFCE"/>
            <w:noWrap/>
            <w:tcMar>
              <w:left w:w="28" w:type="dxa"/>
              <w:right w:w="28" w:type="dxa"/>
            </w:tcMar>
            <w:vAlign w:val="center"/>
            <w:hideMark/>
          </w:tcPr>
          <w:p w14:paraId="23050660" w14:textId="1D88FF3D"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Začiatok stavebných prác pre technické centrum MARTEC</w:t>
            </w:r>
          </w:p>
        </w:tc>
        <w:tc>
          <w:tcPr>
            <w:tcW w:w="962" w:type="dxa"/>
            <w:shd w:val="clear" w:color="auto" w:fill="C4EFCE"/>
            <w:noWrap/>
            <w:tcMar>
              <w:left w:w="28" w:type="dxa"/>
              <w:right w:w="28" w:type="dxa"/>
            </w:tcMar>
            <w:vAlign w:val="center"/>
            <w:hideMark/>
          </w:tcPr>
          <w:p w14:paraId="12D246C0"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1" w:type="dxa"/>
            <w:shd w:val="clear" w:color="auto" w:fill="C4EFCE"/>
            <w:noWrap/>
            <w:tcMar>
              <w:left w:w="28" w:type="dxa"/>
              <w:right w:w="28" w:type="dxa"/>
            </w:tcMar>
            <w:vAlign w:val="center"/>
            <w:hideMark/>
          </w:tcPr>
          <w:p w14:paraId="27F0FE3B"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690" w:type="dxa"/>
            <w:shd w:val="clear" w:color="auto" w:fill="C4EFCE"/>
            <w:noWrap/>
            <w:tcMar>
              <w:left w:w="28" w:type="dxa"/>
              <w:right w:w="28" w:type="dxa"/>
            </w:tcMar>
            <w:vAlign w:val="center"/>
            <w:hideMark/>
          </w:tcPr>
          <w:p w14:paraId="6355E60A"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554" w:type="dxa"/>
            <w:shd w:val="clear" w:color="auto" w:fill="C4EFCE"/>
            <w:noWrap/>
            <w:tcMar>
              <w:left w:w="28" w:type="dxa"/>
              <w:right w:w="28" w:type="dxa"/>
            </w:tcMar>
            <w:vAlign w:val="center"/>
            <w:hideMark/>
          </w:tcPr>
          <w:p w14:paraId="7166E7D8" w14:textId="2FF71932" w:rsidR="00387C70" w:rsidRPr="003F23AC" w:rsidRDefault="00FF0A91"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684" w:type="dxa"/>
            <w:shd w:val="clear" w:color="auto" w:fill="C4EFCE"/>
            <w:noWrap/>
            <w:tcMar>
              <w:left w:w="28" w:type="dxa"/>
              <w:right w:w="28" w:type="dxa"/>
            </w:tcMar>
            <w:vAlign w:val="center"/>
            <w:hideMark/>
          </w:tcPr>
          <w:p w14:paraId="13D93DFC" w14:textId="0E0F7803"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5223" w:type="dxa"/>
            <w:shd w:val="clear" w:color="auto" w:fill="C4EFCE"/>
            <w:tcMar>
              <w:left w:w="28" w:type="dxa"/>
              <w:right w:w="28" w:type="dxa"/>
            </w:tcMar>
            <w:vAlign w:val="center"/>
            <w:hideMark/>
          </w:tcPr>
          <w:p w14:paraId="3B433989" w14:textId="746A4645" w:rsidR="00A75B3C" w:rsidRPr="003F23AC" w:rsidRDefault="000F5AA4" w:rsidP="003F23AC">
            <w:pPr>
              <w:pStyle w:val="P68B1DB1-Normal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Začatie stavebných prác na infraštruktúre pre Technopolo MARTEC (vrátane nákupu pôdy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zbúrania existujúcej infraštruktúry) na ostrove Faial, ktoré sa dokončia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roku 2025 ako súčasť experimentálneho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vývojového centra prepojeného</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morom na Azorských ostrovoch</w:t>
            </w:r>
            <w:r w:rsidR="00A75B3C" w:rsidRPr="003F23AC">
              <w:rPr>
                <w:rFonts w:ascii="Times New Roman" w:hAnsi="Times New Roman" w:cs="Times New Roman"/>
                <w:noProof/>
                <w:lang w:val="sk-SK"/>
              </w:rPr>
              <w:t>.</w:t>
            </w:r>
          </w:p>
          <w:p w14:paraId="6E6AE8E6" w14:textId="5CBE70C1"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Zahŕňa modrý inkubátor (s rozlohou najmenej 6 500 m²), stredisko akvakultúry (minimálne 2 000 m²)</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potrebné vybavenie (okrem iného všeobecné vybavenie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inštalácia experimentálneho strediska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stanice pre výskum akvakultúry).</w:t>
            </w:r>
          </w:p>
          <w:p w14:paraId="102BB169" w14:textId="5BC2F3F3"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87C70" w:rsidRPr="003F23AC" w14:paraId="5F9977DC" w14:textId="77777777" w:rsidTr="009E4E5C">
        <w:trPr>
          <w:trHeight w:val="1060"/>
          <w:jc w:val="center"/>
        </w:trPr>
        <w:tc>
          <w:tcPr>
            <w:tcW w:w="1101" w:type="dxa"/>
            <w:shd w:val="clear" w:color="auto" w:fill="C4EFCE"/>
            <w:tcMar>
              <w:left w:w="28" w:type="dxa"/>
              <w:right w:w="28" w:type="dxa"/>
            </w:tcMar>
            <w:vAlign w:val="center"/>
            <w:hideMark/>
          </w:tcPr>
          <w:p w14:paraId="5F48BC21" w14:textId="77777777" w:rsidR="00387C70" w:rsidRPr="003F23AC" w:rsidRDefault="000F5AA4" w:rsidP="003F23AC">
            <w:pPr>
              <w:pStyle w:val="P68B1DB1-Normal7"/>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10.9</w:t>
            </w:r>
          </w:p>
        </w:tc>
        <w:tc>
          <w:tcPr>
            <w:tcW w:w="1231" w:type="dxa"/>
            <w:shd w:val="clear" w:color="auto" w:fill="C4EFCE"/>
            <w:noWrap/>
            <w:tcMar>
              <w:left w:w="28" w:type="dxa"/>
              <w:right w:w="28" w:type="dxa"/>
            </w:tcMar>
            <w:vAlign w:val="center"/>
            <w:hideMark/>
          </w:tcPr>
          <w:p w14:paraId="04663115"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TC-C10 – i04-RAA</w:t>
            </w:r>
          </w:p>
        </w:tc>
        <w:tc>
          <w:tcPr>
            <w:tcW w:w="1096" w:type="dxa"/>
            <w:shd w:val="clear" w:color="auto" w:fill="C4EFCE"/>
            <w:noWrap/>
            <w:tcMar>
              <w:left w:w="28" w:type="dxa"/>
              <w:right w:w="28" w:type="dxa"/>
            </w:tcMar>
            <w:vAlign w:val="center"/>
            <w:hideMark/>
          </w:tcPr>
          <w:p w14:paraId="5F75A61A"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M </w:t>
            </w:r>
          </w:p>
        </w:tc>
        <w:tc>
          <w:tcPr>
            <w:tcW w:w="1640" w:type="dxa"/>
            <w:shd w:val="clear" w:color="auto" w:fill="C4EFCE"/>
            <w:noWrap/>
            <w:tcMar>
              <w:left w:w="28" w:type="dxa"/>
              <w:right w:w="28" w:type="dxa"/>
            </w:tcMar>
            <w:vAlign w:val="center"/>
            <w:hideMark/>
          </w:tcPr>
          <w:p w14:paraId="3F722B7B"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Dodávka výskumného plavidla </w:t>
            </w:r>
          </w:p>
        </w:tc>
        <w:tc>
          <w:tcPr>
            <w:tcW w:w="1231" w:type="dxa"/>
            <w:shd w:val="clear" w:color="auto" w:fill="C4EFCE"/>
            <w:noWrap/>
            <w:tcMar>
              <w:left w:w="28" w:type="dxa"/>
              <w:right w:w="28" w:type="dxa"/>
            </w:tcMar>
            <w:vAlign w:val="center"/>
            <w:hideMark/>
          </w:tcPr>
          <w:p w14:paraId="19FAE713"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Dodávka výskumného plavidla</w:t>
            </w:r>
          </w:p>
        </w:tc>
        <w:tc>
          <w:tcPr>
            <w:tcW w:w="962" w:type="dxa"/>
            <w:shd w:val="clear" w:color="auto" w:fill="C4EFCE"/>
            <w:noWrap/>
            <w:tcMar>
              <w:left w:w="28" w:type="dxa"/>
              <w:right w:w="28" w:type="dxa"/>
            </w:tcMar>
            <w:vAlign w:val="center"/>
            <w:hideMark/>
          </w:tcPr>
          <w:p w14:paraId="497F9221"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1" w:type="dxa"/>
            <w:shd w:val="clear" w:color="auto" w:fill="C4EFCE"/>
            <w:noWrap/>
            <w:tcMar>
              <w:left w:w="28" w:type="dxa"/>
              <w:right w:w="28" w:type="dxa"/>
            </w:tcMar>
            <w:vAlign w:val="center"/>
            <w:hideMark/>
          </w:tcPr>
          <w:p w14:paraId="3E15C7BE"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690" w:type="dxa"/>
            <w:shd w:val="clear" w:color="auto" w:fill="C4EFCE"/>
            <w:noWrap/>
            <w:tcMar>
              <w:left w:w="28" w:type="dxa"/>
              <w:right w:w="28" w:type="dxa"/>
            </w:tcMar>
            <w:vAlign w:val="center"/>
            <w:hideMark/>
          </w:tcPr>
          <w:p w14:paraId="649C9000"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554" w:type="dxa"/>
            <w:shd w:val="clear" w:color="auto" w:fill="C4EFCE"/>
            <w:noWrap/>
            <w:tcMar>
              <w:left w:w="28" w:type="dxa"/>
              <w:right w:w="28" w:type="dxa"/>
            </w:tcMar>
            <w:vAlign w:val="center"/>
            <w:hideMark/>
          </w:tcPr>
          <w:p w14:paraId="654D30E1" w14:textId="34490D6A" w:rsidR="00387C70" w:rsidRPr="003F23AC" w:rsidRDefault="00FF0A91"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684" w:type="dxa"/>
            <w:shd w:val="clear" w:color="auto" w:fill="C4EFCE"/>
            <w:noWrap/>
            <w:tcMar>
              <w:left w:w="28" w:type="dxa"/>
              <w:right w:w="28" w:type="dxa"/>
            </w:tcMar>
            <w:vAlign w:val="center"/>
            <w:hideMark/>
          </w:tcPr>
          <w:p w14:paraId="5D59229F" w14:textId="1FE12986"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5223" w:type="dxa"/>
            <w:shd w:val="clear" w:color="auto" w:fill="C4EFCE"/>
            <w:tcMar>
              <w:left w:w="28" w:type="dxa"/>
              <w:right w:w="28" w:type="dxa"/>
            </w:tcMar>
            <w:vAlign w:val="center"/>
            <w:hideMark/>
          </w:tcPr>
          <w:p w14:paraId="3F920368" w14:textId="0EEB3D19"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Dodanie moderného výskumného plavidla. Musí byť schopná fungovať vo veľkých hĺbkach, zahŕňať moderné výskumné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dátové komunikačné zariadenia, dynamické určovanie polohy, schopnosť prevádzkovať vozidlá na diaľkové ovládanie, pelagické siete, dredže, skriňové jadro</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vysokými technologickými normami, pokiaľ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spôsobilosti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vybavenie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vysokou energetickou hospodárnosťou,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uspokojiť súčasné potreby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oblastiach morského výskumu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monitorovania alebo podpory udržateľného využívania oceánov.</w:t>
            </w:r>
          </w:p>
        </w:tc>
      </w:tr>
      <w:tr w:rsidR="00387C70" w:rsidRPr="003F23AC" w14:paraId="622F6723" w14:textId="77777777" w:rsidTr="009E4E5C">
        <w:trPr>
          <w:trHeight w:val="1060"/>
          <w:jc w:val="center"/>
        </w:trPr>
        <w:tc>
          <w:tcPr>
            <w:tcW w:w="1101" w:type="dxa"/>
            <w:shd w:val="clear" w:color="auto" w:fill="C4EFCE"/>
            <w:tcMar>
              <w:left w:w="28" w:type="dxa"/>
              <w:right w:w="28" w:type="dxa"/>
            </w:tcMar>
            <w:vAlign w:val="center"/>
          </w:tcPr>
          <w:p w14:paraId="42689895" w14:textId="717581FE" w:rsidR="00387C70" w:rsidRPr="003F23AC" w:rsidRDefault="000F5AA4" w:rsidP="003F23AC">
            <w:pPr>
              <w:pStyle w:val="P68B1DB1-Normal11"/>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10.11</w:t>
            </w:r>
          </w:p>
        </w:tc>
        <w:tc>
          <w:tcPr>
            <w:tcW w:w="1231" w:type="dxa"/>
            <w:shd w:val="clear" w:color="auto" w:fill="C4EFCE"/>
            <w:noWrap/>
            <w:tcMar>
              <w:left w:w="28" w:type="dxa"/>
              <w:right w:w="28" w:type="dxa"/>
            </w:tcMar>
            <w:vAlign w:val="center"/>
          </w:tcPr>
          <w:p w14:paraId="41B255A2" w14:textId="2496DE23"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TC-C10 – i04-RAA</w:t>
            </w:r>
          </w:p>
        </w:tc>
        <w:tc>
          <w:tcPr>
            <w:tcW w:w="1096" w:type="dxa"/>
            <w:shd w:val="clear" w:color="auto" w:fill="C4EFCE"/>
            <w:noWrap/>
            <w:tcMar>
              <w:left w:w="28" w:type="dxa"/>
              <w:right w:w="28" w:type="dxa"/>
            </w:tcMar>
            <w:vAlign w:val="center"/>
          </w:tcPr>
          <w:p w14:paraId="718C08F5" w14:textId="0ECD9053"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40" w:type="dxa"/>
            <w:shd w:val="clear" w:color="auto" w:fill="C4EFCE"/>
            <w:noWrap/>
            <w:tcMar>
              <w:left w:w="28" w:type="dxa"/>
              <w:right w:w="28" w:type="dxa"/>
            </w:tcMar>
            <w:vAlign w:val="center"/>
          </w:tcPr>
          <w:p w14:paraId="2440886E" w14:textId="5BA56187" w:rsidR="00387C70" w:rsidRPr="003F23AC" w:rsidRDefault="000F5AA4" w:rsidP="003F23AC">
            <w:pPr>
              <w:pStyle w:val="P68B1DB1-Normal12"/>
              <w:spacing w:before="40" w:after="0" w:line="240" w:lineRule="auto"/>
              <w:jc w:val="center"/>
              <w:rPr>
                <w:rFonts w:ascii="Times New Roman" w:eastAsia="Arial" w:hAnsi="Times New Roman" w:cs="Times New Roman"/>
                <w:noProof/>
                <w:lang w:val="sk-SK"/>
              </w:rPr>
            </w:pPr>
            <w:r w:rsidRPr="003F23AC">
              <w:rPr>
                <w:rFonts w:ascii="Times New Roman" w:hAnsi="Times New Roman" w:cs="Times New Roman"/>
                <w:noProof/>
                <w:lang w:val="sk-SK"/>
              </w:rPr>
              <w:t xml:space="preserve">Dodanie 2 modulov pre nové výskumné plavidlo </w:t>
            </w:r>
          </w:p>
        </w:tc>
        <w:tc>
          <w:tcPr>
            <w:tcW w:w="1231" w:type="dxa"/>
            <w:shd w:val="clear" w:color="auto" w:fill="C4EFCE"/>
            <w:noWrap/>
            <w:tcMar>
              <w:left w:w="28" w:type="dxa"/>
              <w:right w:w="28" w:type="dxa"/>
            </w:tcMar>
            <w:vAlign w:val="center"/>
          </w:tcPr>
          <w:p w14:paraId="5ABEAD50" w14:textId="3E3B82CC"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Dodanie 2 modulov pre nové výskumné plavidlo</w:t>
            </w:r>
          </w:p>
        </w:tc>
        <w:tc>
          <w:tcPr>
            <w:tcW w:w="962" w:type="dxa"/>
            <w:shd w:val="clear" w:color="auto" w:fill="C4EFCE"/>
            <w:noWrap/>
            <w:tcMar>
              <w:left w:w="28" w:type="dxa"/>
              <w:right w:w="28" w:type="dxa"/>
            </w:tcMar>
            <w:vAlign w:val="center"/>
          </w:tcPr>
          <w:p w14:paraId="600BCF98" w14:textId="77777777"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961" w:type="dxa"/>
            <w:shd w:val="clear" w:color="auto" w:fill="C4EFCE"/>
            <w:noWrap/>
            <w:tcMar>
              <w:left w:w="28" w:type="dxa"/>
              <w:right w:w="28" w:type="dxa"/>
            </w:tcMar>
            <w:vAlign w:val="center"/>
          </w:tcPr>
          <w:p w14:paraId="4027EBE3" w14:textId="1E059CAD" w:rsidR="00387C70" w:rsidRPr="003F23AC" w:rsidRDefault="00387C70" w:rsidP="003F23AC">
            <w:pPr>
              <w:spacing w:before="40" w:after="0" w:line="240" w:lineRule="auto"/>
              <w:jc w:val="center"/>
              <w:rPr>
                <w:rFonts w:ascii="Times New Roman" w:hAnsi="Times New Roman" w:cs="Times New Roman"/>
                <w:noProof/>
                <w:sz w:val="16"/>
                <w:lang w:val="sk-SK"/>
              </w:rPr>
            </w:pPr>
          </w:p>
        </w:tc>
        <w:tc>
          <w:tcPr>
            <w:tcW w:w="690" w:type="dxa"/>
            <w:shd w:val="clear" w:color="auto" w:fill="C4EFCE"/>
            <w:noWrap/>
            <w:tcMar>
              <w:left w:w="28" w:type="dxa"/>
              <w:right w:w="28" w:type="dxa"/>
            </w:tcMar>
            <w:vAlign w:val="center"/>
          </w:tcPr>
          <w:p w14:paraId="56912BFF" w14:textId="585868F2" w:rsidR="00387C70" w:rsidRPr="003F23AC" w:rsidRDefault="00387C70" w:rsidP="003F23AC">
            <w:pPr>
              <w:spacing w:before="40" w:after="0" w:line="240" w:lineRule="auto"/>
              <w:jc w:val="center"/>
              <w:rPr>
                <w:rFonts w:ascii="Times New Roman" w:hAnsi="Times New Roman" w:cs="Times New Roman"/>
                <w:noProof/>
                <w:sz w:val="16"/>
                <w:lang w:val="sk-SK"/>
              </w:rPr>
            </w:pPr>
          </w:p>
        </w:tc>
        <w:tc>
          <w:tcPr>
            <w:tcW w:w="554" w:type="dxa"/>
            <w:shd w:val="clear" w:color="auto" w:fill="C4EFCE"/>
            <w:noWrap/>
            <w:tcMar>
              <w:left w:w="28" w:type="dxa"/>
              <w:right w:w="28" w:type="dxa"/>
            </w:tcMar>
            <w:vAlign w:val="center"/>
          </w:tcPr>
          <w:p w14:paraId="1A51A8E2" w14:textId="79B33ECD" w:rsidR="00387C70" w:rsidRPr="003F23AC" w:rsidRDefault="00FF0A91" w:rsidP="003F23AC">
            <w:pPr>
              <w:pStyle w:val="P68B1DB1-Normal12"/>
              <w:spacing w:before="40" w:after="0" w:line="240" w:lineRule="auto"/>
              <w:jc w:val="center"/>
              <w:rPr>
                <w:rFonts w:ascii="Times New Roman" w:eastAsia="Arial" w:hAnsi="Times New Roman" w:cs="Times New Roman"/>
                <w:noProof/>
                <w:lang w:val="sk-SK"/>
              </w:rPr>
            </w:pPr>
            <w:r w:rsidRPr="003F23AC">
              <w:rPr>
                <w:rFonts w:ascii="Times New Roman" w:hAnsi="Times New Roman" w:cs="Times New Roman"/>
                <w:noProof/>
                <w:lang w:val="sk-SK"/>
              </w:rPr>
              <w:t>2. štvrťrok</w:t>
            </w:r>
          </w:p>
        </w:tc>
        <w:tc>
          <w:tcPr>
            <w:tcW w:w="684" w:type="dxa"/>
            <w:shd w:val="clear" w:color="auto" w:fill="C4EFCE"/>
            <w:noWrap/>
            <w:tcMar>
              <w:left w:w="28" w:type="dxa"/>
              <w:right w:w="28" w:type="dxa"/>
            </w:tcMar>
            <w:vAlign w:val="center"/>
          </w:tcPr>
          <w:p w14:paraId="49C8B85F" w14:textId="00EC4422" w:rsidR="00387C70" w:rsidRPr="003F23AC" w:rsidRDefault="000F5AA4" w:rsidP="003F23AC">
            <w:pPr>
              <w:pStyle w:val="P68B1DB1-Normal12"/>
              <w:spacing w:before="40" w:after="0" w:line="240" w:lineRule="auto"/>
              <w:jc w:val="center"/>
              <w:rPr>
                <w:rFonts w:ascii="Times New Roman" w:eastAsia="Arial" w:hAnsi="Times New Roman" w:cs="Times New Roman"/>
                <w:noProof/>
                <w:lang w:val="sk-SK"/>
              </w:rPr>
            </w:pPr>
            <w:r w:rsidRPr="003F23AC">
              <w:rPr>
                <w:rFonts w:ascii="Times New Roman" w:hAnsi="Times New Roman" w:cs="Times New Roman"/>
                <w:noProof/>
                <w:lang w:val="sk-SK"/>
              </w:rPr>
              <w:t>2026</w:t>
            </w:r>
          </w:p>
        </w:tc>
        <w:tc>
          <w:tcPr>
            <w:tcW w:w="5223" w:type="dxa"/>
            <w:shd w:val="clear" w:color="auto" w:fill="C4EFCE"/>
            <w:tcMar>
              <w:left w:w="28" w:type="dxa"/>
              <w:right w:w="28" w:type="dxa"/>
            </w:tcMar>
            <w:vAlign w:val="center"/>
          </w:tcPr>
          <w:p w14:paraId="3455FF49" w14:textId="49FC8981" w:rsidR="00387C70" w:rsidRPr="003F23AC" w:rsidRDefault="000F5AA4" w:rsidP="003F23AC">
            <w:pPr>
              <w:pStyle w:val="P68B1DB1-Normal12"/>
              <w:spacing w:before="40" w:after="0" w:line="240" w:lineRule="auto"/>
              <w:jc w:val="both"/>
              <w:rPr>
                <w:rFonts w:ascii="Times New Roman" w:eastAsia="Calibri" w:hAnsi="Times New Roman" w:cs="Times New Roman"/>
                <w:noProof/>
                <w:lang w:val="sk-SK"/>
              </w:rPr>
            </w:pPr>
            <w:r w:rsidRPr="003F23AC">
              <w:rPr>
                <w:rFonts w:ascii="Times New Roman" w:hAnsi="Times New Roman" w:cs="Times New Roman"/>
                <w:noProof/>
                <w:lang w:val="sk-SK"/>
              </w:rPr>
              <w:t>Dodanie 2 modulov na výskum nových plavidiel: 1 Modul ROV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1 Modul zariadenia na lov vlečnými sieťami</w:t>
            </w:r>
          </w:p>
        </w:tc>
      </w:tr>
      <w:tr w:rsidR="00387C70" w:rsidRPr="003F23AC" w14:paraId="4ED5D0BF" w14:textId="77777777" w:rsidTr="009E4E5C">
        <w:trPr>
          <w:trHeight w:val="61"/>
          <w:jc w:val="center"/>
        </w:trPr>
        <w:tc>
          <w:tcPr>
            <w:tcW w:w="1101" w:type="dxa"/>
            <w:shd w:val="clear" w:color="auto" w:fill="C4EFCE"/>
            <w:tcMar>
              <w:left w:w="28" w:type="dxa"/>
              <w:right w:w="28" w:type="dxa"/>
            </w:tcMar>
            <w:vAlign w:val="center"/>
            <w:hideMark/>
          </w:tcPr>
          <w:p w14:paraId="1D980CEA" w14:textId="4E2C1C4E" w:rsidR="00387C70" w:rsidRPr="003F23AC" w:rsidRDefault="000F5AA4" w:rsidP="003F23AC">
            <w:pPr>
              <w:pStyle w:val="P68B1DB1-Normal7"/>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10.10</w:t>
            </w:r>
          </w:p>
        </w:tc>
        <w:tc>
          <w:tcPr>
            <w:tcW w:w="1231" w:type="dxa"/>
            <w:shd w:val="clear" w:color="auto" w:fill="C4EFCE"/>
            <w:noWrap/>
            <w:tcMar>
              <w:left w:w="28" w:type="dxa"/>
              <w:right w:w="28" w:type="dxa"/>
            </w:tcMar>
            <w:vAlign w:val="center"/>
            <w:hideMark/>
          </w:tcPr>
          <w:p w14:paraId="6D342640"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TC-C10 – i04-RAA</w:t>
            </w:r>
          </w:p>
        </w:tc>
        <w:tc>
          <w:tcPr>
            <w:tcW w:w="1096" w:type="dxa"/>
            <w:shd w:val="clear" w:color="auto" w:fill="C4EFCE"/>
            <w:noWrap/>
            <w:tcMar>
              <w:left w:w="28" w:type="dxa"/>
              <w:right w:w="28" w:type="dxa"/>
            </w:tcMar>
            <w:vAlign w:val="center"/>
            <w:hideMark/>
          </w:tcPr>
          <w:p w14:paraId="04AC5CC4"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M </w:t>
            </w:r>
          </w:p>
        </w:tc>
        <w:tc>
          <w:tcPr>
            <w:tcW w:w="1640" w:type="dxa"/>
            <w:shd w:val="clear" w:color="auto" w:fill="C4EFCE"/>
            <w:noWrap/>
            <w:tcMar>
              <w:left w:w="28" w:type="dxa"/>
              <w:right w:w="28" w:type="dxa"/>
            </w:tcMar>
            <w:vAlign w:val="center"/>
            <w:hideMark/>
          </w:tcPr>
          <w:p w14:paraId="636F73E3" w14:textId="7D04C774"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Sprevádzkovanie centra experimentálneho výskumu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vývoja spojeného</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morom na Azorách (stred MARTEC)</w:t>
            </w:r>
          </w:p>
        </w:tc>
        <w:tc>
          <w:tcPr>
            <w:tcW w:w="1231" w:type="dxa"/>
            <w:shd w:val="clear" w:color="auto" w:fill="C4EFCE"/>
            <w:noWrap/>
            <w:tcMar>
              <w:left w:w="28" w:type="dxa"/>
              <w:right w:w="28" w:type="dxa"/>
            </w:tcMar>
            <w:vAlign w:val="center"/>
            <w:hideMark/>
          </w:tcPr>
          <w:p w14:paraId="45BDBD81" w14:textId="21634ED2"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Sprevádzkovanie centra experimentálneho výskumu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vývoja spojeného</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morom na Azorách (stred MARTEC)</w:t>
            </w:r>
          </w:p>
        </w:tc>
        <w:tc>
          <w:tcPr>
            <w:tcW w:w="962" w:type="dxa"/>
            <w:shd w:val="clear" w:color="auto" w:fill="C4EFCE"/>
            <w:noWrap/>
            <w:tcMar>
              <w:left w:w="28" w:type="dxa"/>
              <w:right w:w="28" w:type="dxa"/>
            </w:tcMar>
            <w:vAlign w:val="center"/>
            <w:hideMark/>
          </w:tcPr>
          <w:p w14:paraId="1B1BE93D"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61" w:type="dxa"/>
            <w:shd w:val="clear" w:color="auto" w:fill="C4EFCE"/>
            <w:noWrap/>
            <w:tcMar>
              <w:left w:w="28" w:type="dxa"/>
              <w:right w:w="28" w:type="dxa"/>
            </w:tcMar>
            <w:vAlign w:val="center"/>
            <w:hideMark/>
          </w:tcPr>
          <w:p w14:paraId="18CF87CE"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690" w:type="dxa"/>
            <w:shd w:val="clear" w:color="auto" w:fill="C4EFCE"/>
            <w:noWrap/>
            <w:tcMar>
              <w:left w:w="28" w:type="dxa"/>
              <w:right w:w="28" w:type="dxa"/>
            </w:tcMar>
            <w:vAlign w:val="center"/>
            <w:hideMark/>
          </w:tcPr>
          <w:p w14:paraId="6C99979D"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554" w:type="dxa"/>
            <w:shd w:val="clear" w:color="auto" w:fill="C4EFCE"/>
            <w:noWrap/>
            <w:tcMar>
              <w:left w:w="28" w:type="dxa"/>
              <w:right w:w="28" w:type="dxa"/>
            </w:tcMar>
            <w:vAlign w:val="center"/>
            <w:hideMark/>
          </w:tcPr>
          <w:p w14:paraId="5B5A6190" w14:textId="1C7E1D27" w:rsidR="00387C70" w:rsidRPr="003F23AC" w:rsidRDefault="00FF0A91"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684" w:type="dxa"/>
            <w:shd w:val="clear" w:color="auto" w:fill="C4EFCE"/>
            <w:noWrap/>
            <w:tcMar>
              <w:left w:w="28" w:type="dxa"/>
              <w:right w:w="28" w:type="dxa"/>
            </w:tcMar>
            <w:vAlign w:val="center"/>
            <w:hideMark/>
          </w:tcPr>
          <w:p w14:paraId="355DB126" w14:textId="0A215794"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5223" w:type="dxa"/>
            <w:shd w:val="clear" w:color="auto" w:fill="C4EFCE"/>
            <w:tcMar>
              <w:left w:w="28" w:type="dxa"/>
              <w:right w:w="28" w:type="dxa"/>
            </w:tcMar>
            <w:vAlign w:val="center"/>
            <w:hideMark/>
          </w:tcPr>
          <w:p w14:paraId="1728D725" w14:textId="1066166E" w:rsidR="00A75B3C" w:rsidRPr="003F23AC" w:rsidRDefault="000F5AA4" w:rsidP="003F23AC">
            <w:pPr>
              <w:pStyle w:val="P68B1DB1-Normal9"/>
              <w:spacing w:before="40" w:after="0" w:line="240" w:lineRule="auto"/>
              <w:jc w:val="both"/>
              <w:rPr>
                <w:rFonts w:ascii="Times New Roman" w:hAnsi="Times New Roman" w:cs="Times New Roman"/>
                <w:noProof/>
                <w:sz w:val="16"/>
                <w:lang w:val="sk-SK"/>
              </w:rPr>
            </w:pPr>
            <w:r w:rsidRPr="003F23AC">
              <w:rPr>
                <w:rFonts w:ascii="Times New Roman" w:hAnsi="Times New Roman" w:cs="Times New Roman"/>
                <w:noProof/>
                <w:sz w:val="4"/>
                <w:lang w:val="sk-SK"/>
              </w:rPr>
              <w:t> </w:t>
            </w:r>
            <w:r w:rsidRPr="003F23AC">
              <w:rPr>
                <w:rFonts w:ascii="Times New Roman" w:hAnsi="Times New Roman" w:cs="Times New Roman"/>
                <w:noProof/>
                <w:sz w:val="16"/>
                <w:lang w:val="sk-SK"/>
              </w:rPr>
              <w:t>Vytvorenie</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sprevádzkovanie centra experimentálneho výskumu</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vývoja spojeného</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morom, ktoré sa môže zdieľať</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inštitúciami vedeckého</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technologického systému Azorských ostrovov</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podnikov, ktoré je zodpovedné za výskum</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vývoj</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tradičných</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vznikajúcich oblastiach, ako sú rybolov</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výrobky</w:t>
            </w:r>
            <w:r w:rsidR="00A75B3C" w:rsidRPr="003F23AC">
              <w:rPr>
                <w:rFonts w:ascii="Times New Roman" w:hAnsi="Times New Roman" w:cs="Times New Roman"/>
                <w:noProof/>
                <w:sz w:val="16"/>
                <w:lang w:val="sk-SK"/>
              </w:rPr>
              <w:t xml:space="preserve"> z </w:t>
            </w:r>
            <w:r w:rsidRPr="003F23AC">
              <w:rPr>
                <w:rFonts w:ascii="Times New Roman" w:hAnsi="Times New Roman" w:cs="Times New Roman"/>
                <w:noProof/>
                <w:sz w:val="16"/>
                <w:lang w:val="sk-SK"/>
              </w:rPr>
              <w:t>neho, akvakultúra, morské biotechnológie, biomateriály alebo morské technológie</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zariadenia. Sprevádzkovanie strediska (technické stredisko MARTEC), toto stredisko sa nachádza na ostrove Faial</w:t>
            </w:r>
            <w:r w:rsidR="00A75B3C" w:rsidRPr="003F23AC">
              <w:rPr>
                <w:rFonts w:ascii="Times New Roman" w:hAnsi="Times New Roman" w:cs="Times New Roman"/>
                <w:noProof/>
                <w:sz w:val="16"/>
                <w:lang w:val="sk-SK"/>
              </w:rPr>
              <w:t>.</w:t>
            </w:r>
          </w:p>
          <w:p w14:paraId="6661BE7E" w14:textId="1421DD14"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387C70" w:rsidRPr="003F23AC" w14:paraId="3E3DE191" w14:textId="77777777" w:rsidTr="009E4E5C">
        <w:trPr>
          <w:trHeight w:val="61"/>
          <w:jc w:val="center"/>
        </w:trPr>
        <w:tc>
          <w:tcPr>
            <w:tcW w:w="1101" w:type="dxa"/>
            <w:shd w:val="clear" w:color="auto" w:fill="C4EFCE"/>
            <w:tcMar>
              <w:left w:w="28" w:type="dxa"/>
              <w:right w:w="28" w:type="dxa"/>
            </w:tcMar>
            <w:vAlign w:val="center"/>
          </w:tcPr>
          <w:p w14:paraId="26903038" w14:textId="0E90B29C"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10.12</w:t>
            </w:r>
          </w:p>
        </w:tc>
        <w:tc>
          <w:tcPr>
            <w:tcW w:w="1231" w:type="dxa"/>
            <w:shd w:val="clear" w:color="auto" w:fill="C4EFCE"/>
            <w:noWrap/>
            <w:tcMar>
              <w:left w:w="28" w:type="dxa"/>
              <w:right w:w="28" w:type="dxa"/>
            </w:tcMar>
            <w:vAlign w:val="center"/>
          </w:tcPr>
          <w:p w14:paraId="0496A8A4" w14:textId="19D8C5C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TC-C10 – i05-RAA</w:t>
            </w:r>
          </w:p>
        </w:tc>
        <w:tc>
          <w:tcPr>
            <w:tcW w:w="1096" w:type="dxa"/>
            <w:shd w:val="clear" w:color="auto" w:fill="C4EFCE"/>
            <w:noWrap/>
            <w:tcMar>
              <w:left w:w="28" w:type="dxa"/>
              <w:right w:w="28" w:type="dxa"/>
            </w:tcMar>
            <w:vAlign w:val="center"/>
          </w:tcPr>
          <w:p w14:paraId="22D05C51" w14:textId="7B116836"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40" w:type="dxa"/>
            <w:shd w:val="clear" w:color="auto" w:fill="C4EFCE"/>
            <w:noWrap/>
            <w:tcMar>
              <w:left w:w="28" w:type="dxa"/>
              <w:right w:w="28" w:type="dxa"/>
            </w:tcMar>
            <w:vAlign w:val="center"/>
          </w:tcPr>
          <w:p w14:paraId="2E7266DE" w14:textId="7161DB8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Ukončenie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odvetví rybolovu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akvakultúry </w:t>
            </w:r>
          </w:p>
        </w:tc>
        <w:tc>
          <w:tcPr>
            <w:tcW w:w="1231" w:type="dxa"/>
            <w:shd w:val="clear" w:color="auto" w:fill="C4EFCE"/>
            <w:noWrap/>
            <w:tcMar>
              <w:left w:w="28" w:type="dxa"/>
              <w:right w:w="28" w:type="dxa"/>
            </w:tcMar>
            <w:vAlign w:val="center"/>
          </w:tcPr>
          <w:p w14:paraId="75E12B83"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62" w:type="dxa"/>
            <w:shd w:val="clear" w:color="auto" w:fill="C4EFCE"/>
            <w:noWrap/>
            <w:tcMar>
              <w:left w:w="28" w:type="dxa"/>
              <w:right w:w="28" w:type="dxa"/>
            </w:tcMar>
            <w:vAlign w:val="center"/>
          </w:tcPr>
          <w:p w14:paraId="5A4F2AC3" w14:textId="7800550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1" w:type="dxa"/>
            <w:shd w:val="clear" w:color="auto" w:fill="C4EFCE"/>
            <w:noWrap/>
            <w:tcMar>
              <w:left w:w="28" w:type="dxa"/>
              <w:right w:w="28" w:type="dxa"/>
            </w:tcMar>
            <w:vAlign w:val="center"/>
          </w:tcPr>
          <w:p w14:paraId="2A286384" w14:textId="3FCA842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690" w:type="dxa"/>
            <w:shd w:val="clear" w:color="auto" w:fill="C4EFCE"/>
            <w:noWrap/>
            <w:tcMar>
              <w:left w:w="28" w:type="dxa"/>
              <w:right w:w="28" w:type="dxa"/>
            </w:tcMar>
            <w:vAlign w:val="center"/>
          </w:tcPr>
          <w:p w14:paraId="6A7E8F46" w14:textId="573D606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w:t>
            </w:r>
          </w:p>
        </w:tc>
        <w:tc>
          <w:tcPr>
            <w:tcW w:w="554" w:type="dxa"/>
            <w:shd w:val="clear" w:color="auto" w:fill="C4EFCE"/>
            <w:noWrap/>
            <w:tcMar>
              <w:left w:w="28" w:type="dxa"/>
              <w:right w:w="28" w:type="dxa"/>
            </w:tcMar>
            <w:vAlign w:val="center"/>
          </w:tcPr>
          <w:p w14:paraId="144B65D8" w14:textId="2F642B45"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684" w:type="dxa"/>
            <w:shd w:val="clear" w:color="auto" w:fill="C4EFCE"/>
            <w:noWrap/>
            <w:tcMar>
              <w:left w:w="28" w:type="dxa"/>
              <w:right w:w="28" w:type="dxa"/>
            </w:tcMar>
            <w:vAlign w:val="center"/>
          </w:tcPr>
          <w:p w14:paraId="2B8EDB26" w14:textId="3CD57E6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5223" w:type="dxa"/>
            <w:shd w:val="clear" w:color="auto" w:fill="C4EFCE"/>
            <w:tcMar>
              <w:left w:w="28" w:type="dxa"/>
              <w:right w:w="28" w:type="dxa"/>
            </w:tcMar>
            <w:vAlign w:val="center"/>
          </w:tcPr>
          <w:p w14:paraId="660C8FD1" w14:textId="35C0B995" w:rsidR="00A75B3C"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Dokončenie 15 projektov súvisiacich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modernizáciou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obnovou rybárskej flotily, inováciami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rybnom hospodárstve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akvakultúre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zlepšiť energetickú výkonnosť, modernizáciou procesov, znižovaním produkcie odpadu na mori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podporou obehového hospodárstva vo všetkých odvetviach rybolovu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akvakultúry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diverzifikáciou rybolovnej činnosti</w:t>
            </w:r>
            <w:r w:rsidR="00A75B3C" w:rsidRPr="003F23AC">
              <w:rPr>
                <w:rFonts w:ascii="Times New Roman" w:hAnsi="Times New Roman" w:cs="Times New Roman"/>
                <w:noProof/>
                <w:lang w:val="sk-SK"/>
              </w:rPr>
              <w:t>.</w:t>
            </w:r>
          </w:p>
          <w:p w14:paraId="227A05D1" w14:textId="29958788"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Výberovými kritériami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„nespôsobovať významnú škodu“ (2021/C58/01) podporovaných transakcií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tohto opatrenia prostredníctvom použitia zoznamu vylúčených subjektov (ako sa uvádza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opise opatrenia)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r w:rsidR="00387C70" w:rsidRPr="003F23AC" w14:paraId="7AA31F3F" w14:textId="77777777" w:rsidTr="009E4E5C">
        <w:trPr>
          <w:trHeight w:val="61"/>
          <w:jc w:val="center"/>
        </w:trPr>
        <w:tc>
          <w:tcPr>
            <w:tcW w:w="1101" w:type="dxa"/>
            <w:shd w:val="clear" w:color="auto" w:fill="C4EFCE"/>
            <w:tcMar>
              <w:left w:w="28" w:type="dxa"/>
              <w:right w:w="28" w:type="dxa"/>
            </w:tcMar>
            <w:vAlign w:val="center"/>
          </w:tcPr>
          <w:p w14:paraId="2FDBE218" w14:textId="6636866D" w:rsidR="00387C70" w:rsidRPr="003F23AC" w:rsidRDefault="000F5AA4" w:rsidP="003F23AC">
            <w:pPr>
              <w:pStyle w:val="P68B1DB1-Normal11"/>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10.13</w:t>
            </w:r>
          </w:p>
        </w:tc>
        <w:tc>
          <w:tcPr>
            <w:tcW w:w="1231" w:type="dxa"/>
            <w:shd w:val="clear" w:color="auto" w:fill="C4EFCE"/>
            <w:noWrap/>
            <w:tcMar>
              <w:left w:w="28" w:type="dxa"/>
              <w:right w:w="28" w:type="dxa"/>
            </w:tcMar>
            <w:vAlign w:val="center"/>
          </w:tcPr>
          <w:p w14:paraId="217D89A3" w14:textId="2D6DE9DE"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TC-C10 – i06-RAM</w:t>
            </w:r>
          </w:p>
        </w:tc>
        <w:tc>
          <w:tcPr>
            <w:tcW w:w="1096" w:type="dxa"/>
            <w:shd w:val="clear" w:color="auto" w:fill="C4EFCE"/>
            <w:noWrap/>
            <w:tcMar>
              <w:left w:w="28" w:type="dxa"/>
              <w:right w:w="28" w:type="dxa"/>
            </w:tcMar>
            <w:vAlign w:val="center"/>
          </w:tcPr>
          <w:p w14:paraId="681600AA" w14:textId="32CC34AF"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40" w:type="dxa"/>
            <w:shd w:val="clear" w:color="auto" w:fill="C4EFCE"/>
            <w:noWrap/>
            <w:tcMar>
              <w:left w:w="28" w:type="dxa"/>
              <w:right w:w="28" w:type="dxa"/>
            </w:tcMar>
            <w:vAlign w:val="center"/>
          </w:tcPr>
          <w:p w14:paraId="2F245A6B" w14:textId="015E3869"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 na viacúčelové výskumné plavidlo</w:t>
            </w:r>
          </w:p>
        </w:tc>
        <w:tc>
          <w:tcPr>
            <w:tcW w:w="1231" w:type="dxa"/>
            <w:shd w:val="clear" w:color="auto" w:fill="C4EFCE"/>
            <w:noWrap/>
            <w:tcMar>
              <w:left w:w="28" w:type="dxa"/>
              <w:right w:w="28" w:type="dxa"/>
            </w:tcMar>
          </w:tcPr>
          <w:p w14:paraId="20AD7A7D" w14:textId="4BE3559E"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 na viacúčelové výskumné plavidlo</w:t>
            </w:r>
          </w:p>
        </w:tc>
        <w:tc>
          <w:tcPr>
            <w:tcW w:w="962" w:type="dxa"/>
            <w:shd w:val="clear" w:color="auto" w:fill="C4EFCE"/>
            <w:noWrap/>
            <w:tcMar>
              <w:left w:w="28" w:type="dxa"/>
              <w:right w:w="28" w:type="dxa"/>
            </w:tcMar>
            <w:vAlign w:val="center"/>
          </w:tcPr>
          <w:p w14:paraId="3A40C90E" w14:textId="77777777"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961" w:type="dxa"/>
            <w:shd w:val="clear" w:color="auto" w:fill="C4EFCE"/>
            <w:noWrap/>
            <w:tcMar>
              <w:left w:w="28" w:type="dxa"/>
              <w:right w:w="28" w:type="dxa"/>
            </w:tcMar>
            <w:vAlign w:val="center"/>
          </w:tcPr>
          <w:p w14:paraId="626DE80A" w14:textId="77777777"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690" w:type="dxa"/>
            <w:shd w:val="clear" w:color="auto" w:fill="C4EFCE"/>
            <w:noWrap/>
            <w:tcMar>
              <w:left w:w="28" w:type="dxa"/>
              <w:right w:w="28" w:type="dxa"/>
            </w:tcMar>
            <w:vAlign w:val="center"/>
          </w:tcPr>
          <w:p w14:paraId="2D6BAC30" w14:textId="77777777"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554" w:type="dxa"/>
            <w:shd w:val="clear" w:color="auto" w:fill="C4EFCE"/>
            <w:noWrap/>
            <w:tcMar>
              <w:left w:w="28" w:type="dxa"/>
              <w:right w:w="28" w:type="dxa"/>
            </w:tcMar>
            <w:vAlign w:val="center"/>
          </w:tcPr>
          <w:p w14:paraId="16B97E23" w14:textId="4E2E5868" w:rsidR="00387C70" w:rsidRPr="003F23AC" w:rsidRDefault="00FF0A91"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684" w:type="dxa"/>
            <w:shd w:val="clear" w:color="auto" w:fill="C4EFCE"/>
            <w:noWrap/>
            <w:tcMar>
              <w:left w:w="28" w:type="dxa"/>
              <w:right w:w="28" w:type="dxa"/>
            </w:tcMar>
            <w:vAlign w:val="center"/>
          </w:tcPr>
          <w:p w14:paraId="6528D03E" w14:textId="5BBF66E9"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5223" w:type="dxa"/>
            <w:shd w:val="clear" w:color="auto" w:fill="C4EFCE"/>
            <w:tcMar>
              <w:left w:w="28" w:type="dxa"/>
              <w:right w:w="28" w:type="dxa"/>
            </w:tcMar>
            <w:vAlign w:val="center"/>
          </w:tcPr>
          <w:p w14:paraId="58DBF254" w14:textId="56F16A80"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výstavbe viacúčelového výskumného plavidla.</w:t>
            </w:r>
          </w:p>
          <w:p w14:paraId="69C9B7F5" w14:textId="101BA617"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Referenčný rámec si vyžaduje uplatňovanie podmienky „výrazne nenarušiť“ stanovenej</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opise opatrenia.</w:t>
            </w:r>
          </w:p>
        </w:tc>
      </w:tr>
      <w:tr w:rsidR="00387C70" w:rsidRPr="003F23AC" w14:paraId="2A3E48E3" w14:textId="77777777" w:rsidTr="009E4E5C">
        <w:trPr>
          <w:trHeight w:val="61"/>
          <w:jc w:val="center"/>
        </w:trPr>
        <w:tc>
          <w:tcPr>
            <w:tcW w:w="1101" w:type="dxa"/>
            <w:shd w:val="clear" w:color="auto" w:fill="C4EFCE"/>
            <w:tcMar>
              <w:left w:w="28" w:type="dxa"/>
              <w:right w:w="28" w:type="dxa"/>
            </w:tcMar>
            <w:vAlign w:val="center"/>
          </w:tcPr>
          <w:p w14:paraId="5F10CBE7" w14:textId="4A79894B" w:rsidR="00387C70" w:rsidRPr="003F23AC" w:rsidRDefault="000F5AA4" w:rsidP="003F23AC">
            <w:pPr>
              <w:pStyle w:val="P68B1DB1-Normal11"/>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10.14</w:t>
            </w:r>
          </w:p>
        </w:tc>
        <w:tc>
          <w:tcPr>
            <w:tcW w:w="1231" w:type="dxa"/>
            <w:shd w:val="clear" w:color="auto" w:fill="C4EFCE"/>
            <w:noWrap/>
            <w:tcMar>
              <w:left w:w="28" w:type="dxa"/>
              <w:right w:w="28" w:type="dxa"/>
            </w:tcMar>
            <w:vAlign w:val="center"/>
          </w:tcPr>
          <w:p w14:paraId="226B4B24" w14:textId="77A8C67B"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TC-C10 – i06-RAM</w:t>
            </w:r>
          </w:p>
        </w:tc>
        <w:tc>
          <w:tcPr>
            <w:tcW w:w="1096" w:type="dxa"/>
            <w:shd w:val="clear" w:color="auto" w:fill="C4EFCE"/>
            <w:noWrap/>
            <w:tcMar>
              <w:left w:w="28" w:type="dxa"/>
              <w:right w:w="28" w:type="dxa"/>
            </w:tcMar>
            <w:vAlign w:val="center"/>
          </w:tcPr>
          <w:p w14:paraId="092E5EFA" w14:textId="343F1A1A"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40" w:type="dxa"/>
            <w:shd w:val="clear" w:color="auto" w:fill="C4EFCE"/>
            <w:noWrap/>
            <w:tcMar>
              <w:left w:w="28" w:type="dxa"/>
              <w:right w:w="28" w:type="dxa"/>
            </w:tcMar>
            <w:vAlign w:val="center"/>
          </w:tcPr>
          <w:p w14:paraId="52FE4774" w14:textId="73D91BDA"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Dodávka energeticky účinného viacúčelového výskumného plavidla</w:t>
            </w:r>
          </w:p>
        </w:tc>
        <w:tc>
          <w:tcPr>
            <w:tcW w:w="1231" w:type="dxa"/>
            <w:shd w:val="clear" w:color="auto" w:fill="C4EFCE"/>
            <w:noWrap/>
            <w:tcMar>
              <w:left w:w="28" w:type="dxa"/>
              <w:right w:w="28" w:type="dxa"/>
            </w:tcMar>
            <w:vAlign w:val="center"/>
          </w:tcPr>
          <w:p w14:paraId="0008148C" w14:textId="6B0E742D"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Dodanie viacúčelového výskumného plavidla</w:t>
            </w:r>
          </w:p>
        </w:tc>
        <w:tc>
          <w:tcPr>
            <w:tcW w:w="962" w:type="dxa"/>
            <w:shd w:val="clear" w:color="auto" w:fill="C4EFCE"/>
            <w:noWrap/>
            <w:tcMar>
              <w:left w:w="28" w:type="dxa"/>
              <w:right w:w="28" w:type="dxa"/>
            </w:tcMar>
            <w:vAlign w:val="center"/>
          </w:tcPr>
          <w:p w14:paraId="5108E572" w14:textId="77777777"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961" w:type="dxa"/>
            <w:shd w:val="clear" w:color="auto" w:fill="C4EFCE"/>
            <w:noWrap/>
            <w:tcMar>
              <w:left w:w="28" w:type="dxa"/>
              <w:right w:w="28" w:type="dxa"/>
            </w:tcMar>
            <w:vAlign w:val="center"/>
          </w:tcPr>
          <w:p w14:paraId="5D573528" w14:textId="77777777"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690" w:type="dxa"/>
            <w:shd w:val="clear" w:color="auto" w:fill="C4EFCE"/>
            <w:noWrap/>
            <w:tcMar>
              <w:left w:w="28" w:type="dxa"/>
              <w:right w:w="28" w:type="dxa"/>
            </w:tcMar>
            <w:vAlign w:val="center"/>
          </w:tcPr>
          <w:p w14:paraId="759F38D6" w14:textId="77777777"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554" w:type="dxa"/>
            <w:shd w:val="clear" w:color="auto" w:fill="C4EFCE"/>
            <w:noWrap/>
            <w:tcMar>
              <w:left w:w="28" w:type="dxa"/>
              <w:right w:w="28" w:type="dxa"/>
            </w:tcMar>
            <w:vAlign w:val="center"/>
          </w:tcPr>
          <w:p w14:paraId="78546CDD" w14:textId="6FFD3D08" w:rsidR="00387C70" w:rsidRPr="003F23AC" w:rsidRDefault="00FF0A91"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684" w:type="dxa"/>
            <w:shd w:val="clear" w:color="auto" w:fill="C4EFCE"/>
            <w:noWrap/>
            <w:tcMar>
              <w:left w:w="28" w:type="dxa"/>
              <w:right w:w="28" w:type="dxa"/>
            </w:tcMar>
            <w:vAlign w:val="center"/>
          </w:tcPr>
          <w:p w14:paraId="59E155B1" w14:textId="23D5A01D"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5223" w:type="dxa"/>
            <w:shd w:val="clear" w:color="auto" w:fill="C4EFCE"/>
            <w:tcMar>
              <w:left w:w="28" w:type="dxa"/>
              <w:right w:w="28" w:type="dxa"/>
            </w:tcMar>
            <w:vAlign w:val="center"/>
          </w:tcPr>
          <w:p w14:paraId="34A1476F" w14:textId="3D5E747A" w:rsidR="00387C70" w:rsidRPr="003F23AC" w:rsidRDefault="000F5AA4" w:rsidP="003F23AC">
            <w:pPr>
              <w:pStyle w:val="P68B1DB1-Normal12"/>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Dodávka energeticky účinného viacúčelového výskumného plavidla. Môže pôsobiť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plytkých vodách autonómnej oblasti Madeira okolo ostrovov súostrovia, ako aj na otvorenom mori. </w:t>
            </w:r>
          </w:p>
        </w:tc>
      </w:tr>
      <w:tr w:rsidR="00387C70" w:rsidRPr="003F23AC" w14:paraId="091A1A6A" w14:textId="77777777" w:rsidTr="009E4E5C">
        <w:trPr>
          <w:trHeight w:val="61"/>
          <w:jc w:val="center"/>
        </w:trPr>
        <w:tc>
          <w:tcPr>
            <w:tcW w:w="1101" w:type="dxa"/>
            <w:shd w:val="clear" w:color="auto" w:fill="C4EFCE"/>
            <w:tcMar>
              <w:left w:w="28" w:type="dxa"/>
              <w:right w:w="28" w:type="dxa"/>
            </w:tcMar>
            <w:vAlign w:val="center"/>
          </w:tcPr>
          <w:p w14:paraId="411A72EE" w14:textId="6F64B9D4" w:rsidR="00387C70" w:rsidRPr="003F23AC" w:rsidRDefault="000F5AA4" w:rsidP="003F23AC">
            <w:pPr>
              <w:pStyle w:val="P68B1DB1-Normal11"/>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10.15</w:t>
            </w:r>
          </w:p>
        </w:tc>
        <w:tc>
          <w:tcPr>
            <w:tcW w:w="1231" w:type="dxa"/>
            <w:shd w:val="clear" w:color="auto" w:fill="C4EFCE"/>
            <w:noWrap/>
            <w:tcMar>
              <w:left w:w="28" w:type="dxa"/>
              <w:right w:w="28" w:type="dxa"/>
            </w:tcMar>
            <w:vAlign w:val="center"/>
          </w:tcPr>
          <w:p w14:paraId="2EB7E203" w14:textId="651B5F2E"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TC-C10 – i06-RAM</w:t>
            </w:r>
          </w:p>
        </w:tc>
        <w:tc>
          <w:tcPr>
            <w:tcW w:w="1096" w:type="dxa"/>
            <w:shd w:val="clear" w:color="auto" w:fill="C4EFCE"/>
            <w:noWrap/>
            <w:tcMar>
              <w:left w:w="28" w:type="dxa"/>
              <w:right w:w="28" w:type="dxa"/>
            </w:tcMar>
            <w:vAlign w:val="center"/>
          </w:tcPr>
          <w:p w14:paraId="5F6666DA" w14:textId="26EE7ED0" w:rsidR="00387C70" w:rsidRPr="003F23AC" w:rsidRDefault="00C32C63"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40" w:type="dxa"/>
            <w:shd w:val="clear" w:color="auto" w:fill="C4EFCE"/>
            <w:noWrap/>
            <w:tcMar>
              <w:left w:w="28" w:type="dxa"/>
              <w:right w:w="28" w:type="dxa"/>
            </w:tcMar>
            <w:vAlign w:val="center"/>
          </w:tcPr>
          <w:p w14:paraId="7684AA42" w14:textId="6AF3654F"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Dodávka dvoch autonómnych bezpilotných vozidiel</w:t>
            </w:r>
          </w:p>
        </w:tc>
        <w:tc>
          <w:tcPr>
            <w:tcW w:w="1231" w:type="dxa"/>
            <w:shd w:val="clear" w:color="auto" w:fill="C4EFCE"/>
            <w:noWrap/>
            <w:tcMar>
              <w:left w:w="28" w:type="dxa"/>
              <w:right w:w="28" w:type="dxa"/>
            </w:tcMar>
            <w:vAlign w:val="center"/>
          </w:tcPr>
          <w:p w14:paraId="5A84A9D9" w14:textId="16826EBA"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Dodanie dvoch autonómnych vozidiel </w:t>
            </w:r>
          </w:p>
        </w:tc>
        <w:tc>
          <w:tcPr>
            <w:tcW w:w="962" w:type="dxa"/>
            <w:shd w:val="clear" w:color="auto" w:fill="C4EFCE"/>
            <w:noWrap/>
            <w:tcMar>
              <w:left w:w="28" w:type="dxa"/>
              <w:right w:w="28" w:type="dxa"/>
            </w:tcMar>
            <w:vAlign w:val="center"/>
          </w:tcPr>
          <w:p w14:paraId="2E74DE0C" w14:textId="24DEA61F"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1" w:type="dxa"/>
            <w:shd w:val="clear" w:color="auto" w:fill="C4EFCE"/>
            <w:noWrap/>
            <w:tcMar>
              <w:left w:w="28" w:type="dxa"/>
              <w:right w:w="28" w:type="dxa"/>
            </w:tcMar>
            <w:vAlign w:val="center"/>
          </w:tcPr>
          <w:p w14:paraId="547741A2" w14:textId="0C97B0DB"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690" w:type="dxa"/>
            <w:shd w:val="clear" w:color="auto" w:fill="C4EFCE"/>
            <w:noWrap/>
            <w:tcMar>
              <w:left w:w="28" w:type="dxa"/>
              <w:right w:w="28" w:type="dxa"/>
            </w:tcMar>
            <w:vAlign w:val="center"/>
          </w:tcPr>
          <w:p w14:paraId="7E1DC46E" w14:textId="326880E0"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w:t>
            </w:r>
          </w:p>
        </w:tc>
        <w:tc>
          <w:tcPr>
            <w:tcW w:w="554" w:type="dxa"/>
            <w:shd w:val="clear" w:color="auto" w:fill="C4EFCE"/>
            <w:noWrap/>
            <w:tcMar>
              <w:left w:w="28" w:type="dxa"/>
              <w:right w:w="28" w:type="dxa"/>
            </w:tcMar>
            <w:vAlign w:val="center"/>
          </w:tcPr>
          <w:p w14:paraId="5705B555" w14:textId="2B6E48A0" w:rsidR="00387C70" w:rsidRPr="003F23AC" w:rsidRDefault="00FF0A91"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684" w:type="dxa"/>
            <w:shd w:val="clear" w:color="auto" w:fill="C4EFCE"/>
            <w:noWrap/>
            <w:tcMar>
              <w:left w:w="28" w:type="dxa"/>
              <w:right w:w="28" w:type="dxa"/>
            </w:tcMar>
            <w:vAlign w:val="center"/>
          </w:tcPr>
          <w:p w14:paraId="110A6402" w14:textId="166C70AB"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5223" w:type="dxa"/>
            <w:shd w:val="clear" w:color="auto" w:fill="C4EFCE"/>
            <w:tcMar>
              <w:left w:w="28" w:type="dxa"/>
              <w:right w:w="28" w:type="dxa"/>
            </w:tcMar>
            <w:vAlign w:val="center"/>
          </w:tcPr>
          <w:p w14:paraId="5BF82CA8" w14:textId="77777777" w:rsidR="00A75B3C"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Dodanie dvoch autonómnych bezpilotných dopravných prostriedkov</w:t>
            </w:r>
            <w:r w:rsidR="00A75B3C" w:rsidRPr="003F23AC">
              <w:rPr>
                <w:rFonts w:ascii="Times New Roman" w:hAnsi="Times New Roman" w:cs="Times New Roman"/>
                <w:noProof/>
                <w:lang w:val="sk-SK"/>
              </w:rPr>
              <w:t>:</w:t>
            </w:r>
          </w:p>
          <w:p w14:paraId="3F07A325" w14:textId="77777777" w:rsidR="00A75B3C" w:rsidRPr="003F23AC" w:rsidRDefault="000F5AA4" w:rsidP="003F23AC">
            <w:pPr>
              <w:pStyle w:val="P68B1DB1-Bodytext1013"/>
              <w:widowControl/>
              <w:numPr>
                <w:ilvl w:val="0"/>
                <w:numId w:val="79"/>
              </w:numPr>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Autonómne vozidlo</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povrchovou plochou (USV)</w:t>
            </w:r>
          </w:p>
          <w:p w14:paraId="56AB6A4E" w14:textId="1B239494" w:rsidR="00387C70" w:rsidRPr="003F23AC" w:rsidRDefault="000F5AA4" w:rsidP="003F23AC">
            <w:pPr>
              <w:pStyle w:val="P68B1DB1-Bodytext1013"/>
              <w:widowControl/>
              <w:numPr>
                <w:ilvl w:val="0"/>
                <w:numId w:val="79"/>
              </w:numPr>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Subvodné autonómne vozidlo (AUV) 1000 M</w:t>
            </w:r>
          </w:p>
        </w:tc>
      </w:tr>
      <w:tr w:rsidR="00387C70" w:rsidRPr="003F23AC" w14:paraId="12E1396B" w14:textId="77777777" w:rsidTr="009E4E5C">
        <w:trPr>
          <w:trHeight w:val="61"/>
          <w:jc w:val="center"/>
        </w:trPr>
        <w:tc>
          <w:tcPr>
            <w:tcW w:w="1101" w:type="dxa"/>
            <w:shd w:val="clear" w:color="auto" w:fill="C4EFCE"/>
            <w:tcMar>
              <w:left w:w="28" w:type="dxa"/>
              <w:right w:w="28" w:type="dxa"/>
            </w:tcMar>
            <w:vAlign w:val="center"/>
          </w:tcPr>
          <w:p w14:paraId="56FD233F" w14:textId="75E58EAE" w:rsidR="00387C70" w:rsidRPr="003F23AC" w:rsidRDefault="000F5AA4" w:rsidP="003F23AC">
            <w:pPr>
              <w:pStyle w:val="P68B1DB1-Normal11"/>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10.16</w:t>
            </w:r>
          </w:p>
        </w:tc>
        <w:tc>
          <w:tcPr>
            <w:tcW w:w="1231" w:type="dxa"/>
            <w:shd w:val="clear" w:color="auto" w:fill="C4EFCE"/>
            <w:noWrap/>
            <w:tcMar>
              <w:left w:w="28" w:type="dxa"/>
              <w:right w:w="28" w:type="dxa"/>
            </w:tcMar>
            <w:vAlign w:val="center"/>
          </w:tcPr>
          <w:p w14:paraId="483DF909" w14:textId="5978A081"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TC-C10 – i06-RAM</w:t>
            </w:r>
          </w:p>
        </w:tc>
        <w:tc>
          <w:tcPr>
            <w:tcW w:w="1096" w:type="dxa"/>
            <w:shd w:val="clear" w:color="auto" w:fill="C4EFCE"/>
            <w:noWrap/>
            <w:tcMar>
              <w:left w:w="28" w:type="dxa"/>
              <w:right w:w="28" w:type="dxa"/>
            </w:tcMar>
            <w:vAlign w:val="center"/>
          </w:tcPr>
          <w:p w14:paraId="0C879D3F" w14:textId="0AE81711"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40" w:type="dxa"/>
            <w:shd w:val="clear" w:color="auto" w:fill="C4EFCE"/>
            <w:noWrap/>
            <w:tcMar>
              <w:left w:w="28" w:type="dxa"/>
              <w:right w:w="28" w:type="dxa"/>
            </w:tcMar>
            <w:vAlign w:val="center"/>
          </w:tcPr>
          <w:p w14:paraId="49A83E98" w14:textId="3C7FA536"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Dodávka autonómnych bezpilotných prostriedkov</w:t>
            </w:r>
          </w:p>
        </w:tc>
        <w:tc>
          <w:tcPr>
            <w:tcW w:w="1231" w:type="dxa"/>
            <w:shd w:val="clear" w:color="auto" w:fill="C4EFCE"/>
            <w:noWrap/>
            <w:tcMar>
              <w:left w:w="28" w:type="dxa"/>
              <w:right w:w="28" w:type="dxa"/>
            </w:tcMar>
            <w:vAlign w:val="center"/>
          </w:tcPr>
          <w:p w14:paraId="56763CB6" w14:textId="04C99C4E"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Dodávka autonómnych bezpilotných prostriedkov</w:t>
            </w:r>
          </w:p>
        </w:tc>
        <w:tc>
          <w:tcPr>
            <w:tcW w:w="962" w:type="dxa"/>
            <w:shd w:val="clear" w:color="auto" w:fill="C4EFCE"/>
            <w:noWrap/>
            <w:tcMar>
              <w:left w:w="28" w:type="dxa"/>
              <w:right w:w="28" w:type="dxa"/>
            </w:tcMar>
            <w:vAlign w:val="center"/>
          </w:tcPr>
          <w:p w14:paraId="1103F6C0" w14:textId="457E077F"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961" w:type="dxa"/>
            <w:shd w:val="clear" w:color="auto" w:fill="C4EFCE"/>
            <w:noWrap/>
            <w:tcMar>
              <w:left w:w="28" w:type="dxa"/>
              <w:right w:w="28" w:type="dxa"/>
            </w:tcMar>
            <w:vAlign w:val="center"/>
          </w:tcPr>
          <w:p w14:paraId="601DD50D" w14:textId="0EF25E98"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690" w:type="dxa"/>
            <w:shd w:val="clear" w:color="auto" w:fill="C4EFCE"/>
            <w:noWrap/>
            <w:tcMar>
              <w:left w:w="28" w:type="dxa"/>
              <w:right w:w="28" w:type="dxa"/>
            </w:tcMar>
            <w:vAlign w:val="center"/>
          </w:tcPr>
          <w:p w14:paraId="7383417D" w14:textId="03239D54"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554" w:type="dxa"/>
            <w:shd w:val="clear" w:color="auto" w:fill="C4EFCE"/>
            <w:noWrap/>
            <w:tcMar>
              <w:left w:w="28" w:type="dxa"/>
              <w:right w:w="28" w:type="dxa"/>
            </w:tcMar>
            <w:vAlign w:val="center"/>
          </w:tcPr>
          <w:p w14:paraId="0D745C96" w14:textId="6749EA4C" w:rsidR="00387C70" w:rsidRPr="003F23AC" w:rsidRDefault="00FF0A91"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684" w:type="dxa"/>
            <w:shd w:val="clear" w:color="auto" w:fill="C4EFCE"/>
            <w:noWrap/>
            <w:tcMar>
              <w:left w:w="28" w:type="dxa"/>
              <w:right w:w="28" w:type="dxa"/>
            </w:tcMar>
            <w:vAlign w:val="center"/>
          </w:tcPr>
          <w:p w14:paraId="4410A9DA" w14:textId="4A5D18FE"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5223" w:type="dxa"/>
            <w:shd w:val="clear" w:color="auto" w:fill="C4EFCE"/>
            <w:tcMar>
              <w:left w:w="28" w:type="dxa"/>
              <w:right w:w="28" w:type="dxa"/>
            </w:tcMar>
            <w:vAlign w:val="center"/>
          </w:tcPr>
          <w:p w14:paraId="4E50F559" w14:textId="7094A901" w:rsidR="00387C70" w:rsidRPr="003F23AC" w:rsidRDefault="000F5AA4" w:rsidP="003F23AC">
            <w:pPr>
              <w:pStyle w:val="P68B1DB1-Normal12"/>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Dodanie subavodného autonómneho bezpilotného dopravného prostriedku 6000M. </w:t>
            </w:r>
          </w:p>
        </w:tc>
      </w:tr>
    </w:tbl>
    <w:p w14:paraId="2BA4F9E6" w14:textId="4FDF11B3" w:rsidR="00387C70" w:rsidRPr="003F23AC" w:rsidRDefault="00387C70" w:rsidP="003F23AC">
      <w:pPr>
        <w:rPr>
          <w:rFonts w:ascii="Times New Roman" w:hAnsi="Times New Roman" w:cs="Times New Roman"/>
          <w:noProof/>
          <w:lang w:val="sk-SK"/>
        </w:rPr>
      </w:pPr>
    </w:p>
    <w:p w14:paraId="57C9C0BA"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pPr>
    </w:p>
    <w:p w14:paraId="4CBC1AE8" w14:textId="378A82D4"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sectPr w:rsidR="00387C70" w:rsidRPr="003F23AC" w:rsidSect="00E00EDD">
          <w:headerReference w:type="even" r:id="rId216"/>
          <w:headerReference w:type="default" r:id="rId217"/>
          <w:footerReference w:type="even" r:id="rId218"/>
          <w:footerReference w:type="default" r:id="rId219"/>
          <w:headerReference w:type="first" r:id="rId220"/>
          <w:footerReference w:type="first" r:id="rId221"/>
          <w:pgSz w:w="16839" w:h="11907" w:orient="landscape"/>
          <w:pgMar w:top="1134" w:right="1134" w:bottom="1134" w:left="1134" w:header="567" w:footer="567" w:gutter="0"/>
          <w:cols w:space="720"/>
          <w:docGrid w:linePitch="360"/>
        </w:sectPr>
      </w:pPr>
    </w:p>
    <w:p w14:paraId="29ABB686" w14:textId="1C19EB21"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J.3.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úverového financovania</w:t>
      </w:r>
    </w:p>
    <w:p w14:paraId="6F09459D" w14:textId="179052E3" w:rsidR="00387C70" w:rsidRPr="003F23AC" w:rsidRDefault="000F5AA4" w:rsidP="003F23AC">
      <w:pPr>
        <w:pStyle w:val="P68B1DB1-Normal5"/>
        <w:spacing w:before="240" w:after="0" w:line="259" w:lineRule="auto"/>
        <w:ind w:left="851"/>
        <w:jc w:val="both"/>
        <w:outlineLvl w:val="3"/>
        <w:rPr>
          <w:rFonts w:eastAsiaTheme="minorEastAsia" w:cs="Times New Roman"/>
          <w:noProof/>
          <w:lang w:val="sk-SK"/>
        </w:rPr>
      </w:pPr>
      <w:r w:rsidRPr="003F23AC">
        <w:rPr>
          <w:rFonts w:cs="Times New Roman"/>
          <w:noProof/>
          <w:lang w:val="sk-SK"/>
        </w:rPr>
        <w:t>Investície TC-C10-i03: Centrum obranných operácií Atlantického oceánu</w:t>
      </w:r>
      <w:r w:rsidR="00A75B3C" w:rsidRPr="003F23AC">
        <w:rPr>
          <w:rFonts w:cs="Times New Roman"/>
          <w:noProof/>
          <w:lang w:val="sk-SK"/>
        </w:rPr>
        <w:t xml:space="preserve"> a </w:t>
      </w:r>
      <w:r w:rsidRPr="003F23AC">
        <w:rPr>
          <w:rFonts w:cs="Times New Roman"/>
          <w:noProof/>
          <w:lang w:val="sk-SK"/>
        </w:rPr>
        <w:t>námorná platforma</w:t>
      </w:r>
    </w:p>
    <w:p w14:paraId="02CC8747" w14:textId="4237A4D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prispieť</w:t>
      </w:r>
      <w:r w:rsidR="00A75B3C" w:rsidRPr="003F23AC">
        <w:rPr>
          <w:rFonts w:cs="Times New Roman"/>
          <w:noProof/>
          <w:lang w:val="sk-SK"/>
        </w:rPr>
        <w:t xml:space="preserve"> k </w:t>
      </w:r>
      <w:r w:rsidRPr="003F23AC">
        <w:rPr>
          <w:rFonts w:cs="Times New Roman"/>
          <w:noProof/>
          <w:lang w:val="sk-SK"/>
        </w:rPr>
        <w:t>riešeniu viacerých výziev vrátane monitorovania biogeochemického rozmeru oceánov</w:t>
      </w:r>
      <w:r w:rsidR="00A75B3C" w:rsidRPr="003F23AC">
        <w:rPr>
          <w:rFonts w:cs="Times New Roman"/>
          <w:noProof/>
          <w:lang w:val="sk-SK"/>
        </w:rPr>
        <w:t xml:space="preserve"> a </w:t>
      </w:r>
      <w:r w:rsidRPr="003F23AC">
        <w:rPr>
          <w:rFonts w:cs="Times New Roman"/>
          <w:noProof/>
          <w:lang w:val="sk-SK"/>
        </w:rPr>
        <w:t>atmosféry; mapovať</w:t>
      </w:r>
      <w:r w:rsidR="00A75B3C" w:rsidRPr="003F23AC">
        <w:rPr>
          <w:rFonts w:cs="Times New Roman"/>
          <w:noProof/>
          <w:lang w:val="sk-SK"/>
        </w:rPr>
        <w:t xml:space="preserve"> a </w:t>
      </w:r>
      <w:r w:rsidRPr="003F23AC">
        <w:rPr>
          <w:rFonts w:cs="Times New Roman"/>
          <w:noProof/>
          <w:lang w:val="sk-SK"/>
        </w:rPr>
        <w:t>posudzovať nerastné zdroje</w:t>
      </w:r>
      <w:r w:rsidR="00A75B3C" w:rsidRPr="003F23AC">
        <w:rPr>
          <w:rFonts w:cs="Times New Roman"/>
          <w:noProof/>
          <w:lang w:val="sk-SK"/>
        </w:rPr>
        <w:t xml:space="preserve"> a </w:t>
      </w:r>
      <w:r w:rsidRPr="003F23AC">
        <w:rPr>
          <w:rFonts w:cs="Times New Roman"/>
          <w:noProof/>
          <w:lang w:val="sk-SK"/>
        </w:rPr>
        <w:t>všetky ostatné neobnoviteľné zdroje morskej pôdy</w:t>
      </w:r>
      <w:r w:rsidR="00A75B3C" w:rsidRPr="003F23AC">
        <w:rPr>
          <w:rFonts w:cs="Times New Roman"/>
          <w:noProof/>
          <w:lang w:val="sk-SK"/>
        </w:rPr>
        <w:t xml:space="preserve"> a </w:t>
      </w:r>
      <w:r w:rsidRPr="003F23AC">
        <w:rPr>
          <w:rFonts w:cs="Times New Roman"/>
          <w:noProof/>
          <w:lang w:val="sk-SK"/>
        </w:rPr>
        <w:t>podložia, ktoré patria pod portugalskú jurisdikciu; neustále mapovať živé zdroje (obnoviteľné zdroje)</w:t>
      </w:r>
      <w:r w:rsidR="00A75B3C" w:rsidRPr="003F23AC">
        <w:rPr>
          <w:rFonts w:cs="Times New Roman"/>
          <w:noProof/>
          <w:lang w:val="sk-SK"/>
        </w:rPr>
        <w:t xml:space="preserve"> a </w:t>
      </w:r>
      <w:r w:rsidRPr="003F23AC">
        <w:rPr>
          <w:rFonts w:cs="Times New Roman"/>
          <w:noProof/>
          <w:lang w:val="sk-SK"/>
        </w:rPr>
        <w:t>monitorovať ich vývoj; bojovať proti nezrovnalostiam</w:t>
      </w:r>
      <w:r w:rsidR="00A75B3C" w:rsidRPr="003F23AC">
        <w:rPr>
          <w:rFonts w:cs="Times New Roman"/>
          <w:noProof/>
          <w:lang w:val="sk-SK"/>
        </w:rPr>
        <w:t xml:space="preserve"> a </w:t>
      </w:r>
      <w:r w:rsidRPr="003F23AC">
        <w:rPr>
          <w:rFonts w:cs="Times New Roman"/>
          <w:noProof/>
          <w:lang w:val="sk-SK"/>
        </w:rPr>
        <w:t>nezákonným konaniam</w:t>
      </w:r>
      <w:r w:rsidR="00A75B3C" w:rsidRPr="003F23AC">
        <w:rPr>
          <w:rFonts w:cs="Times New Roman"/>
          <w:noProof/>
          <w:lang w:val="sk-SK"/>
        </w:rPr>
        <w:t xml:space="preserve"> o </w:t>
      </w:r>
      <w:r w:rsidRPr="003F23AC">
        <w:rPr>
          <w:rFonts w:cs="Times New Roman"/>
          <w:noProof/>
          <w:lang w:val="sk-SK"/>
        </w:rPr>
        <w:t>oceánoch patriacich pod portugalskú jurisdikciu</w:t>
      </w:r>
      <w:r w:rsidR="00A75B3C" w:rsidRPr="003F23AC">
        <w:rPr>
          <w:rFonts w:cs="Times New Roman"/>
          <w:noProof/>
          <w:lang w:val="sk-SK"/>
        </w:rPr>
        <w:t xml:space="preserve"> v </w:t>
      </w:r>
      <w:r w:rsidRPr="003F23AC">
        <w:rPr>
          <w:rFonts w:cs="Times New Roman"/>
          <w:noProof/>
          <w:lang w:val="sk-SK"/>
        </w:rPr>
        <w:t>súvislosti</w:t>
      </w:r>
      <w:r w:rsidR="00A75B3C" w:rsidRPr="003F23AC">
        <w:rPr>
          <w:rFonts w:cs="Times New Roman"/>
          <w:noProof/>
          <w:lang w:val="sk-SK"/>
        </w:rPr>
        <w:t xml:space="preserve"> s </w:t>
      </w:r>
      <w:r w:rsidRPr="003F23AC">
        <w:rPr>
          <w:rFonts w:cs="Times New Roman"/>
          <w:noProof/>
          <w:lang w:val="sk-SK"/>
        </w:rPr>
        <w:t>hodnotovými reťazcami oceánskeho priemyslu; reagovanie na prírodné katastrofy</w:t>
      </w:r>
      <w:r w:rsidR="00A75B3C" w:rsidRPr="003F23AC">
        <w:rPr>
          <w:rFonts w:cs="Times New Roman"/>
          <w:noProof/>
          <w:lang w:val="sk-SK"/>
        </w:rPr>
        <w:t xml:space="preserve"> a </w:t>
      </w:r>
      <w:r w:rsidRPr="003F23AC">
        <w:rPr>
          <w:rFonts w:cs="Times New Roman"/>
          <w:noProof/>
          <w:lang w:val="sk-SK"/>
        </w:rPr>
        <w:t>katastrofy spôsobené ľudskou činnosťou; prispievanie</w:t>
      </w:r>
      <w:r w:rsidR="00A75B3C" w:rsidRPr="003F23AC">
        <w:rPr>
          <w:rFonts w:cs="Times New Roman"/>
          <w:noProof/>
          <w:lang w:val="sk-SK"/>
        </w:rPr>
        <w:t xml:space="preserve"> k </w:t>
      </w:r>
      <w:r w:rsidRPr="003F23AC">
        <w:rPr>
          <w:rFonts w:cs="Times New Roman"/>
          <w:noProof/>
          <w:lang w:val="sk-SK"/>
        </w:rPr>
        <w:t>zmierňovaniu škodlivých ľudských činností</w:t>
      </w:r>
      <w:r w:rsidR="00A75B3C" w:rsidRPr="003F23AC">
        <w:rPr>
          <w:rFonts w:cs="Times New Roman"/>
          <w:noProof/>
          <w:lang w:val="sk-SK"/>
        </w:rPr>
        <w:t xml:space="preserve"> v </w:t>
      </w:r>
      <w:r w:rsidRPr="003F23AC">
        <w:rPr>
          <w:rFonts w:cs="Times New Roman"/>
          <w:noProof/>
          <w:lang w:val="sk-SK"/>
        </w:rPr>
        <w:t>oceánoch (riešenie účinkov znečistenia, ako sú napríklad makroplasty); zvýšiť schopnosť zaznamenávať všetky informácie získané na mori; vytvárať nové poznatky</w:t>
      </w:r>
      <w:r w:rsidR="00A75B3C" w:rsidRPr="003F23AC">
        <w:rPr>
          <w:rFonts w:cs="Times New Roman"/>
          <w:noProof/>
          <w:lang w:val="sk-SK"/>
        </w:rPr>
        <w:t xml:space="preserve"> a </w:t>
      </w:r>
      <w:r w:rsidRPr="003F23AC">
        <w:rPr>
          <w:rFonts w:cs="Times New Roman"/>
          <w:noProof/>
          <w:lang w:val="sk-SK"/>
        </w:rPr>
        <w:t>generovať poznatky zlúčením informácií</w:t>
      </w:r>
      <w:r w:rsidR="00A75B3C" w:rsidRPr="003F23AC">
        <w:rPr>
          <w:rFonts w:cs="Times New Roman"/>
          <w:noProof/>
          <w:lang w:val="sk-SK"/>
        </w:rPr>
        <w:t xml:space="preserve"> a </w:t>
      </w:r>
      <w:r w:rsidRPr="003F23AC">
        <w:rPr>
          <w:rFonts w:cs="Times New Roman"/>
          <w:noProof/>
          <w:lang w:val="sk-SK"/>
        </w:rPr>
        <w:t>rozvíjať prognostické modely</w:t>
      </w:r>
      <w:r w:rsidR="00A75B3C" w:rsidRPr="003F23AC">
        <w:rPr>
          <w:rFonts w:cs="Times New Roman"/>
          <w:noProof/>
          <w:lang w:val="sk-SK"/>
        </w:rPr>
        <w:t xml:space="preserve"> s </w:t>
      </w:r>
      <w:r w:rsidRPr="003F23AC">
        <w:rPr>
          <w:rFonts w:cs="Times New Roman"/>
          <w:noProof/>
          <w:lang w:val="sk-SK"/>
        </w:rPr>
        <w:t>rôznymi časovými</w:t>
      </w:r>
      <w:r w:rsidR="00A75B3C" w:rsidRPr="003F23AC">
        <w:rPr>
          <w:rFonts w:cs="Times New Roman"/>
          <w:noProof/>
          <w:lang w:val="sk-SK"/>
        </w:rPr>
        <w:t xml:space="preserve"> a </w:t>
      </w:r>
      <w:r w:rsidRPr="003F23AC">
        <w:rPr>
          <w:rFonts w:cs="Times New Roman"/>
          <w:noProof/>
          <w:lang w:val="sk-SK"/>
        </w:rPr>
        <w:t>priestorovými rozsahmi</w:t>
      </w:r>
      <w:r w:rsidR="00A75B3C" w:rsidRPr="003F23AC">
        <w:rPr>
          <w:rFonts w:cs="Times New Roman"/>
          <w:noProof/>
          <w:lang w:val="sk-SK"/>
        </w:rPr>
        <w:t>.</w:t>
      </w:r>
    </w:p>
    <w:p w14:paraId="522D603A" w14:textId="50DDAE3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vývoja systému založeného na troch kľúčových pilieroch: Pilier I – Viacúčelová námorná platforma</w:t>
      </w:r>
      <w:r w:rsidR="00A75B3C" w:rsidRPr="003F23AC">
        <w:rPr>
          <w:rFonts w:cs="Times New Roman"/>
          <w:noProof/>
          <w:lang w:val="sk-SK"/>
        </w:rPr>
        <w:t xml:space="preserve"> s </w:t>
      </w:r>
      <w:r w:rsidRPr="003F23AC">
        <w:rPr>
          <w:rFonts w:cs="Times New Roman"/>
          <w:noProof/>
          <w:lang w:val="sk-SK"/>
        </w:rPr>
        <w:t>viacerými silnými stránkami</w:t>
      </w:r>
      <w:r w:rsidR="00A75B3C" w:rsidRPr="003F23AC">
        <w:rPr>
          <w:rFonts w:cs="Times New Roman"/>
          <w:noProof/>
          <w:lang w:val="sk-SK"/>
        </w:rPr>
        <w:t xml:space="preserve"> a </w:t>
      </w:r>
      <w:r w:rsidRPr="003F23AC">
        <w:rPr>
          <w:rFonts w:cs="Times New Roman"/>
          <w:noProof/>
          <w:lang w:val="sk-SK"/>
        </w:rPr>
        <w:t>slúžiaca na tieto účely: monitorovanie oceánov, oceánografický výskum, monitorovanie morskej ekológie, integrácia nových technológií na monitorovanie oceánov</w:t>
      </w:r>
      <w:r w:rsidR="00A75B3C" w:rsidRPr="003F23AC">
        <w:rPr>
          <w:rFonts w:cs="Times New Roman"/>
          <w:noProof/>
          <w:lang w:val="sk-SK"/>
        </w:rPr>
        <w:t xml:space="preserve"> a </w:t>
      </w:r>
      <w:r w:rsidRPr="003F23AC">
        <w:rPr>
          <w:rFonts w:cs="Times New Roman"/>
          <w:noProof/>
          <w:lang w:val="sk-SK"/>
        </w:rPr>
        <w:t>zásahy do oceánov – vrátane leteckých</w:t>
      </w:r>
      <w:r w:rsidR="00A75B3C" w:rsidRPr="003F23AC">
        <w:rPr>
          <w:rFonts w:cs="Times New Roman"/>
          <w:noProof/>
          <w:lang w:val="sk-SK"/>
        </w:rPr>
        <w:t xml:space="preserve"> a </w:t>
      </w:r>
      <w:r w:rsidRPr="003F23AC">
        <w:rPr>
          <w:rFonts w:cs="Times New Roman"/>
          <w:noProof/>
          <w:lang w:val="sk-SK"/>
        </w:rPr>
        <w:t>podmorských robotických systémov); Pilier II – Centrum operácií zakotvené</w:t>
      </w:r>
      <w:r w:rsidR="00A75B3C" w:rsidRPr="003F23AC">
        <w:rPr>
          <w:rFonts w:cs="Times New Roman"/>
          <w:noProof/>
          <w:lang w:val="sk-SK"/>
        </w:rPr>
        <w:t xml:space="preserve"> v </w:t>
      </w:r>
      <w:r w:rsidRPr="003F23AC">
        <w:rPr>
          <w:rFonts w:cs="Times New Roman"/>
          <w:noProof/>
          <w:lang w:val="sk-SK"/>
        </w:rPr>
        <w:t>systéme informovanosti založenom na národnej námornej databáze</w:t>
      </w:r>
      <w:r w:rsidR="00A75B3C" w:rsidRPr="003F23AC">
        <w:rPr>
          <w:rFonts w:cs="Times New Roman"/>
          <w:noProof/>
          <w:lang w:val="sk-SK"/>
        </w:rPr>
        <w:t xml:space="preserve"> a </w:t>
      </w:r>
      <w:r w:rsidRPr="003F23AC">
        <w:rPr>
          <w:rFonts w:cs="Times New Roman"/>
          <w:noProof/>
          <w:lang w:val="sk-SK"/>
        </w:rPr>
        <w:t>digitálnom dvojici</w:t>
      </w:r>
      <w:r w:rsidR="00A75B3C" w:rsidRPr="003F23AC">
        <w:rPr>
          <w:rFonts w:cs="Times New Roman"/>
          <w:noProof/>
          <w:lang w:val="sk-SK"/>
        </w:rPr>
        <w:t xml:space="preserve"> a </w:t>
      </w:r>
      <w:r w:rsidRPr="003F23AC">
        <w:rPr>
          <w:rFonts w:cs="Times New Roman"/>
          <w:noProof/>
          <w:lang w:val="sk-SK"/>
        </w:rPr>
        <w:t>sieti výskumných, vývojových, experimentálnych</w:t>
      </w:r>
      <w:r w:rsidR="00A75B3C" w:rsidRPr="003F23AC">
        <w:rPr>
          <w:rFonts w:cs="Times New Roman"/>
          <w:noProof/>
          <w:lang w:val="sk-SK"/>
        </w:rPr>
        <w:t xml:space="preserve"> a </w:t>
      </w:r>
      <w:r w:rsidRPr="003F23AC">
        <w:rPr>
          <w:rFonts w:cs="Times New Roman"/>
          <w:noProof/>
          <w:lang w:val="sk-SK"/>
        </w:rPr>
        <w:t>inovačných centier</w:t>
      </w:r>
      <w:r w:rsidR="00A75B3C" w:rsidRPr="003F23AC">
        <w:rPr>
          <w:rFonts w:cs="Times New Roman"/>
          <w:noProof/>
          <w:lang w:val="sk-SK"/>
        </w:rPr>
        <w:t xml:space="preserve"> s </w:t>
      </w:r>
      <w:r w:rsidRPr="003F23AC">
        <w:rPr>
          <w:rFonts w:cs="Times New Roman"/>
          <w:noProof/>
          <w:lang w:val="sk-SK"/>
        </w:rPr>
        <w:t>cieľom posilniť prostriedky na pozorovanie oceánov, prispieť</w:t>
      </w:r>
      <w:r w:rsidR="00A75B3C" w:rsidRPr="003F23AC">
        <w:rPr>
          <w:rFonts w:cs="Times New Roman"/>
          <w:noProof/>
          <w:lang w:val="sk-SK"/>
        </w:rPr>
        <w:t xml:space="preserve"> k </w:t>
      </w:r>
      <w:r w:rsidRPr="003F23AC">
        <w:rPr>
          <w:rFonts w:cs="Times New Roman"/>
          <w:noProof/>
          <w:lang w:val="sk-SK"/>
        </w:rPr>
        <w:t>cieľu vytvoriť digitálny oceán, podporovať znalosti</w:t>
      </w:r>
      <w:r w:rsidR="00A75B3C" w:rsidRPr="003F23AC">
        <w:rPr>
          <w:rFonts w:cs="Times New Roman"/>
          <w:noProof/>
          <w:lang w:val="sk-SK"/>
        </w:rPr>
        <w:t xml:space="preserve"> a </w:t>
      </w:r>
      <w:r w:rsidRPr="003F23AC">
        <w:rPr>
          <w:rFonts w:cs="Times New Roman"/>
          <w:noProof/>
          <w:lang w:val="sk-SK"/>
        </w:rPr>
        <w:t>poskytovať riešenia pre zásahy do oceánov, ako je zhromažďovanie leteckých, námorných</w:t>
      </w:r>
      <w:r w:rsidR="00A75B3C" w:rsidRPr="003F23AC">
        <w:rPr>
          <w:rFonts w:cs="Times New Roman"/>
          <w:noProof/>
          <w:lang w:val="sk-SK"/>
        </w:rPr>
        <w:t xml:space="preserve"> a </w:t>
      </w:r>
      <w:r w:rsidRPr="003F23AC">
        <w:rPr>
          <w:rFonts w:cs="Times New Roman"/>
          <w:noProof/>
          <w:lang w:val="sk-SK"/>
        </w:rPr>
        <w:t>ponorných údajov, poznatky</w:t>
      </w:r>
      <w:r w:rsidR="00A75B3C" w:rsidRPr="003F23AC">
        <w:rPr>
          <w:rFonts w:cs="Times New Roman"/>
          <w:noProof/>
          <w:lang w:val="sk-SK"/>
        </w:rPr>
        <w:t xml:space="preserve"> o </w:t>
      </w:r>
      <w:r w:rsidRPr="003F23AC">
        <w:rPr>
          <w:rFonts w:cs="Times New Roman"/>
          <w:noProof/>
          <w:lang w:val="sk-SK"/>
        </w:rPr>
        <w:t>oceánoch</w:t>
      </w:r>
      <w:r w:rsidR="00A75B3C" w:rsidRPr="003F23AC">
        <w:rPr>
          <w:rFonts w:cs="Times New Roman"/>
          <w:noProof/>
          <w:lang w:val="sk-SK"/>
        </w:rPr>
        <w:t xml:space="preserve"> a </w:t>
      </w:r>
      <w:r w:rsidRPr="003F23AC">
        <w:rPr>
          <w:rFonts w:cs="Times New Roman"/>
          <w:noProof/>
          <w:lang w:val="sk-SK"/>
        </w:rPr>
        <w:t>mapovanie oceánov na vedecké účely;</w:t>
      </w:r>
      <w:r w:rsidR="00A75B3C" w:rsidRPr="003F23AC">
        <w:rPr>
          <w:rFonts w:cs="Times New Roman"/>
          <w:noProof/>
          <w:lang w:val="sk-SK"/>
        </w:rPr>
        <w:t xml:space="preserve"> a </w:t>
      </w:r>
      <w:r w:rsidRPr="003F23AC">
        <w:rPr>
          <w:rFonts w:cs="Times New Roman"/>
          <w:noProof/>
          <w:lang w:val="sk-SK"/>
        </w:rPr>
        <w:t>pilier III – akadémia Alfeite Arsenal Academy (akadémia 4.0). Pilier I pozostáva</w:t>
      </w:r>
      <w:r w:rsidR="00A75B3C" w:rsidRPr="003F23AC">
        <w:rPr>
          <w:rFonts w:cs="Times New Roman"/>
          <w:noProof/>
          <w:lang w:val="sk-SK"/>
        </w:rPr>
        <w:t xml:space="preserve"> z </w:t>
      </w:r>
      <w:r w:rsidRPr="003F23AC">
        <w:rPr>
          <w:rFonts w:cs="Times New Roman"/>
          <w:noProof/>
          <w:lang w:val="sk-SK"/>
        </w:rPr>
        <w:t>vybudovania viacúčelovej platformy, integrácie hraničných technológií</w:t>
      </w:r>
      <w:r w:rsidR="00A75B3C" w:rsidRPr="003F23AC">
        <w:rPr>
          <w:rFonts w:cs="Times New Roman"/>
          <w:noProof/>
          <w:lang w:val="sk-SK"/>
        </w:rPr>
        <w:t xml:space="preserve"> a </w:t>
      </w:r>
      <w:r w:rsidRPr="003F23AC">
        <w:rPr>
          <w:rFonts w:cs="Times New Roman"/>
          <w:noProof/>
          <w:lang w:val="sk-SK"/>
        </w:rPr>
        <w:t>rozšírenia funkcií plavidla na oceánsky dozor</w:t>
      </w:r>
      <w:r w:rsidR="00A75B3C" w:rsidRPr="003F23AC">
        <w:rPr>
          <w:rFonts w:cs="Times New Roman"/>
          <w:noProof/>
          <w:lang w:val="sk-SK"/>
        </w:rPr>
        <w:t xml:space="preserve"> a </w:t>
      </w:r>
      <w:r w:rsidRPr="003F23AC">
        <w:rPr>
          <w:rFonts w:cs="Times New Roman"/>
          <w:noProof/>
          <w:lang w:val="sk-SK"/>
        </w:rPr>
        <w:t>oceánografického výskumného plavidla na iné scenáre, ako sú núdzové scenáre, ako sú ropné škvrny alebo kvety plastov, riasy alebo droby) alebo činnosti monitorovania morskej ekológie</w:t>
      </w:r>
      <w:r w:rsidR="00A75B3C" w:rsidRPr="003F23AC">
        <w:rPr>
          <w:rFonts w:cs="Times New Roman"/>
          <w:noProof/>
          <w:lang w:val="sk-SK"/>
        </w:rPr>
        <w:t xml:space="preserve"> a </w:t>
      </w:r>
      <w:r w:rsidRPr="003F23AC">
        <w:rPr>
          <w:rFonts w:cs="Times New Roman"/>
          <w:noProof/>
          <w:lang w:val="sk-SK"/>
        </w:rPr>
        <w:t>integrácia nových technologických prostriedkov pozorovania oceánov, monitorovania</w:t>
      </w:r>
      <w:r w:rsidR="00A75B3C" w:rsidRPr="003F23AC">
        <w:rPr>
          <w:rFonts w:cs="Times New Roman"/>
          <w:noProof/>
          <w:lang w:val="sk-SK"/>
        </w:rPr>
        <w:t xml:space="preserve"> a </w:t>
      </w:r>
      <w:r w:rsidRPr="003F23AC">
        <w:rPr>
          <w:rFonts w:cs="Times New Roman"/>
          <w:noProof/>
          <w:lang w:val="sk-SK"/>
        </w:rPr>
        <w:t>intervencie, ako sú robotické vzdušné alebo podmorské systémy. Platforma vykonáva niekoľko opatrení, ako napríklad: núdzové operácie, dohľad, vedecký</w:t>
      </w:r>
      <w:r w:rsidR="00A75B3C" w:rsidRPr="003F23AC">
        <w:rPr>
          <w:rFonts w:cs="Times New Roman"/>
          <w:noProof/>
          <w:lang w:val="sk-SK"/>
        </w:rPr>
        <w:t xml:space="preserve"> a </w:t>
      </w:r>
      <w:r w:rsidRPr="003F23AC">
        <w:rPr>
          <w:rFonts w:cs="Times New Roman"/>
          <w:noProof/>
          <w:lang w:val="sk-SK"/>
        </w:rPr>
        <w:t>technologický výskum</w:t>
      </w:r>
      <w:r w:rsidR="00A75B3C" w:rsidRPr="003F23AC">
        <w:rPr>
          <w:rFonts w:cs="Times New Roman"/>
          <w:noProof/>
          <w:lang w:val="sk-SK"/>
        </w:rPr>
        <w:t xml:space="preserve"> a </w:t>
      </w:r>
      <w:r w:rsidRPr="003F23AC">
        <w:rPr>
          <w:rFonts w:cs="Times New Roman"/>
          <w:noProof/>
          <w:lang w:val="sk-SK"/>
        </w:rPr>
        <w:t>environmentálne</w:t>
      </w:r>
      <w:r w:rsidR="00A75B3C" w:rsidRPr="003F23AC">
        <w:rPr>
          <w:rFonts w:cs="Times New Roman"/>
          <w:noProof/>
          <w:lang w:val="sk-SK"/>
        </w:rPr>
        <w:t xml:space="preserve"> a </w:t>
      </w:r>
      <w:r w:rsidRPr="003F23AC">
        <w:rPr>
          <w:rFonts w:cs="Times New Roman"/>
          <w:noProof/>
          <w:lang w:val="sk-SK"/>
        </w:rPr>
        <w:t>meteorologické monitorovanie.</w:t>
      </w:r>
      <w:r w:rsidR="00A75B3C" w:rsidRPr="003F23AC">
        <w:rPr>
          <w:rFonts w:cs="Times New Roman"/>
          <w:noProof/>
          <w:lang w:val="sk-SK"/>
        </w:rPr>
        <w:t xml:space="preserve"> V </w:t>
      </w:r>
      <w:r w:rsidRPr="003F23AC">
        <w:rPr>
          <w:rFonts w:cs="Times New Roman"/>
          <w:noProof/>
          <w:lang w:val="sk-SK"/>
        </w:rPr>
        <w:t>rámci piliera II sa operačné centrum zameriava na posilnenie prostriedkov na pozorovanie oceánov tým, že prispieva</w:t>
      </w:r>
      <w:r w:rsidR="00A75B3C" w:rsidRPr="003F23AC">
        <w:rPr>
          <w:rFonts w:cs="Times New Roman"/>
          <w:noProof/>
          <w:lang w:val="sk-SK"/>
        </w:rPr>
        <w:t xml:space="preserve"> k </w:t>
      </w:r>
      <w:r w:rsidRPr="003F23AC">
        <w:rPr>
          <w:rFonts w:cs="Times New Roman"/>
          <w:noProof/>
          <w:lang w:val="sk-SK"/>
        </w:rPr>
        <w:t>cieľu vytvoriť „digitálny oceán“</w:t>
      </w:r>
      <w:r w:rsidR="00A75B3C" w:rsidRPr="003F23AC">
        <w:rPr>
          <w:rFonts w:cs="Times New Roman"/>
          <w:noProof/>
          <w:lang w:val="sk-SK"/>
        </w:rPr>
        <w:t xml:space="preserve"> s </w:t>
      </w:r>
      <w:r w:rsidRPr="003F23AC">
        <w:rPr>
          <w:rFonts w:cs="Times New Roman"/>
          <w:noProof/>
          <w:lang w:val="sk-SK"/>
        </w:rPr>
        <w:t>cieľom umožniť tvorbu poznatkov</w:t>
      </w:r>
      <w:r w:rsidR="00A75B3C" w:rsidRPr="003F23AC">
        <w:rPr>
          <w:rFonts w:cs="Times New Roman"/>
          <w:noProof/>
          <w:lang w:val="sk-SK"/>
        </w:rPr>
        <w:t xml:space="preserve"> a </w:t>
      </w:r>
      <w:r w:rsidRPr="003F23AC">
        <w:rPr>
          <w:rFonts w:cs="Times New Roman"/>
          <w:noProof/>
          <w:lang w:val="sk-SK"/>
        </w:rPr>
        <w:t>okrem toho poskytovať riešenia, ktoré posilnia vnútroštátne</w:t>
      </w:r>
      <w:r w:rsidR="00A75B3C" w:rsidRPr="003F23AC">
        <w:rPr>
          <w:rFonts w:cs="Times New Roman"/>
          <w:noProof/>
          <w:lang w:val="sk-SK"/>
        </w:rPr>
        <w:t xml:space="preserve"> a </w:t>
      </w:r>
      <w:r w:rsidRPr="003F23AC">
        <w:rPr>
          <w:rFonts w:cs="Times New Roman"/>
          <w:noProof/>
          <w:lang w:val="sk-SK"/>
        </w:rPr>
        <w:t>medzinárodné kapacity na zásahy do oceánov. Cieľom piliera III je byť inovačným projektom odbornej prípravy ľudských zdrojov</w:t>
      </w:r>
      <w:r w:rsidR="00A75B3C" w:rsidRPr="003F23AC">
        <w:rPr>
          <w:rFonts w:cs="Times New Roman"/>
          <w:noProof/>
          <w:lang w:val="sk-SK"/>
        </w:rPr>
        <w:t xml:space="preserve"> v </w:t>
      </w:r>
      <w:r w:rsidRPr="003F23AC">
        <w:rPr>
          <w:rFonts w:cs="Times New Roman"/>
          <w:noProof/>
          <w:lang w:val="sk-SK"/>
        </w:rPr>
        <w:t>námornom sektore,</w:t>
      </w:r>
      <w:r w:rsidR="00A75B3C" w:rsidRPr="003F23AC">
        <w:rPr>
          <w:rFonts w:cs="Times New Roman"/>
          <w:noProof/>
          <w:lang w:val="sk-SK"/>
        </w:rPr>
        <w:t xml:space="preserve"> a </w:t>
      </w:r>
      <w:r w:rsidRPr="003F23AC">
        <w:rPr>
          <w:rFonts w:cs="Times New Roman"/>
          <w:noProof/>
          <w:lang w:val="sk-SK"/>
        </w:rPr>
        <w:t>to prostredníctvom kvalifikácie</w:t>
      </w:r>
      <w:r w:rsidR="00A75B3C" w:rsidRPr="003F23AC">
        <w:rPr>
          <w:rFonts w:cs="Times New Roman"/>
          <w:noProof/>
          <w:lang w:val="sk-SK"/>
        </w:rPr>
        <w:t xml:space="preserve"> a </w:t>
      </w:r>
      <w:r w:rsidRPr="003F23AC">
        <w:rPr>
          <w:rFonts w:cs="Times New Roman"/>
          <w:noProof/>
          <w:lang w:val="sk-SK"/>
        </w:rPr>
        <w:t>výmeny skúseností tých, ktorí už pôsobia</w:t>
      </w:r>
      <w:r w:rsidR="00A75B3C" w:rsidRPr="003F23AC">
        <w:rPr>
          <w:rFonts w:cs="Times New Roman"/>
          <w:noProof/>
          <w:lang w:val="sk-SK"/>
        </w:rPr>
        <w:t xml:space="preserve"> v </w:t>
      </w:r>
      <w:r w:rsidRPr="003F23AC">
        <w:rPr>
          <w:rFonts w:cs="Times New Roman"/>
          <w:noProof/>
          <w:lang w:val="sk-SK"/>
        </w:rPr>
        <w:t>podnikoch, ako aj prilákaním odborníkov</w:t>
      </w:r>
      <w:r w:rsidR="00A75B3C" w:rsidRPr="003F23AC">
        <w:rPr>
          <w:rFonts w:cs="Times New Roman"/>
          <w:noProof/>
          <w:lang w:val="sk-SK"/>
        </w:rPr>
        <w:t xml:space="preserve"> v </w:t>
      </w:r>
      <w:r w:rsidRPr="003F23AC">
        <w:rPr>
          <w:rFonts w:cs="Times New Roman"/>
          <w:noProof/>
          <w:lang w:val="sk-SK"/>
        </w:rPr>
        <w:t>oblasti námorného inžinierstva. Arsenalova akadémia sa zameriava na odbornú prípravu</w:t>
      </w:r>
      <w:r w:rsidR="00A75B3C" w:rsidRPr="003F23AC">
        <w:rPr>
          <w:rFonts w:cs="Times New Roman"/>
          <w:noProof/>
          <w:lang w:val="sk-SK"/>
        </w:rPr>
        <w:t xml:space="preserve"> v </w:t>
      </w:r>
      <w:r w:rsidRPr="003F23AC">
        <w:rPr>
          <w:rFonts w:cs="Times New Roman"/>
          <w:noProof/>
          <w:lang w:val="sk-SK"/>
        </w:rPr>
        <w:t>prelomových oblastiach, ako je robotika, telekomunikácie, biotechnológia, nanotechnológie, konektivita, umelá inteligencia, veľké dáta</w:t>
      </w:r>
      <w:r w:rsidR="00A75B3C" w:rsidRPr="003F23AC">
        <w:rPr>
          <w:rFonts w:cs="Times New Roman"/>
          <w:noProof/>
          <w:lang w:val="sk-SK"/>
        </w:rPr>
        <w:t xml:space="preserve"> a </w:t>
      </w:r>
      <w:r w:rsidRPr="003F23AC">
        <w:rPr>
          <w:rFonts w:cs="Times New Roman"/>
          <w:noProof/>
          <w:lang w:val="sk-SK"/>
        </w:rPr>
        <w:t>strojové učenie</w:t>
      </w:r>
      <w:r w:rsidR="00A75B3C" w:rsidRPr="003F23AC">
        <w:rPr>
          <w:rFonts w:cs="Times New Roman"/>
          <w:noProof/>
          <w:lang w:val="sk-SK"/>
        </w:rPr>
        <w:t>.</w:t>
      </w:r>
    </w:p>
    <w:p w14:paraId="4A77F8E2" w14:textId="6B704708"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r w:rsidR="00A75B3C" w:rsidRPr="003F23AC">
        <w:rPr>
          <w:rFonts w:cs="Times New Roman"/>
          <w:noProof/>
          <w:lang w:val="sk-SK"/>
        </w:rPr>
        <w:t>.</w:t>
      </w:r>
    </w:p>
    <w:p w14:paraId="063699FD" w14:textId="77777777" w:rsidR="00A75B3C" w:rsidRPr="003F23AC" w:rsidRDefault="000F5AA4" w:rsidP="003F23AC">
      <w:pPr>
        <w:pStyle w:val="P68B1DB1-Normal5"/>
        <w:spacing w:before="240" w:after="0" w:line="259" w:lineRule="auto"/>
        <w:ind w:left="851"/>
        <w:jc w:val="both"/>
        <w:outlineLvl w:val="3"/>
        <w:rPr>
          <w:rFonts w:cs="Times New Roman"/>
          <w:noProof/>
          <w:lang w:val="sk-SK"/>
        </w:rPr>
      </w:pPr>
      <w:r w:rsidRPr="003F23AC">
        <w:rPr>
          <w:rFonts w:cs="Times New Roman"/>
          <w:noProof/>
          <w:lang w:val="sk-SK"/>
        </w:rPr>
        <w:t>Investície TC-C10-i07: Ekologická lodná doprava</w:t>
      </w:r>
    </w:p>
    <w:p w14:paraId="7F5A82AA" w14:textId="482D2022"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opatrenia je urýchliť energetickú transformáciu námornej nákladnej</w:t>
      </w:r>
      <w:r w:rsidR="00A75B3C" w:rsidRPr="003F23AC">
        <w:rPr>
          <w:rFonts w:cs="Times New Roman"/>
          <w:noProof/>
          <w:lang w:val="sk-SK"/>
        </w:rPr>
        <w:t xml:space="preserve"> a </w:t>
      </w:r>
      <w:r w:rsidRPr="003F23AC">
        <w:rPr>
          <w:rFonts w:cs="Times New Roman"/>
          <w:noProof/>
          <w:lang w:val="sk-SK"/>
        </w:rPr>
        <w:t>osobnej dopravy</w:t>
      </w:r>
      <w:r w:rsidR="00A75B3C" w:rsidRPr="003F23AC">
        <w:rPr>
          <w:rFonts w:cs="Times New Roman"/>
          <w:noProof/>
          <w:lang w:val="sk-SK"/>
        </w:rPr>
        <w:t>.</w:t>
      </w:r>
    </w:p>
    <w:p w14:paraId="7AE9C498" w14:textId="2DFE0759"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programu na podporu intervencií</w:t>
      </w:r>
      <w:r w:rsidR="00A75B3C" w:rsidRPr="003F23AC">
        <w:rPr>
          <w:rFonts w:cs="Times New Roman"/>
          <w:noProof/>
          <w:lang w:val="sk-SK"/>
        </w:rPr>
        <w:t xml:space="preserve"> v </w:t>
      </w:r>
      <w:r w:rsidRPr="003F23AC">
        <w:rPr>
          <w:rFonts w:cs="Times New Roman"/>
          <w:noProof/>
          <w:lang w:val="sk-SK"/>
        </w:rPr>
        <w:t>oblasti energetickej efektívnosti pre desať plavidiel nákladnej</w:t>
      </w:r>
      <w:r w:rsidR="00A75B3C" w:rsidRPr="003F23AC">
        <w:rPr>
          <w:rFonts w:cs="Times New Roman"/>
          <w:noProof/>
          <w:lang w:val="sk-SK"/>
        </w:rPr>
        <w:t xml:space="preserve"> a </w:t>
      </w:r>
      <w:r w:rsidRPr="003F23AC">
        <w:rPr>
          <w:rFonts w:cs="Times New Roman"/>
          <w:noProof/>
          <w:lang w:val="sk-SK"/>
        </w:rPr>
        <w:t>osobnej dopravy,</w:t>
      </w:r>
      <w:r w:rsidR="00A75B3C" w:rsidRPr="003F23AC">
        <w:rPr>
          <w:rFonts w:cs="Times New Roman"/>
          <w:noProof/>
          <w:lang w:val="sk-SK"/>
        </w:rPr>
        <w:t xml:space="preserve"> z </w:t>
      </w:r>
      <w:r w:rsidRPr="003F23AC">
        <w:rPr>
          <w:rFonts w:cs="Times New Roman"/>
          <w:noProof/>
          <w:lang w:val="sk-SK"/>
        </w:rPr>
        <w:t>ktorých aspoň 70</w:t>
      </w:r>
      <w:r w:rsidR="00A75B3C" w:rsidRPr="003F23AC">
        <w:rPr>
          <w:rFonts w:cs="Times New Roman"/>
          <w:noProof/>
          <w:lang w:val="sk-SK"/>
        </w:rPr>
        <w:t> %</w:t>
      </w:r>
      <w:r w:rsidRPr="003F23AC">
        <w:rPr>
          <w:rFonts w:cs="Times New Roman"/>
          <w:noProof/>
          <w:lang w:val="sk-SK"/>
        </w:rPr>
        <w:t xml:space="preserve"> plavidiel presahuje 5000 ton hrubej priestornosti (GT). Na intervencie sa vzťahuje aspoň jedna</w:t>
      </w:r>
      <w:r w:rsidR="00A75B3C" w:rsidRPr="003F23AC">
        <w:rPr>
          <w:rFonts w:cs="Times New Roman"/>
          <w:noProof/>
          <w:lang w:val="sk-SK"/>
        </w:rPr>
        <w:t xml:space="preserve"> z </w:t>
      </w:r>
      <w:r w:rsidRPr="003F23AC">
        <w:rPr>
          <w:rFonts w:cs="Times New Roman"/>
          <w:noProof/>
          <w:lang w:val="sk-SK"/>
        </w:rPr>
        <w:t>týchto typológií: I) opatrenia na nahradenie fosílnych palív; opatrenia na úsporu energie</w:t>
      </w:r>
      <w:r w:rsidR="00A75B3C" w:rsidRPr="003F23AC">
        <w:rPr>
          <w:rFonts w:cs="Times New Roman"/>
          <w:noProof/>
          <w:lang w:val="sk-SK"/>
        </w:rPr>
        <w:t xml:space="preserve"> a </w:t>
      </w:r>
      <w:r w:rsidRPr="003F23AC">
        <w:rPr>
          <w:rFonts w:cs="Times New Roman"/>
          <w:noProof/>
          <w:lang w:val="sk-SK"/>
        </w:rPr>
        <w:t>iii) doplnkové opatrenia na zníženie emisií</w:t>
      </w:r>
      <w:r w:rsidR="00A75B3C" w:rsidRPr="003F23AC">
        <w:rPr>
          <w:rFonts w:cs="Times New Roman"/>
          <w:noProof/>
          <w:lang w:val="sk-SK"/>
        </w:rPr>
        <w:t>.</w:t>
      </w:r>
    </w:p>
    <w:p w14:paraId="1B0D42BD" w14:textId="0B4E2FC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Žiadosti sa hodnotia na základe posúdenia úrovne zníženia emisií oxidu uhličitého (CO2) vypočítanej na základe ukazovateľa intenzity uhlíka (CII)</w:t>
      </w:r>
      <w:r w:rsidR="00A75B3C" w:rsidRPr="003F23AC">
        <w:rPr>
          <w:rFonts w:cs="Times New Roman"/>
          <w:noProof/>
          <w:lang w:val="sk-SK"/>
        </w:rPr>
        <w:t xml:space="preserve"> a </w:t>
      </w:r>
      <w:r w:rsidRPr="003F23AC">
        <w:rPr>
          <w:rFonts w:cs="Times New Roman"/>
          <w:noProof/>
          <w:lang w:val="sk-SK"/>
        </w:rPr>
        <w:t>uvedenia na prepravnú pracovnú jednotku</w:t>
      </w:r>
      <w:r w:rsidR="00A75B3C" w:rsidRPr="003F23AC">
        <w:rPr>
          <w:rFonts w:cs="Times New Roman"/>
          <w:noProof/>
          <w:lang w:val="sk-SK"/>
        </w:rPr>
        <w:t xml:space="preserve"> v </w:t>
      </w:r>
      <w:r w:rsidRPr="003F23AC">
        <w:rPr>
          <w:rFonts w:cs="Times New Roman"/>
          <w:noProof/>
          <w:lang w:val="sk-SK"/>
        </w:rPr>
        <w:t>percentách</w:t>
      </w:r>
      <w:r w:rsidR="00A75B3C" w:rsidRPr="003F23AC">
        <w:rPr>
          <w:rFonts w:cs="Times New Roman"/>
          <w:noProof/>
          <w:lang w:val="sk-SK"/>
        </w:rPr>
        <w:t xml:space="preserve"> a </w:t>
      </w:r>
      <w:r w:rsidRPr="003F23AC">
        <w:rPr>
          <w:rFonts w:cs="Times New Roman"/>
          <w:noProof/>
          <w:lang w:val="sk-SK"/>
        </w:rPr>
        <w:t>na základe posúdenia úrovní zníženia emisií oxidov síry (SOx), oxidov dusíka (NOx)</w:t>
      </w:r>
      <w:r w:rsidR="00A75B3C" w:rsidRPr="003F23AC">
        <w:rPr>
          <w:rFonts w:cs="Times New Roman"/>
          <w:noProof/>
          <w:lang w:val="sk-SK"/>
        </w:rPr>
        <w:t xml:space="preserve"> a </w:t>
      </w:r>
      <w:r w:rsidRPr="003F23AC">
        <w:rPr>
          <w:rFonts w:cs="Times New Roman"/>
          <w:noProof/>
          <w:lang w:val="sk-SK"/>
        </w:rPr>
        <w:t>tuhých častíc</w:t>
      </w:r>
      <w:r w:rsidR="00A75B3C" w:rsidRPr="003F23AC">
        <w:rPr>
          <w:rFonts w:cs="Times New Roman"/>
          <w:noProof/>
          <w:lang w:val="sk-SK"/>
        </w:rPr>
        <w:t xml:space="preserve"> v </w:t>
      </w:r>
      <w:r w:rsidRPr="003F23AC">
        <w:rPr>
          <w:rFonts w:cs="Times New Roman"/>
          <w:noProof/>
          <w:lang w:val="sk-SK"/>
        </w:rPr>
        <w:t>percentách. Ako ukazovateľ hodnotenia sa použije aj index energetickej účinnosti existujúcich lodí (EEXI)</w:t>
      </w:r>
      <w:r w:rsidR="00A75B3C" w:rsidRPr="003F23AC">
        <w:rPr>
          <w:rFonts w:cs="Times New Roman"/>
          <w:noProof/>
          <w:lang w:val="sk-SK"/>
        </w:rPr>
        <w:t>.</w:t>
      </w:r>
    </w:p>
    <w:p w14:paraId="56A97D3F" w14:textId="32F72AF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S cieľom zabezpečiť, aby opatrenie bolo</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„nespôsobovať významnú škodu“ (2021/C58/01), investícia musí prispieť aspoň</w:t>
      </w:r>
      <w:r w:rsidR="00A75B3C" w:rsidRPr="003F23AC">
        <w:rPr>
          <w:rFonts w:cs="Times New Roman"/>
          <w:noProof/>
          <w:lang w:val="sk-SK"/>
        </w:rPr>
        <w:t xml:space="preserve"> k </w:t>
      </w:r>
      <w:r w:rsidRPr="003F23AC">
        <w:rPr>
          <w:rFonts w:cs="Times New Roman"/>
          <w:noProof/>
          <w:lang w:val="sk-SK"/>
        </w:rPr>
        <w:t>10</w:t>
      </w:r>
      <w:r w:rsidR="00A75B3C" w:rsidRPr="003F23AC">
        <w:rPr>
          <w:rFonts w:cs="Times New Roman"/>
          <w:noProof/>
          <w:lang w:val="sk-SK"/>
        </w:rPr>
        <w:t> %</w:t>
      </w:r>
      <w:r w:rsidRPr="003F23AC">
        <w:rPr>
          <w:rFonts w:cs="Times New Roman"/>
          <w:noProof/>
          <w:lang w:val="sk-SK"/>
        </w:rPr>
        <w:t xml:space="preserve"> zníženiu spotreby paliva lode vyjadrenej</w:t>
      </w:r>
      <w:r w:rsidR="00A75B3C" w:rsidRPr="003F23AC">
        <w:rPr>
          <w:rFonts w:cs="Times New Roman"/>
          <w:noProof/>
          <w:lang w:val="sk-SK"/>
        </w:rPr>
        <w:t xml:space="preserve"> v </w:t>
      </w:r>
      <w:r w:rsidRPr="003F23AC">
        <w:rPr>
          <w:rFonts w:cs="Times New Roman"/>
          <w:noProof/>
          <w:lang w:val="sk-SK"/>
        </w:rPr>
        <w:t>gramoch paliva na nosnosť ton na námornú míľu. Výpočet spotreby sa preukazuje výpočtom dynamiky kvapalín (CFD), skúškami nádrží alebo podobnými technickými výpočtami. Okrem toho plavidlá nesmú byť určené na prepravu fosílnych palív</w:t>
      </w:r>
      <w:r w:rsidR="00A75B3C" w:rsidRPr="003F23AC">
        <w:rPr>
          <w:rFonts w:cs="Times New Roman"/>
          <w:noProof/>
          <w:lang w:val="sk-SK"/>
        </w:rPr>
        <w:t>.</w:t>
      </w:r>
    </w:p>
    <w:p w14:paraId="4981A449" w14:textId="426FB494"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1FA687FB"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E00EDD">
          <w:headerReference w:type="even" r:id="rId222"/>
          <w:headerReference w:type="default" r:id="rId223"/>
          <w:footerReference w:type="even" r:id="rId224"/>
          <w:footerReference w:type="default" r:id="rId225"/>
          <w:headerReference w:type="first" r:id="rId226"/>
          <w:footerReference w:type="first" r:id="rId227"/>
          <w:pgSz w:w="11907" w:h="16839"/>
          <w:pgMar w:top="1134" w:right="1134" w:bottom="1134" w:left="1134" w:header="567" w:footer="567" w:gutter="0"/>
          <w:cols w:space="720"/>
          <w:docGrid w:linePitch="360"/>
        </w:sectPr>
      </w:pPr>
    </w:p>
    <w:p w14:paraId="21CBC0E4" w14:textId="357078E6"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J.4.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w:t>
      </w:r>
      <w:r w:rsidR="00A75B3C" w:rsidRPr="003F23AC">
        <w:rPr>
          <w:rFonts w:cs="Times New Roman"/>
          <w:noProof/>
          <w:lang w:val="sk-SK"/>
        </w:rPr>
        <w:t xml:space="preserve"> v </w:t>
      </w:r>
      <w:r w:rsidRPr="003F23AC">
        <w:rPr>
          <w:rFonts w:cs="Times New Roman"/>
          <w:noProof/>
          <w:lang w:val="sk-SK"/>
        </w:rPr>
        <w:t>súvislosti</w:t>
      </w:r>
      <w:r w:rsidR="00A75B3C" w:rsidRPr="003F23AC">
        <w:rPr>
          <w:rFonts w:cs="Times New Roman"/>
          <w:noProof/>
          <w:lang w:val="sk-SK"/>
        </w:rPr>
        <w:t xml:space="preserve"> s </w:t>
      </w:r>
      <w:r w:rsidRPr="003F23AC">
        <w:rPr>
          <w:rFonts w:cs="Times New Roman"/>
          <w:noProof/>
          <w:lang w:val="sk-SK"/>
        </w:rPr>
        <w:t>úverom</w:t>
      </w:r>
    </w:p>
    <w:p w14:paraId="2814265F" w14:textId="77777777" w:rsidR="00387C70" w:rsidRPr="003F23AC" w:rsidRDefault="00387C70" w:rsidP="003F23AC">
      <w:pPr>
        <w:spacing w:before="40" w:after="0" w:line="259" w:lineRule="auto"/>
        <w:ind w:left="130" w:firstLine="720"/>
        <w:jc w:val="both"/>
        <w:outlineLvl w:val="2"/>
        <w:rPr>
          <w:rFonts w:ascii="Times New Roman" w:eastAsiaTheme="minorEastAsia" w:hAnsi="Times New Roman" w:cs="Times New Roman"/>
          <w:b/>
          <w:noProof/>
          <w:sz w:val="24"/>
          <w:u w:val="single"/>
          <w:lang w:val="sk-SK"/>
        </w:rPr>
      </w:pPr>
    </w:p>
    <w:tbl>
      <w:tblPr>
        <w:tblW w:w="15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31"/>
        <w:gridCol w:w="1096"/>
        <w:gridCol w:w="1640"/>
        <w:gridCol w:w="1231"/>
        <w:gridCol w:w="962"/>
        <w:gridCol w:w="961"/>
        <w:gridCol w:w="690"/>
        <w:gridCol w:w="554"/>
        <w:gridCol w:w="684"/>
        <w:gridCol w:w="5223"/>
      </w:tblGrid>
      <w:tr w:rsidR="00387C70" w:rsidRPr="003F23AC" w14:paraId="7C352B17" w14:textId="77777777" w:rsidTr="009E4E5C">
        <w:trPr>
          <w:trHeight w:val="910"/>
          <w:tblHeader/>
        </w:trPr>
        <w:tc>
          <w:tcPr>
            <w:tcW w:w="1101" w:type="dxa"/>
            <w:vMerge w:val="restart"/>
            <w:shd w:val="clear" w:color="auto" w:fill="BDD6EE"/>
            <w:tcMar>
              <w:left w:w="28" w:type="dxa"/>
              <w:right w:w="28" w:type="dxa"/>
            </w:tcMar>
            <w:vAlign w:val="center"/>
            <w:hideMark/>
          </w:tcPr>
          <w:p w14:paraId="293CE21B"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Poradové číslo</w:t>
            </w:r>
          </w:p>
        </w:tc>
        <w:tc>
          <w:tcPr>
            <w:tcW w:w="1231" w:type="dxa"/>
            <w:vMerge w:val="restart"/>
            <w:shd w:val="clear" w:color="auto" w:fill="BDD6EE"/>
            <w:tcMar>
              <w:left w:w="28" w:type="dxa"/>
              <w:right w:w="28" w:type="dxa"/>
            </w:tcMar>
            <w:vAlign w:val="center"/>
            <w:hideMark/>
          </w:tcPr>
          <w:p w14:paraId="1FBAE739"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096" w:type="dxa"/>
            <w:vMerge w:val="restart"/>
            <w:shd w:val="clear" w:color="auto" w:fill="BDD6EE"/>
            <w:tcMar>
              <w:left w:w="28" w:type="dxa"/>
              <w:right w:w="28" w:type="dxa"/>
            </w:tcMar>
            <w:vAlign w:val="center"/>
            <w:hideMark/>
          </w:tcPr>
          <w:p w14:paraId="60453F23" w14:textId="77777777" w:rsidR="00387C70" w:rsidRPr="003F23AC" w:rsidRDefault="000F5AA4" w:rsidP="003F23AC">
            <w:pPr>
              <w:pStyle w:val="P68B1DB1-Normal6"/>
              <w:spacing w:before="40" w:after="0" w:line="240" w:lineRule="auto"/>
              <w:jc w:val="center"/>
              <w:rPr>
                <w:rFonts w:eastAsia="Times New Roman" w:cs="Times New Roman"/>
                <w:noProof/>
                <w:sz w:val="14"/>
                <w:lang w:val="sk-SK"/>
              </w:rPr>
            </w:pPr>
            <w:r w:rsidRPr="003F23AC">
              <w:rPr>
                <w:rFonts w:cs="Times New Roman"/>
                <w:noProof/>
                <w:lang w:val="sk-SK"/>
              </w:rPr>
              <w:t>Míľnik/cieľ</w:t>
            </w:r>
          </w:p>
        </w:tc>
        <w:tc>
          <w:tcPr>
            <w:tcW w:w="1640" w:type="dxa"/>
            <w:vMerge w:val="restart"/>
            <w:shd w:val="clear" w:color="auto" w:fill="BDD6EE"/>
            <w:tcMar>
              <w:left w:w="28" w:type="dxa"/>
              <w:right w:w="28" w:type="dxa"/>
            </w:tcMar>
            <w:vAlign w:val="center"/>
            <w:hideMark/>
          </w:tcPr>
          <w:p w14:paraId="5B93FBDA"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Názov</w:t>
            </w:r>
          </w:p>
        </w:tc>
        <w:tc>
          <w:tcPr>
            <w:tcW w:w="1231" w:type="dxa"/>
            <w:vMerge w:val="restart"/>
            <w:shd w:val="clear" w:color="auto" w:fill="BDD6EE"/>
            <w:tcMar>
              <w:left w:w="28" w:type="dxa"/>
              <w:right w:w="28" w:type="dxa"/>
            </w:tcMar>
            <w:vAlign w:val="center"/>
            <w:hideMark/>
          </w:tcPr>
          <w:p w14:paraId="5731C7BD"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613" w:type="dxa"/>
            <w:gridSpan w:val="3"/>
            <w:shd w:val="clear" w:color="auto" w:fill="BDD6EE"/>
            <w:tcMar>
              <w:left w:w="28" w:type="dxa"/>
              <w:right w:w="28" w:type="dxa"/>
            </w:tcMar>
            <w:vAlign w:val="center"/>
            <w:hideMark/>
          </w:tcPr>
          <w:p w14:paraId="2BC88CEE"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38" w:type="dxa"/>
            <w:gridSpan w:val="2"/>
            <w:shd w:val="clear" w:color="auto" w:fill="BDD6EE"/>
            <w:tcMar>
              <w:left w:w="28" w:type="dxa"/>
              <w:right w:w="28" w:type="dxa"/>
            </w:tcMar>
            <w:vAlign w:val="center"/>
            <w:hideMark/>
          </w:tcPr>
          <w:p w14:paraId="47D3562F"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5223" w:type="dxa"/>
            <w:vMerge w:val="restart"/>
            <w:shd w:val="clear" w:color="auto" w:fill="BDD6EE"/>
            <w:tcMar>
              <w:left w:w="28" w:type="dxa"/>
              <w:right w:w="28" w:type="dxa"/>
            </w:tcMar>
            <w:vAlign w:val="center"/>
            <w:hideMark/>
          </w:tcPr>
          <w:p w14:paraId="119E2D1B" w14:textId="7C78A9AB"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12D4B3EB" w14:textId="77777777" w:rsidTr="009E4E5C">
        <w:trPr>
          <w:trHeight w:val="470"/>
          <w:tblHeader/>
        </w:trPr>
        <w:tc>
          <w:tcPr>
            <w:tcW w:w="1101" w:type="dxa"/>
            <w:vMerge/>
            <w:tcMar>
              <w:left w:w="28" w:type="dxa"/>
              <w:right w:w="28" w:type="dxa"/>
            </w:tcMar>
            <w:vAlign w:val="center"/>
            <w:hideMark/>
          </w:tcPr>
          <w:p w14:paraId="1EC2F9BC" w14:textId="77777777" w:rsidR="00387C70" w:rsidRPr="003F23AC" w:rsidRDefault="00387C70" w:rsidP="003F23AC">
            <w:pPr>
              <w:spacing w:before="40" w:after="0" w:line="240" w:lineRule="auto"/>
              <w:jc w:val="both"/>
              <w:rPr>
                <w:rFonts w:ascii="Times New Roman" w:eastAsia="Times New Roman" w:hAnsi="Times New Roman" w:cs="Times New Roman"/>
                <w:b/>
                <w:noProof/>
                <w:sz w:val="18"/>
                <w:lang w:val="sk-SK"/>
              </w:rPr>
            </w:pPr>
          </w:p>
        </w:tc>
        <w:tc>
          <w:tcPr>
            <w:tcW w:w="1231" w:type="dxa"/>
            <w:vMerge/>
            <w:tcMar>
              <w:left w:w="28" w:type="dxa"/>
              <w:right w:w="28" w:type="dxa"/>
            </w:tcMar>
            <w:vAlign w:val="center"/>
            <w:hideMark/>
          </w:tcPr>
          <w:p w14:paraId="38F355D3" w14:textId="77777777" w:rsidR="00387C70" w:rsidRPr="003F23AC" w:rsidRDefault="00387C70" w:rsidP="003F23AC">
            <w:pPr>
              <w:spacing w:before="40" w:after="0" w:line="240" w:lineRule="auto"/>
              <w:jc w:val="both"/>
              <w:rPr>
                <w:rFonts w:ascii="Times New Roman" w:eastAsia="Times New Roman" w:hAnsi="Times New Roman" w:cs="Times New Roman"/>
                <w:b/>
                <w:noProof/>
                <w:sz w:val="18"/>
                <w:lang w:val="sk-SK"/>
              </w:rPr>
            </w:pPr>
          </w:p>
        </w:tc>
        <w:tc>
          <w:tcPr>
            <w:tcW w:w="1096" w:type="dxa"/>
            <w:vMerge/>
            <w:tcMar>
              <w:left w:w="28" w:type="dxa"/>
              <w:right w:w="28" w:type="dxa"/>
            </w:tcMar>
            <w:vAlign w:val="center"/>
            <w:hideMark/>
          </w:tcPr>
          <w:p w14:paraId="6A303FCA" w14:textId="77777777" w:rsidR="00387C70" w:rsidRPr="003F23AC" w:rsidRDefault="00387C70" w:rsidP="003F23AC">
            <w:pPr>
              <w:spacing w:before="40" w:after="0" w:line="240" w:lineRule="auto"/>
              <w:jc w:val="center"/>
              <w:rPr>
                <w:rFonts w:ascii="Times New Roman" w:eastAsia="Times New Roman" w:hAnsi="Times New Roman" w:cs="Times New Roman"/>
                <w:b/>
                <w:noProof/>
                <w:sz w:val="14"/>
                <w:lang w:val="sk-SK"/>
              </w:rPr>
            </w:pPr>
          </w:p>
        </w:tc>
        <w:tc>
          <w:tcPr>
            <w:tcW w:w="1640" w:type="dxa"/>
            <w:vMerge/>
            <w:tcMar>
              <w:left w:w="28" w:type="dxa"/>
              <w:right w:w="28" w:type="dxa"/>
            </w:tcMar>
            <w:vAlign w:val="center"/>
            <w:hideMark/>
          </w:tcPr>
          <w:p w14:paraId="580C14CE" w14:textId="77777777" w:rsidR="00387C70" w:rsidRPr="003F23AC" w:rsidRDefault="00387C70" w:rsidP="003F23AC">
            <w:pPr>
              <w:spacing w:before="40" w:after="0" w:line="240" w:lineRule="auto"/>
              <w:jc w:val="both"/>
              <w:rPr>
                <w:rFonts w:ascii="Times New Roman" w:eastAsia="Times New Roman" w:hAnsi="Times New Roman" w:cs="Times New Roman"/>
                <w:b/>
                <w:noProof/>
                <w:sz w:val="18"/>
                <w:lang w:val="sk-SK"/>
              </w:rPr>
            </w:pPr>
          </w:p>
        </w:tc>
        <w:tc>
          <w:tcPr>
            <w:tcW w:w="1231" w:type="dxa"/>
            <w:vMerge/>
            <w:tcMar>
              <w:left w:w="28" w:type="dxa"/>
              <w:right w:w="28" w:type="dxa"/>
            </w:tcMar>
            <w:vAlign w:val="center"/>
            <w:hideMark/>
          </w:tcPr>
          <w:p w14:paraId="6286F64E" w14:textId="77777777" w:rsidR="00387C70" w:rsidRPr="003F23AC" w:rsidRDefault="00387C70" w:rsidP="003F23AC">
            <w:pPr>
              <w:spacing w:before="40" w:after="0" w:line="240" w:lineRule="auto"/>
              <w:jc w:val="both"/>
              <w:rPr>
                <w:rFonts w:ascii="Times New Roman" w:eastAsia="Times New Roman" w:hAnsi="Times New Roman" w:cs="Times New Roman"/>
                <w:b/>
                <w:noProof/>
                <w:sz w:val="18"/>
                <w:lang w:val="sk-SK"/>
              </w:rPr>
            </w:pPr>
          </w:p>
        </w:tc>
        <w:tc>
          <w:tcPr>
            <w:tcW w:w="962" w:type="dxa"/>
            <w:shd w:val="clear" w:color="auto" w:fill="BDD6EE"/>
            <w:tcMar>
              <w:left w:w="28" w:type="dxa"/>
              <w:right w:w="28" w:type="dxa"/>
            </w:tcMar>
            <w:vAlign w:val="center"/>
            <w:hideMark/>
          </w:tcPr>
          <w:p w14:paraId="6EA3F582"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Merná jednotka</w:t>
            </w:r>
          </w:p>
        </w:tc>
        <w:tc>
          <w:tcPr>
            <w:tcW w:w="961" w:type="dxa"/>
            <w:shd w:val="clear" w:color="auto" w:fill="BDD6EE"/>
            <w:tcMar>
              <w:left w:w="28" w:type="dxa"/>
              <w:right w:w="28" w:type="dxa"/>
            </w:tcMar>
            <w:vAlign w:val="center"/>
            <w:hideMark/>
          </w:tcPr>
          <w:p w14:paraId="230E8100" w14:textId="21360DC1" w:rsidR="00387C70" w:rsidRPr="003F23AC" w:rsidRDefault="00680FF6"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Východisková hodnota</w:t>
            </w:r>
          </w:p>
        </w:tc>
        <w:tc>
          <w:tcPr>
            <w:tcW w:w="690" w:type="dxa"/>
            <w:shd w:val="clear" w:color="auto" w:fill="BDD6EE"/>
            <w:tcMar>
              <w:left w:w="28" w:type="dxa"/>
              <w:right w:w="28" w:type="dxa"/>
            </w:tcMar>
            <w:vAlign w:val="center"/>
            <w:hideMark/>
          </w:tcPr>
          <w:p w14:paraId="7E77B1BE" w14:textId="6D9867CC" w:rsidR="00387C70" w:rsidRPr="003F23AC" w:rsidRDefault="00680FF6"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Cieľová hodnota</w:t>
            </w:r>
          </w:p>
        </w:tc>
        <w:tc>
          <w:tcPr>
            <w:tcW w:w="554" w:type="dxa"/>
            <w:shd w:val="clear" w:color="auto" w:fill="BDD6EE"/>
            <w:tcMar>
              <w:left w:w="28" w:type="dxa"/>
              <w:right w:w="28" w:type="dxa"/>
            </w:tcMar>
            <w:vAlign w:val="center"/>
            <w:hideMark/>
          </w:tcPr>
          <w:p w14:paraId="50EAB092" w14:textId="0387B486" w:rsidR="00387C70" w:rsidRPr="003F23AC" w:rsidRDefault="00680FF6"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Štvrťrok</w:t>
            </w:r>
          </w:p>
        </w:tc>
        <w:tc>
          <w:tcPr>
            <w:tcW w:w="684" w:type="dxa"/>
            <w:shd w:val="clear" w:color="auto" w:fill="BDD6EE"/>
            <w:tcMar>
              <w:left w:w="28" w:type="dxa"/>
              <w:right w:w="28" w:type="dxa"/>
            </w:tcMar>
            <w:vAlign w:val="center"/>
            <w:hideMark/>
          </w:tcPr>
          <w:p w14:paraId="5684B644"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Rok</w:t>
            </w:r>
          </w:p>
        </w:tc>
        <w:tc>
          <w:tcPr>
            <w:tcW w:w="5223" w:type="dxa"/>
            <w:vMerge/>
            <w:tcMar>
              <w:left w:w="28" w:type="dxa"/>
              <w:right w:w="28" w:type="dxa"/>
            </w:tcMar>
            <w:vAlign w:val="center"/>
            <w:hideMark/>
          </w:tcPr>
          <w:p w14:paraId="3C5137C1" w14:textId="77777777" w:rsidR="00387C70" w:rsidRPr="003F23AC" w:rsidRDefault="00387C70" w:rsidP="003F23AC">
            <w:pPr>
              <w:spacing w:before="40" w:after="0" w:line="240" w:lineRule="auto"/>
              <w:jc w:val="both"/>
              <w:rPr>
                <w:rFonts w:ascii="Times New Roman" w:eastAsia="Times New Roman" w:hAnsi="Times New Roman" w:cs="Times New Roman"/>
                <w:b/>
                <w:noProof/>
                <w:sz w:val="18"/>
                <w:lang w:val="sk-SK"/>
              </w:rPr>
            </w:pPr>
          </w:p>
        </w:tc>
      </w:tr>
      <w:tr w:rsidR="00387C70" w:rsidRPr="003F23AC" w14:paraId="52BD253E" w14:textId="77777777" w:rsidTr="009E4E5C">
        <w:trPr>
          <w:trHeight w:val="61"/>
        </w:trPr>
        <w:tc>
          <w:tcPr>
            <w:tcW w:w="1101" w:type="dxa"/>
            <w:shd w:val="clear" w:color="auto" w:fill="C4EFCE"/>
            <w:tcMar>
              <w:left w:w="28" w:type="dxa"/>
              <w:right w:w="28" w:type="dxa"/>
            </w:tcMar>
            <w:vAlign w:val="center"/>
          </w:tcPr>
          <w:p w14:paraId="1F146FCF" w14:textId="4E6EEEBB" w:rsidR="00387C70" w:rsidRPr="003F23AC" w:rsidRDefault="000F5AA4" w:rsidP="003F23AC">
            <w:pPr>
              <w:pStyle w:val="P68B1DB1-Normal7"/>
              <w:spacing w:before="40" w:after="0" w:line="240" w:lineRule="auto"/>
              <w:jc w:val="center"/>
              <w:rPr>
                <w:rFonts w:ascii="Times New Roman" w:hAnsi="Times New Roman" w:cs="Times New Roman"/>
                <w:noProof/>
                <w:highlight w:val="magenta"/>
                <w:lang w:val="sk-SK"/>
              </w:rPr>
            </w:pPr>
            <w:r w:rsidRPr="003F23AC">
              <w:rPr>
                <w:rFonts w:ascii="Times New Roman" w:hAnsi="Times New Roman" w:cs="Times New Roman"/>
                <w:noProof/>
                <w:lang w:val="sk-SK"/>
              </w:rPr>
              <w:t>10.5</w:t>
            </w:r>
          </w:p>
        </w:tc>
        <w:tc>
          <w:tcPr>
            <w:tcW w:w="1231" w:type="dxa"/>
            <w:shd w:val="clear" w:color="auto" w:fill="C4EFCE"/>
            <w:noWrap/>
            <w:tcMar>
              <w:left w:w="28" w:type="dxa"/>
              <w:right w:w="28" w:type="dxa"/>
            </w:tcMar>
            <w:vAlign w:val="center"/>
          </w:tcPr>
          <w:p w14:paraId="6E122812" w14:textId="10C964C3"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TC-C10-i03</w:t>
            </w:r>
          </w:p>
        </w:tc>
        <w:tc>
          <w:tcPr>
            <w:tcW w:w="1096" w:type="dxa"/>
            <w:shd w:val="clear" w:color="auto" w:fill="C4EFCE"/>
            <w:noWrap/>
            <w:tcMar>
              <w:left w:w="28" w:type="dxa"/>
              <w:right w:w="28" w:type="dxa"/>
            </w:tcMar>
            <w:vAlign w:val="center"/>
          </w:tcPr>
          <w:p w14:paraId="49982C81" w14:textId="192B44BD"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1640" w:type="dxa"/>
            <w:shd w:val="clear" w:color="auto" w:fill="C4EFCE"/>
            <w:noWrap/>
            <w:tcMar>
              <w:left w:w="28" w:type="dxa"/>
              <w:right w:w="28" w:type="dxa"/>
            </w:tcMar>
            <w:vAlign w:val="center"/>
          </w:tcPr>
          <w:p w14:paraId="6DF03557" w14:textId="170D5963"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Podpísanie zmluvy na „viacfunkčnú námornú platformu“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„Operačné centrum“</w:t>
            </w:r>
          </w:p>
        </w:tc>
        <w:tc>
          <w:tcPr>
            <w:tcW w:w="1231" w:type="dxa"/>
            <w:shd w:val="clear" w:color="auto" w:fill="C4EFCE"/>
            <w:noWrap/>
            <w:tcMar>
              <w:left w:w="28" w:type="dxa"/>
              <w:right w:w="28" w:type="dxa"/>
            </w:tcMar>
            <w:vAlign w:val="center"/>
          </w:tcPr>
          <w:p w14:paraId="333B3AB3" w14:textId="671CF5C7"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Podpísanie zmluvy na „viacfunkčnú námornú platformu“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„Operačné centrum“</w:t>
            </w:r>
          </w:p>
        </w:tc>
        <w:tc>
          <w:tcPr>
            <w:tcW w:w="962" w:type="dxa"/>
            <w:shd w:val="clear" w:color="auto" w:fill="C4EFCE"/>
            <w:noWrap/>
            <w:tcMar>
              <w:left w:w="28" w:type="dxa"/>
              <w:right w:w="28" w:type="dxa"/>
            </w:tcMar>
            <w:vAlign w:val="center"/>
          </w:tcPr>
          <w:p w14:paraId="0247B4AE" w14:textId="2F9E4126"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w:t>
            </w:r>
          </w:p>
        </w:tc>
        <w:tc>
          <w:tcPr>
            <w:tcW w:w="961" w:type="dxa"/>
            <w:shd w:val="clear" w:color="auto" w:fill="C4EFCE"/>
            <w:noWrap/>
            <w:tcMar>
              <w:left w:w="28" w:type="dxa"/>
              <w:right w:w="28" w:type="dxa"/>
            </w:tcMar>
            <w:vAlign w:val="center"/>
          </w:tcPr>
          <w:p w14:paraId="13EB2DE9" w14:textId="65360A99"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w:t>
            </w:r>
          </w:p>
        </w:tc>
        <w:tc>
          <w:tcPr>
            <w:tcW w:w="690" w:type="dxa"/>
            <w:shd w:val="clear" w:color="auto" w:fill="C4EFCE"/>
            <w:noWrap/>
            <w:tcMar>
              <w:left w:w="28" w:type="dxa"/>
              <w:right w:w="28" w:type="dxa"/>
            </w:tcMar>
            <w:vAlign w:val="center"/>
          </w:tcPr>
          <w:p w14:paraId="404D0E0D" w14:textId="65417E79"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w:t>
            </w:r>
          </w:p>
        </w:tc>
        <w:tc>
          <w:tcPr>
            <w:tcW w:w="554" w:type="dxa"/>
            <w:shd w:val="clear" w:color="auto" w:fill="C4EFCE"/>
            <w:noWrap/>
            <w:tcMar>
              <w:left w:w="28" w:type="dxa"/>
              <w:right w:w="28" w:type="dxa"/>
            </w:tcMar>
            <w:vAlign w:val="center"/>
          </w:tcPr>
          <w:p w14:paraId="6720E15C" w14:textId="0230548A" w:rsidR="00387C70" w:rsidRPr="003F23AC" w:rsidRDefault="00FF0A91"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3. štvrťrok</w:t>
            </w:r>
          </w:p>
        </w:tc>
        <w:tc>
          <w:tcPr>
            <w:tcW w:w="684" w:type="dxa"/>
            <w:shd w:val="clear" w:color="auto" w:fill="C4EFCE"/>
            <w:noWrap/>
            <w:tcMar>
              <w:left w:w="28" w:type="dxa"/>
              <w:right w:w="28" w:type="dxa"/>
            </w:tcMar>
            <w:vAlign w:val="center"/>
          </w:tcPr>
          <w:p w14:paraId="7372820D" w14:textId="3637367A"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2023</w:t>
            </w:r>
          </w:p>
        </w:tc>
        <w:tc>
          <w:tcPr>
            <w:tcW w:w="5223" w:type="dxa"/>
            <w:shd w:val="clear" w:color="auto" w:fill="C4EFCE"/>
            <w:tcMar>
              <w:left w:w="28" w:type="dxa"/>
              <w:right w:w="28" w:type="dxa"/>
            </w:tcMar>
            <w:vAlign w:val="center"/>
          </w:tcPr>
          <w:p w14:paraId="127D3B44" w14:textId="75FEC63D" w:rsidR="00A75B3C" w:rsidRPr="003F23AC" w:rsidRDefault="000F5AA4" w:rsidP="003F23AC">
            <w:pPr>
              <w:pStyle w:val="P68B1DB1-Normal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výstavbe po vyhlásení verejnej súťaže (verejných súťaží) – pilier 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II</w:t>
            </w:r>
            <w:r w:rsidR="00A75B3C" w:rsidRPr="003F23AC">
              <w:rPr>
                <w:rFonts w:ascii="Times New Roman" w:hAnsi="Times New Roman" w:cs="Times New Roman"/>
                <w:noProof/>
                <w:lang w:val="sk-SK"/>
              </w:rPr>
              <w:t>:</w:t>
            </w:r>
          </w:p>
          <w:p w14:paraId="4FADBDF3" w14:textId="77777777" w:rsidR="00A75B3C" w:rsidRPr="003F23AC" w:rsidRDefault="000F5AA4" w:rsidP="003F23AC">
            <w:pPr>
              <w:pStyle w:val="P68B1DB1-Normal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Pilier I – multifunkčná námorná platforma,</w:t>
            </w:r>
          </w:p>
          <w:p w14:paraId="2F9DB0C1" w14:textId="38D7F3B8"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Zahŕňa výstavbu multifunkčnej námornej platformy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dĺžkou približne 100 metrov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dynamickým automatickým polohovaním, integrovaným systémom riadenia nástupišťa, veliteľským mostom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prevádzkovým strediskom, podmorským akustickým polohovacím systémom, zálivu na spustenie ponoriek a/alebo vylodenie autonómnych systémov, žeriavov, helidier atď.),</w:t>
            </w:r>
          </w:p>
          <w:p w14:paraId="4F92961B" w14:textId="374B7566"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Zahŕňa aj schopnosť prevádzkovať vozidlá do hĺbky 6000 metrov, parkovanie autonómnych povrchových vozidiel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ďalšie námorné prostriedky (vrátane autonómnych oceánskych povrchových vozidiel, autonómnych podmorských vozidiel, autonómnych vzdušných vozidiel, bezpilotných lietadiel).</w:t>
            </w:r>
          </w:p>
          <w:p w14:paraId="45957A47" w14:textId="77777777"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Pilier II – Prevádzkové centrum</w:t>
            </w:r>
          </w:p>
          <w:p w14:paraId="0AF421B0" w14:textId="47D9A232" w:rsidR="00387C70" w:rsidRPr="003F23AC" w:rsidRDefault="000F5AA4" w:rsidP="003F23AC">
            <w:pPr>
              <w:pStyle w:val="P68B1DB1-Bodytext101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Zahŕňa obnovu existujúcich budov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stavieb, zariadení pre počítačové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komunikačné systémy pre prevádzkové centrum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laboratórnu sieť, vysokovýkonné počítačové systémy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systémy na uchovávanie informácií, komunikačné systémy (vrátane televízorového terminálu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veľmi malou apertúrou (VSAT), systémy interoperability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inými námornými systémami, vývoj softvéru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imerzívne systémy.</w:t>
            </w:r>
          </w:p>
        </w:tc>
      </w:tr>
      <w:tr w:rsidR="00387C70" w:rsidRPr="003F23AC" w14:paraId="2CE6D5E1" w14:textId="77777777" w:rsidTr="009E4E5C">
        <w:trPr>
          <w:trHeight w:val="61"/>
        </w:trPr>
        <w:tc>
          <w:tcPr>
            <w:tcW w:w="1101" w:type="dxa"/>
            <w:shd w:val="clear" w:color="auto" w:fill="C4EFCE"/>
            <w:tcMar>
              <w:left w:w="28" w:type="dxa"/>
              <w:right w:w="28" w:type="dxa"/>
            </w:tcMar>
            <w:vAlign w:val="center"/>
          </w:tcPr>
          <w:p w14:paraId="49ADFB31" w14:textId="33E084CF" w:rsidR="00387C70" w:rsidRPr="003F23AC" w:rsidRDefault="000F5AA4" w:rsidP="003F23AC">
            <w:pPr>
              <w:pStyle w:val="P68B1DB1-Normal7"/>
              <w:spacing w:before="40" w:after="0" w:line="240" w:lineRule="auto"/>
              <w:jc w:val="center"/>
              <w:rPr>
                <w:rFonts w:ascii="Times New Roman" w:hAnsi="Times New Roman" w:cs="Times New Roman"/>
                <w:noProof/>
                <w:highlight w:val="magenta"/>
                <w:lang w:val="sk-SK"/>
              </w:rPr>
            </w:pPr>
            <w:r w:rsidRPr="003F23AC">
              <w:rPr>
                <w:rFonts w:ascii="Times New Roman" w:hAnsi="Times New Roman" w:cs="Times New Roman"/>
                <w:noProof/>
                <w:lang w:val="sk-SK"/>
              </w:rPr>
              <w:t>10.6</w:t>
            </w:r>
          </w:p>
        </w:tc>
        <w:tc>
          <w:tcPr>
            <w:tcW w:w="1231" w:type="dxa"/>
            <w:shd w:val="clear" w:color="auto" w:fill="C4EFCE"/>
            <w:noWrap/>
            <w:tcMar>
              <w:left w:w="28" w:type="dxa"/>
              <w:right w:w="28" w:type="dxa"/>
            </w:tcMar>
            <w:vAlign w:val="center"/>
          </w:tcPr>
          <w:p w14:paraId="328A6835" w14:textId="4753CB2C"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TC-C10-i03</w:t>
            </w:r>
          </w:p>
        </w:tc>
        <w:tc>
          <w:tcPr>
            <w:tcW w:w="1096" w:type="dxa"/>
            <w:shd w:val="clear" w:color="auto" w:fill="C4EFCE"/>
            <w:noWrap/>
            <w:tcMar>
              <w:left w:w="28" w:type="dxa"/>
              <w:right w:w="28" w:type="dxa"/>
            </w:tcMar>
            <w:vAlign w:val="center"/>
          </w:tcPr>
          <w:p w14:paraId="02CC9831" w14:textId="74A625E2"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1640" w:type="dxa"/>
            <w:shd w:val="clear" w:color="auto" w:fill="C4EFCE"/>
            <w:noWrap/>
            <w:tcMar>
              <w:left w:w="28" w:type="dxa"/>
              <w:right w:w="28" w:type="dxa"/>
            </w:tcMar>
            <w:vAlign w:val="center"/>
          </w:tcPr>
          <w:p w14:paraId="7DF74898" w14:textId="25083335"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Dokončenie Akadémie Alfeite Arsenal Academy</w:t>
            </w:r>
          </w:p>
        </w:tc>
        <w:tc>
          <w:tcPr>
            <w:tcW w:w="1231" w:type="dxa"/>
            <w:shd w:val="clear" w:color="auto" w:fill="C4EFCE"/>
            <w:noWrap/>
            <w:tcMar>
              <w:left w:w="28" w:type="dxa"/>
              <w:right w:w="28" w:type="dxa"/>
            </w:tcMar>
            <w:vAlign w:val="center"/>
          </w:tcPr>
          <w:p w14:paraId="12A8E34A" w14:textId="46A14581"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Dokončenie Akadémie Alfeite Arsenal Academy </w:t>
            </w:r>
          </w:p>
        </w:tc>
        <w:tc>
          <w:tcPr>
            <w:tcW w:w="962" w:type="dxa"/>
            <w:shd w:val="clear" w:color="auto" w:fill="C4EFCE"/>
            <w:noWrap/>
            <w:tcMar>
              <w:left w:w="28" w:type="dxa"/>
              <w:right w:w="28" w:type="dxa"/>
            </w:tcMar>
            <w:vAlign w:val="center"/>
          </w:tcPr>
          <w:p w14:paraId="74243FDB" w14:textId="33F44A1E"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w:t>
            </w:r>
          </w:p>
        </w:tc>
        <w:tc>
          <w:tcPr>
            <w:tcW w:w="961" w:type="dxa"/>
            <w:shd w:val="clear" w:color="auto" w:fill="C4EFCE"/>
            <w:noWrap/>
            <w:tcMar>
              <w:left w:w="28" w:type="dxa"/>
              <w:right w:w="28" w:type="dxa"/>
            </w:tcMar>
            <w:vAlign w:val="center"/>
          </w:tcPr>
          <w:p w14:paraId="2DB2BAAF" w14:textId="3DCC3C16"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w:t>
            </w:r>
          </w:p>
        </w:tc>
        <w:tc>
          <w:tcPr>
            <w:tcW w:w="690" w:type="dxa"/>
            <w:shd w:val="clear" w:color="auto" w:fill="C4EFCE"/>
            <w:noWrap/>
            <w:tcMar>
              <w:left w:w="28" w:type="dxa"/>
              <w:right w:w="28" w:type="dxa"/>
            </w:tcMar>
            <w:vAlign w:val="center"/>
          </w:tcPr>
          <w:p w14:paraId="3CB08472" w14:textId="5F29F401"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w:t>
            </w:r>
          </w:p>
        </w:tc>
        <w:tc>
          <w:tcPr>
            <w:tcW w:w="554" w:type="dxa"/>
            <w:shd w:val="clear" w:color="auto" w:fill="C4EFCE"/>
            <w:noWrap/>
            <w:tcMar>
              <w:left w:w="28" w:type="dxa"/>
              <w:right w:w="28" w:type="dxa"/>
            </w:tcMar>
            <w:vAlign w:val="center"/>
          </w:tcPr>
          <w:p w14:paraId="5AD5DE15" w14:textId="7A379A7A" w:rsidR="00387C70" w:rsidRPr="003F23AC" w:rsidRDefault="00FF0A91"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4. štvrťrok</w:t>
            </w:r>
          </w:p>
        </w:tc>
        <w:tc>
          <w:tcPr>
            <w:tcW w:w="684" w:type="dxa"/>
            <w:shd w:val="clear" w:color="auto" w:fill="C4EFCE"/>
            <w:noWrap/>
            <w:tcMar>
              <w:left w:w="28" w:type="dxa"/>
              <w:right w:w="28" w:type="dxa"/>
            </w:tcMar>
            <w:vAlign w:val="center"/>
          </w:tcPr>
          <w:p w14:paraId="59B5AF35" w14:textId="1A32ACF2"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2023</w:t>
            </w:r>
          </w:p>
        </w:tc>
        <w:tc>
          <w:tcPr>
            <w:tcW w:w="5223" w:type="dxa"/>
            <w:shd w:val="clear" w:color="auto" w:fill="C4EFCE"/>
            <w:tcMar>
              <w:left w:w="28" w:type="dxa"/>
              <w:right w:w="28" w:type="dxa"/>
            </w:tcMar>
            <w:vAlign w:val="center"/>
          </w:tcPr>
          <w:p w14:paraId="211E7F4D" w14:textId="77777777" w:rsidR="00A75B3C" w:rsidRPr="003F23AC" w:rsidRDefault="000F5AA4" w:rsidP="003F23AC">
            <w:pPr>
              <w:pStyle w:val="P68B1DB1-Normal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Ukončenie Akadémie Alfeite Arsenal School</w:t>
            </w:r>
          </w:p>
          <w:p w14:paraId="2A0F6D74" w14:textId="575CE087" w:rsidR="00387C70" w:rsidRPr="003F23AC" w:rsidRDefault="000F5AA4" w:rsidP="003F23AC">
            <w:pPr>
              <w:pStyle w:val="P68B1DB1-Bodytext101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(vrátane modernizácie infraštruktúry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nákupu vybavenia (počítače; laboratórne vybavenie, technologická infraštruktúra, vybavenie pre priemysel 4.0</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digitálna transformácia), diagnostika potrieb odbornej prípravy, rozvoj kurzov odbornej prípravy, poskytovanie prvých kurzov odbornej prípravy už pred dokončením školy)</w:t>
            </w:r>
          </w:p>
        </w:tc>
      </w:tr>
      <w:tr w:rsidR="00387C70" w:rsidRPr="003F23AC" w14:paraId="48A6F7E1" w14:textId="77777777" w:rsidTr="009E4E5C">
        <w:trPr>
          <w:trHeight w:val="61"/>
        </w:trPr>
        <w:tc>
          <w:tcPr>
            <w:tcW w:w="1101" w:type="dxa"/>
            <w:shd w:val="clear" w:color="auto" w:fill="C4EFCE"/>
            <w:tcMar>
              <w:left w:w="28" w:type="dxa"/>
              <w:right w:w="28" w:type="dxa"/>
            </w:tcMar>
            <w:vAlign w:val="center"/>
          </w:tcPr>
          <w:p w14:paraId="6A6158B3" w14:textId="6C24D77B" w:rsidR="00387C70" w:rsidRPr="003F23AC" w:rsidRDefault="000F5AA4" w:rsidP="003F23AC">
            <w:pPr>
              <w:pStyle w:val="P68B1DB1-Normal7"/>
              <w:spacing w:before="40" w:after="0" w:line="240" w:lineRule="auto"/>
              <w:jc w:val="center"/>
              <w:rPr>
                <w:rFonts w:ascii="Times New Roman" w:hAnsi="Times New Roman" w:cs="Times New Roman"/>
                <w:noProof/>
                <w:highlight w:val="magenta"/>
                <w:lang w:val="sk-SK"/>
              </w:rPr>
            </w:pPr>
            <w:r w:rsidRPr="003F23AC">
              <w:rPr>
                <w:rFonts w:ascii="Times New Roman" w:hAnsi="Times New Roman" w:cs="Times New Roman"/>
                <w:noProof/>
                <w:lang w:val="sk-SK"/>
              </w:rPr>
              <w:t>10.7</w:t>
            </w:r>
          </w:p>
        </w:tc>
        <w:tc>
          <w:tcPr>
            <w:tcW w:w="1231" w:type="dxa"/>
            <w:shd w:val="clear" w:color="auto" w:fill="C4EFCE"/>
            <w:noWrap/>
            <w:tcMar>
              <w:left w:w="28" w:type="dxa"/>
              <w:right w:w="28" w:type="dxa"/>
            </w:tcMar>
            <w:vAlign w:val="center"/>
          </w:tcPr>
          <w:p w14:paraId="3394B414" w14:textId="5C6B7A86"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TC-C10-i03</w:t>
            </w:r>
          </w:p>
        </w:tc>
        <w:tc>
          <w:tcPr>
            <w:tcW w:w="1096" w:type="dxa"/>
            <w:shd w:val="clear" w:color="auto" w:fill="C4EFCE"/>
            <w:noWrap/>
            <w:tcMar>
              <w:left w:w="28" w:type="dxa"/>
              <w:right w:w="28" w:type="dxa"/>
            </w:tcMar>
            <w:vAlign w:val="center"/>
          </w:tcPr>
          <w:p w14:paraId="6ACD3011" w14:textId="224855CD"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1640" w:type="dxa"/>
            <w:shd w:val="clear" w:color="auto" w:fill="C4EFCE"/>
            <w:noWrap/>
            <w:tcMar>
              <w:left w:w="28" w:type="dxa"/>
              <w:right w:w="28" w:type="dxa"/>
            </w:tcMar>
            <w:vAlign w:val="center"/>
          </w:tcPr>
          <w:p w14:paraId="5CB9DCFB" w14:textId="50C9928C"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Prijatie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prijatie „viacfunkčnej námornej platformy“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„operačného centra“</w:t>
            </w:r>
          </w:p>
        </w:tc>
        <w:tc>
          <w:tcPr>
            <w:tcW w:w="1231" w:type="dxa"/>
            <w:shd w:val="clear" w:color="auto" w:fill="C4EFCE"/>
            <w:noWrap/>
            <w:tcMar>
              <w:left w:w="28" w:type="dxa"/>
              <w:right w:w="28" w:type="dxa"/>
            </w:tcMar>
            <w:vAlign w:val="center"/>
          </w:tcPr>
          <w:p w14:paraId="615F7D19" w14:textId="6CF3E766"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Prijatie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prijatie „viacfunkčnej námornej platformy“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„operačného centra“</w:t>
            </w:r>
          </w:p>
        </w:tc>
        <w:tc>
          <w:tcPr>
            <w:tcW w:w="962" w:type="dxa"/>
            <w:shd w:val="clear" w:color="auto" w:fill="C4EFCE"/>
            <w:noWrap/>
            <w:tcMar>
              <w:left w:w="28" w:type="dxa"/>
              <w:right w:w="28" w:type="dxa"/>
            </w:tcMar>
            <w:vAlign w:val="center"/>
          </w:tcPr>
          <w:p w14:paraId="274F01D9" w14:textId="06465FCA"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w:t>
            </w:r>
          </w:p>
        </w:tc>
        <w:tc>
          <w:tcPr>
            <w:tcW w:w="961" w:type="dxa"/>
            <w:shd w:val="clear" w:color="auto" w:fill="C4EFCE"/>
            <w:noWrap/>
            <w:tcMar>
              <w:left w:w="28" w:type="dxa"/>
              <w:right w:w="28" w:type="dxa"/>
            </w:tcMar>
            <w:vAlign w:val="center"/>
          </w:tcPr>
          <w:p w14:paraId="1D06AC8A" w14:textId="54D56B13"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w:t>
            </w:r>
          </w:p>
        </w:tc>
        <w:tc>
          <w:tcPr>
            <w:tcW w:w="690" w:type="dxa"/>
            <w:shd w:val="clear" w:color="auto" w:fill="C4EFCE"/>
            <w:noWrap/>
            <w:tcMar>
              <w:left w:w="28" w:type="dxa"/>
              <w:right w:w="28" w:type="dxa"/>
            </w:tcMar>
            <w:vAlign w:val="center"/>
          </w:tcPr>
          <w:p w14:paraId="2415E148" w14:textId="1A799591"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w:t>
            </w:r>
          </w:p>
        </w:tc>
        <w:tc>
          <w:tcPr>
            <w:tcW w:w="554" w:type="dxa"/>
            <w:shd w:val="clear" w:color="auto" w:fill="C4EFCE"/>
            <w:noWrap/>
            <w:tcMar>
              <w:left w:w="28" w:type="dxa"/>
              <w:right w:w="28" w:type="dxa"/>
            </w:tcMar>
            <w:vAlign w:val="center"/>
          </w:tcPr>
          <w:p w14:paraId="76705501" w14:textId="5BFC9C02" w:rsidR="00387C70" w:rsidRPr="003F23AC" w:rsidRDefault="00FF0A91"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 štvrťrok</w:t>
            </w:r>
          </w:p>
        </w:tc>
        <w:tc>
          <w:tcPr>
            <w:tcW w:w="684" w:type="dxa"/>
            <w:shd w:val="clear" w:color="auto" w:fill="C4EFCE"/>
            <w:noWrap/>
            <w:tcMar>
              <w:left w:w="28" w:type="dxa"/>
              <w:right w:w="28" w:type="dxa"/>
            </w:tcMar>
            <w:vAlign w:val="center"/>
          </w:tcPr>
          <w:p w14:paraId="4E79FD00" w14:textId="603ADEA9" w:rsidR="00387C70" w:rsidRPr="003F23AC" w:rsidRDefault="000F5AA4" w:rsidP="003F23AC">
            <w:pPr>
              <w:pStyle w:val="P68B1DB1-Normal8"/>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2026</w:t>
            </w:r>
          </w:p>
        </w:tc>
        <w:tc>
          <w:tcPr>
            <w:tcW w:w="5223" w:type="dxa"/>
            <w:shd w:val="clear" w:color="auto" w:fill="C4EFCE"/>
            <w:tcMar>
              <w:left w:w="28" w:type="dxa"/>
              <w:right w:w="28" w:type="dxa"/>
            </w:tcMar>
            <w:vAlign w:val="center"/>
          </w:tcPr>
          <w:p w14:paraId="38EBC9BC" w14:textId="4D416851" w:rsidR="00387C70" w:rsidRPr="003F23AC" w:rsidRDefault="000F5AA4" w:rsidP="003F23AC">
            <w:pPr>
              <w:pStyle w:val="P68B1DB1-Bodytext101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Prijatie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prijatie „viacfunkčnej námornej platformy“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„operačného centra“</w:t>
            </w:r>
          </w:p>
        </w:tc>
      </w:tr>
      <w:tr w:rsidR="00387C70" w:rsidRPr="003F23AC" w14:paraId="027F039F" w14:textId="77777777" w:rsidTr="009E4E5C">
        <w:trPr>
          <w:trHeight w:val="61"/>
        </w:trPr>
        <w:tc>
          <w:tcPr>
            <w:tcW w:w="1101" w:type="dxa"/>
            <w:shd w:val="clear" w:color="auto" w:fill="C4EFCE"/>
            <w:tcMar>
              <w:left w:w="28" w:type="dxa"/>
              <w:right w:w="28" w:type="dxa"/>
            </w:tcMar>
            <w:vAlign w:val="center"/>
          </w:tcPr>
          <w:p w14:paraId="34B47902" w14:textId="00559ADD" w:rsidR="00387C70" w:rsidRPr="003F23AC" w:rsidRDefault="000F5AA4" w:rsidP="003F23AC">
            <w:pPr>
              <w:pStyle w:val="P68B1DB1-Normal11"/>
              <w:spacing w:before="40"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10.17</w:t>
            </w:r>
          </w:p>
        </w:tc>
        <w:tc>
          <w:tcPr>
            <w:tcW w:w="1231" w:type="dxa"/>
            <w:shd w:val="clear" w:color="auto" w:fill="C4EFCE"/>
            <w:noWrap/>
            <w:tcMar>
              <w:left w:w="28" w:type="dxa"/>
              <w:right w:w="28" w:type="dxa"/>
            </w:tcMar>
            <w:vAlign w:val="center"/>
          </w:tcPr>
          <w:p w14:paraId="0A93137A" w14:textId="55F0B8D2"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TC-C10-i07</w:t>
            </w:r>
          </w:p>
        </w:tc>
        <w:tc>
          <w:tcPr>
            <w:tcW w:w="1096" w:type="dxa"/>
            <w:shd w:val="clear" w:color="auto" w:fill="C4EFCE"/>
            <w:noWrap/>
            <w:tcMar>
              <w:left w:w="28" w:type="dxa"/>
              <w:right w:w="28" w:type="dxa"/>
            </w:tcMar>
            <w:vAlign w:val="center"/>
          </w:tcPr>
          <w:p w14:paraId="475EE951" w14:textId="77777777"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640" w:type="dxa"/>
            <w:shd w:val="clear" w:color="auto" w:fill="C4EFCE"/>
            <w:noWrap/>
            <w:tcMar>
              <w:left w:w="28" w:type="dxa"/>
              <w:right w:w="28" w:type="dxa"/>
            </w:tcMar>
            <w:vAlign w:val="center"/>
          </w:tcPr>
          <w:p w14:paraId="1F299288" w14:textId="77777777"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Vyhlásenie výzvy na predkladanie ponúk na dekarbonizáciu plavidiel</w:t>
            </w:r>
          </w:p>
        </w:tc>
        <w:tc>
          <w:tcPr>
            <w:tcW w:w="1231" w:type="dxa"/>
            <w:shd w:val="clear" w:color="auto" w:fill="C4EFCE"/>
            <w:noWrap/>
            <w:tcMar>
              <w:left w:w="28" w:type="dxa"/>
              <w:right w:w="28" w:type="dxa"/>
            </w:tcMar>
            <w:vAlign w:val="center"/>
          </w:tcPr>
          <w:p w14:paraId="18E73789" w14:textId="77777777"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Vyhlásenie výzvy na predkladanie ponúk na dekarbonizáciu plavidiel</w:t>
            </w:r>
          </w:p>
        </w:tc>
        <w:tc>
          <w:tcPr>
            <w:tcW w:w="962" w:type="dxa"/>
            <w:shd w:val="clear" w:color="auto" w:fill="C4EFCE"/>
            <w:noWrap/>
            <w:tcMar>
              <w:left w:w="28" w:type="dxa"/>
              <w:right w:w="28" w:type="dxa"/>
            </w:tcMar>
            <w:vAlign w:val="center"/>
          </w:tcPr>
          <w:p w14:paraId="794A4B39" w14:textId="77777777"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61" w:type="dxa"/>
            <w:shd w:val="clear" w:color="auto" w:fill="C4EFCE"/>
            <w:noWrap/>
            <w:tcMar>
              <w:left w:w="28" w:type="dxa"/>
              <w:right w:w="28" w:type="dxa"/>
            </w:tcMar>
            <w:vAlign w:val="center"/>
          </w:tcPr>
          <w:p w14:paraId="3234BC59" w14:textId="77777777"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690" w:type="dxa"/>
            <w:shd w:val="clear" w:color="auto" w:fill="C4EFCE"/>
            <w:noWrap/>
            <w:tcMar>
              <w:left w:w="28" w:type="dxa"/>
              <w:right w:w="28" w:type="dxa"/>
            </w:tcMar>
            <w:vAlign w:val="center"/>
          </w:tcPr>
          <w:p w14:paraId="2C2A78E0" w14:textId="77777777"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554" w:type="dxa"/>
            <w:shd w:val="clear" w:color="auto" w:fill="C4EFCE"/>
            <w:noWrap/>
            <w:tcMar>
              <w:left w:w="28" w:type="dxa"/>
              <w:right w:w="28" w:type="dxa"/>
            </w:tcMar>
            <w:vAlign w:val="center"/>
          </w:tcPr>
          <w:p w14:paraId="746BFB58" w14:textId="7E526FD0" w:rsidR="00387C70" w:rsidRPr="003F23AC" w:rsidRDefault="00FF0A91"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684" w:type="dxa"/>
            <w:shd w:val="clear" w:color="auto" w:fill="C4EFCE"/>
            <w:noWrap/>
            <w:tcMar>
              <w:left w:w="28" w:type="dxa"/>
              <w:right w:w="28" w:type="dxa"/>
            </w:tcMar>
            <w:vAlign w:val="center"/>
          </w:tcPr>
          <w:p w14:paraId="6D96543B" w14:textId="77777777"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5223" w:type="dxa"/>
            <w:shd w:val="clear" w:color="auto" w:fill="C4EFCE"/>
            <w:tcMar>
              <w:left w:w="28" w:type="dxa"/>
              <w:right w:w="28" w:type="dxa"/>
            </w:tcMar>
          </w:tcPr>
          <w:p w14:paraId="3B2A3F9D" w14:textId="1CFDE223" w:rsidR="00387C70" w:rsidRPr="003F23AC" w:rsidRDefault="000F5AA4" w:rsidP="003F23AC">
            <w:pPr>
              <w:pStyle w:val="P68B1DB1-Bodytext1013"/>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Vyhlásenie verejnej súťaže na dekarbonizáciu desiatich plavidiel námornej nákladnej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osobnej dopravy,</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ktorých aspoň 70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plavidiel presahuje 5000 ton hrubej priestornosti (GT).</w:t>
            </w:r>
          </w:p>
          <w:p w14:paraId="5ED73E54" w14:textId="6CCC58ED" w:rsidR="00387C70" w:rsidRPr="003F23AC" w:rsidRDefault="000F5AA4" w:rsidP="003F23AC">
            <w:pPr>
              <w:pStyle w:val="P68B1DB1-Bodytext1013"/>
              <w:spacing w:before="40" w:after="0" w:line="240" w:lineRule="auto"/>
              <w:jc w:val="both"/>
              <w:rPr>
                <w:rFonts w:ascii="Times New Roman" w:eastAsia="@MS Mincho" w:hAnsi="Times New Roman" w:cs="Times New Roman"/>
                <w:noProof/>
                <w:lang w:val="sk-SK"/>
              </w:rPr>
            </w:pPr>
            <w:r w:rsidRPr="003F23AC">
              <w:rPr>
                <w:rFonts w:ascii="Times New Roman" w:hAnsi="Times New Roman" w:cs="Times New Roman"/>
                <w:noProof/>
                <w:lang w:val="sk-SK"/>
              </w:rPr>
              <w:t>Referenčný rámec zahŕňa kritériá oprávnenosti, ktorými sa zabezpečí, že vybrané projekty sú</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„nespôsobovať významnú škodu“ (2021/C58/01)</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prispejú aspoň</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10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zníženiu spotreby paliva lode vyjadrenej</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gramoch paliva na nosnosť na námornú míľu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požiadavkami stanovenými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opise opatrenia. Zahŕňa aj požiadavku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r w:rsidR="00387C70" w:rsidRPr="003F23AC" w14:paraId="37D8A87F" w14:textId="77777777" w:rsidTr="009E4E5C">
        <w:trPr>
          <w:trHeight w:val="61"/>
        </w:trPr>
        <w:tc>
          <w:tcPr>
            <w:tcW w:w="1101" w:type="dxa"/>
            <w:shd w:val="clear" w:color="auto" w:fill="C4EFCE"/>
            <w:tcMar>
              <w:left w:w="28" w:type="dxa"/>
              <w:right w:w="28" w:type="dxa"/>
            </w:tcMar>
            <w:vAlign w:val="center"/>
          </w:tcPr>
          <w:p w14:paraId="5DBA9BD7" w14:textId="1EF5F715"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10.18</w:t>
            </w:r>
          </w:p>
        </w:tc>
        <w:tc>
          <w:tcPr>
            <w:tcW w:w="1231" w:type="dxa"/>
            <w:shd w:val="clear" w:color="auto" w:fill="C4EFCE"/>
            <w:noWrap/>
            <w:tcMar>
              <w:left w:w="28" w:type="dxa"/>
              <w:right w:w="28" w:type="dxa"/>
            </w:tcMar>
            <w:vAlign w:val="center"/>
          </w:tcPr>
          <w:p w14:paraId="5AF95FF9" w14:textId="58BB736B" w:rsidR="00387C70" w:rsidRPr="003F23AC" w:rsidRDefault="000F5AA4" w:rsidP="003F23AC">
            <w:pPr>
              <w:pStyle w:val="P68B1DB1-Bodytext1013"/>
              <w:spacing w:after="0"/>
              <w:jc w:val="center"/>
              <w:rPr>
                <w:rFonts w:ascii="Times New Roman" w:hAnsi="Times New Roman" w:cs="Times New Roman"/>
                <w:noProof/>
                <w:lang w:val="sk-SK"/>
              </w:rPr>
            </w:pPr>
            <w:r w:rsidRPr="003F23AC">
              <w:rPr>
                <w:rFonts w:ascii="Times New Roman" w:hAnsi="Times New Roman" w:cs="Times New Roman"/>
                <w:noProof/>
                <w:lang w:val="sk-SK"/>
              </w:rPr>
              <w:t>TC-C10-i07</w:t>
            </w:r>
          </w:p>
        </w:tc>
        <w:tc>
          <w:tcPr>
            <w:tcW w:w="1096" w:type="dxa"/>
            <w:shd w:val="clear" w:color="auto" w:fill="C4EFCE"/>
            <w:noWrap/>
            <w:tcMar>
              <w:left w:w="28" w:type="dxa"/>
              <w:right w:w="28" w:type="dxa"/>
            </w:tcMar>
            <w:vAlign w:val="center"/>
          </w:tcPr>
          <w:p w14:paraId="2BE3AE46" w14:textId="25678AE6"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640" w:type="dxa"/>
            <w:shd w:val="clear" w:color="auto" w:fill="C4EFCE"/>
            <w:noWrap/>
            <w:tcMar>
              <w:left w:w="28" w:type="dxa"/>
              <w:right w:w="28" w:type="dxa"/>
            </w:tcMar>
            <w:vAlign w:val="center"/>
          </w:tcPr>
          <w:p w14:paraId="58A16C99" w14:textId="1130888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intervencií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energetickej efektívnosti plavidiel</w:t>
            </w:r>
          </w:p>
        </w:tc>
        <w:tc>
          <w:tcPr>
            <w:tcW w:w="1231" w:type="dxa"/>
            <w:shd w:val="clear" w:color="auto" w:fill="C4EFCE"/>
            <w:noWrap/>
            <w:tcMar>
              <w:left w:w="28" w:type="dxa"/>
              <w:right w:w="28" w:type="dxa"/>
            </w:tcMar>
            <w:vAlign w:val="center"/>
          </w:tcPr>
          <w:p w14:paraId="43D01A20" w14:textId="0EACBE5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Doklad</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dokončení zásahov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oblasti energetickej efektívnosti plavidiel </w:t>
            </w:r>
          </w:p>
        </w:tc>
        <w:tc>
          <w:tcPr>
            <w:tcW w:w="962" w:type="dxa"/>
            <w:shd w:val="clear" w:color="auto" w:fill="C4EFCE"/>
            <w:noWrap/>
            <w:tcMar>
              <w:left w:w="28" w:type="dxa"/>
              <w:right w:w="28" w:type="dxa"/>
            </w:tcMar>
            <w:vAlign w:val="center"/>
          </w:tcPr>
          <w:p w14:paraId="218710B9" w14:textId="7777777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61" w:type="dxa"/>
            <w:shd w:val="clear" w:color="auto" w:fill="C4EFCE"/>
            <w:noWrap/>
            <w:tcMar>
              <w:left w:w="28" w:type="dxa"/>
              <w:right w:w="28" w:type="dxa"/>
            </w:tcMar>
            <w:vAlign w:val="center"/>
          </w:tcPr>
          <w:p w14:paraId="55994D8A" w14:textId="7777777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690" w:type="dxa"/>
            <w:shd w:val="clear" w:color="auto" w:fill="C4EFCE"/>
            <w:noWrap/>
            <w:tcMar>
              <w:left w:w="28" w:type="dxa"/>
              <w:right w:w="28" w:type="dxa"/>
            </w:tcMar>
            <w:vAlign w:val="center"/>
          </w:tcPr>
          <w:p w14:paraId="75409A25" w14:textId="7777777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w:t>
            </w:r>
          </w:p>
        </w:tc>
        <w:tc>
          <w:tcPr>
            <w:tcW w:w="554" w:type="dxa"/>
            <w:shd w:val="clear" w:color="auto" w:fill="C4EFCE"/>
            <w:noWrap/>
            <w:tcMar>
              <w:left w:w="28" w:type="dxa"/>
              <w:right w:w="28" w:type="dxa"/>
            </w:tcMar>
            <w:vAlign w:val="center"/>
          </w:tcPr>
          <w:p w14:paraId="4A6676AD" w14:textId="029C2D7C"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684" w:type="dxa"/>
            <w:shd w:val="clear" w:color="auto" w:fill="C4EFCE"/>
            <w:noWrap/>
            <w:tcMar>
              <w:left w:w="28" w:type="dxa"/>
              <w:right w:w="28" w:type="dxa"/>
            </w:tcMar>
            <w:vAlign w:val="center"/>
          </w:tcPr>
          <w:p w14:paraId="57E3A0CA" w14:textId="7777777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5223" w:type="dxa"/>
            <w:shd w:val="clear" w:color="auto" w:fill="C4EFCE"/>
            <w:tcMar>
              <w:left w:w="28" w:type="dxa"/>
              <w:right w:w="28" w:type="dxa"/>
            </w:tcMar>
            <w:vAlign w:val="center"/>
          </w:tcPr>
          <w:p w14:paraId="512948BF" w14:textId="1E3E2461" w:rsidR="00387C70" w:rsidRPr="003F23AC" w:rsidRDefault="000F5AA4" w:rsidP="003F23AC">
            <w:pPr>
              <w:pStyle w:val="P68B1DB1-Bodytext1013"/>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Dokončenie intervencií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energetickej efektívnosti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desiatich plavidiel na nákladnú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osobnú dopravu,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ktorých aspoň 70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plavidiel presahuje 5000 ton hrubej priestornosti (GT).</w:t>
            </w:r>
          </w:p>
        </w:tc>
      </w:tr>
    </w:tbl>
    <w:p w14:paraId="51500205" w14:textId="77777777" w:rsidR="00387C70" w:rsidRPr="003F23AC" w:rsidRDefault="00387C70" w:rsidP="003F23AC">
      <w:pPr>
        <w:rPr>
          <w:rFonts w:ascii="Times New Roman" w:hAnsi="Times New Roman" w:cs="Times New Roman"/>
          <w:noProof/>
          <w:lang w:val="sk-SK"/>
        </w:rPr>
      </w:pPr>
    </w:p>
    <w:p w14:paraId="52BB7A4E"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ED5518">
          <w:headerReference w:type="even" r:id="rId228"/>
          <w:headerReference w:type="default" r:id="rId229"/>
          <w:footerReference w:type="even" r:id="rId230"/>
          <w:footerReference w:type="default" r:id="rId231"/>
          <w:headerReference w:type="first" r:id="rId232"/>
          <w:footerReference w:type="first" r:id="rId233"/>
          <w:pgSz w:w="16839" w:h="11907" w:orient="landscape"/>
          <w:pgMar w:top="1134" w:right="1134" w:bottom="1134" w:left="1134" w:header="567" w:footer="567" w:gutter="0"/>
          <w:cols w:space="720"/>
          <w:docGrid w:linePitch="360"/>
        </w:sectPr>
      </w:pPr>
    </w:p>
    <w:p w14:paraId="6761070D" w14:textId="540791C7"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K</w:t>
      </w:r>
      <w:r w:rsidR="00C32C63" w:rsidRPr="003F23AC">
        <w:rPr>
          <w:rFonts w:cs="Times New Roman"/>
          <w:noProof/>
          <w:lang w:val="sk-SK"/>
        </w:rPr>
        <w:t>. KOMPONENT</w:t>
      </w:r>
      <w:r w:rsidRPr="003F23AC">
        <w:rPr>
          <w:rFonts w:cs="Times New Roman"/>
          <w:noProof/>
          <w:lang w:val="sk-SK"/>
        </w:rPr>
        <w:t xml:space="preserve"> 11: Dekarbonizácia priemyslu</w:t>
      </w:r>
    </w:p>
    <w:p w14:paraId="47F3439D" w14:textId="4324028E"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Zložka portugalského plánu obnovy</w:t>
      </w:r>
      <w:r w:rsidR="00A75B3C" w:rsidRPr="003F23AC">
        <w:rPr>
          <w:rFonts w:cs="Times New Roman"/>
          <w:noProof/>
          <w:lang w:val="sk-SK"/>
        </w:rPr>
        <w:t xml:space="preserve"> a </w:t>
      </w:r>
      <w:r w:rsidRPr="003F23AC">
        <w:rPr>
          <w:rFonts w:cs="Times New Roman"/>
          <w:noProof/>
          <w:lang w:val="sk-SK"/>
        </w:rPr>
        <w:t>odolnosti rieši problém prínosu priemyselných</w:t>
      </w:r>
      <w:r w:rsidR="00A75B3C" w:rsidRPr="003F23AC">
        <w:rPr>
          <w:rFonts w:cs="Times New Roman"/>
          <w:noProof/>
          <w:lang w:val="sk-SK"/>
        </w:rPr>
        <w:t xml:space="preserve"> a </w:t>
      </w:r>
      <w:r w:rsidRPr="003F23AC">
        <w:rPr>
          <w:rFonts w:cs="Times New Roman"/>
          <w:noProof/>
          <w:lang w:val="sk-SK"/>
        </w:rPr>
        <w:t>priemyselných procesov</w:t>
      </w:r>
      <w:r w:rsidR="00A75B3C" w:rsidRPr="003F23AC">
        <w:rPr>
          <w:rFonts w:cs="Times New Roman"/>
          <w:noProof/>
          <w:lang w:val="sk-SK"/>
        </w:rPr>
        <w:t xml:space="preserve"> k </w:t>
      </w:r>
      <w:r w:rsidRPr="003F23AC">
        <w:rPr>
          <w:rFonts w:cs="Times New Roman"/>
          <w:noProof/>
          <w:lang w:val="sk-SK"/>
        </w:rPr>
        <w:t>dosiahnutiu cieľov uhlíkovej neutrality, ako sa uvádza</w:t>
      </w:r>
      <w:r w:rsidR="00A75B3C" w:rsidRPr="003F23AC">
        <w:rPr>
          <w:rFonts w:cs="Times New Roman"/>
          <w:noProof/>
          <w:lang w:val="sk-SK"/>
        </w:rPr>
        <w:t xml:space="preserve"> v </w:t>
      </w:r>
      <w:r w:rsidRPr="003F23AC">
        <w:rPr>
          <w:rFonts w:cs="Times New Roman"/>
          <w:noProof/>
          <w:lang w:val="sk-SK"/>
        </w:rPr>
        <w:t>Pláne uhlíkovej neutrality do roku 2050</w:t>
      </w:r>
      <w:r w:rsidR="00A75B3C" w:rsidRPr="003F23AC">
        <w:rPr>
          <w:rFonts w:cs="Times New Roman"/>
          <w:noProof/>
          <w:lang w:val="sk-SK"/>
        </w:rPr>
        <w:t xml:space="preserve"> a v </w:t>
      </w:r>
      <w:r w:rsidRPr="003F23AC">
        <w:rPr>
          <w:rFonts w:cs="Times New Roman"/>
          <w:noProof/>
          <w:lang w:val="sk-SK"/>
        </w:rPr>
        <w:t>národnom energetickom</w:t>
      </w:r>
      <w:r w:rsidR="00A75B3C" w:rsidRPr="003F23AC">
        <w:rPr>
          <w:rFonts w:cs="Times New Roman"/>
          <w:noProof/>
          <w:lang w:val="sk-SK"/>
        </w:rPr>
        <w:t xml:space="preserve"> a </w:t>
      </w:r>
      <w:r w:rsidRPr="003F23AC">
        <w:rPr>
          <w:rFonts w:cs="Times New Roman"/>
          <w:noProof/>
          <w:lang w:val="sk-SK"/>
        </w:rPr>
        <w:t>klimatickom pláne do roku 2030. To si vyžaduje štrukturálnu transformáciu založenú na rekonfigurácii priemyselnej činnosti, zmenách vo výrobných procesoch</w:t>
      </w:r>
      <w:r w:rsidR="00A75B3C" w:rsidRPr="003F23AC">
        <w:rPr>
          <w:rFonts w:cs="Times New Roman"/>
          <w:noProof/>
          <w:lang w:val="sk-SK"/>
        </w:rPr>
        <w:t xml:space="preserve"> a </w:t>
      </w:r>
      <w:r w:rsidRPr="003F23AC">
        <w:rPr>
          <w:rFonts w:cs="Times New Roman"/>
          <w:noProof/>
          <w:lang w:val="sk-SK"/>
        </w:rPr>
        <w:t>spôsobe využívania zdrojov</w:t>
      </w:r>
      <w:r w:rsidR="00A75B3C" w:rsidRPr="003F23AC">
        <w:rPr>
          <w:rFonts w:cs="Times New Roman"/>
          <w:noProof/>
          <w:lang w:val="sk-SK"/>
        </w:rPr>
        <w:t>.</w:t>
      </w:r>
    </w:p>
    <w:p w14:paraId="2CCA0B72" w14:textId="5C118B6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Opatrenie tejto zložky je zamerané na podporu dekarbonizácie, energetickej efektívnosti</w:t>
      </w:r>
      <w:r w:rsidR="00A75B3C" w:rsidRPr="003F23AC">
        <w:rPr>
          <w:rFonts w:cs="Times New Roman"/>
          <w:noProof/>
          <w:lang w:val="sk-SK"/>
        </w:rPr>
        <w:t xml:space="preserve"> a </w:t>
      </w:r>
      <w:r w:rsidRPr="003F23AC">
        <w:rPr>
          <w:rFonts w:cs="Times New Roman"/>
          <w:noProof/>
          <w:lang w:val="sk-SK"/>
        </w:rPr>
        <w:t>efektívneho využívania zdrojov</w:t>
      </w:r>
      <w:r w:rsidR="00A75B3C" w:rsidRPr="003F23AC">
        <w:rPr>
          <w:rFonts w:cs="Times New Roman"/>
          <w:noProof/>
          <w:lang w:val="sk-SK"/>
        </w:rPr>
        <w:t xml:space="preserve"> a </w:t>
      </w:r>
      <w:r w:rsidRPr="003F23AC">
        <w:rPr>
          <w:rFonts w:cs="Times New Roman"/>
          <w:noProof/>
          <w:lang w:val="sk-SK"/>
        </w:rPr>
        <w:t>využívania alternatívnych zdrojov energie</w:t>
      </w:r>
      <w:r w:rsidR="00A75B3C" w:rsidRPr="003F23AC">
        <w:rPr>
          <w:rFonts w:cs="Times New Roman"/>
          <w:noProof/>
          <w:lang w:val="sk-SK"/>
        </w:rPr>
        <w:t xml:space="preserve"> v </w:t>
      </w:r>
      <w:r w:rsidRPr="003F23AC">
        <w:rPr>
          <w:rFonts w:cs="Times New Roman"/>
          <w:noProof/>
          <w:lang w:val="sk-SK"/>
        </w:rPr>
        <w:t>priemyselných procesoch. Projekty, ktoré sa majú podporovať, sú spojené aj</w:t>
      </w:r>
      <w:r w:rsidR="00A75B3C" w:rsidRPr="003F23AC">
        <w:rPr>
          <w:rFonts w:cs="Times New Roman"/>
          <w:noProof/>
          <w:lang w:val="sk-SK"/>
        </w:rPr>
        <w:t xml:space="preserve"> s </w:t>
      </w:r>
      <w:r w:rsidRPr="003F23AC">
        <w:rPr>
          <w:rFonts w:cs="Times New Roman"/>
          <w:noProof/>
          <w:lang w:val="sk-SK"/>
        </w:rPr>
        <w:t>novými technológiami, inováciami</w:t>
      </w:r>
      <w:r w:rsidR="00A75B3C" w:rsidRPr="003F23AC">
        <w:rPr>
          <w:rFonts w:cs="Times New Roman"/>
          <w:noProof/>
          <w:lang w:val="sk-SK"/>
        </w:rPr>
        <w:t xml:space="preserve"> a </w:t>
      </w:r>
      <w:r w:rsidRPr="003F23AC">
        <w:rPr>
          <w:rFonts w:cs="Times New Roman"/>
          <w:noProof/>
          <w:lang w:val="sk-SK"/>
        </w:rPr>
        <w:t>digitalizáciou priemyslu</w:t>
      </w:r>
      <w:r w:rsidR="00A75B3C" w:rsidRPr="003F23AC">
        <w:rPr>
          <w:rFonts w:cs="Times New Roman"/>
          <w:noProof/>
          <w:lang w:val="sk-SK"/>
        </w:rPr>
        <w:t xml:space="preserve"> s </w:t>
      </w:r>
      <w:r w:rsidRPr="003F23AC">
        <w:rPr>
          <w:rFonts w:cs="Times New Roman"/>
          <w:noProof/>
          <w:lang w:val="sk-SK"/>
        </w:rPr>
        <w:t>cieľom dosiahnuť väčšiu efektívnosť rôznych výrobných</w:t>
      </w:r>
      <w:r w:rsidR="00A75B3C" w:rsidRPr="003F23AC">
        <w:rPr>
          <w:rFonts w:cs="Times New Roman"/>
          <w:noProof/>
          <w:lang w:val="sk-SK"/>
        </w:rPr>
        <w:t xml:space="preserve"> a </w:t>
      </w:r>
      <w:r w:rsidRPr="003F23AC">
        <w:rPr>
          <w:rFonts w:cs="Times New Roman"/>
          <w:noProof/>
          <w:lang w:val="sk-SK"/>
        </w:rPr>
        <w:t>organizačných procesov.</w:t>
      </w:r>
    </w:p>
    <w:p w14:paraId="5E25DBAB" w14:textId="44AE06C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zložka prispieva ku klimatickej transformácii portugalského priemyslu</w:t>
      </w:r>
      <w:r w:rsidR="00A75B3C" w:rsidRPr="003F23AC">
        <w:rPr>
          <w:rFonts w:cs="Times New Roman"/>
          <w:noProof/>
          <w:lang w:val="sk-SK"/>
        </w:rPr>
        <w:t xml:space="preserve"> a </w:t>
      </w:r>
      <w:r w:rsidRPr="003F23AC">
        <w:rPr>
          <w:rFonts w:cs="Times New Roman"/>
          <w:noProof/>
          <w:lang w:val="sk-SK"/>
        </w:rPr>
        <w:t>podporuje jeho konkurencieschopnosť. Prispieva</w:t>
      </w:r>
      <w:r w:rsidR="00A75B3C" w:rsidRPr="003F23AC">
        <w:rPr>
          <w:rFonts w:cs="Times New Roman"/>
          <w:noProof/>
          <w:lang w:val="sk-SK"/>
        </w:rPr>
        <w:t xml:space="preserve"> k </w:t>
      </w:r>
      <w:r w:rsidRPr="003F23AC">
        <w:rPr>
          <w:rFonts w:cs="Times New Roman"/>
          <w:noProof/>
          <w:lang w:val="sk-SK"/>
        </w:rPr>
        <w:t>plneniu odporúčaní pre jednotlivé krajiny týkajúcich sa investícií do zelenej transformácie, najmä pokiaľ ide</w:t>
      </w:r>
      <w:r w:rsidR="00A75B3C" w:rsidRPr="003F23AC">
        <w:rPr>
          <w:rFonts w:cs="Times New Roman"/>
          <w:noProof/>
          <w:lang w:val="sk-SK"/>
        </w:rPr>
        <w:t xml:space="preserve"> o </w:t>
      </w:r>
      <w:r w:rsidRPr="003F23AC">
        <w:rPr>
          <w:rFonts w:cs="Times New Roman"/>
          <w:noProof/>
          <w:lang w:val="sk-SK"/>
        </w:rPr>
        <w:t>čistú</w:t>
      </w:r>
      <w:r w:rsidR="00A75B3C" w:rsidRPr="003F23AC">
        <w:rPr>
          <w:rFonts w:cs="Times New Roman"/>
          <w:noProof/>
          <w:lang w:val="sk-SK"/>
        </w:rPr>
        <w:t xml:space="preserve"> a </w:t>
      </w:r>
      <w:r w:rsidRPr="003F23AC">
        <w:rPr>
          <w:rFonts w:cs="Times New Roman"/>
          <w:noProof/>
          <w:lang w:val="sk-SK"/>
        </w:rPr>
        <w:t>efektívnu výrobu</w:t>
      </w:r>
      <w:r w:rsidR="00A75B3C" w:rsidRPr="003F23AC">
        <w:rPr>
          <w:rFonts w:cs="Times New Roman"/>
          <w:noProof/>
          <w:lang w:val="sk-SK"/>
        </w:rPr>
        <w:t xml:space="preserve"> a </w:t>
      </w:r>
      <w:r w:rsidRPr="003F23AC">
        <w:rPr>
          <w:rFonts w:cs="Times New Roman"/>
          <w:noProof/>
          <w:lang w:val="sk-SK"/>
        </w:rPr>
        <w:t>využívanie energie (odporúčanie 3 2020)</w:t>
      </w:r>
      <w:r w:rsidR="00A75B3C" w:rsidRPr="003F23AC">
        <w:rPr>
          <w:rFonts w:cs="Times New Roman"/>
          <w:noProof/>
          <w:lang w:val="sk-SK"/>
        </w:rPr>
        <w:t xml:space="preserve"> a </w:t>
      </w:r>
      <w:r w:rsidRPr="003F23AC">
        <w:rPr>
          <w:rFonts w:cs="Times New Roman"/>
          <w:noProof/>
          <w:lang w:val="sk-SK"/>
        </w:rPr>
        <w:t>pre investície do výskumu</w:t>
      </w:r>
      <w:r w:rsidR="00A75B3C" w:rsidRPr="003F23AC">
        <w:rPr>
          <w:rFonts w:cs="Times New Roman"/>
          <w:noProof/>
          <w:lang w:val="sk-SK"/>
        </w:rPr>
        <w:t xml:space="preserve"> a </w:t>
      </w:r>
      <w:r w:rsidRPr="003F23AC">
        <w:rPr>
          <w:rFonts w:cs="Times New Roman"/>
          <w:noProof/>
          <w:lang w:val="sk-SK"/>
        </w:rPr>
        <w:t>inovácií (odporúčania pre jednotlivé krajiny 3 2019</w:t>
      </w:r>
      <w:r w:rsidR="00A75B3C" w:rsidRPr="003F23AC">
        <w:rPr>
          <w:rFonts w:cs="Times New Roman"/>
          <w:noProof/>
          <w:lang w:val="sk-SK"/>
        </w:rPr>
        <w:t xml:space="preserve"> a </w:t>
      </w:r>
      <w:r w:rsidRPr="003F23AC">
        <w:rPr>
          <w:rFonts w:cs="Times New Roman"/>
          <w:noProof/>
          <w:lang w:val="sk-SK"/>
        </w:rPr>
        <w:t>2020).</w:t>
      </w:r>
    </w:p>
    <w:p w14:paraId="6D69255B"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75CB0606" w14:textId="4483B1AF"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K.1.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08B2F8AA"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TC-C11-i01: Dekarbonizácia priemyslu</w:t>
      </w:r>
    </w:p>
    <w:p w14:paraId="4836C298" w14:textId="5B27BDAD"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Tieto investície pozostávajú</w:t>
      </w:r>
      <w:r w:rsidR="00A75B3C" w:rsidRPr="003F23AC">
        <w:rPr>
          <w:rFonts w:cs="Times New Roman"/>
          <w:noProof/>
          <w:lang w:val="sk-SK"/>
        </w:rPr>
        <w:t xml:space="preserve"> z </w:t>
      </w:r>
      <w:r w:rsidRPr="003F23AC">
        <w:rPr>
          <w:rFonts w:cs="Times New Roman"/>
          <w:noProof/>
          <w:lang w:val="sk-SK"/>
        </w:rPr>
        <w:t>propagácie</w:t>
      </w:r>
      <w:r w:rsidR="00A75B3C" w:rsidRPr="003F23AC">
        <w:rPr>
          <w:rFonts w:cs="Times New Roman"/>
          <w:noProof/>
          <w:lang w:val="sk-SK"/>
        </w:rPr>
        <w:t xml:space="preserve"> a </w:t>
      </w:r>
      <w:r w:rsidRPr="003F23AC">
        <w:rPr>
          <w:rFonts w:cs="Times New Roman"/>
          <w:noProof/>
          <w:lang w:val="sk-SK"/>
        </w:rPr>
        <w:t>finančnej podpory inovačných projektov</w:t>
      </w:r>
      <w:r w:rsidR="00A75B3C" w:rsidRPr="003F23AC">
        <w:rPr>
          <w:rFonts w:cs="Times New Roman"/>
          <w:noProof/>
          <w:lang w:val="sk-SK"/>
        </w:rPr>
        <w:t xml:space="preserve"> v </w:t>
      </w:r>
      <w:r w:rsidRPr="003F23AC">
        <w:rPr>
          <w:rFonts w:cs="Times New Roman"/>
          <w:noProof/>
          <w:lang w:val="sk-SK"/>
        </w:rPr>
        <w:t>priemyselných odvetviach</w:t>
      </w:r>
      <w:r w:rsidR="00A75B3C" w:rsidRPr="003F23AC">
        <w:rPr>
          <w:rFonts w:cs="Times New Roman"/>
          <w:noProof/>
          <w:lang w:val="sk-SK"/>
        </w:rPr>
        <w:t xml:space="preserve"> v </w:t>
      </w:r>
      <w:r w:rsidRPr="003F23AC">
        <w:rPr>
          <w:rFonts w:cs="Times New Roman"/>
          <w:noProof/>
          <w:lang w:val="sk-SK"/>
        </w:rPr>
        <w:t>štyroch oblastiach</w:t>
      </w:r>
      <w:r w:rsidR="00A75B3C" w:rsidRPr="003F23AC">
        <w:rPr>
          <w:rFonts w:cs="Times New Roman"/>
          <w:noProof/>
          <w:lang w:val="sk-SK"/>
        </w:rPr>
        <w:t>:</w:t>
      </w:r>
    </w:p>
    <w:p w14:paraId="1DD7BC26" w14:textId="2A0488DC" w:rsidR="00387C70" w:rsidRPr="003F23AC" w:rsidRDefault="000F5AA4" w:rsidP="003F23AC">
      <w:pPr>
        <w:pStyle w:val="P68B1DB1-Normal4"/>
        <w:numPr>
          <w:ilvl w:val="0"/>
          <w:numId w:val="29"/>
        </w:numPr>
        <w:spacing w:before="40" w:after="160" w:line="259" w:lineRule="auto"/>
        <w:contextualSpacing/>
        <w:jc w:val="both"/>
        <w:rPr>
          <w:rFonts w:eastAsiaTheme="minorEastAsia" w:cs="Times New Roman"/>
          <w:noProof/>
          <w:lang w:val="sk-SK"/>
        </w:rPr>
      </w:pPr>
      <w:r w:rsidRPr="003F23AC">
        <w:rPr>
          <w:rFonts w:cs="Times New Roman"/>
          <w:noProof/>
          <w:lang w:val="sk-SK"/>
        </w:rPr>
        <w:t>nízkouhlíkové procesy</w:t>
      </w:r>
      <w:r w:rsidR="00A75B3C" w:rsidRPr="003F23AC">
        <w:rPr>
          <w:rFonts w:cs="Times New Roman"/>
          <w:noProof/>
          <w:lang w:val="sk-SK"/>
        </w:rPr>
        <w:t xml:space="preserve"> a </w:t>
      </w:r>
      <w:r w:rsidRPr="003F23AC">
        <w:rPr>
          <w:rFonts w:cs="Times New Roman"/>
          <w:noProof/>
          <w:lang w:val="sk-SK"/>
        </w:rPr>
        <w:t>technológie: cieľom je podporiť zavádzanie nových technológií alebo zlepšenie výrobných postupov na ich dekarbonizáciu, napríklad začlenením nových surovín</w:t>
      </w:r>
      <w:r w:rsidR="00A75B3C" w:rsidRPr="003F23AC">
        <w:rPr>
          <w:rFonts w:cs="Times New Roman"/>
          <w:noProof/>
          <w:lang w:val="sk-SK"/>
        </w:rPr>
        <w:t xml:space="preserve"> a </w:t>
      </w:r>
      <w:r w:rsidRPr="003F23AC">
        <w:rPr>
          <w:rFonts w:cs="Times New Roman"/>
          <w:noProof/>
          <w:lang w:val="sk-SK"/>
        </w:rPr>
        <w:t>opatrení obehového hospodárstva, inovačnými opatreniami, výmenou a/alebo prispôsobením zariadení, zvýšením elektrifikácie konečnej spotreby energie;</w:t>
      </w:r>
    </w:p>
    <w:p w14:paraId="149D9289" w14:textId="51CAC5E0" w:rsidR="00A75B3C" w:rsidRPr="003F23AC" w:rsidRDefault="000F5AA4" w:rsidP="003F23AC">
      <w:pPr>
        <w:pStyle w:val="P68B1DB1-Normal4"/>
        <w:numPr>
          <w:ilvl w:val="0"/>
          <w:numId w:val="29"/>
        </w:numPr>
        <w:spacing w:before="40" w:after="160" w:line="259" w:lineRule="auto"/>
        <w:contextualSpacing/>
        <w:jc w:val="both"/>
        <w:rPr>
          <w:rFonts w:cs="Times New Roman"/>
          <w:noProof/>
          <w:lang w:val="sk-SK"/>
        </w:rPr>
      </w:pPr>
      <w:r w:rsidRPr="003F23AC">
        <w:rPr>
          <w:rFonts w:cs="Times New Roman"/>
          <w:noProof/>
          <w:lang w:val="sk-SK"/>
        </w:rPr>
        <w:t>opatrenia</w:t>
      </w:r>
      <w:r w:rsidR="00A75B3C" w:rsidRPr="003F23AC">
        <w:rPr>
          <w:rFonts w:cs="Times New Roman"/>
          <w:noProof/>
          <w:lang w:val="sk-SK"/>
        </w:rPr>
        <w:t xml:space="preserve"> v </w:t>
      </w:r>
      <w:r w:rsidRPr="003F23AC">
        <w:rPr>
          <w:rFonts w:cs="Times New Roman"/>
          <w:noProof/>
          <w:lang w:val="sk-SK"/>
        </w:rPr>
        <w:t>oblasti energetickej efektívnosti: podporované projekty sa zameriavajú na zníženie spotreby energie</w:t>
      </w:r>
      <w:r w:rsidR="00A75B3C" w:rsidRPr="003F23AC">
        <w:rPr>
          <w:rFonts w:cs="Times New Roman"/>
          <w:noProof/>
          <w:lang w:val="sk-SK"/>
        </w:rPr>
        <w:t xml:space="preserve"> a </w:t>
      </w:r>
      <w:r w:rsidRPr="003F23AC">
        <w:rPr>
          <w:rFonts w:cs="Times New Roman"/>
          <w:noProof/>
          <w:lang w:val="sk-SK"/>
        </w:rPr>
        <w:t>emisií skleníkových plynov, napríklad prostredníctvom optimalizácie alebo výmeny motorov</w:t>
      </w:r>
      <w:r w:rsidR="00A75B3C" w:rsidRPr="003F23AC">
        <w:rPr>
          <w:rFonts w:cs="Times New Roman"/>
          <w:noProof/>
          <w:lang w:val="sk-SK"/>
        </w:rPr>
        <w:t xml:space="preserve"> a </w:t>
      </w:r>
      <w:r w:rsidRPr="003F23AC">
        <w:rPr>
          <w:rFonts w:cs="Times New Roman"/>
          <w:noProof/>
          <w:lang w:val="sk-SK"/>
        </w:rPr>
        <w:t>zariadení, optimalizácie procesov, prijatia systémov monitorovania</w:t>
      </w:r>
      <w:r w:rsidR="00A75B3C" w:rsidRPr="003F23AC">
        <w:rPr>
          <w:rFonts w:cs="Times New Roman"/>
          <w:noProof/>
          <w:lang w:val="sk-SK"/>
        </w:rPr>
        <w:t xml:space="preserve"> a </w:t>
      </w:r>
      <w:r w:rsidRPr="003F23AC">
        <w:rPr>
          <w:rFonts w:cs="Times New Roman"/>
          <w:noProof/>
          <w:lang w:val="sk-SK"/>
        </w:rPr>
        <w:t>riadenia spotreby</w:t>
      </w:r>
      <w:r w:rsidR="00A75B3C" w:rsidRPr="003F23AC">
        <w:rPr>
          <w:rFonts w:cs="Times New Roman"/>
          <w:noProof/>
          <w:lang w:val="sk-SK"/>
        </w:rPr>
        <w:t>;</w:t>
      </w:r>
    </w:p>
    <w:p w14:paraId="567DBE4B" w14:textId="3995A213" w:rsidR="00A75B3C" w:rsidRPr="003F23AC" w:rsidRDefault="000F5AA4" w:rsidP="003F23AC">
      <w:pPr>
        <w:pStyle w:val="P68B1DB1-Normal4"/>
        <w:numPr>
          <w:ilvl w:val="0"/>
          <w:numId w:val="29"/>
        </w:numPr>
        <w:spacing w:before="40" w:after="120" w:line="240" w:lineRule="auto"/>
        <w:contextualSpacing/>
        <w:jc w:val="both"/>
        <w:rPr>
          <w:rFonts w:cs="Times New Roman"/>
          <w:noProof/>
          <w:lang w:val="sk-SK"/>
        </w:rPr>
      </w:pPr>
      <w:r w:rsidRPr="003F23AC">
        <w:rPr>
          <w:rFonts w:cs="Times New Roman"/>
          <w:noProof/>
          <w:lang w:val="sk-SK"/>
        </w:rPr>
        <w:t>začlenenie energie</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a </w:t>
      </w:r>
      <w:r w:rsidRPr="003F23AC">
        <w:rPr>
          <w:rFonts w:cs="Times New Roman"/>
          <w:noProof/>
          <w:lang w:val="sk-SK"/>
        </w:rPr>
        <w:t>jej uskladňovanie, napríklad prostredníctvom inštalácie solárnych systémov, výroby tepla</w:t>
      </w:r>
      <w:r w:rsidR="00A75B3C" w:rsidRPr="003F23AC">
        <w:rPr>
          <w:rFonts w:cs="Times New Roman"/>
          <w:noProof/>
          <w:lang w:val="sk-SK"/>
        </w:rPr>
        <w:t xml:space="preserve"> z </w:t>
      </w:r>
      <w:r w:rsidRPr="003F23AC">
        <w:rPr>
          <w:rFonts w:cs="Times New Roman"/>
          <w:noProof/>
          <w:lang w:val="sk-SK"/>
        </w:rPr>
        <w:t>obnoviteľných zdrojov, vysoko účinnej kombinovanej výroby, výroby</w:t>
      </w:r>
      <w:r w:rsidR="00A75B3C" w:rsidRPr="003F23AC">
        <w:rPr>
          <w:rFonts w:cs="Times New Roman"/>
          <w:noProof/>
          <w:lang w:val="sk-SK"/>
        </w:rPr>
        <w:t xml:space="preserve"> a </w:t>
      </w:r>
      <w:r w:rsidRPr="003F23AC">
        <w:rPr>
          <w:rFonts w:cs="Times New Roman"/>
          <w:noProof/>
          <w:lang w:val="sk-SK"/>
        </w:rPr>
        <w:t>využívania vodíka</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a </w:t>
      </w:r>
      <w:r w:rsidRPr="003F23AC">
        <w:rPr>
          <w:rFonts w:cs="Times New Roman"/>
          <w:noProof/>
          <w:lang w:val="sk-SK"/>
        </w:rPr>
        <w:t>obnoviteľných plynov, ak sú technologické možnosti dekarbonizácie,</w:t>
      </w:r>
      <w:r w:rsidR="00A75B3C" w:rsidRPr="003F23AC">
        <w:rPr>
          <w:rFonts w:cs="Times New Roman"/>
          <w:noProof/>
          <w:lang w:val="sk-SK"/>
        </w:rPr>
        <w:t xml:space="preserve"> a </w:t>
      </w:r>
      <w:r w:rsidRPr="003F23AC">
        <w:rPr>
          <w:rFonts w:cs="Times New Roman"/>
          <w:noProof/>
          <w:lang w:val="sk-SK"/>
        </w:rPr>
        <w:t>to aj prostredníctvom elektrifikácie, obmedzenejšie</w:t>
      </w:r>
      <w:r w:rsidR="00A75B3C" w:rsidRPr="003F23AC">
        <w:rPr>
          <w:rFonts w:cs="Times New Roman"/>
          <w:noProof/>
          <w:lang w:val="sk-SK"/>
        </w:rPr>
        <w:t>;</w:t>
      </w:r>
    </w:p>
    <w:p w14:paraId="0D8DEFDF" w14:textId="424EE3F0" w:rsidR="00387C70" w:rsidRPr="003F23AC" w:rsidRDefault="000F5AA4" w:rsidP="003F23AC">
      <w:pPr>
        <w:pStyle w:val="P68B1DB1-Normal4"/>
        <w:numPr>
          <w:ilvl w:val="0"/>
          <w:numId w:val="29"/>
        </w:numPr>
        <w:spacing w:before="40" w:after="120" w:line="240" w:lineRule="auto"/>
        <w:contextualSpacing/>
        <w:jc w:val="both"/>
        <w:rPr>
          <w:rFonts w:eastAsiaTheme="minorEastAsia" w:cs="Times New Roman"/>
          <w:noProof/>
          <w:lang w:val="sk-SK"/>
        </w:rPr>
      </w:pPr>
      <w:r w:rsidRPr="003F23AC">
        <w:rPr>
          <w:rFonts w:cs="Times New Roman"/>
          <w:noProof/>
          <w:lang w:val="sk-SK"/>
        </w:rPr>
        <w:t>vypracovanie plánov dekarbonizácie</w:t>
      </w:r>
      <w:r w:rsidR="00A75B3C" w:rsidRPr="003F23AC">
        <w:rPr>
          <w:rFonts w:cs="Times New Roman"/>
          <w:noProof/>
          <w:lang w:val="sk-SK"/>
        </w:rPr>
        <w:t xml:space="preserve"> a </w:t>
      </w:r>
      <w:r w:rsidRPr="003F23AC">
        <w:rPr>
          <w:rFonts w:cs="Times New Roman"/>
          <w:noProof/>
          <w:lang w:val="sk-SK"/>
        </w:rPr>
        <w:t>iniciatív na budovanie kapacít, napríklad prostredníctvom identifikácie</w:t>
      </w:r>
      <w:r w:rsidR="00A75B3C" w:rsidRPr="003F23AC">
        <w:rPr>
          <w:rFonts w:cs="Times New Roman"/>
          <w:noProof/>
          <w:lang w:val="sk-SK"/>
        </w:rPr>
        <w:t xml:space="preserve"> a </w:t>
      </w:r>
      <w:r w:rsidRPr="003F23AC">
        <w:rPr>
          <w:rFonts w:cs="Times New Roman"/>
          <w:noProof/>
          <w:lang w:val="sk-SK"/>
        </w:rPr>
        <w:t>šírenia účinných technologických riešení, činností odbornej prípravy</w:t>
      </w:r>
      <w:r w:rsidR="00A75B3C" w:rsidRPr="003F23AC">
        <w:rPr>
          <w:rFonts w:cs="Times New Roman"/>
          <w:noProof/>
          <w:lang w:val="sk-SK"/>
        </w:rPr>
        <w:t xml:space="preserve"> a </w:t>
      </w:r>
      <w:r w:rsidRPr="003F23AC">
        <w:rPr>
          <w:rFonts w:cs="Times New Roman"/>
          <w:noProof/>
          <w:lang w:val="sk-SK"/>
        </w:rPr>
        <w:t>platforiem na výmenu informácií.</w:t>
      </w:r>
    </w:p>
    <w:p w14:paraId="725AEFB0" w14:textId="137FD0FC"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Podpora sa poskytuje prostredníctvom postupov verejného obstarávania (2021 – 2024) malým</w:t>
      </w:r>
      <w:r w:rsidR="00A75B3C" w:rsidRPr="003F23AC">
        <w:rPr>
          <w:rFonts w:cs="Times New Roman"/>
          <w:noProof/>
          <w:lang w:val="sk-SK"/>
        </w:rPr>
        <w:t xml:space="preserve"> a </w:t>
      </w:r>
      <w:r w:rsidRPr="003F23AC">
        <w:rPr>
          <w:rFonts w:cs="Times New Roman"/>
          <w:noProof/>
          <w:lang w:val="sk-SK"/>
        </w:rPr>
        <w:t>stredným podnikom</w:t>
      </w:r>
      <w:r w:rsidR="00A75B3C" w:rsidRPr="003F23AC">
        <w:rPr>
          <w:rFonts w:cs="Times New Roman"/>
          <w:noProof/>
          <w:lang w:val="sk-SK"/>
        </w:rPr>
        <w:t xml:space="preserve"> a </w:t>
      </w:r>
      <w:r w:rsidRPr="003F23AC">
        <w:rPr>
          <w:rFonts w:cs="Times New Roman"/>
          <w:noProof/>
          <w:lang w:val="sk-SK"/>
        </w:rPr>
        <w:t>veľkým spoločnostiam</w:t>
      </w:r>
      <w:r w:rsidR="00A75B3C" w:rsidRPr="003F23AC">
        <w:rPr>
          <w:rFonts w:cs="Times New Roman"/>
          <w:noProof/>
          <w:lang w:val="sk-SK"/>
        </w:rPr>
        <w:t xml:space="preserve"> v </w:t>
      </w:r>
      <w:r w:rsidRPr="003F23AC">
        <w:rPr>
          <w:rFonts w:cs="Times New Roman"/>
          <w:noProof/>
          <w:lang w:val="sk-SK"/>
        </w:rPr>
        <w:t>oblasti priemyslu</w:t>
      </w:r>
      <w:r w:rsidR="00A75B3C" w:rsidRPr="003F23AC">
        <w:rPr>
          <w:rFonts w:cs="Times New Roman"/>
          <w:noProof/>
          <w:lang w:val="sk-SK"/>
        </w:rPr>
        <w:t xml:space="preserve"> a </w:t>
      </w:r>
      <w:r w:rsidRPr="003F23AC">
        <w:rPr>
          <w:rFonts w:cs="Times New Roman"/>
          <w:noProof/>
          <w:lang w:val="sk-SK"/>
        </w:rPr>
        <w:t>výroby energie vrátane orgánov riadenia priemyselných oblastí, prevádzkovateľov prenosových</w:t>
      </w:r>
      <w:r w:rsidR="00A75B3C" w:rsidRPr="003F23AC">
        <w:rPr>
          <w:rFonts w:cs="Times New Roman"/>
          <w:noProof/>
          <w:lang w:val="sk-SK"/>
        </w:rPr>
        <w:t xml:space="preserve"> a </w:t>
      </w:r>
      <w:r w:rsidRPr="003F23AC">
        <w:rPr>
          <w:rFonts w:cs="Times New Roman"/>
          <w:noProof/>
          <w:lang w:val="sk-SK"/>
        </w:rPr>
        <w:t>distribučných sústav energie, priemyselných</w:t>
      </w:r>
      <w:r w:rsidR="00A75B3C" w:rsidRPr="003F23AC">
        <w:rPr>
          <w:rFonts w:cs="Times New Roman"/>
          <w:noProof/>
          <w:lang w:val="sk-SK"/>
        </w:rPr>
        <w:t xml:space="preserve"> a </w:t>
      </w:r>
      <w:r w:rsidRPr="003F23AC">
        <w:rPr>
          <w:rFonts w:cs="Times New Roman"/>
          <w:noProof/>
          <w:lang w:val="sk-SK"/>
        </w:rPr>
        <w:t>energetických podnikateľských združení</w:t>
      </w:r>
      <w:r w:rsidR="00A75B3C" w:rsidRPr="003F23AC">
        <w:rPr>
          <w:rFonts w:cs="Times New Roman"/>
          <w:noProof/>
          <w:lang w:val="sk-SK"/>
        </w:rPr>
        <w:t xml:space="preserve"> a </w:t>
      </w:r>
      <w:r w:rsidRPr="003F23AC">
        <w:rPr>
          <w:rFonts w:cs="Times New Roman"/>
          <w:noProof/>
          <w:lang w:val="sk-SK"/>
        </w:rPr>
        <w:t>iných subjektov. Cieľom investície je podporiť aspoň 310 projektov rôznej veľkosti: malé (v priemere 1 000 000 EUR), stredné (v priemere 5 000 000 EUR)</w:t>
      </w:r>
      <w:r w:rsidR="00A75B3C" w:rsidRPr="003F23AC">
        <w:rPr>
          <w:rFonts w:cs="Times New Roman"/>
          <w:noProof/>
          <w:lang w:val="sk-SK"/>
        </w:rPr>
        <w:t xml:space="preserve"> a </w:t>
      </w:r>
      <w:r w:rsidRPr="003F23AC">
        <w:rPr>
          <w:rFonts w:cs="Times New Roman"/>
          <w:noProof/>
          <w:lang w:val="sk-SK"/>
        </w:rPr>
        <w:t>veľké (v priemere 10 000 000 EUR). Verejná súťaž sa zameriava na odvetvia</w:t>
      </w:r>
      <w:r w:rsidR="00A75B3C" w:rsidRPr="003F23AC">
        <w:rPr>
          <w:rFonts w:cs="Times New Roman"/>
          <w:noProof/>
          <w:lang w:val="sk-SK"/>
        </w:rPr>
        <w:t xml:space="preserve"> s </w:t>
      </w:r>
      <w:r w:rsidRPr="003F23AC">
        <w:rPr>
          <w:rFonts w:cs="Times New Roman"/>
          <w:noProof/>
          <w:lang w:val="sk-SK"/>
        </w:rPr>
        <w:t>najväčšou intenzitou emisií skleníkových plynov, ale je otvorená pre celé priemyselné odvetvie, pričom sa vzťahuje na zariadenia</w:t>
      </w:r>
      <w:r w:rsidR="00A75B3C" w:rsidRPr="003F23AC">
        <w:rPr>
          <w:rFonts w:cs="Times New Roman"/>
          <w:noProof/>
          <w:lang w:val="sk-SK"/>
        </w:rPr>
        <w:t xml:space="preserve"> v </w:t>
      </w:r>
      <w:r w:rsidRPr="003F23AC">
        <w:rPr>
          <w:rFonts w:cs="Times New Roman"/>
          <w:noProof/>
          <w:lang w:val="sk-SK"/>
        </w:rPr>
        <w:t>rámci ETS aj mimo ETS. Výsledkom projektov vybraných</w:t>
      </w:r>
      <w:r w:rsidR="00A75B3C" w:rsidRPr="003F23AC">
        <w:rPr>
          <w:rFonts w:cs="Times New Roman"/>
          <w:noProof/>
          <w:lang w:val="sk-SK"/>
        </w:rPr>
        <w:t xml:space="preserve"> v </w:t>
      </w:r>
      <w:r w:rsidRPr="003F23AC">
        <w:rPr>
          <w:rFonts w:cs="Times New Roman"/>
          <w:noProof/>
          <w:lang w:val="sk-SK"/>
        </w:rPr>
        <w:t>oblasti intervencie 024ter je zníženie emisií skleníkových plynov</w:t>
      </w:r>
      <w:r w:rsidR="00A75B3C" w:rsidRPr="003F23AC">
        <w:rPr>
          <w:rFonts w:cs="Times New Roman"/>
          <w:noProof/>
          <w:lang w:val="sk-SK"/>
        </w:rPr>
        <w:t xml:space="preserve"> v </w:t>
      </w:r>
      <w:r w:rsidRPr="003F23AC">
        <w:rPr>
          <w:rFonts w:cs="Times New Roman"/>
          <w:noProof/>
          <w:lang w:val="sk-SK"/>
        </w:rPr>
        <w:t>dotknutých priemyselných zariadeniach minimálne</w:t>
      </w:r>
      <w:r w:rsidR="00A75B3C" w:rsidRPr="003F23AC">
        <w:rPr>
          <w:rFonts w:cs="Times New Roman"/>
          <w:noProof/>
          <w:lang w:val="sk-SK"/>
        </w:rPr>
        <w:t xml:space="preserve"> o </w:t>
      </w:r>
      <w:r w:rsidRPr="003F23AC">
        <w:rPr>
          <w:rFonts w:cs="Times New Roman"/>
          <w:noProof/>
          <w:lang w:val="sk-SK"/>
        </w:rPr>
        <w:t>30</w:t>
      </w:r>
      <w:r w:rsidR="00A75B3C" w:rsidRPr="003F23AC">
        <w:rPr>
          <w:rFonts w:cs="Times New Roman"/>
          <w:noProof/>
          <w:lang w:val="sk-SK"/>
        </w:rPr>
        <w:t> %</w:t>
      </w:r>
      <w:r w:rsidRPr="003F23AC">
        <w:rPr>
          <w:rFonts w:cs="Times New Roman"/>
          <w:noProof/>
          <w:lang w:val="sk-SK"/>
        </w:rPr>
        <w:t>, čím sa prispeje</w:t>
      </w:r>
      <w:r w:rsidR="00A75B3C" w:rsidRPr="003F23AC">
        <w:rPr>
          <w:rFonts w:cs="Times New Roman"/>
          <w:noProof/>
          <w:lang w:val="sk-SK"/>
        </w:rPr>
        <w:t xml:space="preserve"> k </w:t>
      </w:r>
      <w:r w:rsidRPr="003F23AC">
        <w:rPr>
          <w:rFonts w:cs="Times New Roman"/>
          <w:noProof/>
          <w:lang w:val="sk-SK"/>
        </w:rPr>
        <w:t>plneniu cieľov Portugalska</w:t>
      </w:r>
      <w:r w:rsidR="00A75B3C" w:rsidRPr="003F23AC">
        <w:rPr>
          <w:rFonts w:cs="Times New Roman"/>
          <w:noProof/>
          <w:lang w:val="sk-SK"/>
        </w:rPr>
        <w:t xml:space="preserve"> v </w:t>
      </w:r>
      <w:r w:rsidRPr="003F23AC">
        <w:rPr>
          <w:rFonts w:cs="Times New Roman"/>
          <w:noProof/>
          <w:lang w:val="sk-SK"/>
        </w:rPr>
        <w:t>oblasti klímy</w:t>
      </w:r>
      <w:r w:rsidR="00A75B3C" w:rsidRPr="003F23AC">
        <w:rPr>
          <w:rFonts w:cs="Times New Roman"/>
          <w:noProof/>
          <w:lang w:val="sk-SK"/>
        </w:rPr>
        <w:t xml:space="preserve"> v </w:t>
      </w:r>
      <w:r w:rsidRPr="003F23AC">
        <w:rPr>
          <w:rFonts w:cs="Times New Roman"/>
          <w:noProof/>
          <w:lang w:val="sk-SK"/>
        </w:rPr>
        <w:t>rámci vykonávania národného energetického</w:t>
      </w:r>
      <w:r w:rsidR="00A75B3C" w:rsidRPr="003F23AC">
        <w:rPr>
          <w:rFonts w:cs="Times New Roman"/>
          <w:noProof/>
          <w:lang w:val="sk-SK"/>
        </w:rPr>
        <w:t xml:space="preserve"> a </w:t>
      </w:r>
      <w:r w:rsidRPr="003F23AC">
        <w:rPr>
          <w:rFonts w:cs="Times New Roman"/>
          <w:noProof/>
          <w:lang w:val="sk-SK"/>
        </w:rPr>
        <w:t>klimatického plánu</w:t>
      </w:r>
      <w:r w:rsidR="00A75B3C" w:rsidRPr="003F23AC">
        <w:rPr>
          <w:rFonts w:cs="Times New Roman"/>
          <w:noProof/>
          <w:lang w:val="sk-SK"/>
        </w:rPr>
        <w:t>.</w:t>
      </w:r>
    </w:p>
    <w:p w14:paraId="11E4BDD6" w14:textId="7587702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S cieľom zabezpečiť, aby bolo opatrenie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„nespôsobovať významnú škodu“ (2021/C58/01), kritériá oprávnenosti uvedené</w:t>
      </w:r>
      <w:r w:rsidR="00A75B3C" w:rsidRPr="003F23AC">
        <w:rPr>
          <w:rFonts w:cs="Times New Roman"/>
          <w:noProof/>
          <w:lang w:val="sk-SK"/>
        </w:rPr>
        <w:t xml:space="preserve"> v </w:t>
      </w:r>
      <w:r w:rsidRPr="003F23AC">
        <w:rPr>
          <w:rFonts w:cs="Times New Roman"/>
          <w:noProof/>
          <w:lang w:val="sk-SK"/>
        </w:rPr>
        <w:t>referenčnom rámci pre nadchádzajúce výzvy na predkladanie projektov nezahŕňajú tento zoznam činností: I) činnosti súvisiace</w:t>
      </w:r>
      <w:r w:rsidR="00A75B3C" w:rsidRPr="003F23AC">
        <w:rPr>
          <w:rFonts w:cs="Times New Roman"/>
          <w:noProof/>
          <w:lang w:val="sk-SK"/>
        </w:rPr>
        <w:t xml:space="preserve"> s </w:t>
      </w:r>
      <w:r w:rsidRPr="003F23AC">
        <w:rPr>
          <w:rFonts w:cs="Times New Roman"/>
          <w:noProof/>
          <w:lang w:val="sk-SK"/>
        </w:rPr>
        <w:t>fosílnymi palivami vrátane následného použitia</w:t>
      </w:r>
      <w:r w:rsidRPr="003F23AC">
        <w:rPr>
          <w:rFonts w:cs="Times New Roman"/>
          <w:noProof/>
          <w:lang w:val="sk-SK"/>
        </w:rPr>
        <w:footnoteReference w:id="44"/>
      </w:r>
      <w:r w:rsidRPr="003F23AC">
        <w:rPr>
          <w:rFonts w:cs="Times New Roman"/>
          <w:noProof/>
          <w:lang w:val="sk-SK"/>
        </w:rPr>
        <w:t>; II) činnosti</w:t>
      </w:r>
      <w:r w:rsidR="00A75B3C" w:rsidRPr="003F23AC">
        <w:rPr>
          <w:rFonts w:cs="Times New Roman"/>
          <w:noProof/>
          <w:lang w:val="sk-SK"/>
        </w:rPr>
        <w:t xml:space="preserve"> v </w:t>
      </w:r>
      <w:r w:rsidRPr="003F23AC">
        <w:rPr>
          <w:rFonts w:cs="Times New Roman"/>
          <w:noProof/>
          <w:lang w:val="sk-SK"/>
        </w:rPr>
        <w:t>rámci systému EÚ na obchodovanie</w:t>
      </w:r>
      <w:r w:rsidR="00A75B3C" w:rsidRPr="003F23AC">
        <w:rPr>
          <w:rFonts w:cs="Times New Roman"/>
          <w:noProof/>
          <w:lang w:val="sk-SK"/>
        </w:rPr>
        <w:t xml:space="preserve"> s </w:t>
      </w:r>
      <w:r w:rsidRPr="003F23AC">
        <w:rPr>
          <w:rFonts w:cs="Times New Roman"/>
          <w:noProof/>
          <w:lang w:val="sk-SK"/>
        </w:rPr>
        <w:t>emisiami (ETS), ktorými sa dosahujú predpokladané emisie skleníkových plynov, ktoré nie sú nižšie ako príslušné referenčné hodnoty</w:t>
      </w:r>
      <w:r w:rsidRPr="003F23AC">
        <w:rPr>
          <w:rFonts w:cs="Times New Roman"/>
          <w:noProof/>
          <w:lang w:val="sk-SK"/>
        </w:rPr>
        <w:footnoteReference w:id="45"/>
      </w:r>
      <w:r w:rsidRPr="003F23AC">
        <w:rPr>
          <w:rFonts w:cs="Times New Roman"/>
          <w:noProof/>
          <w:lang w:val="sk-SK"/>
        </w:rPr>
        <w:t>; III) činnosti týkajúce sa skládok odpadu, spaľovní</w:t>
      </w:r>
      <w:r w:rsidRPr="003F23AC">
        <w:rPr>
          <w:rFonts w:cs="Times New Roman"/>
          <w:noProof/>
          <w:lang w:val="sk-SK"/>
        </w:rPr>
        <w:footnoteReference w:id="46"/>
      </w:r>
      <w:r w:rsidR="00A75B3C" w:rsidRPr="003F23AC">
        <w:rPr>
          <w:rFonts w:cs="Times New Roman"/>
          <w:noProof/>
          <w:lang w:val="sk-SK"/>
        </w:rPr>
        <w:t xml:space="preserve"> a </w:t>
      </w:r>
      <w:r w:rsidRPr="003F23AC">
        <w:rPr>
          <w:rFonts w:cs="Times New Roman"/>
          <w:noProof/>
          <w:lang w:val="sk-SK"/>
        </w:rPr>
        <w:t>mechanických biologických čistiarní</w:t>
      </w:r>
      <w:r w:rsidRPr="003F23AC">
        <w:rPr>
          <w:rFonts w:cs="Times New Roman"/>
          <w:noProof/>
          <w:lang w:val="sk-SK"/>
        </w:rPr>
        <w:footnoteReference w:id="47"/>
      </w:r>
      <w:r w:rsidRPr="003F23AC">
        <w:rPr>
          <w:rFonts w:cs="Times New Roman"/>
          <w:noProof/>
          <w:lang w:val="sk-SK"/>
        </w:rPr>
        <w:t>;</w:t>
      </w:r>
      <w:r w:rsidR="00A75B3C" w:rsidRPr="003F23AC">
        <w:rPr>
          <w:rFonts w:cs="Times New Roman"/>
          <w:noProof/>
          <w:lang w:val="sk-SK"/>
        </w:rPr>
        <w:t xml:space="preserve"> a </w:t>
      </w:r>
      <w:r w:rsidRPr="003F23AC">
        <w:rPr>
          <w:rFonts w:cs="Times New Roman"/>
          <w:noProof/>
          <w:lang w:val="sk-SK"/>
        </w:rPr>
        <w:t>iv) činnosti, pri ktorých môže dlhodobé zneškodňovanie odpadu poškodiť životné prostredie.</w:t>
      </w:r>
      <w:r w:rsidR="00A75B3C" w:rsidRPr="003F23AC">
        <w:rPr>
          <w:rFonts w:cs="Times New Roman"/>
          <w:noProof/>
          <w:lang w:val="sk-SK"/>
        </w:rPr>
        <w:t xml:space="preserve"> V </w:t>
      </w:r>
      <w:r w:rsidRPr="003F23AC">
        <w:rPr>
          <w:rFonts w:cs="Times New Roman"/>
          <w:noProof/>
          <w:lang w:val="sk-SK"/>
        </w:rPr>
        <w:t>referenčnom rámci sa okrem toho vyžaduje, aby sa mohli vybrať len činnosti, ktoré sú</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príslušnými právnymi predpismi EÚ</w:t>
      </w:r>
      <w:r w:rsidR="00A75B3C" w:rsidRPr="003F23AC">
        <w:rPr>
          <w:rFonts w:cs="Times New Roman"/>
          <w:noProof/>
          <w:lang w:val="sk-SK"/>
        </w:rPr>
        <w:t xml:space="preserve"> a </w:t>
      </w:r>
      <w:r w:rsidRPr="003F23AC">
        <w:rPr>
          <w:rFonts w:cs="Times New Roman"/>
          <w:noProof/>
          <w:lang w:val="sk-SK"/>
        </w:rPr>
        <w:t>vnútroštátnymi právnymi predpismi</w:t>
      </w:r>
      <w:r w:rsidR="00A75B3C" w:rsidRPr="003F23AC">
        <w:rPr>
          <w:rFonts w:cs="Times New Roman"/>
          <w:noProof/>
          <w:lang w:val="sk-SK"/>
        </w:rPr>
        <w:t xml:space="preserve"> v </w:t>
      </w:r>
      <w:r w:rsidRPr="003F23AC">
        <w:rPr>
          <w:rFonts w:cs="Times New Roman"/>
          <w:noProof/>
          <w:lang w:val="sk-SK"/>
        </w:rPr>
        <w:t>oblasti životného prostredia.</w:t>
      </w:r>
    </w:p>
    <w:p w14:paraId="371668F9" w14:textId="238FE8E3"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54B8E0F2"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E00EDD">
          <w:headerReference w:type="even" r:id="rId234"/>
          <w:headerReference w:type="default" r:id="rId235"/>
          <w:footerReference w:type="even" r:id="rId236"/>
          <w:footerReference w:type="default" r:id="rId237"/>
          <w:headerReference w:type="first" r:id="rId238"/>
          <w:footerReference w:type="first" r:id="rId239"/>
          <w:pgSz w:w="11907" w:h="16839"/>
          <w:pgMar w:top="1134" w:right="1134" w:bottom="1134" w:left="1134" w:header="567" w:footer="567" w:gutter="0"/>
          <w:cols w:space="720"/>
          <w:docGrid w:linePitch="360"/>
        </w:sectPr>
      </w:pPr>
    </w:p>
    <w:p w14:paraId="539A7A4E" w14:textId="2E7F8D16"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 xml:space="preserve">K.2. </w:t>
      </w:r>
      <w:r w:rsidRPr="003F23AC">
        <w:rPr>
          <w:rFonts w:cs="Times New Roman"/>
          <w:noProof/>
          <w:lang w:val="sk-SK"/>
        </w:rPr>
        <w:tab/>
        <w:t>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p w14:paraId="6852ECBB"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pPr w:leftFromText="180" w:rightFromText="180" w:vertAnchor="text" w:tblpX="-176" w:tblpY="1"/>
        <w:tblOverlap w:val="neve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134"/>
        <w:gridCol w:w="1701"/>
        <w:gridCol w:w="1275"/>
        <w:gridCol w:w="993"/>
        <w:gridCol w:w="992"/>
        <w:gridCol w:w="709"/>
        <w:gridCol w:w="555"/>
        <w:gridCol w:w="720"/>
        <w:gridCol w:w="3969"/>
      </w:tblGrid>
      <w:tr w:rsidR="00387C70" w:rsidRPr="003F23AC" w14:paraId="62BD13B6" w14:textId="77777777" w:rsidTr="009E4E5C">
        <w:trPr>
          <w:trHeight w:val="910"/>
          <w:tblHeader/>
        </w:trPr>
        <w:tc>
          <w:tcPr>
            <w:tcW w:w="1135" w:type="dxa"/>
            <w:vMerge w:val="restart"/>
            <w:shd w:val="clear" w:color="auto" w:fill="BDD6EE"/>
            <w:tcMar>
              <w:left w:w="28" w:type="dxa"/>
              <w:right w:w="28" w:type="dxa"/>
            </w:tcMar>
            <w:vAlign w:val="center"/>
            <w:hideMark/>
          </w:tcPr>
          <w:p w14:paraId="5050BF7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76" w:type="dxa"/>
            <w:vMerge w:val="restart"/>
            <w:shd w:val="clear" w:color="auto" w:fill="BDD6EE"/>
            <w:tcMar>
              <w:left w:w="28" w:type="dxa"/>
              <w:right w:w="28" w:type="dxa"/>
            </w:tcMar>
            <w:vAlign w:val="center"/>
            <w:hideMark/>
          </w:tcPr>
          <w:p w14:paraId="44CD0F0B"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34" w:type="dxa"/>
            <w:shd w:val="clear" w:color="auto" w:fill="BDD6EE"/>
            <w:tcMar>
              <w:left w:w="28" w:type="dxa"/>
              <w:right w:w="28" w:type="dxa"/>
            </w:tcMar>
            <w:vAlign w:val="center"/>
            <w:hideMark/>
          </w:tcPr>
          <w:p w14:paraId="09C6ED4B" w14:textId="77777777" w:rsidR="00387C70" w:rsidRPr="003F23AC" w:rsidRDefault="000F5AA4" w:rsidP="003F23AC">
            <w:pPr>
              <w:pStyle w:val="P68B1DB1-Normal6"/>
              <w:spacing w:after="0" w:line="240" w:lineRule="auto"/>
              <w:jc w:val="center"/>
              <w:rPr>
                <w:rFonts w:eastAsia="Times New Roman" w:cs="Times New Roman"/>
                <w:noProof/>
                <w:sz w:val="14"/>
                <w:lang w:val="sk-SK"/>
              </w:rPr>
            </w:pPr>
            <w:r w:rsidRPr="003F23AC">
              <w:rPr>
                <w:rFonts w:cs="Times New Roman"/>
                <w:noProof/>
                <w:lang w:val="sk-SK"/>
              </w:rPr>
              <w:t>Medzník/</w:t>
            </w:r>
          </w:p>
        </w:tc>
        <w:tc>
          <w:tcPr>
            <w:tcW w:w="1701" w:type="dxa"/>
            <w:vMerge w:val="restart"/>
            <w:shd w:val="clear" w:color="auto" w:fill="BDD6EE"/>
            <w:tcMar>
              <w:left w:w="28" w:type="dxa"/>
              <w:right w:w="28" w:type="dxa"/>
            </w:tcMar>
            <w:vAlign w:val="center"/>
            <w:hideMark/>
          </w:tcPr>
          <w:p w14:paraId="2F8A16FC"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275" w:type="dxa"/>
            <w:vMerge w:val="restart"/>
            <w:shd w:val="clear" w:color="auto" w:fill="BDD6EE"/>
            <w:tcMar>
              <w:left w:w="28" w:type="dxa"/>
              <w:right w:w="28" w:type="dxa"/>
            </w:tcMar>
            <w:vAlign w:val="center"/>
            <w:hideMark/>
          </w:tcPr>
          <w:p w14:paraId="5FA098FD"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694" w:type="dxa"/>
            <w:gridSpan w:val="3"/>
            <w:shd w:val="clear" w:color="auto" w:fill="BDD6EE"/>
            <w:tcMar>
              <w:left w:w="28" w:type="dxa"/>
              <w:right w:w="28" w:type="dxa"/>
            </w:tcMar>
            <w:vAlign w:val="center"/>
            <w:hideMark/>
          </w:tcPr>
          <w:p w14:paraId="2F19FAC7"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75" w:type="dxa"/>
            <w:gridSpan w:val="2"/>
            <w:shd w:val="clear" w:color="auto" w:fill="BDD6EE"/>
            <w:tcMar>
              <w:left w:w="28" w:type="dxa"/>
              <w:right w:w="28" w:type="dxa"/>
            </w:tcMar>
            <w:vAlign w:val="center"/>
            <w:hideMark/>
          </w:tcPr>
          <w:p w14:paraId="12B6681B"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3969" w:type="dxa"/>
            <w:vMerge w:val="restart"/>
            <w:shd w:val="clear" w:color="auto" w:fill="BDD6EE"/>
            <w:tcMar>
              <w:left w:w="28" w:type="dxa"/>
              <w:right w:w="28" w:type="dxa"/>
            </w:tcMar>
            <w:vAlign w:val="center"/>
            <w:hideMark/>
          </w:tcPr>
          <w:p w14:paraId="7AC4960B" w14:textId="1B05EFA4"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521639A7" w14:textId="77777777" w:rsidTr="009E4E5C">
        <w:trPr>
          <w:trHeight w:val="470"/>
          <w:tblHeader/>
        </w:trPr>
        <w:tc>
          <w:tcPr>
            <w:tcW w:w="1135" w:type="dxa"/>
            <w:vMerge/>
            <w:tcMar>
              <w:left w:w="28" w:type="dxa"/>
              <w:right w:w="28" w:type="dxa"/>
            </w:tcMar>
            <w:vAlign w:val="center"/>
            <w:hideMark/>
          </w:tcPr>
          <w:p w14:paraId="0AAA26BB"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6" w:type="dxa"/>
            <w:vMerge/>
            <w:tcMar>
              <w:left w:w="28" w:type="dxa"/>
              <w:right w:w="28" w:type="dxa"/>
            </w:tcMar>
            <w:vAlign w:val="center"/>
            <w:hideMark/>
          </w:tcPr>
          <w:p w14:paraId="3C9C7FD8"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34" w:type="dxa"/>
            <w:shd w:val="clear" w:color="auto" w:fill="BDD6EE"/>
            <w:tcMar>
              <w:left w:w="28" w:type="dxa"/>
              <w:right w:w="28" w:type="dxa"/>
            </w:tcMar>
            <w:vAlign w:val="center"/>
            <w:hideMark/>
          </w:tcPr>
          <w:p w14:paraId="5AE145E1" w14:textId="77777777" w:rsidR="00387C70" w:rsidRPr="003F23AC" w:rsidRDefault="000F5AA4" w:rsidP="003F23AC">
            <w:pPr>
              <w:pStyle w:val="P68B1DB1-Normal6"/>
              <w:spacing w:after="0" w:line="240" w:lineRule="auto"/>
              <w:jc w:val="center"/>
              <w:rPr>
                <w:rFonts w:eastAsia="Times New Roman" w:cs="Times New Roman"/>
                <w:noProof/>
                <w:sz w:val="14"/>
                <w:lang w:val="sk-SK"/>
              </w:rPr>
            </w:pPr>
            <w:r w:rsidRPr="003F23AC">
              <w:rPr>
                <w:rFonts w:cs="Times New Roman"/>
                <w:noProof/>
                <w:lang w:val="sk-SK"/>
              </w:rPr>
              <w:t>Cieľ</w:t>
            </w:r>
          </w:p>
        </w:tc>
        <w:tc>
          <w:tcPr>
            <w:tcW w:w="1701" w:type="dxa"/>
            <w:vMerge/>
            <w:tcMar>
              <w:left w:w="28" w:type="dxa"/>
              <w:right w:w="28" w:type="dxa"/>
            </w:tcMar>
            <w:vAlign w:val="center"/>
            <w:hideMark/>
          </w:tcPr>
          <w:p w14:paraId="0F429C5D"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5" w:type="dxa"/>
            <w:vMerge/>
            <w:tcMar>
              <w:left w:w="28" w:type="dxa"/>
              <w:right w:w="28" w:type="dxa"/>
            </w:tcMar>
            <w:vAlign w:val="center"/>
            <w:hideMark/>
          </w:tcPr>
          <w:p w14:paraId="0975442D"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993" w:type="dxa"/>
            <w:shd w:val="clear" w:color="auto" w:fill="BDD6EE"/>
            <w:tcMar>
              <w:left w:w="28" w:type="dxa"/>
              <w:right w:w="28" w:type="dxa"/>
            </w:tcMar>
            <w:vAlign w:val="center"/>
            <w:hideMark/>
          </w:tcPr>
          <w:p w14:paraId="72C52226"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992" w:type="dxa"/>
            <w:shd w:val="clear" w:color="auto" w:fill="BDD6EE"/>
            <w:tcMar>
              <w:left w:w="28" w:type="dxa"/>
              <w:right w:w="28" w:type="dxa"/>
            </w:tcMar>
            <w:vAlign w:val="center"/>
            <w:hideMark/>
          </w:tcPr>
          <w:p w14:paraId="0FBC07AA" w14:textId="565DF996"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709" w:type="dxa"/>
            <w:shd w:val="clear" w:color="auto" w:fill="BDD6EE"/>
            <w:tcMar>
              <w:left w:w="28" w:type="dxa"/>
              <w:right w:w="28" w:type="dxa"/>
            </w:tcMar>
            <w:vAlign w:val="center"/>
            <w:hideMark/>
          </w:tcPr>
          <w:p w14:paraId="3B7EC1FA" w14:textId="596CAD55"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555" w:type="dxa"/>
            <w:shd w:val="clear" w:color="auto" w:fill="BDD6EE"/>
            <w:tcMar>
              <w:left w:w="28" w:type="dxa"/>
              <w:right w:w="28" w:type="dxa"/>
            </w:tcMar>
            <w:vAlign w:val="center"/>
            <w:hideMark/>
          </w:tcPr>
          <w:p w14:paraId="08E456A9" w14:textId="128C69B1"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720" w:type="dxa"/>
            <w:shd w:val="clear" w:color="auto" w:fill="BDD6EE"/>
            <w:tcMar>
              <w:left w:w="28" w:type="dxa"/>
              <w:right w:w="28" w:type="dxa"/>
            </w:tcMar>
            <w:vAlign w:val="center"/>
            <w:hideMark/>
          </w:tcPr>
          <w:p w14:paraId="3ADD45C5"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3969" w:type="dxa"/>
            <w:vMerge/>
            <w:tcMar>
              <w:left w:w="28" w:type="dxa"/>
              <w:right w:w="28" w:type="dxa"/>
            </w:tcMar>
            <w:vAlign w:val="center"/>
            <w:hideMark/>
          </w:tcPr>
          <w:p w14:paraId="55CA6F21"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528553E7" w14:textId="77777777" w:rsidTr="009E4E5C">
        <w:trPr>
          <w:trHeight w:val="630"/>
        </w:trPr>
        <w:tc>
          <w:tcPr>
            <w:tcW w:w="1135" w:type="dxa"/>
            <w:shd w:val="clear" w:color="auto" w:fill="C4EFCE"/>
            <w:tcMar>
              <w:left w:w="28" w:type="dxa"/>
              <w:right w:w="28" w:type="dxa"/>
            </w:tcMar>
            <w:vAlign w:val="center"/>
            <w:hideMark/>
          </w:tcPr>
          <w:p w14:paraId="39AE8E6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11.1</w:t>
            </w:r>
          </w:p>
        </w:tc>
        <w:tc>
          <w:tcPr>
            <w:tcW w:w="1276" w:type="dxa"/>
            <w:shd w:val="clear" w:color="auto" w:fill="C4EFCE"/>
            <w:noWrap/>
            <w:tcMar>
              <w:left w:w="28" w:type="dxa"/>
              <w:right w:w="28" w:type="dxa"/>
            </w:tcMar>
            <w:vAlign w:val="center"/>
            <w:hideMark/>
          </w:tcPr>
          <w:p w14:paraId="78995A2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TC-C11-i01</w:t>
            </w:r>
          </w:p>
        </w:tc>
        <w:tc>
          <w:tcPr>
            <w:tcW w:w="1134" w:type="dxa"/>
            <w:shd w:val="clear" w:color="auto" w:fill="C4EFCE"/>
            <w:noWrap/>
            <w:tcMar>
              <w:left w:w="28" w:type="dxa"/>
              <w:right w:w="28" w:type="dxa"/>
            </w:tcMar>
            <w:vAlign w:val="center"/>
            <w:hideMark/>
          </w:tcPr>
          <w:p w14:paraId="2E259E5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7437F40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Prvá výzva na predkladanie ponúk na projekty dekarbonizácie priemyslu </w:t>
            </w:r>
          </w:p>
        </w:tc>
        <w:tc>
          <w:tcPr>
            <w:tcW w:w="1275" w:type="dxa"/>
            <w:shd w:val="clear" w:color="auto" w:fill="C4EFCE"/>
            <w:noWrap/>
            <w:tcMar>
              <w:left w:w="28" w:type="dxa"/>
              <w:right w:w="28" w:type="dxa"/>
            </w:tcMar>
            <w:vAlign w:val="center"/>
            <w:hideMark/>
          </w:tcPr>
          <w:p w14:paraId="21997F8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Prvá otvorená výzva na predkladanie ponúk</w:t>
            </w:r>
          </w:p>
        </w:tc>
        <w:tc>
          <w:tcPr>
            <w:tcW w:w="993" w:type="dxa"/>
            <w:shd w:val="clear" w:color="auto" w:fill="C4EFCE"/>
            <w:noWrap/>
            <w:tcMar>
              <w:left w:w="28" w:type="dxa"/>
              <w:right w:w="28" w:type="dxa"/>
            </w:tcMar>
            <w:vAlign w:val="center"/>
            <w:hideMark/>
          </w:tcPr>
          <w:p w14:paraId="18BDD62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45CE536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9" w:type="dxa"/>
            <w:shd w:val="clear" w:color="auto" w:fill="C4EFCE"/>
            <w:noWrap/>
            <w:tcMar>
              <w:left w:w="28" w:type="dxa"/>
              <w:right w:w="28" w:type="dxa"/>
            </w:tcMar>
            <w:vAlign w:val="center"/>
            <w:hideMark/>
          </w:tcPr>
          <w:p w14:paraId="1762E5E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555" w:type="dxa"/>
            <w:shd w:val="clear" w:color="auto" w:fill="C4EFCE"/>
            <w:noWrap/>
            <w:tcMar>
              <w:left w:w="28" w:type="dxa"/>
              <w:right w:w="28" w:type="dxa"/>
            </w:tcMar>
            <w:vAlign w:val="center"/>
            <w:hideMark/>
          </w:tcPr>
          <w:p w14:paraId="481A5A9B" w14:textId="34FA0BF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720" w:type="dxa"/>
            <w:shd w:val="clear" w:color="auto" w:fill="C4EFCE"/>
            <w:noWrap/>
            <w:tcMar>
              <w:left w:w="28" w:type="dxa"/>
              <w:right w:w="28" w:type="dxa"/>
            </w:tcMar>
            <w:vAlign w:val="center"/>
            <w:hideMark/>
          </w:tcPr>
          <w:p w14:paraId="3612D30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3969" w:type="dxa"/>
            <w:shd w:val="clear" w:color="auto" w:fill="C4EFCE"/>
            <w:tcMar>
              <w:left w:w="28" w:type="dxa"/>
              <w:right w:w="28" w:type="dxa"/>
            </w:tcMar>
            <w:vAlign w:val="center"/>
            <w:hideMark/>
          </w:tcPr>
          <w:p w14:paraId="4DF6B1FE" w14:textId="003C07CF"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Otvorenie prvej výzvy na predkladanie návrhov na projekty dekarbonizácie priemyslu, ktoré sa týkajú aspoň jednej</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týchto oblastí: nízkouhlíkové procesy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technológie; prijatie opatrení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energetickej efektívnosti; začlenenie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jej uskladňovanie;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posilnenie postavenia podnikov</w:t>
            </w:r>
            <w:r w:rsidR="00A75B3C" w:rsidRPr="003F23AC">
              <w:rPr>
                <w:rFonts w:ascii="Times New Roman" w:hAnsi="Times New Roman" w:cs="Times New Roman"/>
                <w:noProof/>
                <w:lang w:val="sk-SK"/>
              </w:rPr>
              <w:t>.</w:t>
            </w:r>
          </w:p>
          <w:p w14:paraId="75225D3E" w14:textId="5ACE91C0"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Referenčný rámec zahŕňa kritériá oprávnenosti, ktorými sa zabezpečí, aby vybrané projekty boli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„výrazne nenarušiť“ (2021/C58/01)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r w:rsidR="00A75B3C" w:rsidRPr="003F23AC">
              <w:rPr>
                <w:rFonts w:ascii="Times New Roman" w:hAnsi="Times New Roman" w:cs="Times New Roman"/>
                <w:noProof/>
                <w:lang w:val="sk-SK"/>
              </w:rPr>
              <w:t>.</w:t>
            </w:r>
          </w:p>
          <w:p w14:paraId="0B36DB3C" w14:textId="366E891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Touto výzvou na predkladanie ponúk sa zabezpečí priemerné zníženie priamych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nepriamych emisií skleníkových plynov</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30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pre priemyselné zariadenia podporované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projektov zodpovedajúcich oblasti intervencie 024ter. Prioritne sa podporia projekty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najvyššou účinnosťou dekarbonizácie.</w:t>
            </w:r>
          </w:p>
        </w:tc>
      </w:tr>
      <w:tr w:rsidR="00387C70" w:rsidRPr="003F23AC" w14:paraId="04058E6B" w14:textId="77777777" w:rsidTr="009E4E5C">
        <w:trPr>
          <w:trHeight w:val="630"/>
        </w:trPr>
        <w:tc>
          <w:tcPr>
            <w:tcW w:w="1135" w:type="dxa"/>
            <w:shd w:val="clear" w:color="auto" w:fill="C4EFCE"/>
            <w:tcMar>
              <w:left w:w="28" w:type="dxa"/>
              <w:right w:w="28" w:type="dxa"/>
            </w:tcMar>
            <w:vAlign w:val="center"/>
            <w:hideMark/>
          </w:tcPr>
          <w:p w14:paraId="2517AFD7"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11.2</w:t>
            </w:r>
          </w:p>
        </w:tc>
        <w:tc>
          <w:tcPr>
            <w:tcW w:w="1276" w:type="dxa"/>
            <w:shd w:val="clear" w:color="auto" w:fill="C4EFCE"/>
            <w:noWrap/>
            <w:tcMar>
              <w:left w:w="28" w:type="dxa"/>
              <w:right w:w="28" w:type="dxa"/>
            </w:tcMar>
            <w:vAlign w:val="center"/>
            <w:hideMark/>
          </w:tcPr>
          <w:p w14:paraId="18C1A1E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TC-C11-i01</w:t>
            </w:r>
          </w:p>
        </w:tc>
        <w:tc>
          <w:tcPr>
            <w:tcW w:w="1134" w:type="dxa"/>
            <w:shd w:val="clear" w:color="auto" w:fill="C4EFCE"/>
            <w:noWrap/>
            <w:tcMar>
              <w:left w:w="28" w:type="dxa"/>
              <w:right w:w="28" w:type="dxa"/>
            </w:tcMar>
            <w:vAlign w:val="center"/>
            <w:hideMark/>
          </w:tcPr>
          <w:p w14:paraId="576BCEE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5DECC35D" w14:textId="3CB239A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Podpis zmlúv</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udelení finančnej podpory</w:t>
            </w:r>
          </w:p>
        </w:tc>
        <w:tc>
          <w:tcPr>
            <w:tcW w:w="1275" w:type="dxa"/>
            <w:shd w:val="clear" w:color="auto" w:fill="C4EFCE"/>
            <w:noWrap/>
            <w:tcMar>
              <w:left w:w="28" w:type="dxa"/>
              <w:right w:w="28" w:type="dxa"/>
            </w:tcMar>
            <w:vAlign w:val="center"/>
            <w:hideMark/>
          </w:tcPr>
          <w:p w14:paraId="5F0FAC03" w14:textId="02D1D97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Podpis zmlúv</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udelení finančnej podpory</w:t>
            </w:r>
          </w:p>
        </w:tc>
        <w:tc>
          <w:tcPr>
            <w:tcW w:w="993" w:type="dxa"/>
            <w:shd w:val="clear" w:color="auto" w:fill="C4EFCE"/>
            <w:noWrap/>
            <w:tcMar>
              <w:left w:w="28" w:type="dxa"/>
              <w:right w:w="28" w:type="dxa"/>
            </w:tcMar>
            <w:vAlign w:val="center"/>
            <w:hideMark/>
          </w:tcPr>
          <w:p w14:paraId="7746D82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73DEA9E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9" w:type="dxa"/>
            <w:shd w:val="clear" w:color="auto" w:fill="C4EFCE"/>
            <w:noWrap/>
            <w:tcMar>
              <w:left w:w="28" w:type="dxa"/>
              <w:right w:w="28" w:type="dxa"/>
            </w:tcMar>
            <w:vAlign w:val="center"/>
            <w:hideMark/>
          </w:tcPr>
          <w:p w14:paraId="4027FD9F"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555" w:type="dxa"/>
            <w:shd w:val="clear" w:color="auto" w:fill="C4EFCE"/>
            <w:noWrap/>
            <w:tcMar>
              <w:left w:w="28" w:type="dxa"/>
              <w:right w:w="28" w:type="dxa"/>
            </w:tcMar>
            <w:vAlign w:val="center"/>
            <w:hideMark/>
          </w:tcPr>
          <w:p w14:paraId="5939915B" w14:textId="4F1FE96E"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720" w:type="dxa"/>
            <w:shd w:val="clear" w:color="auto" w:fill="C4EFCE"/>
            <w:noWrap/>
            <w:tcMar>
              <w:left w:w="28" w:type="dxa"/>
              <w:right w:w="28" w:type="dxa"/>
            </w:tcMar>
            <w:vAlign w:val="center"/>
            <w:hideMark/>
          </w:tcPr>
          <w:p w14:paraId="108A2CA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69" w:type="dxa"/>
            <w:shd w:val="clear" w:color="auto" w:fill="C4EFCE"/>
            <w:tcMar>
              <w:left w:w="28" w:type="dxa"/>
              <w:right w:w="28" w:type="dxa"/>
            </w:tcMar>
            <w:vAlign w:val="center"/>
            <w:hideMark/>
          </w:tcPr>
          <w:p w14:paraId="79B3C5F8" w14:textId="62709D92"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Najmenej 383 000 000 EUR sa pridelí na projekty projektov dekarbonizácie priemyslu, ktoré sa týkajú aspoň jednej</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týchto oblastí: nízkouhlíkové procesy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technológie; prijatie opatrení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energetickej efektívnosti; začlenenie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jej uskladňovanie;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posilnenie postavenia podnikov</w:t>
            </w:r>
            <w:r w:rsidR="00A75B3C" w:rsidRPr="003F23AC">
              <w:rPr>
                <w:rFonts w:ascii="Times New Roman" w:hAnsi="Times New Roman" w:cs="Times New Roman"/>
                <w:noProof/>
                <w:lang w:val="sk-SK"/>
              </w:rPr>
              <w:t>.</w:t>
            </w:r>
          </w:p>
          <w:p w14:paraId="1FE08972" w14:textId="152DDA3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Zadaním zákaziek projektom vybraným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súťažných výziev na predkladanie návrhov uvedených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čiastkovom cieli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„výrazne nenarušiť“ (2021/C58/01)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r w:rsidR="00387C70" w:rsidRPr="003F23AC" w14:paraId="73B08E92" w14:textId="77777777" w:rsidTr="009E4E5C">
        <w:trPr>
          <w:trHeight w:val="1690"/>
        </w:trPr>
        <w:tc>
          <w:tcPr>
            <w:tcW w:w="1135" w:type="dxa"/>
            <w:shd w:val="clear" w:color="auto" w:fill="C4EFCE"/>
            <w:tcMar>
              <w:left w:w="28" w:type="dxa"/>
              <w:right w:w="28" w:type="dxa"/>
            </w:tcMar>
            <w:vAlign w:val="center"/>
            <w:hideMark/>
          </w:tcPr>
          <w:p w14:paraId="06C03D7F"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11.3</w:t>
            </w:r>
          </w:p>
        </w:tc>
        <w:tc>
          <w:tcPr>
            <w:tcW w:w="1276" w:type="dxa"/>
            <w:shd w:val="clear" w:color="auto" w:fill="C4EFCE"/>
            <w:noWrap/>
            <w:tcMar>
              <w:left w:w="28" w:type="dxa"/>
              <w:right w:w="28" w:type="dxa"/>
            </w:tcMar>
            <w:vAlign w:val="center"/>
            <w:hideMark/>
          </w:tcPr>
          <w:p w14:paraId="1803E8D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TC-C11-i01</w:t>
            </w:r>
          </w:p>
        </w:tc>
        <w:tc>
          <w:tcPr>
            <w:tcW w:w="1134" w:type="dxa"/>
            <w:shd w:val="clear" w:color="auto" w:fill="C4EFCE"/>
            <w:noWrap/>
            <w:tcMar>
              <w:left w:w="28" w:type="dxa"/>
              <w:right w:w="28" w:type="dxa"/>
            </w:tcMar>
            <w:vAlign w:val="center"/>
            <w:hideMark/>
          </w:tcPr>
          <w:p w14:paraId="69072576" w14:textId="43E1F97F"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52351F0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Finančná podpora projektov dekarbonizácie priemyslu</w:t>
            </w:r>
          </w:p>
        </w:tc>
        <w:tc>
          <w:tcPr>
            <w:tcW w:w="1275" w:type="dxa"/>
            <w:shd w:val="clear" w:color="auto" w:fill="C4EFCE"/>
            <w:noWrap/>
            <w:tcMar>
              <w:left w:w="28" w:type="dxa"/>
              <w:right w:w="28" w:type="dxa"/>
            </w:tcMar>
            <w:vAlign w:val="center"/>
            <w:hideMark/>
          </w:tcPr>
          <w:p w14:paraId="5AF3E60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59CC3A8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0AEE891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7C0EF439" w14:textId="63244C1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310</w:t>
            </w:r>
          </w:p>
        </w:tc>
        <w:tc>
          <w:tcPr>
            <w:tcW w:w="555" w:type="dxa"/>
            <w:shd w:val="clear" w:color="auto" w:fill="C4EFCE"/>
            <w:noWrap/>
            <w:tcMar>
              <w:left w:w="28" w:type="dxa"/>
              <w:right w:w="28" w:type="dxa"/>
            </w:tcMar>
            <w:vAlign w:val="center"/>
            <w:hideMark/>
          </w:tcPr>
          <w:p w14:paraId="64BC34FA" w14:textId="53FD6DB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720" w:type="dxa"/>
            <w:shd w:val="clear" w:color="auto" w:fill="C4EFCE"/>
            <w:noWrap/>
            <w:tcMar>
              <w:left w:w="28" w:type="dxa"/>
              <w:right w:w="28" w:type="dxa"/>
            </w:tcMar>
            <w:vAlign w:val="center"/>
            <w:hideMark/>
          </w:tcPr>
          <w:p w14:paraId="234947D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4D55E7F5" w14:textId="72887D0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projektov, ktoré získali finančnú podporu na dekarbonizáciu priemyslu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ktoré sa týkajú aspoň jednej</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týchto oblastí: nízkouhlíkové procesy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technológie; prijatie opatrení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energetickej efektívnosti;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začlenenie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jej uskladňovania. Pre podporované priemyselné zariadenia sa zabezpečí zníženie priamych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nepriamych emisií skleníkových plynov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30</w:t>
            </w:r>
            <w:r w:rsidR="00A75B3C" w:rsidRPr="003F23AC">
              <w:rPr>
                <w:rFonts w:ascii="Times New Roman" w:hAnsi="Times New Roman" w:cs="Times New Roman"/>
                <w:noProof/>
                <w:lang w:val="sk-SK"/>
              </w:rPr>
              <w:t> % v </w:t>
            </w:r>
            <w:r w:rsidRPr="003F23AC">
              <w:rPr>
                <w:rFonts w:ascii="Times New Roman" w:hAnsi="Times New Roman" w:cs="Times New Roman"/>
                <w:noProof/>
                <w:lang w:val="sk-SK"/>
              </w:rPr>
              <w:t>prípade projektov zodpovedajúcich oblasti intervencie 024ter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týkajúcim sa zásady „výrazne nenarušiť“ (2021/C58/01),</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to aj</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zariadení, na ktoré sa vzťahuje systém EÚ na obchodovanie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emisiami,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cieľom zabezpečiť, aby podporované zariadenia dosiahli plánované emisie skleníkových plynov, ktoré nedosahujú referenčnú hodnotu stanovenú na bezodplatné prideľovanie kvót, ako sa stanovuje vo vykonávacom nariadení Komisie (EÚ) 2021/447. </w:t>
            </w:r>
          </w:p>
        </w:tc>
      </w:tr>
    </w:tbl>
    <w:p w14:paraId="575A7ECF"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63D1B59A" w14:textId="77777777" w:rsidR="00387C70" w:rsidRPr="003F23AC" w:rsidRDefault="00387C70" w:rsidP="003F23AC">
      <w:pPr>
        <w:spacing w:before="40" w:after="0" w:line="259" w:lineRule="auto"/>
        <w:jc w:val="both"/>
        <w:outlineLvl w:val="1"/>
        <w:rPr>
          <w:rFonts w:ascii="Times New Roman" w:eastAsiaTheme="minorEastAsia" w:hAnsi="Times New Roman" w:cs="Times New Roman"/>
          <w:noProof/>
          <w:sz w:val="24"/>
          <w:u w:val="single"/>
          <w:lang w:val="sk-SK"/>
        </w:rPr>
        <w:sectPr w:rsidR="00387C70" w:rsidRPr="003F23AC" w:rsidSect="00E00EDD">
          <w:headerReference w:type="even" r:id="rId240"/>
          <w:headerReference w:type="default" r:id="rId241"/>
          <w:footerReference w:type="even" r:id="rId242"/>
          <w:footerReference w:type="default" r:id="rId243"/>
          <w:headerReference w:type="first" r:id="rId244"/>
          <w:footerReference w:type="first" r:id="rId245"/>
          <w:pgSz w:w="16839" w:h="11907" w:orient="landscape"/>
          <w:pgMar w:top="1134" w:right="1134" w:bottom="1134" w:left="1134" w:header="567" w:footer="567" w:gutter="0"/>
          <w:cols w:space="720"/>
          <w:docGrid w:linePitch="360"/>
        </w:sectPr>
      </w:pPr>
    </w:p>
    <w:p w14:paraId="7F30AF75" w14:textId="100C6886"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L</w:t>
      </w:r>
      <w:r w:rsidR="00C32C63" w:rsidRPr="003F23AC">
        <w:rPr>
          <w:rFonts w:cs="Times New Roman"/>
          <w:noProof/>
          <w:lang w:val="sk-SK"/>
        </w:rPr>
        <w:t>. KOMPONENT</w:t>
      </w:r>
      <w:r w:rsidRPr="003F23AC">
        <w:rPr>
          <w:rFonts w:cs="Times New Roman"/>
          <w:noProof/>
          <w:lang w:val="sk-SK"/>
        </w:rPr>
        <w:t xml:space="preserve"> 12: Biohospodárstvo</w:t>
      </w:r>
    </w:p>
    <w:p w14:paraId="3913ED0C" w14:textId="468AD8A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zložka rieši výzvu rozvoja životaschopného, udržateľného, obehového</w:t>
      </w:r>
      <w:r w:rsidR="00A75B3C" w:rsidRPr="003F23AC">
        <w:rPr>
          <w:rFonts w:cs="Times New Roman"/>
          <w:noProof/>
          <w:lang w:val="sk-SK"/>
        </w:rPr>
        <w:t xml:space="preserve"> a </w:t>
      </w:r>
      <w:r w:rsidRPr="003F23AC">
        <w:rPr>
          <w:rFonts w:cs="Times New Roman"/>
          <w:noProof/>
          <w:lang w:val="sk-SK"/>
        </w:rPr>
        <w:t>konkurencieschopného biohospodárstva. Očakáva sa, že takýto prechod podporí modernizáciu</w:t>
      </w:r>
      <w:r w:rsidR="00A75B3C" w:rsidRPr="003F23AC">
        <w:rPr>
          <w:rFonts w:cs="Times New Roman"/>
          <w:noProof/>
          <w:lang w:val="sk-SK"/>
        </w:rPr>
        <w:t xml:space="preserve"> a </w:t>
      </w:r>
      <w:r w:rsidRPr="003F23AC">
        <w:rPr>
          <w:rFonts w:cs="Times New Roman"/>
          <w:noProof/>
          <w:lang w:val="sk-SK"/>
        </w:rPr>
        <w:t>konsolidáciu priemyslu vytvorením nových hodnotových reťazcov</w:t>
      </w:r>
      <w:r w:rsidR="00A75B3C" w:rsidRPr="003F23AC">
        <w:rPr>
          <w:rFonts w:cs="Times New Roman"/>
          <w:noProof/>
          <w:lang w:val="sk-SK"/>
        </w:rPr>
        <w:t xml:space="preserve"> a </w:t>
      </w:r>
      <w:r w:rsidRPr="003F23AC">
        <w:rPr>
          <w:rFonts w:cs="Times New Roman"/>
          <w:noProof/>
          <w:lang w:val="sk-SK"/>
        </w:rPr>
        <w:t>ekologickejších priemyselných procesov</w:t>
      </w:r>
      <w:r w:rsidR="00A75B3C" w:rsidRPr="003F23AC">
        <w:rPr>
          <w:rFonts w:cs="Times New Roman"/>
          <w:noProof/>
          <w:lang w:val="sk-SK"/>
        </w:rPr>
        <w:t>.</w:t>
      </w:r>
    </w:p>
    <w:p w14:paraId="721DF1F6" w14:textId="01566FBC"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zložky je podporovať</w:t>
      </w:r>
      <w:r w:rsidR="00A75B3C" w:rsidRPr="003F23AC">
        <w:rPr>
          <w:rFonts w:cs="Times New Roman"/>
          <w:noProof/>
          <w:lang w:val="sk-SK"/>
        </w:rPr>
        <w:t xml:space="preserve"> a </w:t>
      </w:r>
      <w:r w:rsidRPr="003F23AC">
        <w:rPr>
          <w:rFonts w:cs="Times New Roman"/>
          <w:noProof/>
          <w:lang w:val="sk-SK"/>
        </w:rPr>
        <w:t>urýchliť vývoj produktov</w:t>
      </w:r>
      <w:r w:rsidR="00A75B3C" w:rsidRPr="003F23AC">
        <w:rPr>
          <w:rFonts w:cs="Times New Roman"/>
          <w:noProof/>
          <w:lang w:val="sk-SK"/>
        </w:rPr>
        <w:t xml:space="preserve"> s </w:t>
      </w:r>
      <w:r w:rsidRPr="003F23AC">
        <w:rPr>
          <w:rFonts w:cs="Times New Roman"/>
          <w:noProof/>
          <w:lang w:val="sk-SK"/>
        </w:rPr>
        <w:t>vysokou pridanou hodnotou</w:t>
      </w:r>
      <w:r w:rsidR="00A75B3C" w:rsidRPr="003F23AC">
        <w:rPr>
          <w:rFonts w:cs="Times New Roman"/>
          <w:noProof/>
          <w:lang w:val="sk-SK"/>
        </w:rPr>
        <w:t xml:space="preserve"> z </w:t>
      </w:r>
      <w:r w:rsidRPr="003F23AC">
        <w:rPr>
          <w:rFonts w:cs="Times New Roman"/>
          <w:noProof/>
          <w:lang w:val="sk-SK"/>
        </w:rPr>
        <w:t>biologických zdrojov ako alternatívy</w:t>
      </w:r>
      <w:r w:rsidR="00A75B3C" w:rsidRPr="003F23AC">
        <w:rPr>
          <w:rFonts w:cs="Times New Roman"/>
          <w:noProof/>
          <w:lang w:val="sk-SK"/>
        </w:rPr>
        <w:t xml:space="preserve"> k </w:t>
      </w:r>
      <w:r w:rsidRPr="003F23AC">
        <w:rPr>
          <w:rFonts w:cs="Times New Roman"/>
          <w:noProof/>
          <w:lang w:val="sk-SK"/>
        </w:rPr>
        <w:t>fosílnym materiálom</w:t>
      </w:r>
      <w:r w:rsidR="00A75B3C" w:rsidRPr="003F23AC">
        <w:rPr>
          <w:rFonts w:cs="Times New Roman"/>
          <w:noProof/>
          <w:lang w:val="sk-SK"/>
        </w:rPr>
        <w:t>.</w:t>
      </w:r>
    </w:p>
    <w:p w14:paraId="6546C2C0" w14:textId="53F141D1"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Opatrenia tejto zložky sú zamerané na podporu štrukturálnych zmien spojených</w:t>
      </w:r>
      <w:r w:rsidR="00A75B3C" w:rsidRPr="003F23AC">
        <w:rPr>
          <w:rFonts w:cs="Times New Roman"/>
          <w:noProof/>
          <w:lang w:val="sk-SK"/>
        </w:rPr>
        <w:t xml:space="preserve"> s </w:t>
      </w:r>
      <w:r w:rsidRPr="003F23AC">
        <w:rPr>
          <w:rFonts w:cs="Times New Roman"/>
          <w:noProof/>
          <w:lang w:val="sk-SK"/>
        </w:rPr>
        <w:t>týmto prechodom</w:t>
      </w:r>
      <w:r w:rsidR="00A75B3C" w:rsidRPr="003F23AC">
        <w:rPr>
          <w:rFonts w:cs="Times New Roman"/>
          <w:noProof/>
          <w:lang w:val="sk-SK"/>
        </w:rPr>
        <w:t xml:space="preserve"> a </w:t>
      </w:r>
      <w:r w:rsidRPr="003F23AC">
        <w:rPr>
          <w:rFonts w:cs="Times New Roman"/>
          <w:noProof/>
          <w:lang w:val="sk-SK"/>
        </w:rPr>
        <w:t>prispievajú</w:t>
      </w:r>
      <w:r w:rsidR="00A75B3C" w:rsidRPr="003F23AC">
        <w:rPr>
          <w:rFonts w:cs="Times New Roman"/>
          <w:noProof/>
          <w:lang w:val="sk-SK"/>
        </w:rPr>
        <w:t xml:space="preserve"> k </w:t>
      </w:r>
      <w:r w:rsidRPr="003F23AC">
        <w:rPr>
          <w:rFonts w:cs="Times New Roman"/>
          <w:noProof/>
          <w:lang w:val="sk-SK"/>
        </w:rPr>
        <w:t>riešeniu súčasných globálnych</w:t>
      </w:r>
      <w:r w:rsidR="00A75B3C" w:rsidRPr="003F23AC">
        <w:rPr>
          <w:rFonts w:cs="Times New Roman"/>
          <w:noProof/>
          <w:lang w:val="sk-SK"/>
        </w:rPr>
        <w:t xml:space="preserve"> a </w:t>
      </w:r>
      <w:r w:rsidRPr="003F23AC">
        <w:rPr>
          <w:rFonts w:cs="Times New Roman"/>
          <w:noProof/>
          <w:lang w:val="sk-SK"/>
        </w:rPr>
        <w:t>miestnych výziev vrátane zmeny klímy, zníženia závislosti od fosílnych zdrojov</w:t>
      </w:r>
      <w:r w:rsidR="00A75B3C" w:rsidRPr="003F23AC">
        <w:rPr>
          <w:rFonts w:cs="Times New Roman"/>
          <w:noProof/>
          <w:lang w:val="sk-SK"/>
        </w:rPr>
        <w:t xml:space="preserve"> a </w:t>
      </w:r>
      <w:r w:rsidRPr="003F23AC">
        <w:rPr>
          <w:rFonts w:cs="Times New Roman"/>
          <w:noProof/>
          <w:lang w:val="sk-SK"/>
        </w:rPr>
        <w:t>udržateľného rozvoja. Tri odvetvia (textílie</w:t>
      </w:r>
      <w:r w:rsidR="00A75B3C" w:rsidRPr="003F23AC">
        <w:rPr>
          <w:rFonts w:cs="Times New Roman"/>
          <w:noProof/>
          <w:lang w:val="sk-SK"/>
        </w:rPr>
        <w:t xml:space="preserve"> a </w:t>
      </w:r>
      <w:r w:rsidRPr="003F23AC">
        <w:rPr>
          <w:rFonts w:cs="Times New Roman"/>
          <w:noProof/>
          <w:lang w:val="sk-SK"/>
        </w:rPr>
        <w:t>odevy, obuv</w:t>
      </w:r>
      <w:r w:rsidR="00A75B3C" w:rsidRPr="003F23AC">
        <w:rPr>
          <w:rFonts w:cs="Times New Roman"/>
          <w:noProof/>
          <w:lang w:val="sk-SK"/>
        </w:rPr>
        <w:t xml:space="preserve"> a </w:t>
      </w:r>
      <w:r w:rsidRPr="003F23AC">
        <w:rPr>
          <w:rFonts w:cs="Times New Roman"/>
          <w:noProof/>
          <w:lang w:val="sk-SK"/>
        </w:rPr>
        <w:t>prírodná živica) sa osobitne podporia na vývoj biovýrobkov</w:t>
      </w:r>
      <w:r w:rsidR="00A75B3C" w:rsidRPr="003F23AC">
        <w:rPr>
          <w:rFonts w:cs="Times New Roman"/>
          <w:noProof/>
          <w:lang w:val="sk-SK"/>
        </w:rPr>
        <w:t xml:space="preserve"> a </w:t>
      </w:r>
      <w:r w:rsidRPr="003F23AC">
        <w:rPr>
          <w:rFonts w:cs="Times New Roman"/>
          <w:noProof/>
          <w:lang w:val="sk-SK"/>
        </w:rPr>
        <w:t>na zvýšenie efektívnosti využívania zdrojov. Táto zložka podporuje plnenie odporúčaní pre jednotlivé krajiny týkajúcich sa investícií do zelenej transformácie, najmä do čistej</w:t>
      </w:r>
      <w:r w:rsidR="00A75B3C" w:rsidRPr="003F23AC">
        <w:rPr>
          <w:rFonts w:cs="Times New Roman"/>
          <w:noProof/>
          <w:lang w:val="sk-SK"/>
        </w:rPr>
        <w:t xml:space="preserve"> a </w:t>
      </w:r>
      <w:r w:rsidRPr="003F23AC">
        <w:rPr>
          <w:rFonts w:cs="Times New Roman"/>
          <w:noProof/>
          <w:lang w:val="sk-SK"/>
        </w:rPr>
        <w:t>efektívnej výroby</w:t>
      </w:r>
      <w:r w:rsidR="00A75B3C" w:rsidRPr="003F23AC">
        <w:rPr>
          <w:rFonts w:cs="Times New Roman"/>
          <w:noProof/>
          <w:lang w:val="sk-SK"/>
        </w:rPr>
        <w:t xml:space="preserve"> a </w:t>
      </w:r>
      <w:r w:rsidRPr="003F23AC">
        <w:rPr>
          <w:rFonts w:cs="Times New Roman"/>
          <w:noProof/>
          <w:lang w:val="sk-SK"/>
        </w:rPr>
        <w:t>využívania energie (odporúčanie 3 2020), investícií do výskumu</w:t>
      </w:r>
      <w:r w:rsidR="00A75B3C" w:rsidRPr="003F23AC">
        <w:rPr>
          <w:rFonts w:cs="Times New Roman"/>
          <w:noProof/>
          <w:lang w:val="sk-SK"/>
        </w:rPr>
        <w:t xml:space="preserve"> a </w:t>
      </w:r>
      <w:r w:rsidRPr="003F23AC">
        <w:rPr>
          <w:rFonts w:cs="Times New Roman"/>
          <w:noProof/>
          <w:lang w:val="sk-SK"/>
        </w:rPr>
        <w:t>inovácií (odporúčania pre jednotlivé krajiny 3 2019</w:t>
      </w:r>
      <w:r w:rsidR="00A75B3C" w:rsidRPr="003F23AC">
        <w:rPr>
          <w:rFonts w:cs="Times New Roman"/>
          <w:noProof/>
          <w:lang w:val="sk-SK"/>
        </w:rPr>
        <w:t xml:space="preserve"> a </w:t>
      </w:r>
      <w:r w:rsidRPr="003F23AC">
        <w:rPr>
          <w:rFonts w:cs="Times New Roman"/>
          <w:noProof/>
          <w:lang w:val="sk-SK"/>
        </w:rPr>
        <w:t>2020)</w:t>
      </w:r>
      <w:r w:rsidR="00A75B3C" w:rsidRPr="003F23AC">
        <w:rPr>
          <w:rFonts w:cs="Times New Roman"/>
          <w:noProof/>
          <w:lang w:val="sk-SK"/>
        </w:rPr>
        <w:t xml:space="preserve"> a </w:t>
      </w:r>
      <w:r w:rsidRPr="003F23AC">
        <w:rPr>
          <w:rFonts w:cs="Times New Roman"/>
          <w:noProof/>
          <w:lang w:val="sk-SK"/>
        </w:rPr>
        <w:t>prechodu na obehové hospodárstvo, najmä zvýšením predchádzania vzniku odpadu, jeho recyklácie</w:t>
      </w:r>
      <w:r w:rsidR="00A75B3C" w:rsidRPr="003F23AC">
        <w:rPr>
          <w:rFonts w:cs="Times New Roman"/>
          <w:noProof/>
          <w:lang w:val="sk-SK"/>
        </w:rPr>
        <w:t xml:space="preserve"> a </w:t>
      </w:r>
      <w:r w:rsidRPr="003F23AC">
        <w:rPr>
          <w:rFonts w:cs="Times New Roman"/>
          <w:noProof/>
          <w:lang w:val="sk-SK"/>
        </w:rPr>
        <w:t>opätovného použitia</w:t>
      </w:r>
      <w:r w:rsidR="00A75B3C" w:rsidRPr="003F23AC">
        <w:rPr>
          <w:rFonts w:cs="Times New Roman"/>
          <w:noProof/>
          <w:lang w:val="sk-SK"/>
        </w:rPr>
        <w:t xml:space="preserve"> s </w:t>
      </w:r>
      <w:r w:rsidRPr="003F23AC">
        <w:rPr>
          <w:rFonts w:cs="Times New Roman"/>
          <w:noProof/>
          <w:lang w:val="sk-SK"/>
        </w:rPr>
        <w:t>cieľom odkloniť odpad od skládok</w:t>
      </w:r>
      <w:r w:rsidR="00A75B3C" w:rsidRPr="003F23AC">
        <w:rPr>
          <w:rFonts w:cs="Times New Roman"/>
          <w:noProof/>
          <w:lang w:val="sk-SK"/>
        </w:rPr>
        <w:t xml:space="preserve"> a </w:t>
      </w:r>
      <w:r w:rsidRPr="003F23AC">
        <w:rPr>
          <w:rFonts w:cs="Times New Roman"/>
          <w:noProof/>
          <w:lang w:val="sk-SK"/>
        </w:rPr>
        <w:t>spaľovní (odporúčanie pre jednotlivé krajiny 3 2022</w:t>
      </w:r>
      <w:r w:rsidR="00A75B3C" w:rsidRPr="003F23AC">
        <w:rPr>
          <w:rFonts w:cs="Times New Roman"/>
          <w:noProof/>
          <w:lang w:val="sk-SK"/>
        </w:rPr>
        <w:t xml:space="preserve"> a </w:t>
      </w:r>
      <w:r w:rsidRPr="003F23AC">
        <w:rPr>
          <w:rFonts w:cs="Times New Roman"/>
          <w:noProof/>
          <w:lang w:val="sk-SK"/>
        </w:rPr>
        <w:t>2023)</w:t>
      </w:r>
      <w:r w:rsidR="00A75B3C" w:rsidRPr="003F23AC">
        <w:rPr>
          <w:rFonts w:cs="Times New Roman"/>
          <w:noProof/>
          <w:lang w:val="sk-SK"/>
        </w:rPr>
        <w:t>.</w:t>
      </w:r>
    </w:p>
    <w:p w14:paraId="4CF3DC02" w14:textId="1053B299"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p>
    <w:p w14:paraId="424C0B86"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7A62E280" w14:textId="2C210373"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L.1.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3E984C00"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Reforma TC-r25: Udržateľné biohospodárstvo</w:t>
      </w:r>
    </w:p>
    <w:p w14:paraId="73A86D72" w14:textId="01E3291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reformy je podporovať</w:t>
      </w:r>
      <w:r w:rsidR="00A75B3C" w:rsidRPr="003F23AC">
        <w:rPr>
          <w:rFonts w:cs="Times New Roman"/>
          <w:noProof/>
          <w:lang w:val="sk-SK"/>
        </w:rPr>
        <w:t xml:space="preserve"> a </w:t>
      </w:r>
      <w:r w:rsidRPr="003F23AC">
        <w:rPr>
          <w:rFonts w:cs="Times New Roman"/>
          <w:noProof/>
          <w:lang w:val="sk-SK"/>
        </w:rPr>
        <w:t>stimulovať ochranu</w:t>
      </w:r>
      <w:r w:rsidR="00A75B3C" w:rsidRPr="003F23AC">
        <w:rPr>
          <w:rFonts w:cs="Times New Roman"/>
          <w:noProof/>
          <w:lang w:val="sk-SK"/>
        </w:rPr>
        <w:t xml:space="preserve"> a </w:t>
      </w:r>
      <w:r w:rsidRPr="003F23AC">
        <w:rPr>
          <w:rFonts w:cs="Times New Roman"/>
          <w:noProof/>
          <w:lang w:val="sk-SK"/>
        </w:rPr>
        <w:t>efektívne využívanie biologických zdrojov. Reforma zapadá do portugalského akčného plánu pre udržateľné biohospodárstvo, ktorý bude predmetom verejných konzultácií</w:t>
      </w:r>
      <w:r w:rsidR="00A75B3C" w:rsidRPr="003F23AC">
        <w:rPr>
          <w:rFonts w:cs="Times New Roman"/>
          <w:noProof/>
          <w:lang w:val="sk-SK"/>
        </w:rPr>
        <w:t xml:space="preserve"> a </w:t>
      </w:r>
      <w:r w:rsidRPr="003F23AC">
        <w:rPr>
          <w:rFonts w:cs="Times New Roman"/>
          <w:noProof/>
          <w:lang w:val="sk-SK"/>
        </w:rPr>
        <w:t>bude slúžiť ako strategický rámec pre vnútroštátny trvalo udržateľný rozvoj.</w:t>
      </w:r>
      <w:r w:rsidR="00A75B3C" w:rsidRPr="003F23AC">
        <w:rPr>
          <w:rFonts w:cs="Times New Roman"/>
          <w:noProof/>
          <w:lang w:val="sk-SK"/>
        </w:rPr>
        <w:t xml:space="preserve"> V </w:t>
      </w:r>
      <w:r w:rsidRPr="003F23AC">
        <w:rPr>
          <w:rFonts w:cs="Times New Roman"/>
          <w:noProof/>
          <w:lang w:val="sk-SK"/>
        </w:rPr>
        <w:t>rámci úsilia</w:t>
      </w:r>
      <w:r w:rsidR="00A75B3C" w:rsidRPr="003F23AC">
        <w:rPr>
          <w:rFonts w:cs="Times New Roman"/>
          <w:noProof/>
          <w:lang w:val="sk-SK"/>
        </w:rPr>
        <w:t xml:space="preserve"> o </w:t>
      </w:r>
      <w:r w:rsidRPr="003F23AC">
        <w:rPr>
          <w:rFonts w:cs="Times New Roman"/>
          <w:noProof/>
          <w:lang w:val="sk-SK"/>
        </w:rPr>
        <w:t>podporu biohospodárstva Portugalsko posúdi aj fiškálne stimuly, ktoré by mohli zlepšiť nahrádzanie neobnoviteľných prírodných zdrojov inými biozdrojmi.</w:t>
      </w:r>
    </w:p>
    <w:p w14:paraId="2B140B73" w14:textId="5E2AAA00"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Reforma pozostáva</w:t>
      </w:r>
      <w:r w:rsidR="00A75B3C" w:rsidRPr="003F23AC">
        <w:rPr>
          <w:rFonts w:cs="Times New Roman"/>
          <w:noProof/>
          <w:lang w:val="sk-SK"/>
        </w:rPr>
        <w:t xml:space="preserve"> z </w:t>
      </w:r>
      <w:r w:rsidRPr="003F23AC">
        <w:rPr>
          <w:rFonts w:cs="Times New Roman"/>
          <w:noProof/>
          <w:lang w:val="sk-SK"/>
        </w:rPr>
        <w:t>nového všeobecného systému nakladania</w:t>
      </w:r>
      <w:r w:rsidR="00A75B3C" w:rsidRPr="003F23AC">
        <w:rPr>
          <w:rFonts w:cs="Times New Roman"/>
          <w:noProof/>
          <w:lang w:val="sk-SK"/>
        </w:rPr>
        <w:t xml:space="preserve"> s </w:t>
      </w:r>
      <w:r w:rsidRPr="003F23AC">
        <w:rPr>
          <w:rFonts w:cs="Times New Roman"/>
          <w:noProof/>
          <w:lang w:val="sk-SK"/>
        </w:rPr>
        <w:t>odpadom (RGGR)</w:t>
      </w:r>
      <w:r w:rsidR="00A75B3C" w:rsidRPr="003F23AC">
        <w:rPr>
          <w:rFonts w:cs="Times New Roman"/>
          <w:noProof/>
          <w:lang w:val="sk-SK"/>
        </w:rPr>
        <w:t xml:space="preserve"> a </w:t>
      </w:r>
      <w:r w:rsidRPr="003F23AC">
        <w:rPr>
          <w:rFonts w:cs="Times New Roman"/>
          <w:noProof/>
          <w:lang w:val="sk-SK"/>
        </w:rPr>
        <w:t>zo začlenenia kritérií nákupu udržateľných biovýrobkov do preskúmania národnej stratégie pre zelené verejné obstarávanie. Cieľom tejto reformy je riešiť hlavné prekážky</w:t>
      </w:r>
      <w:r w:rsidR="00A75B3C" w:rsidRPr="003F23AC">
        <w:rPr>
          <w:rFonts w:cs="Times New Roman"/>
          <w:noProof/>
          <w:lang w:val="sk-SK"/>
        </w:rPr>
        <w:t xml:space="preserve"> a </w:t>
      </w:r>
      <w:r w:rsidRPr="003F23AC">
        <w:rPr>
          <w:rFonts w:cs="Times New Roman"/>
          <w:noProof/>
          <w:lang w:val="sk-SK"/>
        </w:rPr>
        <w:t>obmedzenia identifikované pri zhodnocovaní biologických zdrojov</w:t>
      </w:r>
      <w:r w:rsidR="00A75B3C" w:rsidRPr="003F23AC">
        <w:rPr>
          <w:rFonts w:cs="Times New Roman"/>
          <w:noProof/>
          <w:lang w:val="sk-SK"/>
        </w:rPr>
        <w:t xml:space="preserve"> v </w:t>
      </w:r>
      <w:r w:rsidRPr="003F23AC">
        <w:rPr>
          <w:rFonts w:cs="Times New Roman"/>
          <w:noProof/>
          <w:lang w:val="sk-SK"/>
        </w:rPr>
        <w:t>záujme rozvoja udržateľného</w:t>
      </w:r>
      <w:r w:rsidR="00A75B3C" w:rsidRPr="003F23AC">
        <w:rPr>
          <w:rFonts w:cs="Times New Roman"/>
          <w:noProof/>
          <w:lang w:val="sk-SK"/>
        </w:rPr>
        <w:t xml:space="preserve"> a </w:t>
      </w:r>
      <w:r w:rsidRPr="003F23AC">
        <w:rPr>
          <w:rFonts w:cs="Times New Roman"/>
          <w:noProof/>
          <w:lang w:val="sk-SK"/>
        </w:rPr>
        <w:t>obehového biopriemyslu pri dodržiavaní zásady kaskádového využívania</w:t>
      </w:r>
      <w:r w:rsidR="00A75B3C" w:rsidRPr="003F23AC">
        <w:rPr>
          <w:rFonts w:cs="Times New Roman"/>
          <w:noProof/>
          <w:lang w:val="sk-SK"/>
        </w:rPr>
        <w:t>.</w:t>
      </w:r>
    </w:p>
    <w:p w14:paraId="63B37A13" w14:textId="1FFA8BA5"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Vykonávaním nového všeobecného systému odpadového hospodárstva sa odstránia aspoň obmedzenia týkajúce sa používania vedľajších produktov alebo odpadu pre nové výrobky zjednodušením postupov klasifikácie látok alebo predmetov ako vedľajších produktov,</w:t>
      </w:r>
      <w:r w:rsidR="00A75B3C" w:rsidRPr="003F23AC">
        <w:rPr>
          <w:rFonts w:cs="Times New Roman"/>
          <w:noProof/>
          <w:lang w:val="sk-SK"/>
        </w:rPr>
        <w:t xml:space="preserve"> a </w:t>
      </w:r>
      <w:r w:rsidRPr="003F23AC">
        <w:rPr>
          <w:rFonts w:cs="Times New Roman"/>
          <w:noProof/>
          <w:lang w:val="sk-SK"/>
        </w:rPr>
        <w:t>to aj</w:t>
      </w:r>
      <w:r w:rsidR="00A75B3C" w:rsidRPr="003F23AC">
        <w:rPr>
          <w:rFonts w:cs="Times New Roman"/>
          <w:noProof/>
          <w:lang w:val="sk-SK"/>
        </w:rPr>
        <w:t xml:space="preserve"> z </w:t>
      </w:r>
      <w:r w:rsidRPr="003F23AC">
        <w:rPr>
          <w:rFonts w:cs="Times New Roman"/>
          <w:noProof/>
          <w:lang w:val="sk-SK"/>
        </w:rPr>
        <w:t>iných krajín EÚ. Nový všeobecný systém odpadového hospodárstva bol prijatý</w:t>
      </w:r>
      <w:r w:rsidR="00A75B3C" w:rsidRPr="003F23AC">
        <w:rPr>
          <w:rFonts w:cs="Times New Roman"/>
          <w:noProof/>
          <w:lang w:val="sk-SK"/>
        </w:rPr>
        <w:t xml:space="preserve"> v </w:t>
      </w:r>
      <w:r w:rsidRPr="003F23AC">
        <w:rPr>
          <w:rFonts w:cs="Times New Roman"/>
          <w:noProof/>
          <w:lang w:val="sk-SK"/>
        </w:rPr>
        <w:t>decembri 2020.</w:t>
      </w:r>
    </w:p>
    <w:p w14:paraId="3C237014" w14:textId="52169590"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Národná stratégia pre zelené verejné obstarávanie sa reviduje tak, aby zahŕňala aspoň povinné ekologické kritériá týkajúce sa obstarávania služieb</w:t>
      </w:r>
      <w:r w:rsidR="00A75B3C" w:rsidRPr="003F23AC">
        <w:rPr>
          <w:rFonts w:cs="Times New Roman"/>
          <w:noProof/>
          <w:lang w:val="sk-SK"/>
        </w:rPr>
        <w:t xml:space="preserve"> a </w:t>
      </w:r>
      <w:r w:rsidRPr="003F23AC">
        <w:rPr>
          <w:rFonts w:cs="Times New Roman"/>
          <w:noProof/>
          <w:lang w:val="sk-SK"/>
        </w:rPr>
        <w:t>výrobkov (najmä</w:t>
      </w:r>
      <w:r w:rsidR="00A75B3C" w:rsidRPr="003F23AC">
        <w:rPr>
          <w:rFonts w:cs="Times New Roman"/>
          <w:noProof/>
          <w:lang w:val="sk-SK"/>
        </w:rPr>
        <w:t xml:space="preserve"> v </w:t>
      </w:r>
      <w:r w:rsidRPr="003F23AC">
        <w:rPr>
          <w:rFonts w:cs="Times New Roman"/>
          <w:noProof/>
          <w:lang w:val="sk-SK"/>
        </w:rPr>
        <w:t>oblasti stavebníctva), pričom sa do nej začlenia udržateľné biovýrobky</w:t>
      </w:r>
      <w:r w:rsidR="00A75B3C" w:rsidRPr="003F23AC">
        <w:rPr>
          <w:rFonts w:cs="Times New Roman"/>
          <w:noProof/>
          <w:lang w:val="sk-SK"/>
        </w:rPr>
        <w:t>.</w:t>
      </w:r>
    </w:p>
    <w:p w14:paraId="18D49EAF" w14:textId="5EE0D77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reformy sa dokončí do 30</w:t>
      </w:r>
      <w:r w:rsidR="00A75B3C" w:rsidRPr="003F23AC">
        <w:rPr>
          <w:rFonts w:cs="Times New Roman"/>
          <w:noProof/>
          <w:lang w:val="sk-SK"/>
        </w:rPr>
        <w:t>. septembra</w:t>
      </w:r>
      <w:r w:rsidRPr="003F23AC">
        <w:rPr>
          <w:rFonts w:cs="Times New Roman"/>
          <w:noProof/>
          <w:lang w:val="sk-SK"/>
        </w:rPr>
        <w:t xml:space="preserve"> 2022.</w:t>
      </w:r>
    </w:p>
    <w:p w14:paraId="2FD84C02"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TC-C12-i01: Biohospodárstvo</w:t>
      </w:r>
    </w:p>
    <w:p w14:paraId="37EE0C20" w14:textId="0A5B0D36"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investície je podporiť začlenenie biologických materiálov do výrobných procesov</w:t>
      </w:r>
      <w:r w:rsidR="00A75B3C" w:rsidRPr="003F23AC">
        <w:rPr>
          <w:rFonts w:cs="Times New Roman"/>
          <w:noProof/>
          <w:lang w:val="sk-SK"/>
        </w:rPr>
        <w:t xml:space="preserve"> v </w:t>
      </w:r>
      <w:r w:rsidRPr="003F23AC">
        <w:rPr>
          <w:rFonts w:cs="Times New Roman"/>
          <w:noProof/>
          <w:lang w:val="sk-SK"/>
        </w:rPr>
        <w:t>troch sektoroch: textil</w:t>
      </w:r>
      <w:r w:rsidR="00A75B3C" w:rsidRPr="003F23AC">
        <w:rPr>
          <w:rFonts w:cs="Times New Roman"/>
          <w:noProof/>
          <w:lang w:val="sk-SK"/>
        </w:rPr>
        <w:t xml:space="preserve"> a </w:t>
      </w:r>
      <w:r w:rsidRPr="003F23AC">
        <w:rPr>
          <w:rFonts w:cs="Times New Roman"/>
          <w:noProof/>
          <w:lang w:val="sk-SK"/>
        </w:rPr>
        <w:t>odevy, obuv</w:t>
      </w:r>
      <w:r w:rsidR="00A75B3C" w:rsidRPr="003F23AC">
        <w:rPr>
          <w:rFonts w:cs="Times New Roman"/>
          <w:noProof/>
          <w:lang w:val="sk-SK"/>
        </w:rPr>
        <w:t xml:space="preserve"> a </w:t>
      </w:r>
      <w:r w:rsidRPr="003F23AC">
        <w:rPr>
          <w:rFonts w:cs="Times New Roman"/>
          <w:noProof/>
          <w:lang w:val="sk-SK"/>
        </w:rPr>
        <w:t>prírodná živica</w:t>
      </w:r>
      <w:r w:rsidR="00A75B3C" w:rsidRPr="003F23AC">
        <w:rPr>
          <w:rFonts w:cs="Times New Roman"/>
          <w:noProof/>
          <w:lang w:val="sk-SK"/>
        </w:rPr>
        <w:t>.</w:t>
      </w:r>
    </w:p>
    <w:p w14:paraId="14F886FB" w14:textId="4C40D720"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Hlavný nástroj pozostáva</w:t>
      </w:r>
      <w:r w:rsidR="00A75B3C" w:rsidRPr="003F23AC">
        <w:rPr>
          <w:rFonts w:cs="Times New Roman"/>
          <w:noProof/>
          <w:lang w:val="sk-SK"/>
        </w:rPr>
        <w:t xml:space="preserve"> z </w:t>
      </w:r>
      <w:r w:rsidRPr="003F23AC">
        <w:rPr>
          <w:rFonts w:cs="Times New Roman"/>
          <w:noProof/>
          <w:lang w:val="sk-SK"/>
        </w:rPr>
        <w:t>finančnej podpory udelenej prostredníctvom programových zmlúv</w:t>
      </w:r>
      <w:r w:rsidR="00A75B3C" w:rsidRPr="003F23AC">
        <w:rPr>
          <w:rFonts w:cs="Times New Roman"/>
          <w:noProof/>
          <w:lang w:val="sk-SK"/>
        </w:rPr>
        <w:t xml:space="preserve"> s </w:t>
      </w:r>
      <w:r w:rsidRPr="003F23AC">
        <w:rPr>
          <w:rFonts w:cs="Times New Roman"/>
          <w:noProof/>
          <w:lang w:val="sk-SK"/>
        </w:rPr>
        <w:t>konzorciami, ktoré zahŕňajú výskumné</w:t>
      </w:r>
      <w:r w:rsidR="00A75B3C" w:rsidRPr="003F23AC">
        <w:rPr>
          <w:rFonts w:cs="Times New Roman"/>
          <w:noProof/>
          <w:lang w:val="sk-SK"/>
        </w:rPr>
        <w:t xml:space="preserve"> a </w:t>
      </w:r>
      <w:r w:rsidRPr="003F23AC">
        <w:rPr>
          <w:rFonts w:cs="Times New Roman"/>
          <w:noProof/>
          <w:lang w:val="sk-SK"/>
        </w:rPr>
        <w:t>inovačné inštitúcie, podniky</w:t>
      </w:r>
      <w:r w:rsidR="00A75B3C" w:rsidRPr="003F23AC">
        <w:rPr>
          <w:rFonts w:cs="Times New Roman"/>
          <w:noProof/>
          <w:lang w:val="sk-SK"/>
        </w:rPr>
        <w:t xml:space="preserve"> a </w:t>
      </w:r>
      <w:r w:rsidRPr="003F23AC">
        <w:rPr>
          <w:rFonts w:cs="Times New Roman"/>
          <w:noProof/>
          <w:lang w:val="sk-SK"/>
        </w:rPr>
        <w:t>koncových používateľov</w:t>
      </w:r>
      <w:r w:rsidR="00A75B3C" w:rsidRPr="003F23AC">
        <w:rPr>
          <w:rFonts w:cs="Times New Roman"/>
          <w:noProof/>
          <w:lang w:val="sk-SK"/>
        </w:rPr>
        <w:t xml:space="preserve"> a </w:t>
      </w:r>
      <w:r w:rsidRPr="003F23AC">
        <w:rPr>
          <w:rFonts w:cs="Times New Roman"/>
          <w:noProof/>
          <w:lang w:val="sk-SK"/>
        </w:rPr>
        <w:t>ktorá sa vyberá na základe súťažného konania. Podporované činnosti zahŕňajú výskumné, vývojové</w:t>
      </w:r>
      <w:r w:rsidR="00A75B3C" w:rsidRPr="003F23AC">
        <w:rPr>
          <w:rFonts w:cs="Times New Roman"/>
          <w:noProof/>
          <w:lang w:val="sk-SK"/>
        </w:rPr>
        <w:t xml:space="preserve"> a </w:t>
      </w:r>
      <w:r w:rsidRPr="003F23AC">
        <w:rPr>
          <w:rFonts w:cs="Times New Roman"/>
          <w:noProof/>
          <w:lang w:val="sk-SK"/>
        </w:rPr>
        <w:t>produktívne inovačné projekty, projekty digitalizácie</w:t>
      </w:r>
      <w:r w:rsidR="00A75B3C" w:rsidRPr="003F23AC">
        <w:rPr>
          <w:rFonts w:cs="Times New Roman"/>
          <w:noProof/>
          <w:lang w:val="sk-SK"/>
        </w:rPr>
        <w:t xml:space="preserve"> a </w:t>
      </w:r>
      <w:r w:rsidRPr="003F23AC">
        <w:rPr>
          <w:rFonts w:cs="Times New Roman"/>
          <w:noProof/>
          <w:lang w:val="sk-SK"/>
        </w:rPr>
        <w:t>pokročilé výrobné technológie, špecializované programy odbornej prípravy</w:t>
      </w:r>
      <w:r w:rsidR="00A75B3C" w:rsidRPr="003F23AC">
        <w:rPr>
          <w:rFonts w:cs="Times New Roman"/>
          <w:noProof/>
          <w:lang w:val="sk-SK"/>
        </w:rPr>
        <w:t xml:space="preserve"> a </w:t>
      </w:r>
      <w:r w:rsidRPr="003F23AC">
        <w:rPr>
          <w:rFonts w:cs="Times New Roman"/>
          <w:noProof/>
          <w:lang w:val="sk-SK"/>
        </w:rPr>
        <w:t>posilnenia postavenia, výrobu domácej prírodnej živice</w:t>
      </w:r>
      <w:r w:rsidR="00A75B3C" w:rsidRPr="003F23AC">
        <w:rPr>
          <w:rFonts w:cs="Times New Roman"/>
          <w:noProof/>
          <w:lang w:val="sk-SK"/>
        </w:rPr>
        <w:t xml:space="preserve"> a </w:t>
      </w:r>
      <w:r w:rsidRPr="003F23AC">
        <w:rPr>
          <w:rFonts w:cs="Times New Roman"/>
          <w:noProof/>
          <w:lang w:val="sk-SK"/>
        </w:rPr>
        <w:t>opatrenia na zvyšovanie informovanosti</w:t>
      </w:r>
      <w:r w:rsidR="00A75B3C" w:rsidRPr="003F23AC">
        <w:rPr>
          <w:rFonts w:cs="Times New Roman"/>
          <w:noProof/>
          <w:lang w:val="sk-SK"/>
        </w:rPr>
        <w:t xml:space="preserve"> o </w:t>
      </w:r>
      <w:r w:rsidRPr="003F23AC">
        <w:rPr>
          <w:rFonts w:cs="Times New Roman"/>
          <w:noProof/>
          <w:lang w:val="sk-SK"/>
        </w:rPr>
        <w:t>udržateľnej výrobe</w:t>
      </w:r>
      <w:r w:rsidR="00A75B3C" w:rsidRPr="003F23AC">
        <w:rPr>
          <w:rFonts w:cs="Times New Roman"/>
          <w:noProof/>
          <w:lang w:val="sk-SK"/>
        </w:rPr>
        <w:t xml:space="preserve"> a </w:t>
      </w:r>
      <w:r w:rsidRPr="003F23AC">
        <w:rPr>
          <w:rFonts w:cs="Times New Roman"/>
          <w:noProof/>
          <w:lang w:val="sk-SK"/>
        </w:rPr>
        <w:t>spotrebe. Vybrané projekty prispievajú aspoň</w:t>
      </w:r>
      <w:r w:rsidR="00A75B3C" w:rsidRPr="003F23AC">
        <w:rPr>
          <w:rFonts w:cs="Times New Roman"/>
          <w:noProof/>
          <w:lang w:val="sk-SK"/>
        </w:rPr>
        <w:t xml:space="preserve"> k </w:t>
      </w:r>
      <w:r w:rsidRPr="003F23AC">
        <w:rPr>
          <w:rFonts w:cs="Times New Roman"/>
          <w:noProof/>
          <w:lang w:val="sk-SK"/>
        </w:rPr>
        <w:t>rozvoju obehového hospodárstva</w:t>
      </w:r>
      <w:r w:rsidR="00A75B3C" w:rsidRPr="003F23AC">
        <w:rPr>
          <w:rFonts w:cs="Times New Roman"/>
          <w:noProof/>
          <w:lang w:val="sk-SK"/>
        </w:rPr>
        <w:t xml:space="preserve"> a k </w:t>
      </w:r>
      <w:r w:rsidRPr="003F23AC">
        <w:rPr>
          <w:rFonts w:cs="Times New Roman"/>
          <w:noProof/>
          <w:lang w:val="sk-SK"/>
        </w:rPr>
        <w:t>cieľom znižovania emisií</w:t>
      </w:r>
      <w:r w:rsidR="00A75B3C" w:rsidRPr="003F23AC">
        <w:rPr>
          <w:rFonts w:cs="Times New Roman"/>
          <w:noProof/>
          <w:lang w:val="sk-SK"/>
        </w:rPr>
        <w:t xml:space="preserve"> v </w:t>
      </w:r>
      <w:r w:rsidRPr="003F23AC">
        <w:rPr>
          <w:rFonts w:cs="Times New Roman"/>
          <w:noProof/>
          <w:lang w:val="sk-SK"/>
        </w:rPr>
        <w:t>Portugalsku. Projekty majú tieto ciele</w:t>
      </w:r>
      <w:r w:rsidR="00A75B3C" w:rsidRPr="003F23AC">
        <w:rPr>
          <w:rFonts w:cs="Times New Roman"/>
          <w:noProof/>
          <w:lang w:val="sk-SK"/>
        </w:rPr>
        <w:t>:</w:t>
      </w:r>
    </w:p>
    <w:p w14:paraId="2A0C7EDD" w14:textId="06717577" w:rsidR="00A75B3C" w:rsidRPr="003F23AC" w:rsidRDefault="000F5AA4" w:rsidP="003F23AC">
      <w:pPr>
        <w:pStyle w:val="P68B1DB1-Normal4"/>
        <w:numPr>
          <w:ilvl w:val="0"/>
          <w:numId w:val="29"/>
        </w:numPr>
        <w:spacing w:before="40" w:after="160" w:line="259" w:lineRule="auto"/>
        <w:contextualSpacing/>
        <w:jc w:val="both"/>
        <w:rPr>
          <w:rFonts w:cs="Times New Roman"/>
          <w:noProof/>
          <w:lang w:val="sk-SK"/>
        </w:rPr>
      </w:pPr>
      <w:r w:rsidRPr="003F23AC">
        <w:rPr>
          <w:rFonts w:cs="Times New Roman"/>
          <w:noProof/>
          <w:lang w:val="sk-SK"/>
        </w:rPr>
        <w:t>rozvoj nových výrobných procesov pri vytváraní produktov</w:t>
      </w:r>
      <w:r w:rsidR="00A75B3C" w:rsidRPr="003F23AC">
        <w:rPr>
          <w:rFonts w:cs="Times New Roman"/>
          <w:noProof/>
          <w:lang w:val="sk-SK"/>
        </w:rPr>
        <w:t xml:space="preserve"> s </w:t>
      </w:r>
      <w:r w:rsidRPr="003F23AC">
        <w:rPr>
          <w:rFonts w:cs="Times New Roman"/>
          <w:noProof/>
          <w:lang w:val="sk-SK"/>
        </w:rPr>
        <w:t>vyššou pridanou hodnotou, ktoré zahŕňajú</w:t>
      </w:r>
      <w:r w:rsidR="00A75B3C" w:rsidRPr="003F23AC">
        <w:rPr>
          <w:rFonts w:cs="Times New Roman"/>
          <w:noProof/>
          <w:lang w:val="sk-SK"/>
        </w:rPr>
        <w:t xml:space="preserve"> a </w:t>
      </w:r>
      <w:r w:rsidRPr="003F23AC">
        <w:rPr>
          <w:rFonts w:cs="Times New Roman"/>
          <w:noProof/>
          <w:lang w:val="sk-SK"/>
        </w:rPr>
        <w:t>využívajú biologické zdroje (lesná biomasa, poľnohospodárske</w:t>
      </w:r>
      <w:r w:rsidR="00A75B3C" w:rsidRPr="003F23AC">
        <w:rPr>
          <w:rFonts w:cs="Times New Roman"/>
          <w:noProof/>
          <w:lang w:val="sk-SK"/>
        </w:rPr>
        <w:t xml:space="preserve"> a </w:t>
      </w:r>
      <w:r w:rsidRPr="003F23AC">
        <w:rPr>
          <w:rFonts w:cs="Times New Roman"/>
          <w:noProof/>
          <w:lang w:val="sk-SK"/>
        </w:rPr>
        <w:t>poľnohospodársko-priemyselné zvyšky</w:t>
      </w:r>
      <w:r w:rsidR="00A75B3C" w:rsidRPr="003F23AC">
        <w:rPr>
          <w:rFonts w:cs="Times New Roman"/>
          <w:noProof/>
          <w:lang w:val="sk-SK"/>
        </w:rPr>
        <w:t xml:space="preserve"> a </w:t>
      </w:r>
      <w:r w:rsidRPr="003F23AC">
        <w:rPr>
          <w:rFonts w:cs="Times New Roman"/>
          <w:noProof/>
          <w:lang w:val="sk-SK"/>
        </w:rPr>
        <w:t>vedľajšie produkty)</w:t>
      </w:r>
      <w:r w:rsidR="00A75B3C" w:rsidRPr="003F23AC">
        <w:rPr>
          <w:rFonts w:cs="Times New Roman"/>
          <w:noProof/>
          <w:lang w:val="sk-SK"/>
        </w:rPr>
        <w:t>;</w:t>
      </w:r>
    </w:p>
    <w:p w14:paraId="6A6B42A0" w14:textId="5594556D" w:rsidR="00387C70" w:rsidRPr="003F23AC" w:rsidRDefault="000F5AA4" w:rsidP="003F23AC">
      <w:pPr>
        <w:pStyle w:val="P68B1DB1-Normal4"/>
        <w:numPr>
          <w:ilvl w:val="0"/>
          <w:numId w:val="29"/>
        </w:numPr>
        <w:spacing w:before="40" w:after="160" w:line="259" w:lineRule="auto"/>
        <w:contextualSpacing/>
        <w:jc w:val="both"/>
        <w:rPr>
          <w:rFonts w:eastAsiaTheme="minorEastAsia" w:cs="Times New Roman"/>
          <w:noProof/>
          <w:lang w:val="sk-SK"/>
        </w:rPr>
      </w:pPr>
      <w:r w:rsidRPr="003F23AC">
        <w:rPr>
          <w:rFonts w:cs="Times New Roman"/>
          <w:noProof/>
          <w:lang w:val="sk-SK"/>
        </w:rPr>
        <w:t>rozvoj technologických postupov na zlepšenie obehovosti textilu</w:t>
      </w:r>
      <w:r w:rsidR="00A75B3C" w:rsidRPr="003F23AC">
        <w:rPr>
          <w:rFonts w:cs="Times New Roman"/>
          <w:noProof/>
          <w:lang w:val="sk-SK"/>
        </w:rPr>
        <w:t xml:space="preserve"> a </w:t>
      </w:r>
      <w:r w:rsidRPr="003F23AC">
        <w:rPr>
          <w:rFonts w:cs="Times New Roman"/>
          <w:noProof/>
          <w:lang w:val="sk-SK"/>
        </w:rPr>
        <w:t>odevov, obuvi</w:t>
      </w:r>
      <w:r w:rsidR="00A75B3C" w:rsidRPr="003F23AC">
        <w:rPr>
          <w:rFonts w:cs="Times New Roman"/>
          <w:noProof/>
          <w:lang w:val="sk-SK"/>
        </w:rPr>
        <w:t xml:space="preserve"> a </w:t>
      </w:r>
      <w:r w:rsidRPr="003F23AC">
        <w:rPr>
          <w:rFonts w:cs="Times New Roman"/>
          <w:noProof/>
          <w:lang w:val="sk-SK"/>
        </w:rPr>
        <w:t>živice;</w:t>
      </w:r>
      <w:r w:rsidR="00A75B3C" w:rsidRPr="003F23AC">
        <w:rPr>
          <w:rFonts w:cs="Times New Roman"/>
          <w:noProof/>
          <w:lang w:val="sk-SK"/>
        </w:rPr>
        <w:t xml:space="preserve"> a </w:t>
      </w:r>
      <w:r w:rsidRPr="003F23AC">
        <w:rPr>
          <w:rFonts w:cs="Times New Roman"/>
          <w:noProof/>
          <w:lang w:val="sk-SK"/>
        </w:rPr>
        <w:t>zároveň</w:t>
      </w:r>
    </w:p>
    <w:p w14:paraId="2FE7D2D6" w14:textId="0D821301" w:rsidR="00387C70" w:rsidRPr="003F23AC" w:rsidRDefault="000F5AA4" w:rsidP="003F23AC">
      <w:pPr>
        <w:pStyle w:val="P68B1DB1-Normal4"/>
        <w:numPr>
          <w:ilvl w:val="0"/>
          <w:numId w:val="29"/>
        </w:numPr>
        <w:spacing w:before="40" w:after="160" w:line="259" w:lineRule="auto"/>
        <w:contextualSpacing/>
        <w:jc w:val="both"/>
        <w:rPr>
          <w:rFonts w:eastAsiaTheme="minorEastAsia" w:cs="Times New Roman"/>
          <w:noProof/>
          <w:lang w:val="sk-SK"/>
        </w:rPr>
      </w:pPr>
      <w:r w:rsidRPr="003F23AC">
        <w:rPr>
          <w:rFonts w:cs="Times New Roman"/>
          <w:noProof/>
          <w:lang w:val="sk-SK"/>
        </w:rPr>
        <w:t>prispievať</w:t>
      </w:r>
      <w:r w:rsidR="00A75B3C" w:rsidRPr="003F23AC">
        <w:rPr>
          <w:rFonts w:cs="Times New Roman"/>
          <w:noProof/>
          <w:lang w:val="sk-SK"/>
        </w:rPr>
        <w:t xml:space="preserve"> k </w:t>
      </w:r>
      <w:r w:rsidRPr="003F23AC">
        <w:rPr>
          <w:rFonts w:cs="Times New Roman"/>
          <w:noProof/>
          <w:lang w:val="sk-SK"/>
        </w:rPr>
        <w:t>nakladaniu</w:t>
      </w:r>
      <w:r w:rsidR="00A75B3C" w:rsidRPr="003F23AC">
        <w:rPr>
          <w:rFonts w:cs="Times New Roman"/>
          <w:noProof/>
          <w:lang w:val="sk-SK"/>
        </w:rPr>
        <w:t xml:space="preserve"> s </w:t>
      </w:r>
      <w:r w:rsidRPr="003F23AC">
        <w:rPr>
          <w:rFonts w:cs="Times New Roman"/>
          <w:noProof/>
          <w:lang w:val="sk-SK"/>
        </w:rPr>
        <w:t>odpadom</w:t>
      </w:r>
      <w:r w:rsidR="00A75B3C" w:rsidRPr="003F23AC">
        <w:rPr>
          <w:rFonts w:cs="Times New Roman"/>
          <w:noProof/>
          <w:lang w:val="sk-SK"/>
        </w:rPr>
        <w:t xml:space="preserve"> v </w:t>
      </w:r>
      <w:r w:rsidRPr="003F23AC">
        <w:rPr>
          <w:rFonts w:cs="Times New Roman"/>
          <w:noProof/>
          <w:lang w:val="sk-SK"/>
        </w:rPr>
        <w:t>týchto odvetviach.</w:t>
      </w:r>
    </w:p>
    <w:p w14:paraId="6B9025FE" w14:textId="59CDB1C5"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Výskumné, vývojové</w:t>
      </w:r>
      <w:r w:rsidR="00A75B3C" w:rsidRPr="003F23AC">
        <w:rPr>
          <w:rFonts w:cs="Times New Roman"/>
          <w:noProof/>
          <w:lang w:val="sk-SK"/>
        </w:rPr>
        <w:t xml:space="preserve"> a </w:t>
      </w:r>
      <w:r w:rsidRPr="003F23AC">
        <w:rPr>
          <w:rFonts w:cs="Times New Roman"/>
          <w:noProof/>
          <w:lang w:val="sk-SK"/>
        </w:rPr>
        <w:t>inovačné projekty sa podporujú</w:t>
      </w:r>
      <w:r w:rsidR="00A75B3C" w:rsidRPr="003F23AC">
        <w:rPr>
          <w:rFonts w:cs="Times New Roman"/>
          <w:noProof/>
          <w:lang w:val="sk-SK"/>
        </w:rPr>
        <w:t xml:space="preserve"> s </w:t>
      </w:r>
      <w:r w:rsidRPr="003F23AC">
        <w:rPr>
          <w:rFonts w:cs="Times New Roman"/>
          <w:noProof/>
          <w:lang w:val="sk-SK"/>
        </w:rPr>
        <w:t>cieľom vyvinúť nové výrobné procesy pri vytváraní výrobkov</w:t>
      </w:r>
      <w:r w:rsidR="00A75B3C" w:rsidRPr="003F23AC">
        <w:rPr>
          <w:rFonts w:cs="Times New Roman"/>
          <w:noProof/>
          <w:lang w:val="sk-SK"/>
        </w:rPr>
        <w:t xml:space="preserve"> s </w:t>
      </w:r>
      <w:r w:rsidRPr="003F23AC">
        <w:rPr>
          <w:rFonts w:cs="Times New Roman"/>
          <w:noProof/>
          <w:lang w:val="sk-SK"/>
        </w:rPr>
        <w:t>vyššou pridanou hodnotou, ktoré zahŕňajú</w:t>
      </w:r>
      <w:r w:rsidR="00A75B3C" w:rsidRPr="003F23AC">
        <w:rPr>
          <w:rFonts w:cs="Times New Roman"/>
          <w:noProof/>
          <w:lang w:val="sk-SK"/>
        </w:rPr>
        <w:t xml:space="preserve"> a </w:t>
      </w:r>
      <w:r w:rsidRPr="003F23AC">
        <w:rPr>
          <w:rFonts w:cs="Times New Roman"/>
          <w:noProof/>
          <w:lang w:val="sk-SK"/>
        </w:rPr>
        <w:t>využívajú biologické zdroje (lesná biomasa, poľnohospodárske</w:t>
      </w:r>
      <w:r w:rsidR="00A75B3C" w:rsidRPr="003F23AC">
        <w:rPr>
          <w:rFonts w:cs="Times New Roman"/>
          <w:noProof/>
          <w:lang w:val="sk-SK"/>
        </w:rPr>
        <w:t xml:space="preserve"> a </w:t>
      </w:r>
      <w:r w:rsidRPr="003F23AC">
        <w:rPr>
          <w:rFonts w:cs="Times New Roman"/>
          <w:noProof/>
          <w:lang w:val="sk-SK"/>
        </w:rPr>
        <w:t>poľnohospodársko-priemyselné zvyšky</w:t>
      </w:r>
      <w:r w:rsidR="00A75B3C" w:rsidRPr="003F23AC">
        <w:rPr>
          <w:rFonts w:cs="Times New Roman"/>
          <w:noProof/>
          <w:lang w:val="sk-SK"/>
        </w:rPr>
        <w:t xml:space="preserve"> a </w:t>
      </w:r>
      <w:r w:rsidRPr="003F23AC">
        <w:rPr>
          <w:rFonts w:cs="Times New Roman"/>
          <w:noProof/>
          <w:lang w:val="sk-SK"/>
        </w:rPr>
        <w:t>vedľajšie produkty), technologické postupy na zlepšenie obehovosti textilného</w:t>
      </w:r>
      <w:r w:rsidR="00A75B3C" w:rsidRPr="003F23AC">
        <w:rPr>
          <w:rFonts w:cs="Times New Roman"/>
          <w:noProof/>
          <w:lang w:val="sk-SK"/>
        </w:rPr>
        <w:t xml:space="preserve"> a </w:t>
      </w:r>
      <w:r w:rsidRPr="003F23AC">
        <w:rPr>
          <w:rFonts w:cs="Times New Roman"/>
          <w:noProof/>
          <w:lang w:val="sk-SK"/>
        </w:rPr>
        <w:t>odevného priemyslu, obuvi</w:t>
      </w:r>
      <w:r w:rsidR="00A75B3C" w:rsidRPr="003F23AC">
        <w:rPr>
          <w:rFonts w:cs="Times New Roman"/>
          <w:noProof/>
          <w:lang w:val="sk-SK"/>
        </w:rPr>
        <w:t xml:space="preserve"> a </w:t>
      </w:r>
      <w:r w:rsidRPr="003F23AC">
        <w:rPr>
          <w:rFonts w:cs="Times New Roman"/>
          <w:noProof/>
          <w:lang w:val="sk-SK"/>
        </w:rPr>
        <w:t>živice</w:t>
      </w:r>
      <w:r w:rsidR="00A75B3C" w:rsidRPr="003F23AC">
        <w:rPr>
          <w:rFonts w:cs="Times New Roman"/>
          <w:noProof/>
          <w:lang w:val="sk-SK"/>
        </w:rPr>
        <w:t xml:space="preserve"> a </w:t>
      </w:r>
      <w:r w:rsidRPr="003F23AC">
        <w:rPr>
          <w:rFonts w:cs="Times New Roman"/>
          <w:noProof/>
          <w:lang w:val="sk-SK"/>
        </w:rPr>
        <w:t>prispieť</w:t>
      </w:r>
      <w:r w:rsidR="00A75B3C" w:rsidRPr="003F23AC">
        <w:rPr>
          <w:rFonts w:cs="Times New Roman"/>
          <w:noProof/>
          <w:lang w:val="sk-SK"/>
        </w:rPr>
        <w:t xml:space="preserve"> k </w:t>
      </w:r>
      <w:r w:rsidRPr="003F23AC">
        <w:rPr>
          <w:rFonts w:cs="Times New Roman"/>
          <w:noProof/>
          <w:lang w:val="sk-SK"/>
        </w:rPr>
        <w:t>nakladaniu</w:t>
      </w:r>
      <w:r w:rsidR="00A75B3C" w:rsidRPr="003F23AC">
        <w:rPr>
          <w:rFonts w:cs="Times New Roman"/>
          <w:noProof/>
          <w:lang w:val="sk-SK"/>
        </w:rPr>
        <w:t xml:space="preserve"> s </w:t>
      </w:r>
      <w:r w:rsidRPr="003F23AC">
        <w:rPr>
          <w:rFonts w:cs="Times New Roman"/>
          <w:noProof/>
          <w:lang w:val="sk-SK"/>
        </w:rPr>
        <w:t>odpadom</w:t>
      </w:r>
      <w:r w:rsidR="00A75B3C" w:rsidRPr="003F23AC">
        <w:rPr>
          <w:rFonts w:cs="Times New Roman"/>
          <w:noProof/>
          <w:lang w:val="sk-SK"/>
        </w:rPr>
        <w:t xml:space="preserve"> v </w:t>
      </w:r>
      <w:r w:rsidRPr="003F23AC">
        <w:rPr>
          <w:rFonts w:cs="Times New Roman"/>
          <w:noProof/>
          <w:lang w:val="sk-SK"/>
        </w:rPr>
        <w:t>týchto odvetviach. Vybrané projekty prispievajú</w:t>
      </w:r>
      <w:r w:rsidR="00A75B3C" w:rsidRPr="003F23AC">
        <w:rPr>
          <w:rFonts w:cs="Times New Roman"/>
          <w:noProof/>
          <w:lang w:val="sk-SK"/>
        </w:rPr>
        <w:t xml:space="preserve"> k </w:t>
      </w:r>
      <w:r w:rsidRPr="003F23AC">
        <w:rPr>
          <w:rFonts w:cs="Times New Roman"/>
          <w:noProof/>
          <w:lang w:val="sk-SK"/>
        </w:rPr>
        <w:t>zníženiu emisií skleníkových plynov.</w:t>
      </w:r>
    </w:p>
    <w:p w14:paraId="140E81B4" w14:textId="4E03FA8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Tieto opatrenia sa doplnia osobitnými</w:t>
      </w:r>
      <w:r w:rsidR="00A75B3C" w:rsidRPr="003F23AC">
        <w:rPr>
          <w:rFonts w:cs="Times New Roman"/>
          <w:noProof/>
          <w:lang w:val="sk-SK"/>
        </w:rPr>
        <w:t xml:space="preserve"> a </w:t>
      </w:r>
      <w:r w:rsidRPr="003F23AC">
        <w:rPr>
          <w:rFonts w:cs="Times New Roman"/>
          <w:noProof/>
          <w:lang w:val="sk-SK"/>
        </w:rPr>
        <w:t>dodatočnými verejnými súťažami na činnosti</w:t>
      </w:r>
      <w:r w:rsidR="00A75B3C" w:rsidRPr="003F23AC">
        <w:rPr>
          <w:rFonts w:cs="Times New Roman"/>
          <w:noProof/>
          <w:lang w:val="sk-SK"/>
        </w:rPr>
        <w:t xml:space="preserve"> v </w:t>
      </w:r>
      <w:r w:rsidRPr="003F23AC">
        <w:rPr>
          <w:rFonts w:cs="Times New Roman"/>
          <w:noProof/>
          <w:lang w:val="sk-SK"/>
        </w:rPr>
        <w:t>oblasti obhospodarovania lesov</w:t>
      </w:r>
      <w:r w:rsidR="00A75B3C" w:rsidRPr="003F23AC">
        <w:rPr>
          <w:rFonts w:cs="Times New Roman"/>
          <w:noProof/>
          <w:lang w:val="sk-SK"/>
        </w:rPr>
        <w:t xml:space="preserve"> a </w:t>
      </w:r>
      <w:r w:rsidRPr="003F23AC">
        <w:rPr>
          <w:rFonts w:cs="Times New Roman"/>
          <w:noProof/>
          <w:lang w:val="sk-SK"/>
        </w:rPr>
        <w:t>produkcie prírodnej živice. Zahŕňa podporu protipožiarnych činností profesionálov na výrobu živice, nákup strojov</w:t>
      </w:r>
      <w:r w:rsidR="00A75B3C" w:rsidRPr="003F23AC">
        <w:rPr>
          <w:rFonts w:cs="Times New Roman"/>
          <w:noProof/>
          <w:lang w:val="sk-SK"/>
        </w:rPr>
        <w:t xml:space="preserve"> a </w:t>
      </w:r>
      <w:r w:rsidRPr="003F23AC">
        <w:rPr>
          <w:rFonts w:cs="Times New Roman"/>
          <w:noProof/>
          <w:lang w:val="sk-SK"/>
        </w:rPr>
        <w:t>zariadení Inštitútom pre ochranu prírody</w:t>
      </w:r>
      <w:r w:rsidR="00A75B3C" w:rsidRPr="003F23AC">
        <w:rPr>
          <w:rFonts w:cs="Times New Roman"/>
          <w:noProof/>
          <w:lang w:val="sk-SK"/>
        </w:rPr>
        <w:t xml:space="preserve"> a </w:t>
      </w:r>
      <w:r w:rsidRPr="003F23AC">
        <w:rPr>
          <w:rFonts w:cs="Times New Roman"/>
          <w:noProof/>
          <w:lang w:val="sk-SK"/>
        </w:rPr>
        <w:t>lesov (ICNF)</w:t>
      </w:r>
      <w:r w:rsidR="00A75B3C" w:rsidRPr="003F23AC">
        <w:rPr>
          <w:rFonts w:cs="Times New Roman"/>
          <w:noProof/>
          <w:lang w:val="sk-SK"/>
        </w:rPr>
        <w:t xml:space="preserve"> a </w:t>
      </w:r>
      <w:r w:rsidRPr="003F23AC">
        <w:rPr>
          <w:rFonts w:cs="Times New Roman"/>
          <w:noProof/>
          <w:lang w:val="sk-SK"/>
        </w:rPr>
        <w:t>činnosti zamerané na ochranu</w:t>
      </w:r>
      <w:r w:rsidR="00A75B3C" w:rsidRPr="003F23AC">
        <w:rPr>
          <w:rFonts w:cs="Times New Roman"/>
          <w:noProof/>
          <w:lang w:val="sk-SK"/>
        </w:rPr>
        <w:t xml:space="preserve"> a </w:t>
      </w:r>
      <w:r w:rsidRPr="003F23AC">
        <w:rPr>
          <w:rFonts w:cs="Times New Roman"/>
          <w:noProof/>
          <w:lang w:val="sk-SK"/>
        </w:rPr>
        <w:t>obnovu morských borovicových lesov. Podporou obhospodarovania lesnej pôdy tieto investície prispievajú</w:t>
      </w:r>
      <w:r w:rsidR="00A75B3C" w:rsidRPr="003F23AC">
        <w:rPr>
          <w:rFonts w:cs="Times New Roman"/>
          <w:noProof/>
          <w:lang w:val="sk-SK"/>
        </w:rPr>
        <w:t xml:space="preserve"> k </w:t>
      </w:r>
      <w:r w:rsidRPr="003F23AC">
        <w:rPr>
          <w:rFonts w:cs="Times New Roman"/>
          <w:noProof/>
          <w:lang w:val="sk-SK"/>
        </w:rPr>
        <w:t>prevencii</w:t>
      </w:r>
      <w:r w:rsidR="00A75B3C" w:rsidRPr="003F23AC">
        <w:rPr>
          <w:rFonts w:cs="Times New Roman"/>
          <w:noProof/>
          <w:lang w:val="sk-SK"/>
        </w:rPr>
        <w:t xml:space="preserve"> a </w:t>
      </w:r>
      <w:r w:rsidRPr="003F23AC">
        <w:rPr>
          <w:rFonts w:cs="Times New Roman"/>
          <w:noProof/>
          <w:lang w:val="sk-SK"/>
        </w:rPr>
        <w:t>zmierňovaniu účinkov požiarov na vidieku</w:t>
      </w:r>
      <w:r w:rsidR="00A75B3C" w:rsidRPr="003F23AC">
        <w:rPr>
          <w:rFonts w:cs="Times New Roman"/>
          <w:noProof/>
          <w:lang w:val="sk-SK"/>
        </w:rPr>
        <w:t xml:space="preserve"> a </w:t>
      </w:r>
      <w:r w:rsidRPr="003F23AC">
        <w:rPr>
          <w:rFonts w:cs="Times New Roman"/>
          <w:noProof/>
          <w:lang w:val="sk-SK"/>
        </w:rPr>
        <w:t>pomáhajú znižovať emisie znečisťujúcich látok do atmosféry.</w:t>
      </w:r>
    </w:p>
    <w:p w14:paraId="0B9296C2" w14:textId="65F22532" w:rsidR="00387C70" w:rsidRPr="003F23AC" w:rsidRDefault="000F5AA4" w:rsidP="003F23AC">
      <w:pPr>
        <w:spacing w:before="40" w:after="0" w:line="259" w:lineRule="auto"/>
        <w:jc w:val="both"/>
        <w:rPr>
          <w:rFonts w:ascii="Times New Roman" w:eastAsiaTheme="minorEastAsia" w:hAnsi="Times New Roman" w:cs="Times New Roman"/>
          <w:noProof/>
          <w:sz w:val="24"/>
          <w:lang w:val="sk-SK"/>
        </w:rPr>
      </w:pPr>
      <w:r w:rsidRPr="003F23AC">
        <w:rPr>
          <w:rFonts w:ascii="Times New Roman" w:hAnsi="Times New Roman" w:cs="Times New Roman"/>
          <w:noProof/>
          <w:sz w:val="24"/>
          <w:lang w:val="sk-SK"/>
        </w:rPr>
        <w:t>Očakáva sa, že žiadne opatrenie</w:t>
      </w:r>
      <w:r w:rsidR="00A75B3C" w:rsidRPr="003F23AC">
        <w:rPr>
          <w:rFonts w:ascii="Times New Roman" w:hAnsi="Times New Roman" w:cs="Times New Roman"/>
          <w:noProof/>
          <w:sz w:val="24"/>
          <w:lang w:val="sk-SK"/>
        </w:rPr>
        <w:t xml:space="preserve"> v </w:t>
      </w:r>
      <w:r w:rsidRPr="003F23AC">
        <w:rPr>
          <w:rFonts w:ascii="Times New Roman" w:hAnsi="Times New Roman" w:cs="Times New Roman"/>
          <w:noProof/>
          <w:sz w:val="24"/>
          <w:lang w:val="sk-SK"/>
        </w:rPr>
        <w:t>tomto komponente výrazne nenaruší environmentálne ciele</w:t>
      </w:r>
      <w:r w:rsidR="00A75B3C" w:rsidRPr="003F23AC">
        <w:rPr>
          <w:rFonts w:ascii="Times New Roman" w:hAnsi="Times New Roman" w:cs="Times New Roman"/>
          <w:noProof/>
          <w:sz w:val="24"/>
          <w:lang w:val="sk-SK"/>
        </w:rPr>
        <w:t xml:space="preserve"> v </w:t>
      </w:r>
      <w:r w:rsidRPr="003F23AC">
        <w:rPr>
          <w:rFonts w:ascii="Times New Roman" w:hAnsi="Times New Roman" w:cs="Times New Roman"/>
          <w:noProof/>
          <w:sz w:val="24"/>
          <w:lang w:val="sk-SK"/>
        </w:rPr>
        <w:t>zmysle článku 17 nariadenia Európskeho parlamentu</w:t>
      </w:r>
      <w:r w:rsidR="00A75B3C" w:rsidRPr="003F23AC">
        <w:rPr>
          <w:rFonts w:ascii="Times New Roman" w:hAnsi="Times New Roman" w:cs="Times New Roman"/>
          <w:noProof/>
          <w:sz w:val="24"/>
          <w:lang w:val="sk-SK"/>
        </w:rPr>
        <w:t xml:space="preserve"> a </w:t>
      </w:r>
      <w:r w:rsidRPr="003F23AC">
        <w:rPr>
          <w:rFonts w:ascii="Times New Roman" w:hAnsi="Times New Roman" w:cs="Times New Roman"/>
          <w:noProof/>
          <w:sz w:val="24"/>
          <w:lang w:val="sk-SK"/>
        </w:rPr>
        <w:t>Rady (EÚ) 2020/852, berúc do úvahy opis opatrení</w:t>
      </w:r>
      <w:r w:rsidR="00A75B3C" w:rsidRPr="003F23AC">
        <w:rPr>
          <w:rFonts w:ascii="Times New Roman" w:hAnsi="Times New Roman" w:cs="Times New Roman"/>
          <w:noProof/>
          <w:sz w:val="24"/>
          <w:lang w:val="sk-SK"/>
        </w:rPr>
        <w:t xml:space="preserve"> a </w:t>
      </w:r>
      <w:r w:rsidRPr="003F23AC">
        <w:rPr>
          <w:rFonts w:ascii="Times New Roman" w:hAnsi="Times New Roman" w:cs="Times New Roman"/>
          <w:noProof/>
          <w:sz w:val="24"/>
          <w:lang w:val="sk-SK"/>
        </w:rPr>
        <w:t>zmierňujúce kroky stanovené</w:t>
      </w:r>
      <w:r w:rsidR="00A75B3C" w:rsidRPr="003F23AC">
        <w:rPr>
          <w:rFonts w:ascii="Times New Roman" w:hAnsi="Times New Roman" w:cs="Times New Roman"/>
          <w:noProof/>
          <w:sz w:val="24"/>
          <w:lang w:val="sk-SK"/>
        </w:rPr>
        <w:t xml:space="preserve"> v </w:t>
      </w:r>
      <w:r w:rsidRPr="003F23AC">
        <w:rPr>
          <w:rFonts w:ascii="Times New Roman" w:hAnsi="Times New Roman" w:cs="Times New Roman"/>
          <w:noProof/>
          <w:sz w:val="24"/>
          <w:lang w:val="sk-SK"/>
        </w:rPr>
        <w:t>pláne obnovy</w:t>
      </w:r>
      <w:r w:rsidR="00A75B3C" w:rsidRPr="003F23AC">
        <w:rPr>
          <w:rFonts w:ascii="Times New Roman" w:hAnsi="Times New Roman" w:cs="Times New Roman"/>
          <w:noProof/>
          <w:sz w:val="24"/>
          <w:lang w:val="sk-SK"/>
        </w:rPr>
        <w:t xml:space="preserve"> a </w:t>
      </w:r>
      <w:r w:rsidRPr="003F23AC">
        <w:rPr>
          <w:rFonts w:ascii="Times New Roman" w:hAnsi="Times New Roman" w:cs="Times New Roman"/>
          <w:noProof/>
          <w:sz w:val="24"/>
          <w:lang w:val="sk-SK"/>
        </w:rPr>
        <w:t>odolnosti</w:t>
      </w:r>
      <w:r w:rsidR="00A75B3C" w:rsidRPr="003F23AC">
        <w:rPr>
          <w:rFonts w:ascii="Times New Roman" w:hAnsi="Times New Roman" w:cs="Times New Roman"/>
          <w:noProof/>
          <w:sz w:val="24"/>
          <w:lang w:val="sk-SK"/>
        </w:rPr>
        <w:t xml:space="preserve"> v </w:t>
      </w:r>
      <w:r w:rsidRPr="003F23AC">
        <w:rPr>
          <w:rFonts w:ascii="Times New Roman" w:hAnsi="Times New Roman" w:cs="Times New Roman"/>
          <w:noProof/>
          <w:sz w:val="24"/>
          <w:lang w:val="sk-SK"/>
        </w:rPr>
        <w:t>súlade so zásadou technického usmernia týkajúceho sa uplatňovania zásady „výrazne nenarušiť“ (DNHS) (2021/C58/01). Najmä</w:t>
      </w:r>
      <w:r w:rsidR="00A75B3C" w:rsidRPr="003F23AC">
        <w:rPr>
          <w:rFonts w:ascii="Times New Roman" w:hAnsi="Times New Roman" w:cs="Times New Roman"/>
          <w:noProof/>
          <w:sz w:val="24"/>
          <w:lang w:val="sk-SK"/>
        </w:rPr>
        <w:t xml:space="preserve"> s </w:t>
      </w:r>
      <w:r w:rsidRPr="003F23AC">
        <w:rPr>
          <w:rFonts w:ascii="Times New Roman" w:hAnsi="Times New Roman" w:cs="Times New Roman"/>
          <w:noProof/>
          <w:sz w:val="24"/>
          <w:lang w:val="sk-SK"/>
        </w:rPr>
        <w:t>cieľom zabezpečiť súlad</w:t>
      </w:r>
      <w:r w:rsidR="00A75B3C" w:rsidRPr="003F23AC">
        <w:rPr>
          <w:rFonts w:ascii="Times New Roman" w:hAnsi="Times New Roman" w:cs="Times New Roman"/>
          <w:noProof/>
          <w:sz w:val="24"/>
          <w:lang w:val="sk-SK"/>
        </w:rPr>
        <w:t xml:space="preserve"> s </w:t>
      </w:r>
      <w:r w:rsidRPr="003F23AC">
        <w:rPr>
          <w:rFonts w:ascii="Times New Roman" w:hAnsi="Times New Roman" w:cs="Times New Roman"/>
          <w:noProof/>
          <w:sz w:val="24"/>
          <w:lang w:val="sk-SK"/>
        </w:rPr>
        <w:t>technickým usmernením týkajúcim sa zásady „výrazne nenarušiť“ (2021/C58/01) musia byť vozidlá, stroje</w:t>
      </w:r>
      <w:r w:rsidR="00A75B3C" w:rsidRPr="003F23AC">
        <w:rPr>
          <w:rFonts w:ascii="Times New Roman" w:hAnsi="Times New Roman" w:cs="Times New Roman"/>
          <w:noProof/>
          <w:sz w:val="24"/>
          <w:lang w:val="sk-SK"/>
        </w:rPr>
        <w:t xml:space="preserve"> a </w:t>
      </w:r>
      <w:r w:rsidRPr="003F23AC">
        <w:rPr>
          <w:rFonts w:ascii="Times New Roman" w:hAnsi="Times New Roman" w:cs="Times New Roman"/>
          <w:noProof/>
          <w:sz w:val="24"/>
          <w:lang w:val="sk-SK"/>
        </w:rPr>
        <w:t>zariadenia, ktoré má zakúpiť Inštitút pre ochranu prírody</w:t>
      </w:r>
      <w:r w:rsidR="00A75B3C" w:rsidRPr="003F23AC">
        <w:rPr>
          <w:rFonts w:ascii="Times New Roman" w:hAnsi="Times New Roman" w:cs="Times New Roman"/>
          <w:noProof/>
          <w:sz w:val="24"/>
          <w:lang w:val="sk-SK"/>
        </w:rPr>
        <w:t xml:space="preserve"> a </w:t>
      </w:r>
      <w:r w:rsidRPr="003F23AC">
        <w:rPr>
          <w:rFonts w:ascii="Times New Roman" w:hAnsi="Times New Roman" w:cs="Times New Roman"/>
          <w:noProof/>
          <w:sz w:val="24"/>
          <w:lang w:val="sk-SK"/>
        </w:rPr>
        <w:t>lesov (ICNF),</w:t>
      </w:r>
      <w:r w:rsidR="00A75B3C" w:rsidRPr="003F23AC">
        <w:rPr>
          <w:rFonts w:ascii="Times New Roman" w:hAnsi="Times New Roman" w:cs="Times New Roman"/>
          <w:noProof/>
          <w:sz w:val="24"/>
          <w:lang w:val="sk-SK"/>
        </w:rPr>
        <w:t xml:space="preserve"> s </w:t>
      </w:r>
      <w:r w:rsidRPr="003F23AC">
        <w:rPr>
          <w:rFonts w:ascii="Times New Roman" w:hAnsi="Times New Roman" w:cs="Times New Roman"/>
          <w:noProof/>
          <w:sz w:val="24"/>
          <w:lang w:val="sk-SK"/>
        </w:rPr>
        <w:t>nulovými emisiami. Ak neexistujú žiadne alternatívy</w:t>
      </w:r>
      <w:r w:rsidR="00A75B3C" w:rsidRPr="003F23AC">
        <w:rPr>
          <w:rFonts w:ascii="Times New Roman" w:hAnsi="Times New Roman" w:cs="Times New Roman"/>
          <w:noProof/>
          <w:sz w:val="24"/>
          <w:lang w:val="sk-SK"/>
        </w:rPr>
        <w:t xml:space="preserve"> s </w:t>
      </w:r>
      <w:r w:rsidRPr="003F23AC">
        <w:rPr>
          <w:rFonts w:ascii="Times New Roman" w:hAnsi="Times New Roman" w:cs="Times New Roman"/>
          <w:noProof/>
          <w:sz w:val="24"/>
          <w:lang w:val="sk-SK"/>
        </w:rPr>
        <w:t>nulovými emisiami, vozidlá, stroje</w:t>
      </w:r>
      <w:r w:rsidR="00A75B3C" w:rsidRPr="003F23AC">
        <w:rPr>
          <w:rFonts w:ascii="Times New Roman" w:hAnsi="Times New Roman" w:cs="Times New Roman"/>
          <w:noProof/>
          <w:sz w:val="24"/>
          <w:lang w:val="sk-SK"/>
        </w:rPr>
        <w:t xml:space="preserve"> a </w:t>
      </w:r>
      <w:r w:rsidRPr="003F23AC">
        <w:rPr>
          <w:rFonts w:ascii="Times New Roman" w:hAnsi="Times New Roman" w:cs="Times New Roman"/>
          <w:noProof/>
          <w:sz w:val="24"/>
          <w:lang w:val="sk-SK"/>
        </w:rPr>
        <w:t>zariadenia, ktoré sa majú kúpiť, predstavujú najlepšie dostupné úrovne environmentálnych vlastností</w:t>
      </w:r>
      <w:r w:rsidR="00A75B3C" w:rsidRPr="003F23AC">
        <w:rPr>
          <w:rFonts w:ascii="Times New Roman" w:hAnsi="Times New Roman" w:cs="Times New Roman"/>
          <w:noProof/>
          <w:sz w:val="24"/>
          <w:lang w:val="sk-SK"/>
        </w:rPr>
        <w:t xml:space="preserve"> v </w:t>
      </w:r>
      <w:r w:rsidRPr="003F23AC">
        <w:rPr>
          <w:rFonts w:ascii="Times New Roman" w:hAnsi="Times New Roman" w:cs="Times New Roman"/>
          <w:noProof/>
          <w:sz w:val="24"/>
          <w:lang w:val="sk-SK"/>
        </w:rPr>
        <w:t>odvetví. Okrem toho kritériá oprávnenosti uvedené</w:t>
      </w:r>
      <w:r w:rsidR="00A75B3C" w:rsidRPr="003F23AC">
        <w:rPr>
          <w:rFonts w:ascii="Times New Roman" w:hAnsi="Times New Roman" w:cs="Times New Roman"/>
          <w:noProof/>
          <w:sz w:val="24"/>
          <w:lang w:val="sk-SK"/>
        </w:rPr>
        <w:t xml:space="preserve"> v </w:t>
      </w:r>
      <w:r w:rsidRPr="003F23AC">
        <w:rPr>
          <w:rFonts w:ascii="Times New Roman" w:hAnsi="Times New Roman" w:cs="Times New Roman"/>
          <w:noProof/>
          <w:sz w:val="24"/>
          <w:lang w:val="sk-SK"/>
        </w:rPr>
        <w:t>referenčnom rámci pre nadchádzajúce výzvy na predkladanie projektov nezahŕňajú tento zoznam činností: I) činnosti súvisiace</w:t>
      </w:r>
      <w:r w:rsidR="00A75B3C" w:rsidRPr="003F23AC">
        <w:rPr>
          <w:rFonts w:ascii="Times New Roman" w:hAnsi="Times New Roman" w:cs="Times New Roman"/>
          <w:noProof/>
          <w:sz w:val="24"/>
          <w:lang w:val="sk-SK"/>
        </w:rPr>
        <w:t xml:space="preserve"> s </w:t>
      </w:r>
      <w:r w:rsidRPr="003F23AC">
        <w:rPr>
          <w:rFonts w:ascii="Times New Roman" w:hAnsi="Times New Roman" w:cs="Times New Roman"/>
          <w:noProof/>
          <w:sz w:val="24"/>
          <w:lang w:val="sk-SK"/>
        </w:rPr>
        <w:t>fosílnymi palivami vrátane následného použitia</w:t>
      </w:r>
      <w:r w:rsidRPr="003F23AC">
        <w:rPr>
          <w:rStyle w:val="FootnoteReference"/>
          <w:rFonts w:ascii="Times New Roman" w:hAnsi="Times New Roman" w:cs="Times New Roman"/>
          <w:noProof/>
          <w:sz w:val="24"/>
          <w:lang w:val="sk-SK"/>
        </w:rPr>
        <w:footnoteReference w:id="48"/>
      </w:r>
      <w:r w:rsidRPr="003F23AC">
        <w:rPr>
          <w:rFonts w:ascii="Times New Roman" w:hAnsi="Times New Roman" w:cs="Times New Roman"/>
          <w:noProof/>
          <w:sz w:val="24"/>
          <w:lang w:val="sk-SK"/>
        </w:rPr>
        <w:t>; II) činnosti</w:t>
      </w:r>
      <w:r w:rsidR="00A75B3C" w:rsidRPr="003F23AC">
        <w:rPr>
          <w:rFonts w:ascii="Times New Roman" w:hAnsi="Times New Roman" w:cs="Times New Roman"/>
          <w:noProof/>
          <w:sz w:val="24"/>
          <w:lang w:val="sk-SK"/>
        </w:rPr>
        <w:t xml:space="preserve"> v </w:t>
      </w:r>
      <w:r w:rsidRPr="003F23AC">
        <w:rPr>
          <w:rFonts w:ascii="Times New Roman" w:hAnsi="Times New Roman" w:cs="Times New Roman"/>
          <w:noProof/>
          <w:sz w:val="24"/>
          <w:lang w:val="sk-SK"/>
        </w:rPr>
        <w:t>rámci systému EÚ na obchodovanie</w:t>
      </w:r>
      <w:r w:rsidR="00A75B3C" w:rsidRPr="003F23AC">
        <w:rPr>
          <w:rFonts w:ascii="Times New Roman" w:hAnsi="Times New Roman" w:cs="Times New Roman"/>
          <w:noProof/>
          <w:sz w:val="24"/>
          <w:lang w:val="sk-SK"/>
        </w:rPr>
        <w:t xml:space="preserve"> s </w:t>
      </w:r>
      <w:r w:rsidRPr="003F23AC">
        <w:rPr>
          <w:rFonts w:ascii="Times New Roman" w:hAnsi="Times New Roman" w:cs="Times New Roman"/>
          <w:noProof/>
          <w:sz w:val="24"/>
          <w:lang w:val="sk-SK"/>
        </w:rPr>
        <w:t>emisiami (ETS), ktorými sa dosahujú predpokladané emisie skleníkových plynov, ktoré nie sú nižšie ako príslušné referenčné hodnoty</w:t>
      </w:r>
      <w:r w:rsidRPr="003F23AC">
        <w:rPr>
          <w:rStyle w:val="FootnoteReference"/>
          <w:rFonts w:ascii="Times New Roman" w:hAnsi="Times New Roman" w:cs="Times New Roman"/>
          <w:noProof/>
          <w:sz w:val="24"/>
          <w:lang w:val="sk-SK"/>
        </w:rPr>
        <w:footnoteReference w:id="49"/>
      </w:r>
      <w:r w:rsidRPr="003F23AC">
        <w:rPr>
          <w:rFonts w:ascii="Times New Roman" w:hAnsi="Times New Roman" w:cs="Times New Roman"/>
          <w:noProof/>
          <w:sz w:val="24"/>
          <w:lang w:val="sk-SK"/>
        </w:rPr>
        <w:t>; III) činnosti týkajúce sa skládok odpadu, spaľovní</w:t>
      </w:r>
      <w:r w:rsidRPr="003F23AC">
        <w:rPr>
          <w:rStyle w:val="FootnoteReference"/>
          <w:rFonts w:ascii="Times New Roman" w:hAnsi="Times New Roman" w:cs="Times New Roman"/>
          <w:noProof/>
          <w:sz w:val="24"/>
          <w:lang w:val="sk-SK"/>
        </w:rPr>
        <w:footnoteReference w:id="50"/>
      </w:r>
      <w:r w:rsidR="00A75B3C" w:rsidRPr="003F23AC">
        <w:rPr>
          <w:rFonts w:ascii="Times New Roman" w:hAnsi="Times New Roman" w:cs="Times New Roman"/>
          <w:noProof/>
          <w:sz w:val="24"/>
          <w:lang w:val="sk-SK"/>
        </w:rPr>
        <w:t xml:space="preserve"> a </w:t>
      </w:r>
      <w:r w:rsidRPr="003F23AC">
        <w:rPr>
          <w:rFonts w:ascii="Times New Roman" w:hAnsi="Times New Roman" w:cs="Times New Roman"/>
          <w:noProof/>
          <w:sz w:val="24"/>
          <w:lang w:val="sk-SK"/>
        </w:rPr>
        <w:t>mechanických biologických čistiarní</w:t>
      </w:r>
      <w:r w:rsidRPr="003F23AC">
        <w:rPr>
          <w:rStyle w:val="FootnoteReference"/>
          <w:rFonts w:ascii="Times New Roman" w:hAnsi="Times New Roman" w:cs="Times New Roman"/>
          <w:noProof/>
          <w:sz w:val="24"/>
          <w:lang w:val="sk-SK"/>
        </w:rPr>
        <w:footnoteReference w:id="51"/>
      </w:r>
      <w:r w:rsidRPr="003F23AC">
        <w:rPr>
          <w:rFonts w:ascii="Times New Roman" w:hAnsi="Times New Roman" w:cs="Times New Roman"/>
          <w:noProof/>
          <w:sz w:val="24"/>
          <w:lang w:val="sk-SK"/>
        </w:rPr>
        <w:t>;</w:t>
      </w:r>
      <w:r w:rsidR="00A75B3C" w:rsidRPr="003F23AC">
        <w:rPr>
          <w:rFonts w:ascii="Times New Roman" w:hAnsi="Times New Roman" w:cs="Times New Roman"/>
          <w:noProof/>
          <w:sz w:val="24"/>
          <w:lang w:val="sk-SK"/>
        </w:rPr>
        <w:t xml:space="preserve"> a </w:t>
      </w:r>
      <w:r w:rsidRPr="003F23AC">
        <w:rPr>
          <w:rFonts w:ascii="Times New Roman" w:hAnsi="Times New Roman" w:cs="Times New Roman"/>
          <w:noProof/>
          <w:sz w:val="24"/>
          <w:lang w:val="sk-SK"/>
        </w:rPr>
        <w:t>iv) činnosti, pri ktorých môže dlhodobé zneškodňovanie odpadu poškodiť životné prostredie.</w:t>
      </w:r>
      <w:r w:rsidR="00A75B3C" w:rsidRPr="003F23AC">
        <w:rPr>
          <w:rFonts w:ascii="Times New Roman" w:hAnsi="Times New Roman" w:cs="Times New Roman"/>
          <w:noProof/>
          <w:sz w:val="24"/>
          <w:lang w:val="sk-SK"/>
        </w:rPr>
        <w:t xml:space="preserve"> V </w:t>
      </w:r>
      <w:r w:rsidRPr="003F23AC">
        <w:rPr>
          <w:rFonts w:ascii="Times New Roman" w:hAnsi="Times New Roman" w:cs="Times New Roman"/>
          <w:noProof/>
          <w:sz w:val="24"/>
          <w:lang w:val="sk-SK"/>
        </w:rPr>
        <w:t>referenčnom rámci sa okrem toho vyžaduje, aby sa mohli vybrať len činnosti, ktoré sú</w:t>
      </w:r>
      <w:r w:rsidR="00A75B3C" w:rsidRPr="003F23AC">
        <w:rPr>
          <w:rFonts w:ascii="Times New Roman" w:hAnsi="Times New Roman" w:cs="Times New Roman"/>
          <w:noProof/>
          <w:sz w:val="24"/>
          <w:lang w:val="sk-SK"/>
        </w:rPr>
        <w:t xml:space="preserve"> v </w:t>
      </w:r>
      <w:r w:rsidRPr="003F23AC">
        <w:rPr>
          <w:rFonts w:ascii="Times New Roman" w:hAnsi="Times New Roman" w:cs="Times New Roman"/>
          <w:noProof/>
          <w:sz w:val="24"/>
          <w:lang w:val="sk-SK"/>
        </w:rPr>
        <w:t>súlade</w:t>
      </w:r>
      <w:r w:rsidR="00A75B3C" w:rsidRPr="003F23AC">
        <w:rPr>
          <w:rFonts w:ascii="Times New Roman" w:hAnsi="Times New Roman" w:cs="Times New Roman"/>
          <w:noProof/>
          <w:sz w:val="24"/>
          <w:lang w:val="sk-SK"/>
        </w:rPr>
        <w:t xml:space="preserve"> s </w:t>
      </w:r>
      <w:r w:rsidRPr="003F23AC">
        <w:rPr>
          <w:rFonts w:ascii="Times New Roman" w:hAnsi="Times New Roman" w:cs="Times New Roman"/>
          <w:noProof/>
          <w:sz w:val="24"/>
          <w:lang w:val="sk-SK"/>
        </w:rPr>
        <w:t>príslušnými právnymi predpismi EÚ</w:t>
      </w:r>
      <w:r w:rsidR="00A75B3C" w:rsidRPr="003F23AC">
        <w:rPr>
          <w:rFonts w:ascii="Times New Roman" w:hAnsi="Times New Roman" w:cs="Times New Roman"/>
          <w:noProof/>
          <w:sz w:val="24"/>
          <w:lang w:val="sk-SK"/>
        </w:rPr>
        <w:t xml:space="preserve"> a </w:t>
      </w:r>
      <w:r w:rsidRPr="003F23AC">
        <w:rPr>
          <w:rFonts w:ascii="Times New Roman" w:hAnsi="Times New Roman" w:cs="Times New Roman"/>
          <w:noProof/>
          <w:sz w:val="24"/>
          <w:lang w:val="sk-SK"/>
        </w:rPr>
        <w:t>vnútroštátnymi právnymi predpismi</w:t>
      </w:r>
      <w:r w:rsidR="00A75B3C" w:rsidRPr="003F23AC">
        <w:rPr>
          <w:rFonts w:ascii="Times New Roman" w:hAnsi="Times New Roman" w:cs="Times New Roman"/>
          <w:noProof/>
          <w:sz w:val="24"/>
          <w:lang w:val="sk-SK"/>
        </w:rPr>
        <w:t xml:space="preserve"> v </w:t>
      </w:r>
      <w:r w:rsidRPr="003F23AC">
        <w:rPr>
          <w:rFonts w:ascii="Times New Roman" w:hAnsi="Times New Roman" w:cs="Times New Roman"/>
          <w:noProof/>
          <w:sz w:val="24"/>
          <w:lang w:val="sk-SK"/>
        </w:rPr>
        <w:t>oblasti životného prostredia.</w:t>
      </w:r>
    </w:p>
    <w:p w14:paraId="68DD936F" w14:textId="4E233FA8"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433D486B" w14:textId="64E21B26"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bookmarkStart w:id="27" w:name="_Toc137472461"/>
      <w:r w:rsidRPr="003F23AC">
        <w:rPr>
          <w:rFonts w:cs="Times New Roman"/>
          <w:noProof/>
          <w:lang w:val="sk-SK"/>
        </w:rPr>
        <w:t>Reforma TC-C12-r39: Podpora obehového hospodárstva</w:t>
      </w:r>
      <w:r w:rsidR="00A75B3C" w:rsidRPr="003F23AC">
        <w:rPr>
          <w:rFonts w:cs="Times New Roman"/>
          <w:noProof/>
          <w:lang w:val="sk-SK"/>
        </w:rPr>
        <w:t xml:space="preserve"> a </w:t>
      </w:r>
      <w:r w:rsidRPr="003F23AC">
        <w:rPr>
          <w:rFonts w:cs="Times New Roman"/>
          <w:noProof/>
          <w:lang w:val="sk-SK"/>
        </w:rPr>
        <w:t>efektívnejšieho nakladania</w:t>
      </w:r>
      <w:r w:rsidR="00A75B3C" w:rsidRPr="003F23AC">
        <w:rPr>
          <w:rFonts w:cs="Times New Roman"/>
          <w:noProof/>
          <w:lang w:val="sk-SK"/>
        </w:rPr>
        <w:t xml:space="preserve"> s </w:t>
      </w:r>
      <w:r w:rsidRPr="003F23AC">
        <w:rPr>
          <w:rFonts w:cs="Times New Roman"/>
          <w:noProof/>
          <w:lang w:val="sk-SK"/>
        </w:rPr>
        <w:t>odpadom</w:t>
      </w:r>
      <w:bookmarkEnd w:id="27"/>
    </w:p>
    <w:p w14:paraId="210FFEF3" w14:textId="6A9EB08F" w:rsidR="00387C70"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Cieľom reformy je zlepšiť predchádzanie vzniku odpadu, prípravu na opätovné použitie, recykláciu</w:t>
      </w:r>
      <w:r w:rsidR="00A75B3C" w:rsidRPr="003F23AC">
        <w:rPr>
          <w:rFonts w:cs="Times New Roman"/>
          <w:noProof/>
          <w:lang w:val="sk-SK"/>
        </w:rPr>
        <w:t xml:space="preserve"> a </w:t>
      </w:r>
      <w:r w:rsidRPr="003F23AC">
        <w:rPr>
          <w:rFonts w:cs="Times New Roman"/>
          <w:noProof/>
          <w:lang w:val="sk-SK"/>
        </w:rPr>
        <w:t>zhodnocovanie</w:t>
      </w:r>
      <w:r w:rsidR="00A75B3C" w:rsidRPr="003F23AC">
        <w:rPr>
          <w:rFonts w:cs="Times New Roman"/>
          <w:noProof/>
          <w:lang w:val="sk-SK"/>
        </w:rPr>
        <w:t xml:space="preserve"> a </w:t>
      </w:r>
      <w:r w:rsidRPr="003F23AC">
        <w:rPr>
          <w:rFonts w:cs="Times New Roman"/>
          <w:noProof/>
          <w:lang w:val="sk-SK"/>
        </w:rPr>
        <w:t>odklonenie odpadu</w:t>
      </w:r>
      <w:r w:rsidR="00A75B3C" w:rsidRPr="003F23AC">
        <w:rPr>
          <w:rFonts w:cs="Times New Roman"/>
          <w:noProof/>
          <w:lang w:val="sk-SK"/>
        </w:rPr>
        <w:t xml:space="preserve"> a </w:t>
      </w:r>
      <w:r w:rsidRPr="003F23AC">
        <w:rPr>
          <w:rFonts w:cs="Times New Roman"/>
          <w:noProof/>
          <w:lang w:val="sk-SK"/>
        </w:rPr>
        <w:t>podporiť obehové hospodárstvo.</w:t>
      </w:r>
    </w:p>
    <w:p w14:paraId="63C08402" w14:textId="77777777" w:rsidR="00A75B3C" w:rsidRPr="003F23AC" w:rsidRDefault="000F5AA4" w:rsidP="003F23AC">
      <w:pPr>
        <w:pStyle w:val="P68B1DB1-Normal4"/>
        <w:spacing w:beforeLines="40" w:before="96" w:after="0" w:line="22" w:lineRule="atLeast"/>
        <w:rPr>
          <w:rFonts w:cs="Times New Roman"/>
          <w:noProof/>
          <w:lang w:val="sk-SK"/>
        </w:rPr>
      </w:pPr>
      <w:r w:rsidRPr="003F23AC">
        <w:rPr>
          <w:rFonts w:cs="Times New Roman"/>
          <w:noProof/>
          <w:lang w:val="sk-SK"/>
        </w:rPr>
        <w:t>Reforma bude sledovať tieto ciele</w:t>
      </w:r>
      <w:r w:rsidR="00A75B3C" w:rsidRPr="003F23AC">
        <w:rPr>
          <w:rFonts w:cs="Times New Roman"/>
          <w:noProof/>
          <w:lang w:val="sk-SK"/>
        </w:rPr>
        <w:t>:</w:t>
      </w:r>
    </w:p>
    <w:p w14:paraId="0DF062F1" w14:textId="01783ACA" w:rsidR="00387C70" w:rsidRPr="003F23AC" w:rsidRDefault="000F5AA4" w:rsidP="003F23AC">
      <w:pPr>
        <w:pStyle w:val="ListParagraph"/>
        <w:keepNext w:val="0"/>
        <w:numPr>
          <w:ilvl w:val="0"/>
          <w:numId w:val="81"/>
        </w:numPr>
        <w:spacing w:beforeLines="40" w:before="96" w:after="0" w:line="22" w:lineRule="atLeast"/>
        <w:rPr>
          <w:noProof/>
          <w:lang w:val="sk-SK"/>
        </w:rPr>
      </w:pPr>
      <w:r w:rsidRPr="003F23AC">
        <w:rPr>
          <w:noProof/>
          <w:lang w:val="sk-SK"/>
        </w:rPr>
        <w:t>Podporovať ďalší ekodizajn vyrábaných výrobkov harmonizáciou kritérií ekologickej modulácie, ktoré majú používať výrobcovia. Tieto kritériá sú povinné pre riadiace subjekty (združenia zastupujúce výrobcov výrobkov, baliarne</w:t>
      </w:r>
      <w:r w:rsidR="00A75B3C" w:rsidRPr="003F23AC">
        <w:rPr>
          <w:noProof/>
          <w:lang w:val="sk-SK"/>
        </w:rPr>
        <w:t xml:space="preserve"> a </w:t>
      </w:r>
      <w:r w:rsidRPr="003F23AC">
        <w:rPr>
          <w:noProof/>
          <w:lang w:val="sk-SK"/>
        </w:rPr>
        <w:t>dodávateľov baliarenských služieb) pri zavádzaní integrovaných systémov, na ktoré sa vzťahuje rozšírená zodpovednosť výrobcu. Kritériami sa zabezpečí, aby finančné modely podľa článku 15 ods. 3</w:t>
      </w:r>
      <w:r w:rsidR="00A75B3C" w:rsidRPr="003F23AC">
        <w:rPr>
          <w:noProof/>
          <w:lang w:val="sk-SK"/>
        </w:rPr>
        <w:t xml:space="preserve"> a </w:t>
      </w:r>
      <w:r w:rsidRPr="003F23AC">
        <w:rPr>
          <w:noProof/>
          <w:lang w:val="sk-SK"/>
        </w:rPr>
        <w:t xml:space="preserve">4 zákonného dekrétu </w:t>
      </w:r>
      <w:r w:rsidR="00A75B3C" w:rsidRPr="003F23AC">
        <w:rPr>
          <w:noProof/>
          <w:lang w:val="sk-SK"/>
        </w:rPr>
        <w:t>č. </w:t>
      </w:r>
      <w:r w:rsidRPr="003F23AC">
        <w:rPr>
          <w:noProof/>
          <w:lang w:val="sk-SK"/>
        </w:rPr>
        <w:t>152/D/2017 odrážali vplyv výrobku na životné prostredie</w:t>
      </w:r>
      <w:r w:rsidR="00A75B3C" w:rsidRPr="003F23AC">
        <w:rPr>
          <w:noProof/>
          <w:lang w:val="sk-SK"/>
        </w:rPr>
        <w:t xml:space="preserve"> a </w:t>
      </w:r>
      <w:r w:rsidRPr="003F23AC">
        <w:rPr>
          <w:noProof/>
          <w:lang w:val="sk-SK"/>
        </w:rPr>
        <w:t>skutočné náklady na nakladanie</w:t>
      </w:r>
      <w:r w:rsidR="00A75B3C" w:rsidRPr="003F23AC">
        <w:rPr>
          <w:noProof/>
          <w:lang w:val="sk-SK"/>
        </w:rPr>
        <w:t xml:space="preserve"> s </w:t>
      </w:r>
      <w:r w:rsidRPr="003F23AC">
        <w:rPr>
          <w:noProof/>
          <w:lang w:val="sk-SK"/>
        </w:rPr>
        <w:t>odpadom</w:t>
      </w:r>
      <w:r w:rsidR="00A75B3C" w:rsidRPr="003F23AC">
        <w:rPr>
          <w:noProof/>
          <w:lang w:val="sk-SK"/>
        </w:rPr>
        <w:t xml:space="preserve"> a </w:t>
      </w:r>
      <w:r w:rsidRPr="003F23AC">
        <w:rPr>
          <w:noProof/>
          <w:lang w:val="sk-SK"/>
        </w:rPr>
        <w:t>vytvárali finančné stimuly pre trvácnejšie, opraviteľné</w:t>
      </w:r>
      <w:r w:rsidR="00A75B3C" w:rsidRPr="003F23AC">
        <w:rPr>
          <w:noProof/>
          <w:lang w:val="sk-SK"/>
        </w:rPr>
        <w:t xml:space="preserve"> a </w:t>
      </w:r>
      <w:r w:rsidRPr="003F23AC">
        <w:rPr>
          <w:noProof/>
          <w:lang w:val="sk-SK"/>
        </w:rPr>
        <w:t>recyklovateľné výrobky úpravou poplatkov, ktoré majú platiť výrobcovia.</w:t>
      </w:r>
    </w:p>
    <w:p w14:paraId="5A107152" w14:textId="0608DC7E" w:rsidR="00387C70" w:rsidRPr="003F23AC" w:rsidRDefault="000F5AA4" w:rsidP="003F23AC">
      <w:pPr>
        <w:pStyle w:val="ListParagraph"/>
        <w:keepNext w:val="0"/>
        <w:numPr>
          <w:ilvl w:val="0"/>
          <w:numId w:val="81"/>
        </w:numPr>
        <w:spacing w:beforeLines="40" w:before="96" w:after="0" w:line="22" w:lineRule="atLeast"/>
        <w:rPr>
          <w:noProof/>
          <w:lang w:val="sk-SK"/>
        </w:rPr>
      </w:pPr>
      <w:r w:rsidRPr="003F23AC">
        <w:rPr>
          <w:noProof/>
          <w:lang w:val="sk-SK"/>
        </w:rPr>
        <w:t>Zaviesť systém stimulov na zhodnocovanie (systém ukladania</w:t>
      </w:r>
      <w:r w:rsidR="00A75B3C" w:rsidRPr="003F23AC">
        <w:rPr>
          <w:noProof/>
          <w:lang w:val="sk-SK"/>
        </w:rPr>
        <w:t xml:space="preserve"> a </w:t>
      </w:r>
      <w:r w:rsidRPr="003F23AC">
        <w:rPr>
          <w:noProof/>
          <w:lang w:val="sk-SK"/>
        </w:rPr>
        <w:t>náhrad) pre jednorazové fľaše</w:t>
      </w:r>
      <w:r w:rsidR="00A75B3C" w:rsidRPr="003F23AC">
        <w:rPr>
          <w:noProof/>
          <w:lang w:val="sk-SK"/>
        </w:rPr>
        <w:t xml:space="preserve"> z </w:t>
      </w:r>
      <w:r w:rsidRPr="003F23AC">
        <w:rPr>
          <w:noProof/>
          <w:lang w:val="sk-SK"/>
        </w:rPr>
        <w:t>plastov, železných kovov</w:t>
      </w:r>
      <w:r w:rsidR="00A75B3C" w:rsidRPr="003F23AC">
        <w:rPr>
          <w:noProof/>
          <w:lang w:val="sk-SK"/>
        </w:rPr>
        <w:t xml:space="preserve"> a </w:t>
      </w:r>
      <w:r w:rsidRPr="003F23AC">
        <w:rPr>
          <w:noProof/>
          <w:lang w:val="sk-SK"/>
        </w:rPr>
        <w:t>hliníka.</w:t>
      </w:r>
    </w:p>
    <w:p w14:paraId="295C1FD7" w14:textId="11590290" w:rsidR="00A75B3C" w:rsidRPr="003F23AC" w:rsidRDefault="000F5AA4" w:rsidP="003F23AC">
      <w:pPr>
        <w:pStyle w:val="ListParagraph"/>
        <w:keepNext w:val="0"/>
        <w:numPr>
          <w:ilvl w:val="0"/>
          <w:numId w:val="81"/>
        </w:numPr>
        <w:spacing w:beforeLines="40" w:before="96" w:after="0" w:line="22" w:lineRule="atLeast"/>
        <w:rPr>
          <w:noProof/>
          <w:lang w:val="sk-SK"/>
        </w:rPr>
      </w:pPr>
      <w:r w:rsidRPr="003F23AC">
        <w:rPr>
          <w:noProof/>
          <w:lang w:val="sk-SK"/>
        </w:rPr>
        <w:t>V nadväznosti na štúdiu uskutočniteľnosti zaviesť systém stimulov na spätné prevzatie rôznych kategórií odpadu</w:t>
      </w:r>
      <w:r w:rsidR="00A75B3C" w:rsidRPr="003F23AC">
        <w:rPr>
          <w:noProof/>
          <w:lang w:val="sk-SK"/>
        </w:rPr>
        <w:t xml:space="preserve"> z </w:t>
      </w:r>
      <w:r w:rsidRPr="003F23AC">
        <w:rPr>
          <w:noProof/>
          <w:lang w:val="sk-SK"/>
        </w:rPr>
        <w:t>elektrických</w:t>
      </w:r>
      <w:r w:rsidR="00A75B3C" w:rsidRPr="003F23AC">
        <w:rPr>
          <w:noProof/>
          <w:lang w:val="sk-SK"/>
        </w:rPr>
        <w:t xml:space="preserve"> a </w:t>
      </w:r>
      <w:r w:rsidRPr="003F23AC">
        <w:rPr>
          <w:noProof/>
          <w:lang w:val="sk-SK"/>
        </w:rPr>
        <w:t>elektronických zariadení</w:t>
      </w:r>
      <w:r w:rsidR="00A75B3C" w:rsidRPr="003F23AC">
        <w:rPr>
          <w:noProof/>
          <w:lang w:val="sk-SK"/>
        </w:rPr>
        <w:t>.</w:t>
      </w:r>
    </w:p>
    <w:p w14:paraId="58107F2F" w14:textId="7F060B2D" w:rsidR="00387C70" w:rsidRPr="003F23AC" w:rsidRDefault="000F5AA4" w:rsidP="003F23AC">
      <w:pPr>
        <w:pStyle w:val="P68B1DB1-Normal4"/>
        <w:spacing w:beforeLines="40" w:before="96" w:after="0" w:line="22" w:lineRule="atLeast"/>
        <w:rPr>
          <w:rFonts w:cs="Times New Roman"/>
          <w:noProof/>
          <w:lang w:val="sk-SK"/>
        </w:rPr>
      </w:pPr>
      <w:r w:rsidRPr="003F23AC">
        <w:rPr>
          <w:rFonts w:cs="Times New Roman"/>
          <w:noProof/>
          <w:lang w:val="sk-SK"/>
        </w:rPr>
        <w:t>Implementácia tejto reformy sa dokončí do 31</w:t>
      </w:r>
      <w:r w:rsidR="00A75B3C" w:rsidRPr="003F23AC">
        <w:rPr>
          <w:rFonts w:cs="Times New Roman"/>
          <w:noProof/>
          <w:lang w:val="sk-SK"/>
        </w:rPr>
        <w:t>. decembra</w:t>
      </w:r>
      <w:r w:rsidRPr="003F23AC">
        <w:rPr>
          <w:rFonts w:cs="Times New Roman"/>
          <w:noProof/>
          <w:lang w:val="sk-SK"/>
        </w:rPr>
        <w:t xml:space="preserve"> 2025.</w:t>
      </w:r>
    </w:p>
    <w:p w14:paraId="55469554"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719F8386"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E00EDD">
          <w:headerReference w:type="even" r:id="rId246"/>
          <w:headerReference w:type="default" r:id="rId247"/>
          <w:footerReference w:type="even" r:id="rId248"/>
          <w:footerReference w:type="default" r:id="rId249"/>
          <w:headerReference w:type="first" r:id="rId250"/>
          <w:footerReference w:type="first" r:id="rId251"/>
          <w:pgSz w:w="11907" w:h="16839"/>
          <w:pgMar w:top="1134" w:right="1134" w:bottom="1134" w:left="1134" w:header="567" w:footer="567" w:gutter="0"/>
          <w:cols w:space="720"/>
          <w:docGrid w:linePitch="360"/>
        </w:sectPr>
      </w:pPr>
    </w:p>
    <w:p w14:paraId="0F85B075" w14:textId="136017A9"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 xml:space="preserve">L.2. </w:t>
      </w:r>
      <w:r w:rsidRPr="003F23AC">
        <w:rPr>
          <w:rFonts w:cs="Times New Roman"/>
          <w:noProof/>
          <w:lang w:val="sk-SK"/>
        </w:rPr>
        <w:tab/>
        <w:t>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p w14:paraId="16CF26E3"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134"/>
        <w:gridCol w:w="1701"/>
        <w:gridCol w:w="1275"/>
        <w:gridCol w:w="993"/>
        <w:gridCol w:w="992"/>
        <w:gridCol w:w="709"/>
        <w:gridCol w:w="567"/>
        <w:gridCol w:w="708"/>
        <w:gridCol w:w="3969"/>
      </w:tblGrid>
      <w:tr w:rsidR="00387C70" w:rsidRPr="003F23AC" w14:paraId="100A85E9" w14:textId="77777777" w:rsidTr="009E4E5C">
        <w:trPr>
          <w:trHeight w:val="910"/>
          <w:tblHeader/>
        </w:trPr>
        <w:tc>
          <w:tcPr>
            <w:tcW w:w="1135" w:type="dxa"/>
            <w:vMerge w:val="restart"/>
            <w:shd w:val="clear" w:color="auto" w:fill="BDD6EE"/>
            <w:tcMar>
              <w:left w:w="28" w:type="dxa"/>
              <w:right w:w="28" w:type="dxa"/>
            </w:tcMar>
            <w:vAlign w:val="center"/>
            <w:hideMark/>
          </w:tcPr>
          <w:p w14:paraId="241396A7"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Poradové číslo</w:t>
            </w:r>
          </w:p>
        </w:tc>
        <w:tc>
          <w:tcPr>
            <w:tcW w:w="1276" w:type="dxa"/>
            <w:vMerge w:val="restart"/>
            <w:shd w:val="clear" w:color="auto" w:fill="BDD6EE"/>
            <w:tcMar>
              <w:left w:w="28" w:type="dxa"/>
              <w:right w:w="28" w:type="dxa"/>
            </w:tcMar>
            <w:vAlign w:val="center"/>
            <w:hideMark/>
          </w:tcPr>
          <w:p w14:paraId="1E874363"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34" w:type="dxa"/>
            <w:vMerge w:val="restart"/>
            <w:shd w:val="clear" w:color="auto" w:fill="BDD6EE"/>
            <w:tcMar>
              <w:left w:w="28" w:type="dxa"/>
              <w:right w:w="28" w:type="dxa"/>
            </w:tcMar>
            <w:vAlign w:val="center"/>
            <w:hideMark/>
          </w:tcPr>
          <w:p w14:paraId="4630E1B7" w14:textId="031A1B2C"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Čiastkový cieľ</w:t>
            </w:r>
          </w:p>
        </w:tc>
        <w:tc>
          <w:tcPr>
            <w:tcW w:w="1701" w:type="dxa"/>
            <w:vMerge w:val="restart"/>
            <w:shd w:val="clear" w:color="auto" w:fill="BDD6EE"/>
            <w:tcMar>
              <w:left w:w="28" w:type="dxa"/>
              <w:right w:w="28" w:type="dxa"/>
            </w:tcMar>
            <w:vAlign w:val="center"/>
            <w:hideMark/>
          </w:tcPr>
          <w:p w14:paraId="5C4FFE86"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Názov</w:t>
            </w:r>
          </w:p>
        </w:tc>
        <w:tc>
          <w:tcPr>
            <w:tcW w:w="1275" w:type="dxa"/>
            <w:vMerge w:val="restart"/>
            <w:shd w:val="clear" w:color="auto" w:fill="BDD6EE"/>
            <w:tcMar>
              <w:left w:w="28" w:type="dxa"/>
              <w:right w:w="28" w:type="dxa"/>
            </w:tcMar>
            <w:vAlign w:val="center"/>
            <w:hideMark/>
          </w:tcPr>
          <w:p w14:paraId="03E43ABE"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694" w:type="dxa"/>
            <w:gridSpan w:val="3"/>
            <w:shd w:val="clear" w:color="auto" w:fill="BDD6EE"/>
            <w:tcMar>
              <w:left w:w="28" w:type="dxa"/>
              <w:right w:w="28" w:type="dxa"/>
            </w:tcMar>
            <w:vAlign w:val="center"/>
            <w:hideMark/>
          </w:tcPr>
          <w:p w14:paraId="65AE3941"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75" w:type="dxa"/>
            <w:gridSpan w:val="2"/>
            <w:shd w:val="clear" w:color="auto" w:fill="BDD6EE"/>
            <w:tcMar>
              <w:left w:w="28" w:type="dxa"/>
              <w:right w:w="28" w:type="dxa"/>
            </w:tcMar>
            <w:vAlign w:val="center"/>
            <w:hideMark/>
          </w:tcPr>
          <w:p w14:paraId="67D74F39"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3969" w:type="dxa"/>
            <w:vMerge w:val="restart"/>
            <w:shd w:val="clear" w:color="auto" w:fill="BDD6EE"/>
            <w:tcMar>
              <w:left w:w="28" w:type="dxa"/>
              <w:right w:w="28" w:type="dxa"/>
            </w:tcMar>
            <w:vAlign w:val="center"/>
            <w:hideMark/>
          </w:tcPr>
          <w:p w14:paraId="4A072B07" w14:textId="7BED03EC"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3776A702" w14:textId="77777777" w:rsidTr="009E4E5C">
        <w:trPr>
          <w:trHeight w:val="470"/>
          <w:tblHeader/>
        </w:trPr>
        <w:tc>
          <w:tcPr>
            <w:tcW w:w="1135" w:type="dxa"/>
            <w:vMerge/>
            <w:tcMar>
              <w:left w:w="28" w:type="dxa"/>
              <w:right w:w="28" w:type="dxa"/>
            </w:tcMar>
            <w:vAlign w:val="center"/>
            <w:hideMark/>
          </w:tcPr>
          <w:p w14:paraId="7EBFF15D" w14:textId="77777777" w:rsidR="00387C70" w:rsidRPr="003F23AC" w:rsidRDefault="00387C70" w:rsidP="003F23AC">
            <w:pPr>
              <w:spacing w:before="40" w:after="0" w:line="240" w:lineRule="auto"/>
              <w:jc w:val="both"/>
              <w:rPr>
                <w:rFonts w:ascii="Times New Roman" w:eastAsia="Times New Roman" w:hAnsi="Times New Roman" w:cs="Times New Roman"/>
                <w:b/>
                <w:noProof/>
                <w:sz w:val="18"/>
                <w:lang w:val="sk-SK"/>
              </w:rPr>
            </w:pPr>
          </w:p>
        </w:tc>
        <w:tc>
          <w:tcPr>
            <w:tcW w:w="1276" w:type="dxa"/>
            <w:vMerge/>
            <w:tcMar>
              <w:left w:w="28" w:type="dxa"/>
              <w:right w:w="28" w:type="dxa"/>
            </w:tcMar>
            <w:vAlign w:val="center"/>
            <w:hideMark/>
          </w:tcPr>
          <w:p w14:paraId="249B860E" w14:textId="77777777" w:rsidR="00387C70" w:rsidRPr="003F23AC" w:rsidRDefault="00387C70" w:rsidP="003F23AC">
            <w:pPr>
              <w:spacing w:before="40" w:after="0" w:line="240" w:lineRule="auto"/>
              <w:jc w:val="both"/>
              <w:rPr>
                <w:rFonts w:ascii="Times New Roman" w:eastAsia="Times New Roman" w:hAnsi="Times New Roman" w:cs="Times New Roman"/>
                <w:b/>
                <w:noProof/>
                <w:sz w:val="18"/>
                <w:lang w:val="sk-SK"/>
              </w:rPr>
            </w:pPr>
          </w:p>
        </w:tc>
        <w:tc>
          <w:tcPr>
            <w:tcW w:w="1134" w:type="dxa"/>
            <w:vMerge/>
            <w:shd w:val="clear" w:color="auto" w:fill="BDD6EE"/>
            <w:tcMar>
              <w:left w:w="28" w:type="dxa"/>
              <w:right w:w="28" w:type="dxa"/>
            </w:tcMar>
            <w:vAlign w:val="center"/>
            <w:hideMark/>
          </w:tcPr>
          <w:p w14:paraId="7D7297EE" w14:textId="160E856C" w:rsidR="00387C70" w:rsidRPr="003F23AC" w:rsidRDefault="00387C70" w:rsidP="003F23AC">
            <w:pPr>
              <w:spacing w:before="40" w:after="0" w:line="240" w:lineRule="auto"/>
              <w:jc w:val="center"/>
              <w:rPr>
                <w:rFonts w:ascii="Times New Roman" w:eastAsia="Times New Roman" w:hAnsi="Times New Roman" w:cs="Times New Roman"/>
                <w:b/>
                <w:noProof/>
                <w:sz w:val="14"/>
                <w:lang w:val="sk-SK"/>
              </w:rPr>
            </w:pPr>
          </w:p>
        </w:tc>
        <w:tc>
          <w:tcPr>
            <w:tcW w:w="1701" w:type="dxa"/>
            <w:vMerge/>
            <w:tcMar>
              <w:left w:w="28" w:type="dxa"/>
              <w:right w:w="28" w:type="dxa"/>
            </w:tcMar>
            <w:vAlign w:val="center"/>
            <w:hideMark/>
          </w:tcPr>
          <w:p w14:paraId="303B854A" w14:textId="77777777" w:rsidR="00387C70" w:rsidRPr="003F23AC" w:rsidRDefault="00387C70" w:rsidP="003F23AC">
            <w:pPr>
              <w:spacing w:before="40" w:after="0" w:line="240" w:lineRule="auto"/>
              <w:jc w:val="both"/>
              <w:rPr>
                <w:rFonts w:ascii="Times New Roman" w:eastAsia="Times New Roman" w:hAnsi="Times New Roman" w:cs="Times New Roman"/>
                <w:b/>
                <w:noProof/>
                <w:sz w:val="18"/>
                <w:lang w:val="sk-SK"/>
              </w:rPr>
            </w:pPr>
          </w:p>
        </w:tc>
        <w:tc>
          <w:tcPr>
            <w:tcW w:w="1275" w:type="dxa"/>
            <w:vMerge/>
            <w:tcMar>
              <w:left w:w="28" w:type="dxa"/>
              <w:right w:w="28" w:type="dxa"/>
            </w:tcMar>
            <w:vAlign w:val="center"/>
            <w:hideMark/>
          </w:tcPr>
          <w:p w14:paraId="76753D39" w14:textId="77777777" w:rsidR="00387C70" w:rsidRPr="003F23AC" w:rsidRDefault="00387C70" w:rsidP="003F23AC">
            <w:pPr>
              <w:spacing w:before="40" w:after="0" w:line="240" w:lineRule="auto"/>
              <w:jc w:val="both"/>
              <w:rPr>
                <w:rFonts w:ascii="Times New Roman" w:eastAsia="Times New Roman" w:hAnsi="Times New Roman" w:cs="Times New Roman"/>
                <w:b/>
                <w:noProof/>
                <w:sz w:val="18"/>
                <w:lang w:val="sk-SK"/>
              </w:rPr>
            </w:pPr>
          </w:p>
        </w:tc>
        <w:tc>
          <w:tcPr>
            <w:tcW w:w="993" w:type="dxa"/>
            <w:shd w:val="clear" w:color="auto" w:fill="BDD6EE"/>
            <w:tcMar>
              <w:left w:w="28" w:type="dxa"/>
              <w:right w:w="28" w:type="dxa"/>
            </w:tcMar>
            <w:vAlign w:val="center"/>
            <w:hideMark/>
          </w:tcPr>
          <w:p w14:paraId="0ABAAFA4"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Merná jednotka</w:t>
            </w:r>
          </w:p>
        </w:tc>
        <w:tc>
          <w:tcPr>
            <w:tcW w:w="992" w:type="dxa"/>
            <w:shd w:val="clear" w:color="auto" w:fill="BDD6EE"/>
            <w:tcMar>
              <w:left w:w="28" w:type="dxa"/>
              <w:right w:w="28" w:type="dxa"/>
            </w:tcMar>
            <w:vAlign w:val="center"/>
            <w:hideMark/>
          </w:tcPr>
          <w:p w14:paraId="36F0EAD7" w14:textId="2C88F91D" w:rsidR="00387C70" w:rsidRPr="003F23AC" w:rsidRDefault="00680FF6"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Východisková hodnota</w:t>
            </w:r>
          </w:p>
        </w:tc>
        <w:tc>
          <w:tcPr>
            <w:tcW w:w="709" w:type="dxa"/>
            <w:shd w:val="clear" w:color="auto" w:fill="BDD6EE"/>
            <w:tcMar>
              <w:left w:w="28" w:type="dxa"/>
              <w:right w:w="28" w:type="dxa"/>
            </w:tcMar>
            <w:vAlign w:val="center"/>
            <w:hideMark/>
          </w:tcPr>
          <w:p w14:paraId="536DFFCA" w14:textId="445A5C4D" w:rsidR="00387C70" w:rsidRPr="003F23AC" w:rsidRDefault="00680FF6"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Cieľová hodnota</w:t>
            </w:r>
          </w:p>
        </w:tc>
        <w:tc>
          <w:tcPr>
            <w:tcW w:w="567" w:type="dxa"/>
            <w:shd w:val="clear" w:color="auto" w:fill="BDD6EE"/>
            <w:tcMar>
              <w:left w:w="28" w:type="dxa"/>
              <w:right w:w="28" w:type="dxa"/>
            </w:tcMar>
            <w:vAlign w:val="center"/>
            <w:hideMark/>
          </w:tcPr>
          <w:p w14:paraId="3DFABF60" w14:textId="5E66EA26" w:rsidR="00387C70" w:rsidRPr="003F23AC" w:rsidRDefault="00680FF6"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Štvrťrok</w:t>
            </w:r>
          </w:p>
        </w:tc>
        <w:tc>
          <w:tcPr>
            <w:tcW w:w="708" w:type="dxa"/>
            <w:shd w:val="clear" w:color="auto" w:fill="BDD6EE"/>
            <w:tcMar>
              <w:left w:w="28" w:type="dxa"/>
              <w:right w:w="28" w:type="dxa"/>
            </w:tcMar>
            <w:vAlign w:val="center"/>
            <w:hideMark/>
          </w:tcPr>
          <w:p w14:paraId="578C9B4B" w14:textId="77777777" w:rsidR="00387C70" w:rsidRPr="003F23AC" w:rsidRDefault="000F5AA4" w:rsidP="003F23AC">
            <w:pPr>
              <w:pStyle w:val="P68B1DB1-Normal6"/>
              <w:spacing w:before="40" w:after="0" w:line="240" w:lineRule="auto"/>
              <w:jc w:val="center"/>
              <w:rPr>
                <w:rFonts w:eastAsia="Times New Roman" w:cs="Times New Roman"/>
                <w:noProof/>
                <w:lang w:val="sk-SK"/>
              </w:rPr>
            </w:pPr>
            <w:r w:rsidRPr="003F23AC">
              <w:rPr>
                <w:rFonts w:cs="Times New Roman"/>
                <w:noProof/>
                <w:lang w:val="sk-SK"/>
              </w:rPr>
              <w:t>Rok</w:t>
            </w:r>
          </w:p>
        </w:tc>
        <w:tc>
          <w:tcPr>
            <w:tcW w:w="3969" w:type="dxa"/>
            <w:vMerge/>
            <w:tcMar>
              <w:left w:w="28" w:type="dxa"/>
              <w:right w:w="28" w:type="dxa"/>
            </w:tcMar>
            <w:vAlign w:val="center"/>
            <w:hideMark/>
          </w:tcPr>
          <w:p w14:paraId="482E68C8" w14:textId="77777777" w:rsidR="00387C70" w:rsidRPr="003F23AC" w:rsidRDefault="00387C70" w:rsidP="003F23AC">
            <w:pPr>
              <w:spacing w:before="40" w:after="0" w:line="240" w:lineRule="auto"/>
              <w:jc w:val="both"/>
              <w:rPr>
                <w:rFonts w:ascii="Times New Roman" w:eastAsia="Times New Roman" w:hAnsi="Times New Roman" w:cs="Times New Roman"/>
                <w:b/>
                <w:noProof/>
                <w:sz w:val="18"/>
                <w:lang w:val="sk-SK"/>
              </w:rPr>
            </w:pPr>
          </w:p>
        </w:tc>
      </w:tr>
      <w:tr w:rsidR="00387C70" w:rsidRPr="003F23AC" w14:paraId="635E01FA" w14:textId="77777777" w:rsidTr="009E4E5C">
        <w:trPr>
          <w:trHeight w:val="509"/>
        </w:trPr>
        <w:tc>
          <w:tcPr>
            <w:tcW w:w="1135" w:type="dxa"/>
            <w:vMerge w:val="restart"/>
            <w:shd w:val="clear" w:color="auto" w:fill="C4EFCE"/>
            <w:tcMar>
              <w:left w:w="28" w:type="dxa"/>
              <w:right w:w="28" w:type="dxa"/>
            </w:tcMar>
            <w:vAlign w:val="center"/>
            <w:hideMark/>
          </w:tcPr>
          <w:p w14:paraId="5DF1D636" w14:textId="77777777" w:rsidR="00387C70" w:rsidRPr="003F23AC" w:rsidRDefault="000F5AA4" w:rsidP="003F23AC">
            <w:pPr>
              <w:pStyle w:val="P68B1DB1-Normal7"/>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12.1</w:t>
            </w:r>
          </w:p>
        </w:tc>
        <w:tc>
          <w:tcPr>
            <w:tcW w:w="1276" w:type="dxa"/>
            <w:vMerge w:val="restart"/>
            <w:shd w:val="clear" w:color="auto" w:fill="C4EFCE"/>
            <w:noWrap/>
            <w:tcMar>
              <w:left w:w="28" w:type="dxa"/>
              <w:right w:w="28" w:type="dxa"/>
            </w:tcMar>
            <w:vAlign w:val="center"/>
            <w:hideMark/>
          </w:tcPr>
          <w:p w14:paraId="21B3B155"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TC-C12-i01</w:t>
            </w:r>
          </w:p>
        </w:tc>
        <w:tc>
          <w:tcPr>
            <w:tcW w:w="1134" w:type="dxa"/>
            <w:vMerge w:val="restart"/>
            <w:shd w:val="clear" w:color="auto" w:fill="C4EFCE"/>
            <w:noWrap/>
            <w:tcMar>
              <w:left w:w="28" w:type="dxa"/>
              <w:right w:w="28" w:type="dxa"/>
            </w:tcMar>
            <w:vAlign w:val="center"/>
            <w:hideMark/>
          </w:tcPr>
          <w:p w14:paraId="05A6C9F2"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vMerge w:val="restart"/>
            <w:shd w:val="clear" w:color="auto" w:fill="C4EFCE"/>
            <w:noWrap/>
            <w:tcMar>
              <w:left w:w="28" w:type="dxa"/>
              <w:right w:w="28" w:type="dxa"/>
            </w:tcMar>
            <w:vAlign w:val="center"/>
            <w:hideMark/>
          </w:tcPr>
          <w:p w14:paraId="6A9E0800" w14:textId="43B04D3D"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protokolu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programe „Resineiros Vigilantes“ na rok 2021 </w:t>
            </w:r>
          </w:p>
        </w:tc>
        <w:tc>
          <w:tcPr>
            <w:tcW w:w="1275" w:type="dxa"/>
            <w:vMerge w:val="restart"/>
            <w:shd w:val="clear" w:color="auto" w:fill="C4EFCE"/>
            <w:noWrap/>
            <w:tcMar>
              <w:left w:w="28" w:type="dxa"/>
              <w:right w:w="28" w:type="dxa"/>
            </w:tcMar>
            <w:vAlign w:val="center"/>
            <w:hideMark/>
          </w:tcPr>
          <w:p w14:paraId="4BA5E5F4"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Podpísanie protokolu programu „Resineiros Vigilantes“ na rok 2021</w:t>
            </w:r>
          </w:p>
        </w:tc>
        <w:tc>
          <w:tcPr>
            <w:tcW w:w="993" w:type="dxa"/>
            <w:vMerge w:val="restart"/>
            <w:shd w:val="clear" w:color="auto" w:fill="C4EFCE"/>
            <w:noWrap/>
            <w:tcMar>
              <w:left w:w="28" w:type="dxa"/>
              <w:right w:w="28" w:type="dxa"/>
            </w:tcMar>
            <w:vAlign w:val="center"/>
            <w:hideMark/>
          </w:tcPr>
          <w:p w14:paraId="3673A871"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vMerge w:val="restart"/>
            <w:shd w:val="clear" w:color="auto" w:fill="C4EFCE"/>
            <w:noWrap/>
            <w:tcMar>
              <w:left w:w="28" w:type="dxa"/>
              <w:right w:w="28" w:type="dxa"/>
            </w:tcMar>
            <w:vAlign w:val="center"/>
            <w:hideMark/>
          </w:tcPr>
          <w:p w14:paraId="0E11D8FC"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9" w:type="dxa"/>
            <w:vMerge w:val="restart"/>
            <w:shd w:val="clear" w:color="auto" w:fill="C4EFCE"/>
            <w:noWrap/>
            <w:tcMar>
              <w:left w:w="28" w:type="dxa"/>
              <w:right w:w="28" w:type="dxa"/>
            </w:tcMar>
            <w:vAlign w:val="center"/>
            <w:hideMark/>
          </w:tcPr>
          <w:p w14:paraId="5DBDFE88"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567" w:type="dxa"/>
            <w:vMerge w:val="restart"/>
            <w:shd w:val="clear" w:color="auto" w:fill="C4EFCE"/>
            <w:noWrap/>
            <w:tcMar>
              <w:left w:w="28" w:type="dxa"/>
              <w:right w:w="28" w:type="dxa"/>
            </w:tcMar>
            <w:vAlign w:val="center"/>
            <w:hideMark/>
          </w:tcPr>
          <w:p w14:paraId="5CDA9014" w14:textId="6A0BA98D" w:rsidR="00387C70" w:rsidRPr="003F23AC" w:rsidRDefault="00FF0A91"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708" w:type="dxa"/>
            <w:vMerge w:val="restart"/>
            <w:shd w:val="clear" w:color="auto" w:fill="C4EFCE"/>
            <w:noWrap/>
            <w:tcMar>
              <w:left w:w="28" w:type="dxa"/>
              <w:right w:w="28" w:type="dxa"/>
            </w:tcMar>
            <w:vAlign w:val="center"/>
            <w:hideMark/>
          </w:tcPr>
          <w:p w14:paraId="47D645F4"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3969" w:type="dxa"/>
            <w:vMerge w:val="restart"/>
            <w:shd w:val="clear" w:color="auto" w:fill="C4EFCE"/>
            <w:tcMar>
              <w:left w:w="28" w:type="dxa"/>
              <w:right w:w="28" w:type="dxa"/>
            </w:tcMar>
            <w:vAlign w:val="center"/>
            <w:hideMark/>
          </w:tcPr>
          <w:p w14:paraId="024670B2" w14:textId="4AD589AC"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Uzavretie protokolu medzi Inštitútom pre ochranu prírody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lesov I.P</w:t>
            </w:r>
            <w:r w:rsidR="00A75B3C" w:rsidRPr="003F23AC">
              <w:rPr>
                <w:rFonts w:ascii="Times New Roman" w:hAnsi="Times New Roman" w:cs="Times New Roman"/>
                <w:noProof/>
                <w:lang w:val="sk-SK"/>
              </w:rPr>
              <w:t>. a </w:t>
            </w:r>
            <w:r w:rsidRPr="003F23AC">
              <w:rPr>
                <w:rFonts w:ascii="Times New Roman" w:hAnsi="Times New Roman" w:cs="Times New Roman"/>
                <w:noProof/>
                <w:lang w:val="sk-SK"/>
              </w:rPr>
              <w:t>národným profesijným združením producentov živice (Resipinus) na účely dohľadu nad požiarmi na vidieku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ich odhaľovania.</w:t>
            </w:r>
          </w:p>
        </w:tc>
      </w:tr>
      <w:tr w:rsidR="00387C70" w:rsidRPr="003F23AC" w14:paraId="5DB127A4" w14:textId="77777777" w:rsidTr="009E4E5C">
        <w:trPr>
          <w:trHeight w:val="509"/>
        </w:trPr>
        <w:tc>
          <w:tcPr>
            <w:tcW w:w="1135" w:type="dxa"/>
            <w:vMerge/>
            <w:tcMar>
              <w:left w:w="28" w:type="dxa"/>
              <w:right w:w="28" w:type="dxa"/>
            </w:tcMar>
            <w:vAlign w:val="center"/>
            <w:hideMark/>
          </w:tcPr>
          <w:p w14:paraId="287EBF32" w14:textId="77777777" w:rsidR="00387C70" w:rsidRPr="003F23AC" w:rsidRDefault="00387C70" w:rsidP="003F23AC">
            <w:pPr>
              <w:spacing w:before="40" w:after="0" w:line="240" w:lineRule="auto"/>
              <w:jc w:val="both"/>
              <w:rPr>
                <w:rFonts w:ascii="Times New Roman" w:eastAsia="Times New Roman" w:hAnsi="Times New Roman" w:cs="Times New Roman"/>
                <w:b/>
                <w:noProof/>
                <w:sz w:val="16"/>
                <w:lang w:val="sk-SK"/>
              </w:rPr>
            </w:pPr>
          </w:p>
        </w:tc>
        <w:tc>
          <w:tcPr>
            <w:tcW w:w="1276" w:type="dxa"/>
            <w:vMerge/>
            <w:tcMar>
              <w:left w:w="28" w:type="dxa"/>
              <w:right w:w="28" w:type="dxa"/>
            </w:tcMar>
            <w:vAlign w:val="center"/>
            <w:hideMark/>
          </w:tcPr>
          <w:p w14:paraId="2179B6CF"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1134" w:type="dxa"/>
            <w:vMerge/>
            <w:tcMar>
              <w:left w:w="28" w:type="dxa"/>
              <w:right w:w="28" w:type="dxa"/>
            </w:tcMar>
            <w:vAlign w:val="center"/>
            <w:hideMark/>
          </w:tcPr>
          <w:p w14:paraId="5566EE47"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1701" w:type="dxa"/>
            <w:vMerge/>
            <w:tcMar>
              <w:left w:w="28" w:type="dxa"/>
              <w:right w:w="28" w:type="dxa"/>
            </w:tcMar>
            <w:vAlign w:val="center"/>
            <w:hideMark/>
          </w:tcPr>
          <w:p w14:paraId="68CFF3C8"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1275" w:type="dxa"/>
            <w:vMerge/>
            <w:tcMar>
              <w:left w:w="28" w:type="dxa"/>
              <w:right w:w="28" w:type="dxa"/>
            </w:tcMar>
            <w:vAlign w:val="center"/>
            <w:hideMark/>
          </w:tcPr>
          <w:p w14:paraId="0CC81F45"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993" w:type="dxa"/>
            <w:vMerge/>
            <w:tcMar>
              <w:left w:w="28" w:type="dxa"/>
              <w:right w:w="28" w:type="dxa"/>
            </w:tcMar>
            <w:vAlign w:val="center"/>
            <w:hideMark/>
          </w:tcPr>
          <w:p w14:paraId="746444D9"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992" w:type="dxa"/>
            <w:vMerge/>
            <w:tcMar>
              <w:left w:w="28" w:type="dxa"/>
              <w:right w:w="28" w:type="dxa"/>
            </w:tcMar>
            <w:vAlign w:val="center"/>
            <w:hideMark/>
          </w:tcPr>
          <w:p w14:paraId="45B22E2B"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709" w:type="dxa"/>
            <w:vMerge/>
            <w:tcMar>
              <w:left w:w="28" w:type="dxa"/>
              <w:right w:w="28" w:type="dxa"/>
            </w:tcMar>
            <w:vAlign w:val="center"/>
            <w:hideMark/>
          </w:tcPr>
          <w:p w14:paraId="5FA212D8"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567" w:type="dxa"/>
            <w:vMerge/>
            <w:tcMar>
              <w:left w:w="28" w:type="dxa"/>
              <w:right w:w="28" w:type="dxa"/>
            </w:tcMar>
            <w:vAlign w:val="center"/>
            <w:hideMark/>
          </w:tcPr>
          <w:p w14:paraId="67B9BF89"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708" w:type="dxa"/>
            <w:vMerge/>
            <w:tcMar>
              <w:left w:w="28" w:type="dxa"/>
              <w:right w:w="28" w:type="dxa"/>
            </w:tcMar>
            <w:vAlign w:val="center"/>
            <w:hideMark/>
          </w:tcPr>
          <w:p w14:paraId="5BF5C728"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3969" w:type="dxa"/>
            <w:vMerge/>
            <w:tcMar>
              <w:left w:w="28" w:type="dxa"/>
              <w:right w:w="28" w:type="dxa"/>
            </w:tcMar>
            <w:vAlign w:val="center"/>
            <w:hideMark/>
          </w:tcPr>
          <w:p w14:paraId="7EE621F1"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r>
      <w:tr w:rsidR="00387C70" w:rsidRPr="003F23AC" w14:paraId="67ABFFD7" w14:textId="77777777" w:rsidTr="009E4E5C">
        <w:trPr>
          <w:trHeight w:val="630"/>
        </w:trPr>
        <w:tc>
          <w:tcPr>
            <w:tcW w:w="1135" w:type="dxa"/>
            <w:shd w:val="clear" w:color="auto" w:fill="C4EFCE"/>
            <w:tcMar>
              <w:left w:w="28" w:type="dxa"/>
              <w:right w:w="28" w:type="dxa"/>
            </w:tcMar>
            <w:vAlign w:val="center"/>
            <w:hideMark/>
          </w:tcPr>
          <w:p w14:paraId="704A999D" w14:textId="77777777" w:rsidR="00387C70" w:rsidRPr="003F23AC" w:rsidRDefault="000F5AA4" w:rsidP="003F23AC">
            <w:pPr>
              <w:pStyle w:val="P68B1DB1-Normal7"/>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12.2</w:t>
            </w:r>
          </w:p>
        </w:tc>
        <w:tc>
          <w:tcPr>
            <w:tcW w:w="1276" w:type="dxa"/>
            <w:shd w:val="clear" w:color="auto" w:fill="C4EFCE"/>
            <w:noWrap/>
            <w:tcMar>
              <w:left w:w="28" w:type="dxa"/>
              <w:right w:w="28" w:type="dxa"/>
            </w:tcMar>
            <w:vAlign w:val="center"/>
            <w:hideMark/>
          </w:tcPr>
          <w:p w14:paraId="78F41078"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TC-C12-i01</w:t>
            </w:r>
          </w:p>
        </w:tc>
        <w:tc>
          <w:tcPr>
            <w:tcW w:w="1134" w:type="dxa"/>
            <w:shd w:val="clear" w:color="auto" w:fill="C4EFCE"/>
            <w:noWrap/>
            <w:tcMar>
              <w:left w:w="28" w:type="dxa"/>
              <w:right w:w="28" w:type="dxa"/>
            </w:tcMar>
            <w:vAlign w:val="center"/>
            <w:hideMark/>
          </w:tcPr>
          <w:p w14:paraId="4628D649"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27B190C1" w14:textId="5F7B1D3D"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Schválenie projektov, ktoré predložili konzorciá na vývoj nových biohospodárskych výrobkov, technológií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procesov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textilnom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odevnom odvetví, obuvi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prírodných živíc</w:t>
            </w:r>
          </w:p>
        </w:tc>
        <w:tc>
          <w:tcPr>
            <w:tcW w:w="1275" w:type="dxa"/>
            <w:shd w:val="clear" w:color="auto" w:fill="C4EFCE"/>
            <w:noWrap/>
            <w:tcMar>
              <w:left w:w="28" w:type="dxa"/>
              <w:right w:w="28" w:type="dxa"/>
            </w:tcMar>
            <w:vAlign w:val="center"/>
            <w:hideMark/>
          </w:tcPr>
          <w:p w14:paraId="620AF49C" w14:textId="365AAAF5"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Schvaľovanie projektov na vývoj nových produktov, technológií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procesov biohospodárstva</w:t>
            </w:r>
          </w:p>
        </w:tc>
        <w:tc>
          <w:tcPr>
            <w:tcW w:w="993" w:type="dxa"/>
            <w:shd w:val="clear" w:color="auto" w:fill="C4EFCE"/>
            <w:noWrap/>
            <w:tcMar>
              <w:left w:w="28" w:type="dxa"/>
              <w:right w:w="28" w:type="dxa"/>
            </w:tcMar>
            <w:vAlign w:val="center"/>
            <w:hideMark/>
          </w:tcPr>
          <w:p w14:paraId="5956DCDC"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7463DC1B"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9" w:type="dxa"/>
            <w:shd w:val="clear" w:color="auto" w:fill="C4EFCE"/>
            <w:noWrap/>
            <w:tcMar>
              <w:left w:w="28" w:type="dxa"/>
              <w:right w:w="28" w:type="dxa"/>
            </w:tcMar>
            <w:vAlign w:val="center"/>
            <w:hideMark/>
          </w:tcPr>
          <w:p w14:paraId="35FFDF23"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567" w:type="dxa"/>
            <w:shd w:val="clear" w:color="auto" w:fill="C4EFCE"/>
            <w:noWrap/>
            <w:tcMar>
              <w:left w:w="28" w:type="dxa"/>
              <w:right w:w="28" w:type="dxa"/>
            </w:tcMar>
            <w:vAlign w:val="center"/>
            <w:hideMark/>
          </w:tcPr>
          <w:p w14:paraId="342007C6" w14:textId="55B888BD" w:rsidR="00387C70" w:rsidRPr="003F23AC" w:rsidRDefault="00FF0A91"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708" w:type="dxa"/>
            <w:shd w:val="clear" w:color="auto" w:fill="C4EFCE"/>
            <w:noWrap/>
            <w:tcMar>
              <w:left w:w="28" w:type="dxa"/>
              <w:right w:w="28" w:type="dxa"/>
            </w:tcMar>
            <w:vAlign w:val="center"/>
            <w:hideMark/>
          </w:tcPr>
          <w:p w14:paraId="4BD70A66"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69" w:type="dxa"/>
            <w:shd w:val="clear" w:color="auto" w:fill="C4EFCE"/>
            <w:tcMar>
              <w:left w:w="28" w:type="dxa"/>
              <w:right w:w="28" w:type="dxa"/>
            </w:tcMar>
            <w:vAlign w:val="center"/>
            <w:hideMark/>
          </w:tcPr>
          <w:p w14:paraId="15CE4062" w14:textId="0968CAE0" w:rsidR="00A75B3C" w:rsidRPr="003F23AC" w:rsidRDefault="000F5AA4" w:rsidP="003F23AC">
            <w:pPr>
              <w:pStyle w:val="P68B1DB1-Normal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Schválenie projektov predložených konzorciami na vývoj nových biohospodárskych výrobkov, technológií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postupov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textilnom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odevnom, obuvníckom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prírodných živiciach výberovou komisiou</w:t>
            </w:r>
            <w:r w:rsidR="00A75B3C" w:rsidRPr="003F23AC">
              <w:rPr>
                <w:rFonts w:ascii="Times New Roman" w:hAnsi="Times New Roman" w:cs="Times New Roman"/>
                <w:noProof/>
                <w:lang w:val="sk-SK"/>
              </w:rPr>
              <w:t>.</w:t>
            </w:r>
          </w:p>
          <w:p w14:paraId="2C8E1DC7" w14:textId="2ADFFC16" w:rsidR="00A75B3C" w:rsidRPr="003F23AC" w:rsidRDefault="000F5AA4" w:rsidP="003F23AC">
            <w:pPr>
              <w:pStyle w:val="P68B1DB1-Normal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Projekty predložené konzorciami na podporu patria do jedného</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týchto programov: „Podpora udržateľného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obehového biohospodárstva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textilnom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odevnom priemysle“, „Podpora udržateľného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obehového biohospodárstva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obuvníckom priemysle“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„Podpora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zhodnocovanie prírodnej živice“</w:t>
            </w:r>
            <w:r w:rsidR="00A75B3C" w:rsidRPr="003F23AC">
              <w:rPr>
                <w:rFonts w:ascii="Times New Roman" w:hAnsi="Times New Roman" w:cs="Times New Roman"/>
                <w:noProof/>
                <w:lang w:val="sk-SK"/>
              </w:rPr>
              <w:t>.</w:t>
            </w:r>
          </w:p>
          <w:p w14:paraId="58EA2D17" w14:textId="2216E270" w:rsidR="00A75B3C" w:rsidRPr="003F23AC" w:rsidRDefault="000F5AA4" w:rsidP="003F23AC">
            <w:pPr>
              <w:pStyle w:val="P68B1DB1-Normal8"/>
              <w:spacing w:before="40"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Zameriavajú sa na nízkouhlíkové hospodárstvo, 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adaptáciu na zmenu klímy prostredníctvom uplatňovania riešení čistých technológií, alternatív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nízkym vplyvom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používania najlepších dostupných techník.</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kritériách výberu projektov sa vyžaduje, aby všetky podporované projekty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výskumu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inovácií zabezpečili zníženie priamych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nepriamych emisií uhlíka</w:t>
            </w:r>
            <w:r w:rsidR="00A75B3C" w:rsidRPr="003F23AC">
              <w:rPr>
                <w:rFonts w:ascii="Times New Roman" w:hAnsi="Times New Roman" w:cs="Times New Roman"/>
                <w:noProof/>
                <w:lang w:val="sk-SK"/>
              </w:rPr>
              <w:t>.</w:t>
            </w:r>
          </w:p>
          <w:p w14:paraId="13B6D23C" w14:textId="03FDB9B0"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Vybrané projekty musia byť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„nespôsobovať významnú škodu“ (2021/C58/01)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r w:rsidR="00387C70" w:rsidRPr="003F23AC" w14:paraId="1F72AFA7" w14:textId="77777777" w:rsidTr="009E4E5C">
        <w:trPr>
          <w:trHeight w:val="640"/>
        </w:trPr>
        <w:tc>
          <w:tcPr>
            <w:tcW w:w="1135" w:type="dxa"/>
            <w:shd w:val="clear" w:color="auto" w:fill="C4EFCE"/>
            <w:tcMar>
              <w:left w:w="28" w:type="dxa"/>
              <w:right w:w="28" w:type="dxa"/>
            </w:tcMar>
            <w:vAlign w:val="center"/>
            <w:hideMark/>
          </w:tcPr>
          <w:p w14:paraId="79604885" w14:textId="77777777" w:rsidR="00387C70" w:rsidRPr="003F23AC" w:rsidRDefault="000F5AA4" w:rsidP="003F23AC">
            <w:pPr>
              <w:pStyle w:val="P68B1DB1-Normal7"/>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12.3</w:t>
            </w:r>
          </w:p>
        </w:tc>
        <w:tc>
          <w:tcPr>
            <w:tcW w:w="1276" w:type="dxa"/>
            <w:shd w:val="clear" w:color="auto" w:fill="C4EFCE"/>
            <w:noWrap/>
            <w:tcMar>
              <w:left w:w="28" w:type="dxa"/>
              <w:right w:w="28" w:type="dxa"/>
            </w:tcMar>
            <w:vAlign w:val="center"/>
            <w:hideMark/>
          </w:tcPr>
          <w:p w14:paraId="7DCAFD0A"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TC-C12-i01</w:t>
            </w:r>
          </w:p>
        </w:tc>
        <w:tc>
          <w:tcPr>
            <w:tcW w:w="1134" w:type="dxa"/>
            <w:shd w:val="clear" w:color="auto" w:fill="C4EFCE"/>
            <w:noWrap/>
            <w:tcMar>
              <w:left w:w="28" w:type="dxa"/>
              <w:right w:w="28" w:type="dxa"/>
            </w:tcMar>
            <w:vAlign w:val="center"/>
            <w:hideMark/>
          </w:tcPr>
          <w:p w14:paraId="6F5A6A08" w14:textId="19886555" w:rsidR="00387C70" w:rsidRPr="003F23AC" w:rsidRDefault="00C32C63"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7AA2A96B" w14:textId="3FE05CB3"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Nové výrobky, technológie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pilotné procesy integrujúce biologické zdroje </w:t>
            </w:r>
          </w:p>
        </w:tc>
        <w:tc>
          <w:tcPr>
            <w:tcW w:w="1275" w:type="dxa"/>
            <w:shd w:val="clear" w:color="auto" w:fill="C4EFCE"/>
            <w:noWrap/>
            <w:tcMar>
              <w:left w:w="28" w:type="dxa"/>
              <w:right w:w="28" w:type="dxa"/>
            </w:tcMar>
            <w:vAlign w:val="center"/>
            <w:hideMark/>
          </w:tcPr>
          <w:p w14:paraId="4D4A5918"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3848C4DC"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Počet</w:t>
            </w:r>
          </w:p>
        </w:tc>
        <w:tc>
          <w:tcPr>
            <w:tcW w:w="992" w:type="dxa"/>
            <w:shd w:val="clear" w:color="auto" w:fill="C4EFCE"/>
            <w:noWrap/>
            <w:tcMar>
              <w:left w:w="28" w:type="dxa"/>
              <w:right w:w="28" w:type="dxa"/>
            </w:tcMar>
            <w:vAlign w:val="center"/>
            <w:hideMark/>
          </w:tcPr>
          <w:p w14:paraId="5AB50F47"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0</w:t>
            </w:r>
          </w:p>
        </w:tc>
        <w:tc>
          <w:tcPr>
            <w:tcW w:w="709" w:type="dxa"/>
            <w:shd w:val="clear" w:color="auto" w:fill="C4EFCE"/>
            <w:noWrap/>
            <w:tcMar>
              <w:left w:w="28" w:type="dxa"/>
              <w:right w:w="28" w:type="dxa"/>
            </w:tcMar>
            <w:vAlign w:val="center"/>
            <w:hideMark/>
          </w:tcPr>
          <w:p w14:paraId="6F17EB16"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15</w:t>
            </w:r>
          </w:p>
        </w:tc>
        <w:tc>
          <w:tcPr>
            <w:tcW w:w="567" w:type="dxa"/>
            <w:shd w:val="clear" w:color="auto" w:fill="C4EFCE"/>
            <w:noWrap/>
            <w:tcMar>
              <w:left w:w="28" w:type="dxa"/>
              <w:right w:w="28" w:type="dxa"/>
            </w:tcMar>
            <w:vAlign w:val="center"/>
            <w:hideMark/>
          </w:tcPr>
          <w:p w14:paraId="03A29219" w14:textId="1AF16F72" w:rsidR="00387C70" w:rsidRPr="003F23AC" w:rsidRDefault="00FF0A91"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708" w:type="dxa"/>
            <w:shd w:val="clear" w:color="auto" w:fill="C4EFCE"/>
            <w:noWrap/>
            <w:tcMar>
              <w:left w:w="28" w:type="dxa"/>
              <w:right w:w="28" w:type="dxa"/>
            </w:tcMar>
            <w:vAlign w:val="center"/>
            <w:hideMark/>
          </w:tcPr>
          <w:p w14:paraId="0ECB7A2A"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2F1A4FC3" w14:textId="5454CB83"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Nové výrobky, technológie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pilotné procesy, ktoré integrujú biologické zdroje. Zahŕňa to aspoň 10 nových produktov alebo technológií (úroveň technologickej pripravenosti 6 – 7)</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najmenej 5 priemyselných pilotných procesov (úroveň technologickej pripravenosti 7 – 9)</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týchto odvetviach: textil, obuv, výroba živice.</w:t>
            </w:r>
          </w:p>
        </w:tc>
      </w:tr>
      <w:tr w:rsidR="00387C70" w:rsidRPr="003F23AC" w14:paraId="029AA38F" w14:textId="77777777" w:rsidTr="009E4E5C">
        <w:trPr>
          <w:trHeight w:val="430"/>
        </w:trPr>
        <w:tc>
          <w:tcPr>
            <w:tcW w:w="1135" w:type="dxa"/>
            <w:shd w:val="clear" w:color="auto" w:fill="C4EFCE"/>
            <w:tcMar>
              <w:left w:w="28" w:type="dxa"/>
              <w:right w:w="28" w:type="dxa"/>
            </w:tcMar>
            <w:vAlign w:val="center"/>
            <w:hideMark/>
          </w:tcPr>
          <w:p w14:paraId="0DC95BE8" w14:textId="77777777" w:rsidR="00387C70" w:rsidRPr="003F23AC" w:rsidRDefault="000F5AA4" w:rsidP="003F23AC">
            <w:pPr>
              <w:pStyle w:val="P68B1DB1-Normal7"/>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12.4</w:t>
            </w:r>
          </w:p>
        </w:tc>
        <w:tc>
          <w:tcPr>
            <w:tcW w:w="1276" w:type="dxa"/>
            <w:shd w:val="clear" w:color="auto" w:fill="C4EFCE"/>
            <w:noWrap/>
            <w:tcMar>
              <w:left w:w="28" w:type="dxa"/>
              <w:right w:w="28" w:type="dxa"/>
            </w:tcMar>
            <w:vAlign w:val="center"/>
            <w:hideMark/>
          </w:tcPr>
          <w:p w14:paraId="00D79CA4"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TC-C12-i01</w:t>
            </w:r>
          </w:p>
        </w:tc>
        <w:tc>
          <w:tcPr>
            <w:tcW w:w="1134" w:type="dxa"/>
            <w:shd w:val="clear" w:color="auto" w:fill="C4EFCE"/>
            <w:noWrap/>
            <w:tcMar>
              <w:left w:w="28" w:type="dxa"/>
              <w:right w:w="28" w:type="dxa"/>
            </w:tcMar>
            <w:vAlign w:val="center"/>
            <w:hideMark/>
          </w:tcPr>
          <w:p w14:paraId="6AA0EC62" w14:textId="53C0104F" w:rsidR="00387C70" w:rsidRPr="003F23AC" w:rsidRDefault="00C32C63"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3A995D45"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Rozvoj morských borovicových lesov so živicovým výrobným potenciálom</w:t>
            </w:r>
          </w:p>
        </w:tc>
        <w:tc>
          <w:tcPr>
            <w:tcW w:w="1275" w:type="dxa"/>
            <w:shd w:val="clear" w:color="auto" w:fill="C4EFCE"/>
            <w:noWrap/>
            <w:tcMar>
              <w:left w:w="28" w:type="dxa"/>
              <w:right w:w="28" w:type="dxa"/>
            </w:tcMar>
            <w:vAlign w:val="center"/>
            <w:hideMark/>
          </w:tcPr>
          <w:p w14:paraId="289BF410"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01EED50B"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ha</w:t>
            </w:r>
          </w:p>
        </w:tc>
        <w:tc>
          <w:tcPr>
            <w:tcW w:w="992" w:type="dxa"/>
            <w:shd w:val="clear" w:color="auto" w:fill="C4EFCE"/>
            <w:noWrap/>
            <w:tcMar>
              <w:left w:w="28" w:type="dxa"/>
              <w:right w:w="28" w:type="dxa"/>
            </w:tcMar>
            <w:vAlign w:val="center"/>
            <w:hideMark/>
          </w:tcPr>
          <w:p w14:paraId="426FC88F"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556DED51"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8500</w:t>
            </w:r>
          </w:p>
        </w:tc>
        <w:tc>
          <w:tcPr>
            <w:tcW w:w="567" w:type="dxa"/>
            <w:shd w:val="clear" w:color="auto" w:fill="C4EFCE"/>
            <w:noWrap/>
            <w:tcMar>
              <w:left w:w="28" w:type="dxa"/>
              <w:right w:w="28" w:type="dxa"/>
            </w:tcMar>
            <w:vAlign w:val="center"/>
            <w:hideMark/>
          </w:tcPr>
          <w:p w14:paraId="75362553" w14:textId="185C09B1" w:rsidR="00387C70" w:rsidRPr="003F23AC" w:rsidRDefault="00FF0A91"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708" w:type="dxa"/>
            <w:shd w:val="clear" w:color="auto" w:fill="C4EFCE"/>
            <w:noWrap/>
            <w:tcMar>
              <w:left w:w="28" w:type="dxa"/>
              <w:right w:w="28" w:type="dxa"/>
            </w:tcMar>
            <w:vAlign w:val="center"/>
            <w:hideMark/>
          </w:tcPr>
          <w:p w14:paraId="3942C662"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51C1605D" w14:textId="0D8D206A"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Oblasť morských borovicových lesov vyvinutá pomocou techník prirodzenej regenerácie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živicových rezov vetvy.</w:t>
            </w:r>
          </w:p>
        </w:tc>
      </w:tr>
      <w:tr w:rsidR="00387C70" w:rsidRPr="003F23AC" w14:paraId="06448507" w14:textId="77777777" w:rsidTr="009E4E5C">
        <w:trPr>
          <w:trHeight w:val="509"/>
        </w:trPr>
        <w:tc>
          <w:tcPr>
            <w:tcW w:w="1135" w:type="dxa"/>
            <w:vMerge w:val="restart"/>
            <w:shd w:val="clear" w:color="auto" w:fill="C4EFCE"/>
            <w:tcMar>
              <w:left w:w="28" w:type="dxa"/>
              <w:right w:w="28" w:type="dxa"/>
            </w:tcMar>
            <w:vAlign w:val="center"/>
            <w:hideMark/>
          </w:tcPr>
          <w:p w14:paraId="01815B47" w14:textId="77777777" w:rsidR="00387C70" w:rsidRPr="003F23AC" w:rsidRDefault="000F5AA4" w:rsidP="003F23AC">
            <w:pPr>
              <w:pStyle w:val="P68B1DB1-Normal7"/>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12.5</w:t>
            </w:r>
          </w:p>
        </w:tc>
        <w:tc>
          <w:tcPr>
            <w:tcW w:w="1276" w:type="dxa"/>
            <w:vMerge w:val="restart"/>
            <w:shd w:val="clear" w:color="auto" w:fill="C4EFCE"/>
            <w:noWrap/>
            <w:tcMar>
              <w:left w:w="28" w:type="dxa"/>
              <w:right w:w="28" w:type="dxa"/>
            </w:tcMar>
            <w:vAlign w:val="center"/>
            <w:hideMark/>
          </w:tcPr>
          <w:p w14:paraId="5A975A5B"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TC-C12-r25</w:t>
            </w:r>
          </w:p>
        </w:tc>
        <w:tc>
          <w:tcPr>
            <w:tcW w:w="1134" w:type="dxa"/>
            <w:vMerge w:val="restart"/>
            <w:shd w:val="clear" w:color="auto" w:fill="C4EFCE"/>
            <w:noWrap/>
            <w:tcMar>
              <w:left w:w="28" w:type="dxa"/>
              <w:right w:w="28" w:type="dxa"/>
            </w:tcMar>
            <w:vAlign w:val="center"/>
            <w:hideMark/>
          </w:tcPr>
          <w:p w14:paraId="7B72424B"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vMerge w:val="restart"/>
            <w:shd w:val="clear" w:color="auto" w:fill="C4EFCE"/>
            <w:noWrap/>
            <w:tcMar>
              <w:left w:w="28" w:type="dxa"/>
              <w:right w:w="28" w:type="dxa"/>
            </w:tcMar>
            <w:vAlign w:val="center"/>
            <w:hideMark/>
          </w:tcPr>
          <w:p w14:paraId="69664442" w14:textId="7B361ED8"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všeobecného režimu nakladania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odpadom</w:t>
            </w:r>
          </w:p>
        </w:tc>
        <w:tc>
          <w:tcPr>
            <w:tcW w:w="1275" w:type="dxa"/>
            <w:vMerge w:val="restart"/>
            <w:shd w:val="clear" w:color="auto" w:fill="C4EFCE"/>
            <w:noWrap/>
            <w:tcMar>
              <w:left w:w="28" w:type="dxa"/>
              <w:right w:w="28" w:type="dxa"/>
            </w:tcMar>
            <w:vAlign w:val="center"/>
            <w:hideMark/>
          </w:tcPr>
          <w:p w14:paraId="1355927D" w14:textId="4AD4853F"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všeobecného režimu nakladania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odpadom</w:t>
            </w:r>
          </w:p>
        </w:tc>
        <w:tc>
          <w:tcPr>
            <w:tcW w:w="993" w:type="dxa"/>
            <w:vMerge w:val="restart"/>
            <w:shd w:val="clear" w:color="auto" w:fill="C4EFCE"/>
            <w:noWrap/>
            <w:tcMar>
              <w:left w:w="28" w:type="dxa"/>
              <w:right w:w="28" w:type="dxa"/>
            </w:tcMar>
            <w:vAlign w:val="center"/>
            <w:hideMark/>
          </w:tcPr>
          <w:p w14:paraId="54E17836"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vMerge w:val="restart"/>
            <w:shd w:val="clear" w:color="auto" w:fill="C4EFCE"/>
            <w:noWrap/>
            <w:tcMar>
              <w:left w:w="28" w:type="dxa"/>
              <w:right w:w="28" w:type="dxa"/>
            </w:tcMar>
            <w:vAlign w:val="center"/>
            <w:hideMark/>
          </w:tcPr>
          <w:p w14:paraId="68CD8F4C"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9" w:type="dxa"/>
            <w:vMerge w:val="restart"/>
            <w:shd w:val="clear" w:color="auto" w:fill="C4EFCE"/>
            <w:noWrap/>
            <w:tcMar>
              <w:left w:w="28" w:type="dxa"/>
              <w:right w:w="28" w:type="dxa"/>
            </w:tcMar>
            <w:vAlign w:val="center"/>
            <w:hideMark/>
          </w:tcPr>
          <w:p w14:paraId="30FF5517"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567" w:type="dxa"/>
            <w:vMerge w:val="restart"/>
            <w:shd w:val="clear" w:color="auto" w:fill="C4EFCE"/>
            <w:noWrap/>
            <w:tcMar>
              <w:left w:w="28" w:type="dxa"/>
              <w:right w:w="28" w:type="dxa"/>
            </w:tcMar>
            <w:vAlign w:val="center"/>
            <w:hideMark/>
          </w:tcPr>
          <w:p w14:paraId="4E701E35" w14:textId="7C338254" w:rsidR="00387C70" w:rsidRPr="003F23AC" w:rsidRDefault="00FF0A91"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708" w:type="dxa"/>
            <w:vMerge w:val="restart"/>
            <w:shd w:val="clear" w:color="auto" w:fill="C4EFCE"/>
            <w:noWrap/>
            <w:tcMar>
              <w:left w:w="28" w:type="dxa"/>
              <w:right w:w="28" w:type="dxa"/>
            </w:tcMar>
            <w:vAlign w:val="center"/>
            <w:hideMark/>
          </w:tcPr>
          <w:p w14:paraId="3E43C2B4"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3969" w:type="dxa"/>
            <w:vMerge w:val="restart"/>
            <w:shd w:val="clear" w:color="auto" w:fill="C4EFCE"/>
            <w:tcMar>
              <w:left w:w="28" w:type="dxa"/>
              <w:right w:w="28" w:type="dxa"/>
            </w:tcMar>
            <w:vAlign w:val="center"/>
            <w:hideMark/>
          </w:tcPr>
          <w:p w14:paraId="48913900" w14:textId="65046E88"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všeobecného systému odpadového hospodárstva (RGGR), ktorý zjednodušuje administratívny proces</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znižuje náklady spojené</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používaním vedľajších produktov.</w:t>
            </w:r>
          </w:p>
        </w:tc>
      </w:tr>
      <w:tr w:rsidR="00387C70" w:rsidRPr="003F23AC" w14:paraId="586A7CD8" w14:textId="77777777" w:rsidTr="009E4E5C">
        <w:trPr>
          <w:trHeight w:val="509"/>
        </w:trPr>
        <w:tc>
          <w:tcPr>
            <w:tcW w:w="1135" w:type="dxa"/>
            <w:vMerge/>
            <w:tcMar>
              <w:left w:w="28" w:type="dxa"/>
              <w:right w:w="28" w:type="dxa"/>
            </w:tcMar>
            <w:vAlign w:val="center"/>
            <w:hideMark/>
          </w:tcPr>
          <w:p w14:paraId="0DB010B9" w14:textId="77777777" w:rsidR="00387C70" w:rsidRPr="003F23AC" w:rsidRDefault="00387C70" w:rsidP="003F23AC">
            <w:pPr>
              <w:spacing w:before="40" w:after="0" w:line="240" w:lineRule="auto"/>
              <w:jc w:val="both"/>
              <w:rPr>
                <w:rFonts w:ascii="Times New Roman" w:eastAsia="Times New Roman" w:hAnsi="Times New Roman" w:cs="Times New Roman"/>
                <w:b/>
                <w:noProof/>
                <w:sz w:val="16"/>
                <w:lang w:val="sk-SK"/>
              </w:rPr>
            </w:pPr>
          </w:p>
        </w:tc>
        <w:tc>
          <w:tcPr>
            <w:tcW w:w="1276" w:type="dxa"/>
            <w:vMerge/>
            <w:tcMar>
              <w:left w:w="28" w:type="dxa"/>
              <w:right w:w="28" w:type="dxa"/>
            </w:tcMar>
            <w:vAlign w:val="center"/>
            <w:hideMark/>
          </w:tcPr>
          <w:p w14:paraId="367E3F02"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1134" w:type="dxa"/>
            <w:vMerge/>
            <w:tcMar>
              <w:left w:w="28" w:type="dxa"/>
              <w:right w:w="28" w:type="dxa"/>
            </w:tcMar>
            <w:vAlign w:val="center"/>
            <w:hideMark/>
          </w:tcPr>
          <w:p w14:paraId="2443F33D"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1701" w:type="dxa"/>
            <w:vMerge/>
            <w:tcMar>
              <w:left w:w="28" w:type="dxa"/>
              <w:right w:w="28" w:type="dxa"/>
            </w:tcMar>
            <w:vAlign w:val="center"/>
            <w:hideMark/>
          </w:tcPr>
          <w:p w14:paraId="5DD737E3"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1275" w:type="dxa"/>
            <w:vMerge/>
            <w:tcMar>
              <w:left w:w="28" w:type="dxa"/>
              <w:right w:w="28" w:type="dxa"/>
            </w:tcMar>
            <w:vAlign w:val="center"/>
            <w:hideMark/>
          </w:tcPr>
          <w:p w14:paraId="2487D94E"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993" w:type="dxa"/>
            <w:vMerge/>
            <w:tcMar>
              <w:left w:w="28" w:type="dxa"/>
              <w:right w:w="28" w:type="dxa"/>
            </w:tcMar>
            <w:vAlign w:val="center"/>
            <w:hideMark/>
          </w:tcPr>
          <w:p w14:paraId="0AA85703"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992" w:type="dxa"/>
            <w:vMerge/>
            <w:tcMar>
              <w:left w:w="28" w:type="dxa"/>
              <w:right w:w="28" w:type="dxa"/>
            </w:tcMar>
            <w:vAlign w:val="center"/>
            <w:hideMark/>
          </w:tcPr>
          <w:p w14:paraId="771EC11D"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709" w:type="dxa"/>
            <w:vMerge/>
            <w:tcMar>
              <w:left w:w="28" w:type="dxa"/>
              <w:right w:w="28" w:type="dxa"/>
            </w:tcMar>
            <w:vAlign w:val="center"/>
            <w:hideMark/>
          </w:tcPr>
          <w:p w14:paraId="71E36A1F"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567" w:type="dxa"/>
            <w:vMerge/>
            <w:tcMar>
              <w:left w:w="28" w:type="dxa"/>
              <w:right w:w="28" w:type="dxa"/>
            </w:tcMar>
            <w:vAlign w:val="center"/>
            <w:hideMark/>
          </w:tcPr>
          <w:p w14:paraId="3C6B1961"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708" w:type="dxa"/>
            <w:vMerge/>
            <w:tcMar>
              <w:left w:w="28" w:type="dxa"/>
              <w:right w:w="28" w:type="dxa"/>
            </w:tcMar>
            <w:vAlign w:val="center"/>
            <w:hideMark/>
          </w:tcPr>
          <w:p w14:paraId="73B96A4A"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c>
          <w:tcPr>
            <w:tcW w:w="3969" w:type="dxa"/>
            <w:vMerge/>
            <w:tcMar>
              <w:left w:w="28" w:type="dxa"/>
              <w:right w:w="28" w:type="dxa"/>
            </w:tcMar>
            <w:vAlign w:val="center"/>
            <w:hideMark/>
          </w:tcPr>
          <w:p w14:paraId="2B2F80BC" w14:textId="77777777" w:rsidR="00387C70" w:rsidRPr="003F23AC" w:rsidRDefault="00387C70" w:rsidP="003F23AC">
            <w:pPr>
              <w:spacing w:before="40" w:after="0" w:line="240" w:lineRule="auto"/>
              <w:jc w:val="both"/>
              <w:rPr>
                <w:rFonts w:ascii="Times New Roman" w:eastAsia="Times New Roman" w:hAnsi="Times New Roman" w:cs="Times New Roman"/>
                <w:noProof/>
                <w:sz w:val="16"/>
                <w:lang w:val="sk-SK"/>
              </w:rPr>
            </w:pPr>
          </w:p>
        </w:tc>
      </w:tr>
      <w:tr w:rsidR="00387C70" w:rsidRPr="003F23AC" w14:paraId="2697EE8C" w14:textId="77777777" w:rsidTr="009E4E5C">
        <w:trPr>
          <w:trHeight w:val="640"/>
        </w:trPr>
        <w:tc>
          <w:tcPr>
            <w:tcW w:w="1135" w:type="dxa"/>
            <w:shd w:val="clear" w:color="auto" w:fill="C4EFCE"/>
            <w:tcMar>
              <w:left w:w="28" w:type="dxa"/>
              <w:right w:w="28" w:type="dxa"/>
            </w:tcMar>
            <w:vAlign w:val="center"/>
            <w:hideMark/>
          </w:tcPr>
          <w:p w14:paraId="08444E6D" w14:textId="77777777" w:rsidR="00387C70" w:rsidRPr="003F23AC" w:rsidRDefault="000F5AA4" w:rsidP="003F23AC">
            <w:pPr>
              <w:pStyle w:val="P68B1DB1-Normal7"/>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12.6</w:t>
            </w:r>
          </w:p>
        </w:tc>
        <w:tc>
          <w:tcPr>
            <w:tcW w:w="1276" w:type="dxa"/>
            <w:shd w:val="clear" w:color="auto" w:fill="C4EFCE"/>
            <w:noWrap/>
            <w:tcMar>
              <w:left w:w="28" w:type="dxa"/>
              <w:right w:w="28" w:type="dxa"/>
            </w:tcMar>
            <w:vAlign w:val="center"/>
            <w:hideMark/>
          </w:tcPr>
          <w:p w14:paraId="3F816AEA"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TC-C12-r25</w:t>
            </w:r>
          </w:p>
        </w:tc>
        <w:tc>
          <w:tcPr>
            <w:tcW w:w="1134" w:type="dxa"/>
            <w:shd w:val="clear" w:color="auto" w:fill="C4EFCE"/>
            <w:noWrap/>
            <w:tcMar>
              <w:left w:w="28" w:type="dxa"/>
              <w:right w:w="28" w:type="dxa"/>
            </w:tcMar>
            <w:vAlign w:val="center"/>
            <w:hideMark/>
          </w:tcPr>
          <w:p w14:paraId="62EF5924"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133B9485" w14:textId="66B54CFD"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revidovanej národnej stratégie pre zelené verejné obstarávanie</w:t>
            </w:r>
            <w:r w:rsidR="00A75B3C" w:rsidRPr="003F23AC">
              <w:rPr>
                <w:rFonts w:ascii="Times New Roman" w:hAnsi="Times New Roman" w:cs="Times New Roman"/>
                <w:noProof/>
                <w:lang w:val="sk-SK"/>
              </w:rPr>
              <w:t xml:space="preserve"> </w:t>
            </w:r>
          </w:p>
        </w:tc>
        <w:tc>
          <w:tcPr>
            <w:tcW w:w="1275" w:type="dxa"/>
            <w:shd w:val="clear" w:color="auto" w:fill="C4EFCE"/>
            <w:noWrap/>
            <w:tcMar>
              <w:left w:w="28" w:type="dxa"/>
              <w:right w:w="28" w:type="dxa"/>
            </w:tcMar>
            <w:vAlign w:val="center"/>
            <w:hideMark/>
          </w:tcPr>
          <w:p w14:paraId="6FBD6F01"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Nadobudnutie účinnosti revidovanej národnej stratégie pre zelené verejné obstarávanie</w:t>
            </w:r>
          </w:p>
        </w:tc>
        <w:tc>
          <w:tcPr>
            <w:tcW w:w="993" w:type="dxa"/>
            <w:shd w:val="clear" w:color="auto" w:fill="C4EFCE"/>
            <w:noWrap/>
            <w:tcMar>
              <w:left w:w="28" w:type="dxa"/>
              <w:right w:w="28" w:type="dxa"/>
            </w:tcMar>
            <w:vAlign w:val="center"/>
            <w:hideMark/>
          </w:tcPr>
          <w:p w14:paraId="51587E83"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4AFA38E3"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9" w:type="dxa"/>
            <w:shd w:val="clear" w:color="auto" w:fill="C4EFCE"/>
            <w:noWrap/>
            <w:tcMar>
              <w:left w:w="28" w:type="dxa"/>
              <w:right w:w="28" w:type="dxa"/>
            </w:tcMar>
            <w:vAlign w:val="center"/>
            <w:hideMark/>
          </w:tcPr>
          <w:p w14:paraId="7C65395F"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567" w:type="dxa"/>
            <w:shd w:val="clear" w:color="auto" w:fill="C4EFCE"/>
            <w:noWrap/>
            <w:tcMar>
              <w:left w:w="28" w:type="dxa"/>
              <w:right w:w="28" w:type="dxa"/>
            </w:tcMar>
            <w:vAlign w:val="center"/>
            <w:hideMark/>
          </w:tcPr>
          <w:p w14:paraId="5256FAB4" w14:textId="48345F40" w:rsidR="00387C70" w:rsidRPr="003F23AC" w:rsidRDefault="00FF0A91"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708" w:type="dxa"/>
            <w:shd w:val="clear" w:color="auto" w:fill="C4EFCE"/>
            <w:noWrap/>
            <w:tcMar>
              <w:left w:w="28" w:type="dxa"/>
              <w:right w:w="28" w:type="dxa"/>
            </w:tcMar>
            <w:vAlign w:val="center"/>
            <w:hideMark/>
          </w:tcPr>
          <w:p w14:paraId="6DDCBBB5" w14:textId="77777777" w:rsidR="00387C70" w:rsidRPr="003F23AC" w:rsidRDefault="000F5AA4" w:rsidP="003F23AC">
            <w:pPr>
              <w:pStyle w:val="P68B1DB1-Normal8"/>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69" w:type="dxa"/>
            <w:shd w:val="clear" w:color="auto" w:fill="C4EFCE"/>
            <w:tcMar>
              <w:left w:w="28" w:type="dxa"/>
              <w:right w:w="28" w:type="dxa"/>
            </w:tcMar>
            <w:vAlign w:val="center"/>
            <w:hideMark/>
          </w:tcPr>
          <w:p w14:paraId="4819F34F" w14:textId="5A8D3D09" w:rsidR="00387C70" w:rsidRPr="003F23AC" w:rsidRDefault="000F5AA4" w:rsidP="003F23AC">
            <w:pPr>
              <w:pStyle w:val="P68B1DB1-Normal8"/>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revidovanej národnej stratégie pre zelené verejné obstarávanie,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ktorej sa špecifikujú ekologické kritériá týkajúce sa obstarávania služieb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výrobkov zahŕňajúcich udržateľné biologické materiály,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to aj prostredníctvom zavedenia povinných ekologických kritérií.</w:t>
            </w:r>
          </w:p>
        </w:tc>
      </w:tr>
      <w:tr w:rsidR="00387C70" w:rsidRPr="003F23AC" w14:paraId="16B20D57" w14:textId="77777777" w:rsidTr="009E4E5C">
        <w:trPr>
          <w:trHeight w:val="640"/>
        </w:trPr>
        <w:tc>
          <w:tcPr>
            <w:tcW w:w="1135" w:type="dxa"/>
            <w:shd w:val="clear" w:color="auto" w:fill="C4EFCE"/>
            <w:tcMar>
              <w:left w:w="28" w:type="dxa"/>
              <w:right w:w="28" w:type="dxa"/>
            </w:tcMar>
            <w:vAlign w:val="center"/>
          </w:tcPr>
          <w:p w14:paraId="39C49F59" w14:textId="55C321DD" w:rsidR="00387C70" w:rsidRPr="003F23AC" w:rsidRDefault="000F5AA4" w:rsidP="003F23AC">
            <w:pPr>
              <w:pStyle w:val="P68B1DB1-Normal11"/>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12.7</w:t>
            </w:r>
          </w:p>
        </w:tc>
        <w:tc>
          <w:tcPr>
            <w:tcW w:w="1276" w:type="dxa"/>
            <w:shd w:val="clear" w:color="auto" w:fill="C4EFCE"/>
            <w:noWrap/>
            <w:tcMar>
              <w:left w:w="28" w:type="dxa"/>
              <w:right w:w="28" w:type="dxa"/>
            </w:tcMar>
            <w:vAlign w:val="center"/>
          </w:tcPr>
          <w:p w14:paraId="4721E143" w14:textId="51E9943A"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TC-C12-r39</w:t>
            </w:r>
          </w:p>
        </w:tc>
        <w:tc>
          <w:tcPr>
            <w:tcW w:w="1134" w:type="dxa"/>
            <w:shd w:val="clear" w:color="auto" w:fill="C4EFCE"/>
            <w:noWrap/>
            <w:tcMar>
              <w:left w:w="28" w:type="dxa"/>
              <w:right w:w="28" w:type="dxa"/>
            </w:tcMar>
            <w:vAlign w:val="center"/>
          </w:tcPr>
          <w:p w14:paraId="79CBAF90" w14:textId="55797804"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161B1A8E" w14:textId="2FFE12A3"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harmonizovanej definície kritérií ekologickej modulácie</w:t>
            </w:r>
          </w:p>
        </w:tc>
        <w:tc>
          <w:tcPr>
            <w:tcW w:w="1275" w:type="dxa"/>
            <w:shd w:val="clear" w:color="auto" w:fill="C4EFCE"/>
            <w:noWrap/>
            <w:tcMar>
              <w:left w:w="28" w:type="dxa"/>
              <w:right w:w="28" w:type="dxa"/>
            </w:tcMar>
            <w:vAlign w:val="center"/>
          </w:tcPr>
          <w:p w14:paraId="28D67B26" w14:textId="09BE2780"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Ustanovenie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právnom akte,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ktorom sa uvádza nadobudnutie účinnosti harmonizovanej definície kritérií ekologickej modulácie</w:t>
            </w:r>
          </w:p>
        </w:tc>
        <w:tc>
          <w:tcPr>
            <w:tcW w:w="993" w:type="dxa"/>
            <w:shd w:val="clear" w:color="auto" w:fill="C4EFCE"/>
            <w:noWrap/>
            <w:tcMar>
              <w:left w:w="28" w:type="dxa"/>
              <w:right w:w="28" w:type="dxa"/>
            </w:tcMar>
            <w:vAlign w:val="center"/>
          </w:tcPr>
          <w:p w14:paraId="473F382C" w14:textId="77777777"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5F5AC1E1" w14:textId="77777777"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709" w:type="dxa"/>
            <w:shd w:val="clear" w:color="auto" w:fill="C4EFCE"/>
            <w:noWrap/>
            <w:tcMar>
              <w:left w:w="28" w:type="dxa"/>
              <w:right w:w="28" w:type="dxa"/>
            </w:tcMar>
            <w:vAlign w:val="center"/>
          </w:tcPr>
          <w:p w14:paraId="37CCC309" w14:textId="77777777"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567" w:type="dxa"/>
            <w:shd w:val="clear" w:color="auto" w:fill="C4EFCE"/>
            <w:noWrap/>
            <w:tcMar>
              <w:left w:w="28" w:type="dxa"/>
              <w:right w:w="28" w:type="dxa"/>
            </w:tcMar>
            <w:vAlign w:val="center"/>
          </w:tcPr>
          <w:p w14:paraId="4562F222" w14:textId="179149E5" w:rsidR="00387C70" w:rsidRPr="003F23AC" w:rsidRDefault="00FF0A91"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708" w:type="dxa"/>
            <w:shd w:val="clear" w:color="auto" w:fill="C4EFCE"/>
            <w:noWrap/>
            <w:tcMar>
              <w:left w:w="28" w:type="dxa"/>
              <w:right w:w="28" w:type="dxa"/>
            </w:tcMar>
            <w:vAlign w:val="center"/>
          </w:tcPr>
          <w:p w14:paraId="7FEFCF39" w14:textId="54FDBFEF"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69" w:type="dxa"/>
            <w:shd w:val="clear" w:color="auto" w:fill="C4EFCE"/>
            <w:tcMar>
              <w:left w:w="28" w:type="dxa"/>
              <w:right w:w="28" w:type="dxa"/>
            </w:tcMar>
            <w:vAlign w:val="center"/>
          </w:tcPr>
          <w:p w14:paraId="2DEDCBD9" w14:textId="703487C0" w:rsidR="00387C70" w:rsidRPr="003F23AC" w:rsidRDefault="000F5AA4" w:rsidP="003F23AC">
            <w:pPr>
              <w:pStyle w:val="P68B1DB1-Normal12"/>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právneho aktu, ktorým sa stanovuje harmonizované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povinné vymedzenie kritérií ekologickej modulácie finančných výhod</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integrovaných systémoch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rozšírenej zodpovednosti výrobcu.</w:t>
            </w:r>
          </w:p>
        </w:tc>
      </w:tr>
      <w:tr w:rsidR="00387C70" w:rsidRPr="003F23AC" w14:paraId="62815762" w14:textId="77777777" w:rsidTr="009E4E5C">
        <w:trPr>
          <w:trHeight w:val="640"/>
        </w:trPr>
        <w:tc>
          <w:tcPr>
            <w:tcW w:w="1135" w:type="dxa"/>
            <w:shd w:val="clear" w:color="auto" w:fill="C4EFCE"/>
            <w:tcMar>
              <w:left w:w="28" w:type="dxa"/>
              <w:right w:w="28" w:type="dxa"/>
            </w:tcMar>
            <w:vAlign w:val="center"/>
          </w:tcPr>
          <w:p w14:paraId="07AC7261" w14:textId="275A6E6F" w:rsidR="00387C70" w:rsidRPr="003F23AC" w:rsidRDefault="000F5AA4" w:rsidP="003F23AC">
            <w:pPr>
              <w:pStyle w:val="P68B1DB1-Normal11"/>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12.8</w:t>
            </w:r>
          </w:p>
        </w:tc>
        <w:tc>
          <w:tcPr>
            <w:tcW w:w="1276" w:type="dxa"/>
            <w:shd w:val="clear" w:color="auto" w:fill="C4EFCE"/>
            <w:noWrap/>
            <w:tcMar>
              <w:left w:w="28" w:type="dxa"/>
              <w:right w:w="28" w:type="dxa"/>
            </w:tcMar>
            <w:vAlign w:val="center"/>
          </w:tcPr>
          <w:p w14:paraId="7DACBA0B" w14:textId="5F170093"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TC-C12-r39</w:t>
            </w:r>
          </w:p>
        </w:tc>
        <w:tc>
          <w:tcPr>
            <w:tcW w:w="1134" w:type="dxa"/>
            <w:shd w:val="clear" w:color="auto" w:fill="C4EFCE"/>
            <w:noWrap/>
            <w:tcMar>
              <w:left w:w="28" w:type="dxa"/>
              <w:right w:w="28" w:type="dxa"/>
            </w:tcMar>
            <w:vAlign w:val="center"/>
          </w:tcPr>
          <w:p w14:paraId="666A2AC9" w14:textId="0BD59B92"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11F8455A" w14:textId="148839D1"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Systém stimulov na zhodnocovanie (systém ukladania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náhrad) pre jednorazové plastové fľaše, železné kovy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hliník</w:t>
            </w:r>
          </w:p>
        </w:tc>
        <w:tc>
          <w:tcPr>
            <w:tcW w:w="1275" w:type="dxa"/>
            <w:shd w:val="clear" w:color="auto" w:fill="C4EFCE"/>
            <w:noWrap/>
            <w:tcMar>
              <w:left w:w="28" w:type="dxa"/>
              <w:right w:w="28" w:type="dxa"/>
            </w:tcMar>
            <w:vAlign w:val="center"/>
          </w:tcPr>
          <w:p w14:paraId="7C89497C" w14:textId="3CC79D3C"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Uvedenie systému zálohovania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refundácie do prevádzky </w:t>
            </w:r>
          </w:p>
        </w:tc>
        <w:tc>
          <w:tcPr>
            <w:tcW w:w="993" w:type="dxa"/>
            <w:shd w:val="clear" w:color="auto" w:fill="C4EFCE"/>
            <w:noWrap/>
            <w:tcMar>
              <w:left w:w="28" w:type="dxa"/>
              <w:right w:w="28" w:type="dxa"/>
            </w:tcMar>
            <w:vAlign w:val="center"/>
          </w:tcPr>
          <w:p w14:paraId="39D5184D" w14:textId="77777777"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3F121E5C" w14:textId="77777777"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709" w:type="dxa"/>
            <w:shd w:val="clear" w:color="auto" w:fill="C4EFCE"/>
            <w:noWrap/>
            <w:tcMar>
              <w:left w:w="28" w:type="dxa"/>
              <w:right w:w="28" w:type="dxa"/>
            </w:tcMar>
            <w:vAlign w:val="center"/>
          </w:tcPr>
          <w:p w14:paraId="352387D7" w14:textId="77777777"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567" w:type="dxa"/>
            <w:shd w:val="clear" w:color="auto" w:fill="C4EFCE"/>
            <w:noWrap/>
            <w:tcMar>
              <w:left w:w="28" w:type="dxa"/>
              <w:right w:w="28" w:type="dxa"/>
            </w:tcMar>
            <w:vAlign w:val="center"/>
          </w:tcPr>
          <w:p w14:paraId="2F1F0378" w14:textId="32C9DFC6" w:rsidR="00387C70" w:rsidRPr="003F23AC" w:rsidRDefault="00FF0A91"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708" w:type="dxa"/>
            <w:shd w:val="clear" w:color="auto" w:fill="C4EFCE"/>
            <w:noWrap/>
            <w:tcMar>
              <w:left w:w="28" w:type="dxa"/>
              <w:right w:w="28" w:type="dxa"/>
            </w:tcMar>
            <w:vAlign w:val="center"/>
          </w:tcPr>
          <w:p w14:paraId="53D4ED8E" w14:textId="0A031EF8"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69" w:type="dxa"/>
            <w:shd w:val="clear" w:color="auto" w:fill="C4EFCE"/>
            <w:tcMar>
              <w:left w:w="28" w:type="dxa"/>
              <w:right w:w="28" w:type="dxa"/>
            </w:tcMar>
            <w:vAlign w:val="center"/>
          </w:tcPr>
          <w:p w14:paraId="2AAA4E0F" w14:textId="14D468DD" w:rsidR="00387C70" w:rsidRPr="003F23AC" w:rsidRDefault="000F5AA4" w:rsidP="003F23AC">
            <w:pPr>
              <w:pStyle w:val="P68B1DB1-Normal12"/>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Systém zálohovania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náhrad sa uvedie do prevádzky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uplatňuje sa na jednorazové plastové fľaše, železné kovy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hliník.</w:t>
            </w:r>
          </w:p>
        </w:tc>
      </w:tr>
      <w:tr w:rsidR="00387C70" w:rsidRPr="003F23AC" w14:paraId="32FCFF9B" w14:textId="77777777" w:rsidTr="009E4E5C">
        <w:trPr>
          <w:trHeight w:val="640"/>
        </w:trPr>
        <w:tc>
          <w:tcPr>
            <w:tcW w:w="1135" w:type="dxa"/>
            <w:shd w:val="clear" w:color="auto" w:fill="C4EFCE"/>
            <w:tcMar>
              <w:left w:w="28" w:type="dxa"/>
              <w:right w:w="28" w:type="dxa"/>
            </w:tcMar>
            <w:vAlign w:val="center"/>
          </w:tcPr>
          <w:p w14:paraId="616AFCCE" w14:textId="0499EDB2" w:rsidR="00387C70" w:rsidRPr="003F23AC" w:rsidRDefault="000F5AA4" w:rsidP="003F23AC">
            <w:pPr>
              <w:pStyle w:val="P68B1DB1-Normal11"/>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12.9</w:t>
            </w:r>
          </w:p>
        </w:tc>
        <w:tc>
          <w:tcPr>
            <w:tcW w:w="1276" w:type="dxa"/>
            <w:shd w:val="clear" w:color="auto" w:fill="C4EFCE"/>
            <w:noWrap/>
            <w:tcMar>
              <w:left w:w="28" w:type="dxa"/>
              <w:right w:w="28" w:type="dxa"/>
            </w:tcMar>
            <w:vAlign w:val="center"/>
          </w:tcPr>
          <w:p w14:paraId="6071425A" w14:textId="403D2E54"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TC-C12-r39</w:t>
            </w:r>
          </w:p>
        </w:tc>
        <w:tc>
          <w:tcPr>
            <w:tcW w:w="1134" w:type="dxa"/>
            <w:shd w:val="clear" w:color="auto" w:fill="C4EFCE"/>
            <w:noWrap/>
            <w:tcMar>
              <w:left w:w="28" w:type="dxa"/>
              <w:right w:w="28" w:type="dxa"/>
            </w:tcMar>
            <w:vAlign w:val="center"/>
          </w:tcPr>
          <w:p w14:paraId="740B5687" w14:textId="64AAC94A"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72035F18" w14:textId="0B965D30"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Systém spätného odberu odpadu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elektrických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elektronických zariadení</w:t>
            </w:r>
          </w:p>
        </w:tc>
        <w:tc>
          <w:tcPr>
            <w:tcW w:w="1275" w:type="dxa"/>
            <w:shd w:val="clear" w:color="auto" w:fill="C4EFCE"/>
            <w:noWrap/>
            <w:tcMar>
              <w:left w:w="28" w:type="dxa"/>
              <w:right w:w="28" w:type="dxa"/>
            </w:tcMar>
            <w:vAlign w:val="center"/>
          </w:tcPr>
          <w:p w14:paraId="066404D9" w14:textId="754600B7"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Ustanovenie právnych predpisov</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nadobudnutí účinnosti právnych predpisov</w:t>
            </w:r>
          </w:p>
        </w:tc>
        <w:tc>
          <w:tcPr>
            <w:tcW w:w="993" w:type="dxa"/>
            <w:shd w:val="clear" w:color="auto" w:fill="C4EFCE"/>
            <w:noWrap/>
            <w:tcMar>
              <w:left w:w="28" w:type="dxa"/>
              <w:right w:w="28" w:type="dxa"/>
            </w:tcMar>
            <w:vAlign w:val="center"/>
          </w:tcPr>
          <w:p w14:paraId="461AA650" w14:textId="77777777"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076B2EB9" w14:textId="77777777"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709" w:type="dxa"/>
            <w:shd w:val="clear" w:color="auto" w:fill="C4EFCE"/>
            <w:noWrap/>
            <w:tcMar>
              <w:left w:w="28" w:type="dxa"/>
              <w:right w:w="28" w:type="dxa"/>
            </w:tcMar>
            <w:vAlign w:val="center"/>
          </w:tcPr>
          <w:p w14:paraId="35EC12A6" w14:textId="77777777" w:rsidR="00387C70" w:rsidRPr="003F23AC" w:rsidRDefault="00387C70" w:rsidP="003F23AC">
            <w:pPr>
              <w:spacing w:before="40" w:after="0" w:line="240" w:lineRule="auto"/>
              <w:jc w:val="center"/>
              <w:rPr>
                <w:rFonts w:ascii="Times New Roman" w:eastAsia="Times New Roman" w:hAnsi="Times New Roman" w:cs="Times New Roman"/>
                <w:noProof/>
                <w:sz w:val="16"/>
                <w:lang w:val="sk-SK"/>
              </w:rPr>
            </w:pPr>
          </w:p>
        </w:tc>
        <w:tc>
          <w:tcPr>
            <w:tcW w:w="567" w:type="dxa"/>
            <w:shd w:val="clear" w:color="auto" w:fill="C4EFCE"/>
            <w:noWrap/>
            <w:tcMar>
              <w:left w:w="28" w:type="dxa"/>
              <w:right w:w="28" w:type="dxa"/>
            </w:tcMar>
            <w:vAlign w:val="center"/>
          </w:tcPr>
          <w:p w14:paraId="3C9440EC" w14:textId="13BA4809" w:rsidR="00387C70" w:rsidRPr="003F23AC" w:rsidRDefault="00FF0A91"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708" w:type="dxa"/>
            <w:shd w:val="clear" w:color="auto" w:fill="C4EFCE"/>
            <w:noWrap/>
            <w:tcMar>
              <w:left w:w="28" w:type="dxa"/>
              <w:right w:w="28" w:type="dxa"/>
            </w:tcMar>
            <w:vAlign w:val="center"/>
          </w:tcPr>
          <w:p w14:paraId="1E8B76AD" w14:textId="6C11828E" w:rsidR="00387C70" w:rsidRPr="003F23AC" w:rsidRDefault="000F5AA4" w:rsidP="003F23AC">
            <w:pPr>
              <w:pStyle w:val="P68B1DB1-Normal12"/>
              <w:spacing w:before="40"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tcPr>
          <w:p w14:paraId="675495A0" w14:textId="7ECB36D8" w:rsidR="00387C70" w:rsidRPr="003F23AC" w:rsidRDefault="000F5AA4" w:rsidP="003F23AC">
            <w:pPr>
              <w:pStyle w:val="P68B1DB1-Normal12"/>
              <w:spacing w:before="40"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 základe nezávislej štúdie uskutočniteľnosti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ak je štúdia pozitívna, nadobudnú účinnosť právne predpisy, ktorými sa stanoví právny rámec na zavedenie systému spätného odberu odpadu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elektrických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elektronických zariadení.</w:t>
            </w:r>
          </w:p>
        </w:tc>
      </w:tr>
    </w:tbl>
    <w:p w14:paraId="76334BD8" w14:textId="77777777" w:rsidR="00A75B3C" w:rsidRPr="003F23AC" w:rsidRDefault="00A75B3C" w:rsidP="003F23AC">
      <w:pPr>
        <w:pStyle w:val="P68B1DB1-Normal4"/>
        <w:spacing w:before="40" w:after="0" w:line="259" w:lineRule="auto"/>
        <w:jc w:val="both"/>
        <w:rPr>
          <w:rFonts w:cs="Times New Roman"/>
          <w:noProof/>
          <w:lang w:val="sk-SK"/>
        </w:rPr>
      </w:pPr>
    </w:p>
    <w:p w14:paraId="05DB275A"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11FB5CD6"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sectPr w:rsidR="00387C70" w:rsidRPr="003F23AC" w:rsidSect="00E00EDD">
          <w:headerReference w:type="even" r:id="rId252"/>
          <w:headerReference w:type="default" r:id="rId253"/>
          <w:footerReference w:type="even" r:id="rId254"/>
          <w:footerReference w:type="default" r:id="rId255"/>
          <w:headerReference w:type="first" r:id="rId256"/>
          <w:footerReference w:type="first" r:id="rId257"/>
          <w:pgSz w:w="16839" w:h="11907" w:orient="landscape"/>
          <w:pgMar w:top="1134" w:right="1134" w:bottom="1134" w:left="1134" w:header="567" w:footer="567" w:gutter="0"/>
          <w:cols w:space="720"/>
          <w:docGrid w:linePitch="360"/>
        </w:sectPr>
      </w:pPr>
    </w:p>
    <w:p w14:paraId="73252C7F" w14:textId="2FE60C8C" w:rsidR="00387C70" w:rsidRPr="003F23AC" w:rsidRDefault="000F5AA4" w:rsidP="003F23AC">
      <w:pPr>
        <w:pStyle w:val="P68B1DB1-Normal3"/>
        <w:spacing w:before="40" w:after="0" w:line="259" w:lineRule="auto"/>
        <w:ind w:left="130" w:firstLine="720"/>
        <w:jc w:val="both"/>
        <w:outlineLvl w:val="1"/>
        <w:rPr>
          <w:rFonts w:eastAsiaTheme="minorEastAsia" w:cs="Times New Roman"/>
          <w:smallCaps/>
          <w:noProof/>
          <w:lang w:val="sk-SK"/>
        </w:rPr>
      </w:pPr>
      <w:r w:rsidRPr="003F23AC">
        <w:rPr>
          <w:rFonts w:cs="Times New Roman"/>
          <w:noProof/>
          <w:lang w:val="sk-SK"/>
        </w:rPr>
        <w:t>M</w:t>
      </w:r>
      <w:r w:rsidR="00C32C63" w:rsidRPr="003F23AC">
        <w:rPr>
          <w:rFonts w:cs="Times New Roman"/>
          <w:noProof/>
          <w:lang w:val="sk-SK"/>
        </w:rPr>
        <w:t>. KOMPONENT</w:t>
      </w:r>
      <w:r w:rsidRPr="003F23AC">
        <w:rPr>
          <w:rFonts w:cs="Times New Roman"/>
          <w:smallCaps/>
          <w:noProof/>
          <w:lang w:val="sk-SK"/>
        </w:rPr>
        <w:t xml:space="preserve"> 1</w:t>
      </w:r>
      <w:r w:rsidRPr="003F23AC">
        <w:rPr>
          <w:rFonts w:cs="Times New Roman"/>
          <w:noProof/>
          <w:lang w:val="sk-SK"/>
        </w:rPr>
        <w:t>3</w:t>
      </w:r>
      <w:r w:rsidRPr="003F23AC">
        <w:rPr>
          <w:rFonts w:cs="Times New Roman"/>
          <w:smallCaps/>
          <w:noProof/>
          <w:lang w:val="sk-SK"/>
        </w:rPr>
        <w:t xml:space="preserve">: </w:t>
      </w:r>
      <w:r w:rsidRPr="003F23AC">
        <w:rPr>
          <w:rFonts w:cs="Times New Roman"/>
          <w:noProof/>
          <w:lang w:val="sk-SK"/>
        </w:rPr>
        <w:t>Energetická efektívnosť budov</w:t>
      </w:r>
    </w:p>
    <w:p w14:paraId="7428EB29" w14:textId="2B813214" w:rsidR="00387C70" w:rsidRPr="003F23AC" w:rsidRDefault="000F5AA4" w:rsidP="003F23AC">
      <w:pPr>
        <w:pStyle w:val="P68B1DB1-Normal4"/>
        <w:spacing w:beforeLines="40" w:before="96" w:after="0" w:line="22" w:lineRule="atLeast"/>
        <w:jc w:val="both"/>
        <w:rPr>
          <w:rFonts w:eastAsia="Times New Roman" w:cs="Times New Roman"/>
          <w:noProof/>
          <w:lang w:val="sk-SK"/>
        </w:rPr>
      </w:pPr>
      <w:r w:rsidRPr="003F23AC">
        <w:rPr>
          <w:rFonts w:cs="Times New Roman"/>
          <w:noProof/>
          <w:lang w:val="sk-SK"/>
        </w:rPr>
        <w:t>Táto zložka sa zaoberá týmito výzvami: Sektor bývania predstavuje 18</w:t>
      </w:r>
      <w:r w:rsidR="00A75B3C" w:rsidRPr="003F23AC">
        <w:rPr>
          <w:rFonts w:cs="Times New Roman"/>
          <w:noProof/>
          <w:lang w:val="sk-SK"/>
        </w:rPr>
        <w:t> %</w:t>
      </w:r>
      <w:r w:rsidRPr="003F23AC">
        <w:rPr>
          <w:rFonts w:cs="Times New Roman"/>
          <w:noProof/>
          <w:lang w:val="sk-SK"/>
        </w:rPr>
        <w:t xml:space="preserve"> spotreby energie</w:t>
      </w:r>
      <w:r w:rsidR="00A75B3C" w:rsidRPr="003F23AC">
        <w:rPr>
          <w:rFonts w:cs="Times New Roman"/>
          <w:noProof/>
          <w:lang w:val="sk-SK"/>
        </w:rPr>
        <w:t xml:space="preserve"> a </w:t>
      </w:r>
      <w:r w:rsidRPr="003F23AC">
        <w:rPr>
          <w:rFonts w:cs="Times New Roman"/>
          <w:noProof/>
          <w:lang w:val="sk-SK"/>
        </w:rPr>
        <w:t>sektor služieb ďalších 14</w:t>
      </w:r>
      <w:r w:rsidR="00A75B3C" w:rsidRPr="003F23AC">
        <w:rPr>
          <w:rFonts w:cs="Times New Roman"/>
          <w:noProof/>
          <w:lang w:val="sk-SK"/>
        </w:rPr>
        <w:t> %</w:t>
      </w:r>
      <w:r w:rsidRPr="003F23AC">
        <w:rPr>
          <w:rFonts w:cs="Times New Roman"/>
          <w:noProof/>
          <w:lang w:val="sk-SK"/>
        </w:rPr>
        <w:t>. Budovy preto zohrávajú pre Portugalsko dôležitú úlohu pri dosahovaní jeho cieľov</w:t>
      </w:r>
      <w:r w:rsidR="00A75B3C" w:rsidRPr="003F23AC">
        <w:rPr>
          <w:rFonts w:cs="Times New Roman"/>
          <w:noProof/>
          <w:lang w:val="sk-SK"/>
        </w:rPr>
        <w:t xml:space="preserve"> v </w:t>
      </w:r>
      <w:r w:rsidRPr="003F23AC">
        <w:rPr>
          <w:rFonts w:cs="Times New Roman"/>
          <w:noProof/>
          <w:lang w:val="sk-SK"/>
        </w:rPr>
        <w:t>oblasti uhlíkovej neutrality. Opatrenia</w:t>
      </w:r>
      <w:r w:rsidR="00A75B3C" w:rsidRPr="003F23AC">
        <w:rPr>
          <w:rFonts w:cs="Times New Roman"/>
          <w:noProof/>
          <w:lang w:val="sk-SK"/>
        </w:rPr>
        <w:t xml:space="preserve"> v </w:t>
      </w:r>
      <w:r w:rsidRPr="003F23AC">
        <w:rPr>
          <w:rFonts w:cs="Times New Roman"/>
          <w:noProof/>
          <w:lang w:val="sk-SK"/>
        </w:rPr>
        <w:t>tejto oblasti,</w:t>
      </w:r>
      <w:r w:rsidR="00A75B3C" w:rsidRPr="003F23AC">
        <w:rPr>
          <w:rFonts w:cs="Times New Roman"/>
          <w:noProof/>
          <w:lang w:val="sk-SK"/>
        </w:rPr>
        <w:t xml:space="preserve"> a </w:t>
      </w:r>
      <w:r w:rsidRPr="003F23AC">
        <w:rPr>
          <w:rFonts w:cs="Times New Roman"/>
          <w:noProof/>
          <w:lang w:val="sk-SK"/>
        </w:rPr>
        <w:t>najmä</w:t>
      </w:r>
      <w:r w:rsidR="00A75B3C" w:rsidRPr="003F23AC">
        <w:rPr>
          <w:rFonts w:cs="Times New Roman"/>
          <w:noProof/>
          <w:lang w:val="sk-SK"/>
        </w:rPr>
        <w:t xml:space="preserve"> v </w:t>
      </w:r>
      <w:r w:rsidRPr="003F23AC">
        <w:rPr>
          <w:rFonts w:cs="Times New Roman"/>
          <w:noProof/>
          <w:lang w:val="sk-SK"/>
        </w:rPr>
        <w:t>segmente bývania, môžu takisto pomôcť zmierniť energetickú chudobu, ktorá</w:t>
      </w:r>
      <w:r w:rsidR="00A75B3C" w:rsidRPr="003F23AC">
        <w:rPr>
          <w:rFonts w:cs="Times New Roman"/>
          <w:noProof/>
          <w:lang w:val="sk-SK"/>
        </w:rPr>
        <w:t xml:space="preserve"> v </w:t>
      </w:r>
      <w:r w:rsidRPr="003F23AC">
        <w:rPr>
          <w:rFonts w:cs="Times New Roman"/>
          <w:noProof/>
          <w:lang w:val="sk-SK"/>
        </w:rPr>
        <w:t>Portugalsku zostáva významným problémom, keďže percentuálny podiel domácností, ktoré nie sú schopné primerane vykurovať domovy, je</w:t>
      </w:r>
      <w:r w:rsidR="00A75B3C" w:rsidRPr="003F23AC">
        <w:rPr>
          <w:rFonts w:cs="Times New Roman"/>
          <w:noProof/>
          <w:lang w:val="sk-SK"/>
        </w:rPr>
        <w:t xml:space="preserve"> v </w:t>
      </w:r>
      <w:r w:rsidRPr="003F23AC">
        <w:rPr>
          <w:rFonts w:cs="Times New Roman"/>
          <w:noProof/>
          <w:lang w:val="sk-SK"/>
        </w:rPr>
        <w:t>roku 2019 stále na úrovni 19</w:t>
      </w:r>
      <w:r w:rsidR="00A75B3C" w:rsidRPr="003F23AC">
        <w:rPr>
          <w:rFonts w:cs="Times New Roman"/>
          <w:noProof/>
          <w:lang w:val="sk-SK"/>
        </w:rPr>
        <w:t> %</w:t>
      </w:r>
      <w:r w:rsidRPr="003F23AC">
        <w:rPr>
          <w:rFonts w:cs="Times New Roman"/>
          <w:noProof/>
          <w:lang w:val="sk-SK"/>
        </w:rPr>
        <w:t>. Portugalsko sa zaviazalo dosiahnuť uhlíkovú neutralitu do roku 2050,</w:t>
      </w:r>
      <w:r w:rsidR="00A75B3C" w:rsidRPr="003F23AC">
        <w:rPr>
          <w:rFonts w:cs="Times New Roman"/>
          <w:noProof/>
          <w:lang w:val="sk-SK"/>
        </w:rPr>
        <w:t xml:space="preserve"> a </w:t>
      </w:r>
      <w:r w:rsidRPr="003F23AC">
        <w:rPr>
          <w:rFonts w:cs="Times New Roman"/>
          <w:noProof/>
          <w:lang w:val="sk-SK"/>
        </w:rPr>
        <w:t xml:space="preserve">preto musí podporovať </w:t>
      </w:r>
      <w:r w:rsidRPr="003F23AC">
        <w:rPr>
          <w:rFonts w:cs="Times New Roman"/>
          <w:noProof/>
          <w:shd w:val="clear" w:color="auto" w:fill="FFFFFF"/>
          <w:lang w:val="sk-SK"/>
        </w:rPr>
        <w:t>dekarbonizáciu svojho fondu budov</w:t>
      </w:r>
      <w:r w:rsidR="00A75B3C" w:rsidRPr="003F23AC">
        <w:rPr>
          <w:rFonts w:cs="Times New Roman"/>
          <w:noProof/>
          <w:shd w:val="clear" w:color="auto" w:fill="FFFFFF"/>
          <w:lang w:val="sk-SK"/>
        </w:rPr>
        <w:t xml:space="preserve"> a </w:t>
      </w:r>
      <w:r w:rsidRPr="003F23AC">
        <w:rPr>
          <w:rFonts w:cs="Times New Roman"/>
          <w:noProof/>
          <w:shd w:val="clear" w:color="auto" w:fill="FFFFFF"/>
          <w:lang w:val="sk-SK"/>
        </w:rPr>
        <w:t xml:space="preserve">zároveň </w:t>
      </w:r>
      <w:r w:rsidRPr="003F23AC">
        <w:rPr>
          <w:rFonts w:cs="Times New Roman"/>
          <w:noProof/>
          <w:lang w:val="sk-SK"/>
        </w:rPr>
        <w:t>zlepšovať podmienky bývania (pohodlie</w:t>
      </w:r>
      <w:r w:rsidR="00A75B3C" w:rsidRPr="003F23AC">
        <w:rPr>
          <w:rFonts w:cs="Times New Roman"/>
          <w:noProof/>
          <w:lang w:val="sk-SK"/>
        </w:rPr>
        <w:t xml:space="preserve"> a </w:t>
      </w:r>
      <w:r w:rsidRPr="003F23AC">
        <w:rPr>
          <w:rFonts w:cs="Times New Roman"/>
          <w:noProof/>
          <w:lang w:val="sk-SK"/>
        </w:rPr>
        <w:t>kvalita vnútorných priestorov)</w:t>
      </w:r>
      <w:r w:rsidR="00A75B3C" w:rsidRPr="003F23AC">
        <w:rPr>
          <w:rFonts w:cs="Times New Roman"/>
          <w:noProof/>
          <w:lang w:val="sk-SK"/>
        </w:rPr>
        <w:t xml:space="preserve"> a </w:t>
      </w:r>
      <w:r w:rsidRPr="003F23AC">
        <w:rPr>
          <w:rFonts w:cs="Times New Roman"/>
          <w:noProof/>
          <w:lang w:val="sk-SK"/>
        </w:rPr>
        <w:t>cenovú dostupnosť. To sa dosiahne zvýšením energetickej hospodárnosti budov, spojením energetickej efektívnosti</w:t>
      </w:r>
      <w:r w:rsidR="00A75B3C" w:rsidRPr="003F23AC">
        <w:rPr>
          <w:rFonts w:cs="Times New Roman"/>
          <w:noProof/>
          <w:lang w:val="sk-SK"/>
        </w:rPr>
        <w:t xml:space="preserve"> a </w:t>
      </w:r>
      <w:r w:rsidRPr="003F23AC">
        <w:rPr>
          <w:rFonts w:cs="Times New Roman"/>
          <w:noProof/>
          <w:lang w:val="sk-SK"/>
        </w:rPr>
        <w:t>energie</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s </w:t>
      </w:r>
      <w:r w:rsidRPr="003F23AC">
        <w:rPr>
          <w:rFonts w:cs="Times New Roman"/>
          <w:noProof/>
          <w:lang w:val="sk-SK"/>
        </w:rPr>
        <w:t>elektrifikáciou</w:t>
      </w:r>
      <w:r w:rsidR="00A75B3C" w:rsidRPr="003F23AC">
        <w:rPr>
          <w:rFonts w:cs="Times New Roman"/>
          <w:noProof/>
          <w:lang w:val="sk-SK"/>
        </w:rPr>
        <w:t xml:space="preserve"> a </w:t>
      </w:r>
      <w:r w:rsidRPr="003F23AC">
        <w:rPr>
          <w:rFonts w:cs="Times New Roman"/>
          <w:noProof/>
          <w:lang w:val="sk-SK"/>
        </w:rPr>
        <w:t>zameraním sa najmä na domácnosti</w:t>
      </w:r>
      <w:r w:rsidR="00A75B3C" w:rsidRPr="003F23AC">
        <w:rPr>
          <w:rFonts w:cs="Times New Roman"/>
          <w:noProof/>
          <w:lang w:val="sk-SK"/>
        </w:rPr>
        <w:t xml:space="preserve"> s </w:t>
      </w:r>
      <w:r w:rsidRPr="003F23AC">
        <w:rPr>
          <w:rFonts w:cs="Times New Roman"/>
          <w:noProof/>
          <w:lang w:val="sk-SK"/>
        </w:rPr>
        <w:t>nízkymi príjmami</w:t>
      </w:r>
      <w:r w:rsidR="00A75B3C" w:rsidRPr="003F23AC">
        <w:rPr>
          <w:rFonts w:cs="Times New Roman"/>
          <w:noProof/>
          <w:lang w:val="sk-SK"/>
        </w:rPr>
        <w:t xml:space="preserve"> s </w:t>
      </w:r>
      <w:r w:rsidRPr="003F23AC">
        <w:rPr>
          <w:rFonts w:cs="Times New Roman"/>
          <w:noProof/>
          <w:lang w:val="sk-SK"/>
        </w:rPr>
        <w:t>cieľom riešiť energetickú chudobu.</w:t>
      </w:r>
    </w:p>
    <w:p w14:paraId="60D27ACE" w14:textId="3E2F186D" w:rsidR="00387C70" w:rsidRPr="003F23AC" w:rsidRDefault="000F5AA4" w:rsidP="003F23AC">
      <w:pPr>
        <w:pStyle w:val="P68B1DB1-Normal4"/>
        <w:widowControl w:val="0"/>
        <w:spacing w:beforeLines="40" w:before="96" w:after="161" w:line="22" w:lineRule="atLeast"/>
        <w:jc w:val="both"/>
        <w:rPr>
          <w:rFonts w:eastAsia="Calibri" w:cs="Times New Roman"/>
          <w:noProof/>
          <w:lang w:val="sk-SK"/>
        </w:rPr>
      </w:pPr>
      <w:r w:rsidRPr="003F23AC">
        <w:rPr>
          <w:rFonts w:cs="Times New Roman"/>
          <w:noProof/>
          <w:lang w:val="sk-SK"/>
        </w:rPr>
        <w:t>Zistilo sa niekoľko „zlyh</w:t>
      </w:r>
      <w:r w:rsidR="009E4E5C">
        <w:rPr>
          <w:rFonts w:cs="Times New Roman"/>
          <w:noProof/>
          <w:lang w:val="sk-SK"/>
        </w:rPr>
        <w:t>aní</w:t>
      </w:r>
      <w:r w:rsidRPr="003F23AC">
        <w:rPr>
          <w:rFonts w:cs="Times New Roman"/>
          <w:noProof/>
          <w:lang w:val="sk-SK"/>
        </w:rPr>
        <w:t xml:space="preserve"> trhu“, ktoré zodpovedajú viacerým problémom, ktoré majú tendenciu oddialiť transformáciu fondu budov</w:t>
      </w:r>
      <w:r w:rsidR="00A75B3C" w:rsidRPr="003F23AC">
        <w:rPr>
          <w:rFonts w:cs="Times New Roman"/>
          <w:noProof/>
          <w:lang w:val="sk-SK"/>
        </w:rPr>
        <w:t xml:space="preserve"> a </w:t>
      </w:r>
      <w:r w:rsidRPr="003F23AC">
        <w:rPr>
          <w:rFonts w:cs="Times New Roman"/>
          <w:noProof/>
          <w:lang w:val="sk-SK"/>
        </w:rPr>
        <w:t>využívanie potenciálnych úspor energie, ako napríklad:</w:t>
      </w:r>
    </w:p>
    <w:p w14:paraId="05BE14DE" w14:textId="3D32F44D" w:rsidR="00387C70" w:rsidRPr="003F23AC" w:rsidRDefault="000F5AA4" w:rsidP="003F23AC">
      <w:pPr>
        <w:pStyle w:val="P68B1DB1-Normal4"/>
        <w:widowControl w:val="0"/>
        <w:numPr>
          <w:ilvl w:val="0"/>
          <w:numId w:val="50"/>
        </w:numPr>
        <w:spacing w:beforeLines="40" w:before="96" w:after="161" w:line="22" w:lineRule="atLeast"/>
        <w:jc w:val="both"/>
        <w:rPr>
          <w:rFonts w:eastAsia="Calibri" w:cs="Times New Roman"/>
          <w:noProof/>
          <w:lang w:val="sk-SK"/>
        </w:rPr>
      </w:pPr>
      <w:r w:rsidRPr="003F23AC">
        <w:rPr>
          <w:rFonts w:cs="Times New Roman"/>
          <w:noProof/>
          <w:lang w:val="sk-SK"/>
        </w:rPr>
        <w:t>nedostatočné pochopenie využívania energie</w:t>
      </w:r>
      <w:r w:rsidR="00A75B3C" w:rsidRPr="003F23AC">
        <w:rPr>
          <w:rFonts w:cs="Times New Roman"/>
          <w:noProof/>
          <w:lang w:val="sk-SK"/>
        </w:rPr>
        <w:t xml:space="preserve"> a </w:t>
      </w:r>
      <w:r w:rsidRPr="003F23AC">
        <w:rPr>
          <w:rFonts w:cs="Times New Roman"/>
          <w:noProof/>
          <w:lang w:val="sk-SK"/>
        </w:rPr>
        <w:t>potenciálnych úspor;</w:t>
      </w:r>
    </w:p>
    <w:p w14:paraId="68334EEE" w14:textId="495E028B" w:rsidR="00387C70" w:rsidRPr="003F23AC" w:rsidRDefault="000F5AA4" w:rsidP="003F23AC">
      <w:pPr>
        <w:pStyle w:val="P68B1DB1-Normal4"/>
        <w:widowControl w:val="0"/>
        <w:numPr>
          <w:ilvl w:val="0"/>
          <w:numId w:val="50"/>
        </w:numPr>
        <w:spacing w:beforeLines="40" w:before="96" w:after="161" w:line="22" w:lineRule="atLeast"/>
        <w:jc w:val="both"/>
        <w:rPr>
          <w:rFonts w:eastAsia="Calibri" w:cs="Times New Roman"/>
          <w:noProof/>
          <w:lang w:val="sk-SK"/>
        </w:rPr>
      </w:pPr>
      <w:r w:rsidRPr="003F23AC">
        <w:rPr>
          <w:rFonts w:cs="Times New Roman"/>
          <w:noProof/>
          <w:lang w:val="sk-SK"/>
        </w:rPr>
        <w:t>obmedzená renovačná</w:t>
      </w:r>
      <w:r w:rsidR="00A75B3C" w:rsidRPr="003F23AC">
        <w:rPr>
          <w:rFonts w:cs="Times New Roman"/>
          <w:noProof/>
          <w:lang w:val="sk-SK"/>
        </w:rPr>
        <w:t xml:space="preserve"> a </w:t>
      </w:r>
      <w:r w:rsidRPr="003F23AC">
        <w:rPr>
          <w:rFonts w:cs="Times New Roman"/>
          <w:noProof/>
          <w:lang w:val="sk-SK"/>
        </w:rPr>
        <w:t>stavebná činnosť</w:t>
      </w:r>
      <w:r w:rsidR="00A75B3C" w:rsidRPr="003F23AC">
        <w:rPr>
          <w:rFonts w:cs="Times New Roman"/>
          <w:noProof/>
          <w:lang w:val="sk-SK"/>
        </w:rPr>
        <w:t xml:space="preserve"> v </w:t>
      </w:r>
      <w:r w:rsidRPr="003F23AC">
        <w:rPr>
          <w:rFonts w:cs="Times New Roman"/>
          <w:noProof/>
          <w:lang w:val="sk-SK"/>
        </w:rPr>
        <w:t>kontexte po finančnej kríze;</w:t>
      </w:r>
    </w:p>
    <w:p w14:paraId="1367E8D7" w14:textId="77777777" w:rsidR="00387C70" w:rsidRPr="003F23AC" w:rsidRDefault="000F5AA4" w:rsidP="003F23AC">
      <w:pPr>
        <w:pStyle w:val="P68B1DB1-Normal4"/>
        <w:widowControl w:val="0"/>
        <w:numPr>
          <w:ilvl w:val="0"/>
          <w:numId w:val="50"/>
        </w:numPr>
        <w:spacing w:beforeLines="40" w:before="96" w:after="161" w:line="22" w:lineRule="atLeast"/>
        <w:jc w:val="both"/>
        <w:rPr>
          <w:rFonts w:eastAsia="Calibri" w:cs="Times New Roman"/>
          <w:noProof/>
          <w:lang w:val="sk-SK"/>
        </w:rPr>
      </w:pPr>
      <w:r w:rsidRPr="003F23AC">
        <w:rPr>
          <w:rFonts w:cs="Times New Roman"/>
          <w:noProof/>
          <w:lang w:val="sk-SK"/>
        </w:rPr>
        <w:t>nedostatok atraktívnych produktov financovania;</w:t>
      </w:r>
    </w:p>
    <w:p w14:paraId="145C348F" w14:textId="77F4AB95" w:rsidR="00387C70" w:rsidRPr="003F23AC" w:rsidRDefault="000F5AA4" w:rsidP="003F23AC">
      <w:pPr>
        <w:pStyle w:val="P68B1DB1-Normal4"/>
        <w:widowControl w:val="0"/>
        <w:numPr>
          <w:ilvl w:val="0"/>
          <w:numId w:val="50"/>
        </w:numPr>
        <w:spacing w:beforeLines="40" w:before="96" w:after="161" w:line="22" w:lineRule="atLeast"/>
        <w:jc w:val="both"/>
        <w:rPr>
          <w:rFonts w:eastAsia="Calibri" w:cs="Times New Roman"/>
          <w:noProof/>
          <w:lang w:val="sk-SK"/>
        </w:rPr>
      </w:pPr>
      <w:r w:rsidRPr="003F23AC">
        <w:rPr>
          <w:rFonts w:cs="Times New Roman"/>
          <w:noProof/>
          <w:lang w:val="sk-SK"/>
        </w:rPr>
        <w:t>obmedzené informácie</w:t>
      </w:r>
      <w:r w:rsidR="00A75B3C" w:rsidRPr="003F23AC">
        <w:rPr>
          <w:rFonts w:cs="Times New Roman"/>
          <w:noProof/>
          <w:lang w:val="sk-SK"/>
        </w:rPr>
        <w:t xml:space="preserve"> o </w:t>
      </w:r>
      <w:r w:rsidRPr="003F23AC">
        <w:rPr>
          <w:rFonts w:cs="Times New Roman"/>
          <w:noProof/>
          <w:lang w:val="sk-SK"/>
        </w:rPr>
        <w:t>fonde budov;</w:t>
      </w:r>
      <w:r w:rsidR="00A75B3C" w:rsidRPr="003F23AC">
        <w:rPr>
          <w:rFonts w:cs="Times New Roman"/>
          <w:noProof/>
          <w:lang w:val="sk-SK"/>
        </w:rPr>
        <w:t xml:space="preserve"> a </w:t>
      </w:r>
      <w:r w:rsidRPr="003F23AC">
        <w:rPr>
          <w:rFonts w:cs="Times New Roman"/>
          <w:noProof/>
          <w:lang w:val="sk-SK"/>
        </w:rPr>
        <w:t>zároveň</w:t>
      </w:r>
    </w:p>
    <w:p w14:paraId="30590B1F" w14:textId="196A7087" w:rsidR="00387C70" w:rsidRPr="003F23AC" w:rsidRDefault="000F5AA4" w:rsidP="003F23AC">
      <w:pPr>
        <w:pStyle w:val="P68B1DB1-Normal4"/>
        <w:widowControl w:val="0"/>
        <w:numPr>
          <w:ilvl w:val="0"/>
          <w:numId w:val="50"/>
        </w:numPr>
        <w:spacing w:beforeLines="40" w:before="96" w:after="161" w:line="22" w:lineRule="atLeast"/>
        <w:jc w:val="both"/>
        <w:rPr>
          <w:rFonts w:eastAsia="Calibri" w:cs="Times New Roman"/>
          <w:noProof/>
          <w:lang w:val="sk-SK"/>
        </w:rPr>
      </w:pPr>
      <w:r w:rsidRPr="003F23AC">
        <w:rPr>
          <w:rFonts w:cs="Times New Roman"/>
          <w:noProof/>
          <w:lang w:val="sk-SK"/>
        </w:rPr>
        <w:t>obmedzené využívanie efektívnych</w:t>
      </w:r>
      <w:r w:rsidR="00A75B3C" w:rsidRPr="003F23AC">
        <w:rPr>
          <w:rFonts w:cs="Times New Roman"/>
          <w:noProof/>
          <w:lang w:val="sk-SK"/>
        </w:rPr>
        <w:t xml:space="preserve"> a </w:t>
      </w:r>
      <w:r w:rsidRPr="003F23AC">
        <w:rPr>
          <w:rFonts w:cs="Times New Roman"/>
          <w:noProof/>
          <w:lang w:val="sk-SK"/>
        </w:rPr>
        <w:t>inteligentných technológií.</w:t>
      </w:r>
    </w:p>
    <w:p w14:paraId="576EEEFA" w14:textId="69FAB7B8"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Cieľom tejto zložky je renovovať verejné</w:t>
      </w:r>
      <w:r w:rsidR="00A75B3C" w:rsidRPr="003F23AC">
        <w:rPr>
          <w:rFonts w:cs="Times New Roman"/>
          <w:noProof/>
          <w:lang w:val="sk-SK"/>
        </w:rPr>
        <w:t xml:space="preserve"> a </w:t>
      </w:r>
      <w:r w:rsidRPr="003F23AC">
        <w:rPr>
          <w:rFonts w:cs="Times New Roman"/>
          <w:noProof/>
          <w:lang w:val="sk-SK"/>
        </w:rPr>
        <w:t>súkromné budovy</w:t>
      </w:r>
      <w:r w:rsidR="00A75B3C" w:rsidRPr="003F23AC">
        <w:rPr>
          <w:rFonts w:cs="Times New Roman"/>
          <w:noProof/>
          <w:lang w:val="sk-SK"/>
        </w:rPr>
        <w:t xml:space="preserve"> s </w:t>
      </w:r>
      <w:r w:rsidRPr="003F23AC">
        <w:rPr>
          <w:rFonts w:cs="Times New Roman"/>
          <w:noProof/>
          <w:lang w:val="sk-SK"/>
        </w:rPr>
        <w:t>cieľom zlepšiť ich energetickú hospodárnosť</w:t>
      </w:r>
      <w:r w:rsidR="00A75B3C" w:rsidRPr="003F23AC">
        <w:rPr>
          <w:rFonts w:cs="Times New Roman"/>
          <w:noProof/>
          <w:lang w:val="sk-SK"/>
        </w:rPr>
        <w:t xml:space="preserve"> a </w:t>
      </w:r>
      <w:r w:rsidRPr="003F23AC">
        <w:rPr>
          <w:rFonts w:cs="Times New Roman"/>
          <w:noProof/>
          <w:lang w:val="sk-SK"/>
        </w:rPr>
        <w:t>pohodlie</w:t>
      </w:r>
      <w:r w:rsidR="00A75B3C" w:rsidRPr="003F23AC">
        <w:rPr>
          <w:rFonts w:cs="Times New Roman"/>
          <w:noProof/>
          <w:lang w:val="sk-SK"/>
        </w:rPr>
        <w:t xml:space="preserve"> a </w:t>
      </w:r>
      <w:r w:rsidRPr="003F23AC">
        <w:rPr>
          <w:rFonts w:cs="Times New Roman"/>
          <w:noProof/>
          <w:lang w:val="sk-SK"/>
        </w:rPr>
        <w:t>zároveň znížiť účty</w:t>
      </w:r>
      <w:r w:rsidR="00A75B3C" w:rsidRPr="003F23AC">
        <w:rPr>
          <w:rFonts w:cs="Times New Roman"/>
          <w:noProof/>
          <w:lang w:val="sk-SK"/>
        </w:rPr>
        <w:t xml:space="preserve"> a </w:t>
      </w:r>
      <w:r w:rsidRPr="003F23AC">
        <w:rPr>
          <w:rFonts w:cs="Times New Roman"/>
          <w:noProof/>
          <w:lang w:val="sk-SK"/>
        </w:rPr>
        <w:t>závislosť krajiny za energiu, emisie skleníkových plynov</w:t>
      </w:r>
      <w:r w:rsidR="00A75B3C" w:rsidRPr="003F23AC">
        <w:rPr>
          <w:rFonts w:cs="Times New Roman"/>
          <w:noProof/>
          <w:lang w:val="sk-SK"/>
        </w:rPr>
        <w:t xml:space="preserve"> a </w:t>
      </w:r>
      <w:r w:rsidRPr="003F23AC">
        <w:rPr>
          <w:rFonts w:cs="Times New Roman"/>
          <w:noProof/>
          <w:lang w:val="sk-SK"/>
        </w:rPr>
        <w:t>energetickú závislosť, zmierniť energetickú chudobu</w:t>
      </w:r>
      <w:r w:rsidR="00A75B3C" w:rsidRPr="003F23AC">
        <w:rPr>
          <w:rFonts w:cs="Times New Roman"/>
          <w:noProof/>
          <w:lang w:val="sk-SK"/>
        </w:rPr>
        <w:t xml:space="preserve"> a </w:t>
      </w:r>
      <w:r w:rsidRPr="003F23AC">
        <w:rPr>
          <w:rFonts w:cs="Times New Roman"/>
          <w:noProof/>
          <w:lang w:val="sk-SK"/>
        </w:rPr>
        <w:t>začleniť obnoviteľné zdroje energie do zastavaného prostredia. To by malo priniesť množstvo sociálnych, environmentálnych</w:t>
      </w:r>
      <w:r w:rsidR="00A75B3C" w:rsidRPr="003F23AC">
        <w:rPr>
          <w:rFonts w:cs="Times New Roman"/>
          <w:noProof/>
          <w:lang w:val="sk-SK"/>
        </w:rPr>
        <w:t xml:space="preserve"> a </w:t>
      </w:r>
      <w:r w:rsidRPr="003F23AC">
        <w:rPr>
          <w:rFonts w:cs="Times New Roman"/>
          <w:noProof/>
          <w:lang w:val="sk-SK"/>
        </w:rPr>
        <w:t>hospodárskych výhod pre ľudí</w:t>
      </w:r>
      <w:r w:rsidR="00A75B3C" w:rsidRPr="003F23AC">
        <w:rPr>
          <w:rFonts w:cs="Times New Roman"/>
          <w:noProof/>
          <w:lang w:val="sk-SK"/>
        </w:rPr>
        <w:t xml:space="preserve"> a </w:t>
      </w:r>
      <w:r w:rsidRPr="003F23AC">
        <w:rPr>
          <w:rFonts w:cs="Times New Roman"/>
          <w:noProof/>
          <w:lang w:val="sk-SK"/>
        </w:rPr>
        <w:t>podniky, ako napríklad vytváranie miestnych pracovných miest</w:t>
      </w:r>
      <w:r w:rsidR="00A75B3C" w:rsidRPr="003F23AC">
        <w:rPr>
          <w:rFonts w:cs="Times New Roman"/>
          <w:noProof/>
          <w:lang w:val="sk-SK"/>
        </w:rPr>
        <w:t xml:space="preserve"> a </w:t>
      </w:r>
      <w:r w:rsidRPr="003F23AC">
        <w:rPr>
          <w:rFonts w:cs="Times New Roman"/>
          <w:noProof/>
          <w:lang w:val="sk-SK"/>
        </w:rPr>
        <w:t>zníženie znečistenia ovzdušia</w:t>
      </w:r>
      <w:r w:rsidR="00A75B3C" w:rsidRPr="003F23AC">
        <w:rPr>
          <w:rFonts w:cs="Times New Roman"/>
          <w:noProof/>
          <w:lang w:val="sk-SK"/>
        </w:rPr>
        <w:t>.</w:t>
      </w:r>
    </w:p>
    <w:p w14:paraId="146C386E" w14:textId="45B3AC3F"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Táto zložka podporuje plnenie odporúčania pre jednotlivé krajiny týkajúceho sa investícií do klimatickej transformácie, najmä pokiaľ ide</w:t>
      </w:r>
      <w:r w:rsidR="00A75B3C" w:rsidRPr="003F23AC">
        <w:rPr>
          <w:rFonts w:cs="Times New Roman"/>
          <w:noProof/>
          <w:lang w:val="sk-SK"/>
        </w:rPr>
        <w:t xml:space="preserve"> o </w:t>
      </w:r>
      <w:r w:rsidRPr="003F23AC">
        <w:rPr>
          <w:rFonts w:cs="Times New Roman"/>
          <w:noProof/>
          <w:lang w:val="sk-SK"/>
        </w:rPr>
        <w:t>čistú</w:t>
      </w:r>
      <w:r w:rsidR="00A75B3C" w:rsidRPr="003F23AC">
        <w:rPr>
          <w:rFonts w:cs="Times New Roman"/>
          <w:noProof/>
          <w:lang w:val="sk-SK"/>
        </w:rPr>
        <w:t xml:space="preserve"> a </w:t>
      </w:r>
      <w:r w:rsidRPr="003F23AC">
        <w:rPr>
          <w:rFonts w:cs="Times New Roman"/>
          <w:noProof/>
          <w:lang w:val="sk-SK"/>
        </w:rPr>
        <w:t>efektívnu výrobu</w:t>
      </w:r>
      <w:r w:rsidR="00A75B3C" w:rsidRPr="003F23AC">
        <w:rPr>
          <w:rFonts w:cs="Times New Roman"/>
          <w:noProof/>
          <w:lang w:val="sk-SK"/>
        </w:rPr>
        <w:t xml:space="preserve"> a </w:t>
      </w:r>
      <w:r w:rsidRPr="003F23AC">
        <w:rPr>
          <w:rFonts w:cs="Times New Roman"/>
          <w:noProof/>
          <w:lang w:val="sk-SK"/>
        </w:rPr>
        <w:t>využívanie energie (odporúčanie pre jednotlivé krajiny 3 2020). Súvisí</w:t>
      </w:r>
      <w:r w:rsidR="00A75B3C" w:rsidRPr="003F23AC">
        <w:rPr>
          <w:rFonts w:cs="Times New Roman"/>
          <w:noProof/>
          <w:lang w:val="sk-SK"/>
        </w:rPr>
        <w:t xml:space="preserve"> s </w:t>
      </w:r>
      <w:r w:rsidRPr="003F23AC">
        <w:rPr>
          <w:rFonts w:cs="Times New Roman"/>
          <w:noProof/>
          <w:lang w:val="sk-SK"/>
        </w:rPr>
        <w:t>hlavnou iniciatívou „Renovujme“</w:t>
      </w:r>
      <w:r w:rsidR="00A75B3C" w:rsidRPr="003F23AC">
        <w:rPr>
          <w:rFonts w:cs="Times New Roman"/>
          <w:noProof/>
          <w:lang w:val="sk-SK"/>
        </w:rPr>
        <w:t xml:space="preserve"> a </w:t>
      </w:r>
      <w:r w:rsidRPr="003F23AC">
        <w:rPr>
          <w:rFonts w:cs="Times New Roman"/>
          <w:noProof/>
          <w:lang w:val="sk-SK"/>
        </w:rPr>
        <w:t>je tiež súčasťou zelenej transformácie</w:t>
      </w:r>
      <w:r w:rsidR="00A75B3C" w:rsidRPr="003F23AC">
        <w:rPr>
          <w:rFonts w:cs="Times New Roman"/>
          <w:noProof/>
          <w:lang w:val="sk-SK"/>
        </w:rPr>
        <w:t>.</w:t>
      </w:r>
    </w:p>
    <w:p w14:paraId="63A64E23" w14:textId="7770A68A" w:rsidR="00387C70" w:rsidRPr="003F23AC" w:rsidRDefault="000F5AA4" w:rsidP="003F23AC">
      <w:pPr>
        <w:pStyle w:val="P68B1DB1-Normal4"/>
        <w:spacing w:beforeLines="40" w:before="96" w:after="0" w:line="22" w:lineRule="atLeast"/>
        <w:jc w:val="both"/>
        <w:rPr>
          <w:rFonts w:eastAsiaTheme="minorEastAsia"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p>
    <w:p w14:paraId="3504A60C" w14:textId="77777777" w:rsidR="00387C70" w:rsidRPr="003F23AC" w:rsidRDefault="00387C70" w:rsidP="003F23AC">
      <w:pPr>
        <w:spacing w:beforeLines="40" w:before="96" w:after="0" w:line="22" w:lineRule="atLeast"/>
        <w:jc w:val="both"/>
        <w:rPr>
          <w:rFonts w:ascii="Times New Roman" w:eastAsiaTheme="minorEastAsia" w:hAnsi="Times New Roman" w:cs="Times New Roman"/>
          <w:noProof/>
          <w:lang w:val="sk-SK"/>
        </w:rPr>
      </w:pPr>
    </w:p>
    <w:p w14:paraId="7E1087BA" w14:textId="3F1F43F6"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M.1.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5B33E3CE" w14:textId="77777777" w:rsidR="00387C70" w:rsidRPr="003F23AC" w:rsidRDefault="000F5AA4" w:rsidP="003F23AC">
      <w:pPr>
        <w:pStyle w:val="P68B1DB1-Normal5"/>
        <w:spacing w:before="240" w:after="0" w:line="240" w:lineRule="auto"/>
        <w:ind w:left="851"/>
        <w:jc w:val="both"/>
        <w:outlineLvl w:val="2"/>
        <w:rPr>
          <w:rFonts w:eastAsiaTheme="minorEastAsia" w:cs="Times New Roman"/>
          <w:noProof/>
          <w:lang w:val="sk-SK"/>
        </w:rPr>
      </w:pPr>
      <w:r w:rsidRPr="003F23AC">
        <w:rPr>
          <w:rFonts w:cs="Times New Roman"/>
          <w:noProof/>
          <w:lang w:val="sk-SK"/>
        </w:rPr>
        <w:t>Investície TC-C13-i01: Energetická efektívnosť obytných budov</w:t>
      </w:r>
    </w:p>
    <w:p w14:paraId="7F32AEAB" w14:textId="53D33C2B"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podporiť</w:t>
      </w:r>
      <w:r w:rsidRPr="003F23AC">
        <w:rPr>
          <w:rFonts w:cs="Times New Roman"/>
          <w:noProof/>
          <w:shd w:val="clear" w:color="auto" w:fill="FFFFFF"/>
          <w:lang w:val="sk-SK"/>
        </w:rPr>
        <w:t xml:space="preserve"> energetickú obnovu bytových budov</w:t>
      </w:r>
      <w:r w:rsidR="00A75B3C" w:rsidRPr="003F23AC">
        <w:rPr>
          <w:rFonts w:cs="Times New Roman"/>
          <w:noProof/>
          <w:shd w:val="clear" w:color="auto" w:fill="FFFFFF"/>
          <w:lang w:val="sk-SK"/>
        </w:rPr>
        <w:t xml:space="preserve"> v </w:t>
      </w:r>
      <w:r w:rsidRPr="003F23AC">
        <w:rPr>
          <w:rFonts w:cs="Times New Roman"/>
          <w:noProof/>
          <w:shd w:val="clear" w:color="auto" w:fill="FFFFFF"/>
          <w:lang w:val="sk-SK"/>
        </w:rPr>
        <w:t>súkromnom vlastníctve</w:t>
      </w:r>
      <w:r w:rsidRPr="003F23AC">
        <w:rPr>
          <w:rFonts w:cs="Times New Roman"/>
          <w:noProof/>
          <w:lang w:val="sk-SK"/>
        </w:rPr>
        <w:t>, prijať energeticky efektívne riešenia, nahradiť neefektívne zariadenia</w:t>
      </w:r>
      <w:r w:rsidR="00A75B3C" w:rsidRPr="003F23AC">
        <w:rPr>
          <w:rFonts w:cs="Times New Roman"/>
          <w:noProof/>
          <w:lang w:val="sk-SK"/>
        </w:rPr>
        <w:t xml:space="preserve"> a </w:t>
      </w:r>
      <w:r w:rsidRPr="003F23AC">
        <w:rPr>
          <w:rFonts w:cs="Times New Roman"/>
          <w:noProof/>
          <w:lang w:val="sk-SK"/>
        </w:rPr>
        <w:t>zvýšiť inštalovanú kapacitu na podporu energetickej efektívnosti</w:t>
      </w:r>
      <w:r w:rsidR="00A75B3C" w:rsidRPr="003F23AC">
        <w:rPr>
          <w:rFonts w:cs="Times New Roman"/>
          <w:noProof/>
          <w:lang w:val="sk-SK"/>
        </w:rPr>
        <w:t xml:space="preserve"> a </w:t>
      </w:r>
      <w:r w:rsidRPr="003F23AC">
        <w:rPr>
          <w:rFonts w:cs="Times New Roman"/>
          <w:noProof/>
          <w:lang w:val="sk-SK"/>
        </w:rPr>
        <w:t>efektívneho využívania zdrojov, zvýšiť vlastnú spotrebu energie</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a </w:t>
      </w:r>
      <w:r w:rsidRPr="003F23AC">
        <w:rPr>
          <w:rFonts w:cs="Times New Roman"/>
          <w:noProof/>
          <w:lang w:val="sk-SK"/>
        </w:rPr>
        <w:t>bojovať proti energetickej chudobe</w:t>
      </w:r>
      <w:r w:rsidR="00A75B3C" w:rsidRPr="003F23AC">
        <w:rPr>
          <w:rFonts w:cs="Times New Roman"/>
          <w:noProof/>
          <w:lang w:val="sk-SK"/>
        </w:rPr>
        <w:t>.</w:t>
      </w:r>
    </w:p>
    <w:p w14:paraId="3E17583F" w14:textId="717BC51E"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týchto opatrení:</w:t>
      </w:r>
    </w:p>
    <w:p w14:paraId="20A1328B" w14:textId="71FC1F12" w:rsidR="00387C70" w:rsidRPr="003F23AC" w:rsidRDefault="000F5AA4" w:rsidP="003F23AC">
      <w:pPr>
        <w:pStyle w:val="P68B1DB1-Normal4"/>
        <w:widowControl w:val="0"/>
        <w:numPr>
          <w:ilvl w:val="0"/>
          <w:numId w:val="59"/>
        </w:numPr>
        <w:spacing w:before="40" w:after="136" w:line="240" w:lineRule="auto"/>
        <w:jc w:val="both"/>
        <w:rPr>
          <w:rFonts w:eastAsia="Calibri" w:cs="Times New Roman"/>
          <w:noProof/>
          <w:sz w:val="21"/>
          <w:lang w:val="sk-SK"/>
        </w:rPr>
      </w:pPr>
      <w:r w:rsidRPr="003F23AC">
        <w:rPr>
          <w:rFonts w:cs="Times New Roman"/>
          <w:noProof/>
          <w:lang w:val="sk-SK"/>
        </w:rPr>
        <w:t>Podporovať náklady na projekty (zvyčajne 50</w:t>
      </w:r>
      <w:r w:rsidR="00A75B3C" w:rsidRPr="003F23AC">
        <w:rPr>
          <w:rFonts w:cs="Times New Roman"/>
          <w:noProof/>
          <w:lang w:val="sk-SK"/>
        </w:rPr>
        <w:t> %</w:t>
      </w:r>
      <w:r w:rsidRPr="003F23AC">
        <w:rPr>
          <w:rFonts w:cs="Times New Roman"/>
          <w:noProof/>
          <w:lang w:val="sk-SK"/>
        </w:rPr>
        <w:t xml:space="preserve"> až 70</w:t>
      </w:r>
      <w:r w:rsidR="00A75B3C" w:rsidRPr="003F23AC">
        <w:rPr>
          <w:rFonts w:cs="Times New Roman"/>
          <w:noProof/>
          <w:lang w:val="sk-SK"/>
        </w:rPr>
        <w:t> %</w:t>
      </w:r>
      <w:r w:rsidRPr="003F23AC">
        <w:rPr>
          <w:rFonts w:cs="Times New Roman"/>
          <w:noProof/>
          <w:lang w:val="sk-SK"/>
        </w:rPr>
        <w:t xml:space="preserve"> celkových nákladov) na podporu obnovy, energetickej efektívnosti, dekarbonizácie, efektívneho využívania vody</w:t>
      </w:r>
      <w:r w:rsidR="00A75B3C" w:rsidRPr="003F23AC">
        <w:rPr>
          <w:rFonts w:cs="Times New Roman"/>
          <w:noProof/>
          <w:lang w:val="sk-SK"/>
        </w:rPr>
        <w:t xml:space="preserve"> a </w:t>
      </w:r>
      <w:r w:rsidRPr="003F23AC">
        <w:rPr>
          <w:rFonts w:cs="Times New Roman"/>
          <w:noProof/>
          <w:lang w:val="sk-SK"/>
        </w:rPr>
        <w:t>obehového hospodárstva</w:t>
      </w:r>
      <w:r w:rsidR="00A75B3C" w:rsidRPr="003F23AC">
        <w:rPr>
          <w:rFonts w:cs="Times New Roman"/>
          <w:noProof/>
          <w:lang w:val="sk-SK"/>
        </w:rPr>
        <w:t xml:space="preserve"> v </w:t>
      </w:r>
      <w:r w:rsidRPr="003F23AC">
        <w:rPr>
          <w:rFonts w:cs="Times New Roman"/>
          <w:noProof/>
          <w:lang w:val="sk-SK"/>
        </w:rPr>
        <w:t>budovách. Uskutočňuje sa to prostredníctvom každoročne vydávaných oznámení.</w:t>
      </w:r>
    </w:p>
    <w:p w14:paraId="631CC72D" w14:textId="04126EF3" w:rsidR="00387C70" w:rsidRPr="003F23AC" w:rsidRDefault="000F5AA4" w:rsidP="003F23AC">
      <w:pPr>
        <w:pStyle w:val="P68B1DB1-Normal4"/>
        <w:widowControl w:val="0"/>
        <w:numPr>
          <w:ilvl w:val="0"/>
          <w:numId w:val="59"/>
        </w:numPr>
        <w:spacing w:before="40" w:after="136" w:line="240" w:lineRule="auto"/>
        <w:jc w:val="both"/>
        <w:rPr>
          <w:rFonts w:eastAsia="Calibri" w:cs="Times New Roman"/>
          <w:noProof/>
          <w:sz w:val="21"/>
          <w:lang w:val="sk-SK"/>
        </w:rPr>
      </w:pPr>
      <w:r w:rsidRPr="003F23AC">
        <w:rPr>
          <w:rFonts w:cs="Times New Roman"/>
          <w:noProof/>
          <w:lang w:val="sk-SK"/>
        </w:rPr>
        <w:t>V prípade domácností</w:t>
      </w:r>
      <w:r w:rsidR="00A75B3C" w:rsidRPr="003F23AC">
        <w:rPr>
          <w:rFonts w:cs="Times New Roman"/>
          <w:noProof/>
          <w:lang w:val="sk-SK"/>
        </w:rPr>
        <w:t xml:space="preserve"> s </w:t>
      </w:r>
      <w:r w:rsidRPr="003F23AC">
        <w:rPr>
          <w:rFonts w:cs="Times New Roman"/>
          <w:noProof/>
          <w:lang w:val="sk-SK"/>
        </w:rPr>
        <w:t>nízkymi príjmami trpiacich energetickou chudobou (kde možno dotovať až 100</w:t>
      </w:r>
      <w:r w:rsidR="00A75B3C" w:rsidRPr="003F23AC">
        <w:rPr>
          <w:rFonts w:cs="Times New Roman"/>
          <w:noProof/>
          <w:lang w:val="sk-SK"/>
        </w:rPr>
        <w:t> %</w:t>
      </w:r>
      <w:r w:rsidRPr="003F23AC">
        <w:rPr>
          <w:rFonts w:cs="Times New Roman"/>
          <w:noProof/>
          <w:lang w:val="sk-SK"/>
        </w:rPr>
        <w:t xml:space="preserve"> nákladov) si takéto opatrenia vyžadujú užšiu spoluprácu medzi ústrednými</w:t>
      </w:r>
      <w:r w:rsidR="00A75B3C" w:rsidRPr="003F23AC">
        <w:rPr>
          <w:rFonts w:cs="Times New Roman"/>
          <w:noProof/>
          <w:lang w:val="sk-SK"/>
        </w:rPr>
        <w:t xml:space="preserve"> a </w:t>
      </w:r>
      <w:r w:rsidRPr="003F23AC">
        <w:rPr>
          <w:rFonts w:cs="Times New Roman"/>
          <w:noProof/>
          <w:lang w:val="sk-SK"/>
        </w:rPr>
        <w:t>miestnymi orgánmi</w:t>
      </w:r>
      <w:r w:rsidR="00A75B3C" w:rsidRPr="003F23AC">
        <w:rPr>
          <w:rFonts w:cs="Times New Roman"/>
          <w:noProof/>
          <w:lang w:val="sk-SK"/>
        </w:rPr>
        <w:t xml:space="preserve"> a </w:t>
      </w:r>
      <w:r w:rsidRPr="003F23AC">
        <w:rPr>
          <w:rFonts w:cs="Times New Roman"/>
          <w:noProof/>
          <w:lang w:val="sk-SK"/>
        </w:rPr>
        <w:t xml:space="preserve">inými aktérmi, ako sú miestne združenia. </w:t>
      </w:r>
      <w:r w:rsidRPr="003F23AC">
        <w:rPr>
          <w:rFonts w:cs="Times New Roman"/>
          <w:i/>
          <w:noProof/>
          <w:lang w:val="sk-SK"/>
        </w:rPr>
        <w:t>Domácnostiam</w:t>
      </w:r>
      <w:r w:rsidRPr="003F23AC">
        <w:rPr>
          <w:rFonts w:cs="Times New Roman"/>
          <w:noProof/>
          <w:lang w:val="sk-SK"/>
        </w:rPr>
        <w:t xml:space="preserve"> trpiacim energetickou chudobou sa vydávajú</w:t>
      </w:r>
      <w:r w:rsidR="00A75B3C" w:rsidRPr="003F23AC">
        <w:rPr>
          <w:rFonts w:cs="Times New Roman"/>
          <w:noProof/>
          <w:lang w:val="sk-SK"/>
        </w:rPr>
        <w:t xml:space="preserve"> a </w:t>
      </w:r>
      <w:r w:rsidRPr="003F23AC">
        <w:rPr>
          <w:rFonts w:cs="Times New Roman"/>
          <w:noProof/>
          <w:lang w:val="sk-SK"/>
        </w:rPr>
        <w:t>dodávajú poukazy na energetickú efektívnosť</w:t>
      </w:r>
      <w:r w:rsidR="00A75B3C" w:rsidRPr="003F23AC">
        <w:rPr>
          <w:rFonts w:cs="Times New Roman"/>
          <w:noProof/>
          <w:lang w:val="sk-SK"/>
        </w:rPr>
        <w:t xml:space="preserve"> v </w:t>
      </w:r>
      <w:r w:rsidRPr="003F23AC">
        <w:rPr>
          <w:rFonts w:cs="Times New Roman"/>
          <w:noProof/>
          <w:lang w:val="sk-SK"/>
        </w:rPr>
        <w:t>priemere 1 300 EUR, čo oprávňuje príjemcu na určité práce, energeticky účinné riešenia, zariadenia</w:t>
      </w:r>
      <w:r w:rsidR="00A75B3C" w:rsidRPr="003F23AC">
        <w:rPr>
          <w:rFonts w:cs="Times New Roman"/>
          <w:noProof/>
          <w:lang w:val="sk-SK"/>
        </w:rPr>
        <w:t xml:space="preserve"> a </w:t>
      </w:r>
      <w:r w:rsidRPr="003F23AC">
        <w:rPr>
          <w:rFonts w:cs="Times New Roman"/>
          <w:noProof/>
          <w:lang w:val="sk-SK"/>
        </w:rPr>
        <w:t>elektrifikáciu využívania energie.</w:t>
      </w:r>
    </w:p>
    <w:p w14:paraId="4D89D243" w14:textId="26DFE871" w:rsidR="00A75B3C" w:rsidRPr="003F23AC" w:rsidRDefault="000F5AA4" w:rsidP="003F23AC">
      <w:pPr>
        <w:pStyle w:val="P68B1DB1-Normal4"/>
        <w:numPr>
          <w:ilvl w:val="0"/>
          <w:numId w:val="60"/>
        </w:numPr>
        <w:spacing w:before="40" w:after="160" w:line="259" w:lineRule="auto"/>
        <w:contextualSpacing/>
        <w:jc w:val="both"/>
        <w:rPr>
          <w:rFonts w:cs="Times New Roman"/>
          <w:noProof/>
          <w:lang w:val="sk-SK"/>
        </w:rPr>
      </w:pPr>
      <w:r w:rsidRPr="003F23AC">
        <w:rPr>
          <w:rFonts w:cs="Times New Roman"/>
          <w:noProof/>
          <w:lang w:val="sk-SK"/>
        </w:rPr>
        <w:t>Podporné materiály sa šíria</w:t>
      </w:r>
      <w:r w:rsidR="00A75B3C" w:rsidRPr="003F23AC">
        <w:rPr>
          <w:rFonts w:cs="Times New Roman"/>
          <w:noProof/>
          <w:lang w:val="sk-SK"/>
        </w:rPr>
        <w:t xml:space="preserve"> s </w:t>
      </w:r>
      <w:r w:rsidRPr="003F23AC">
        <w:rPr>
          <w:rFonts w:cs="Times New Roman"/>
          <w:noProof/>
          <w:lang w:val="sk-SK"/>
        </w:rPr>
        <w:t>cieľom pomôcť pri rozhodovaní</w:t>
      </w:r>
      <w:r w:rsidR="00A75B3C" w:rsidRPr="003F23AC">
        <w:rPr>
          <w:rFonts w:cs="Times New Roman"/>
          <w:noProof/>
          <w:lang w:val="sk-SK"/>
        </w:rPr>
        <w:t xml:space="preserve"> o </w:t>
      </w:r>
      <w:r w:rsidRPr="003F23AC">
        <w:rPr>
          <w:rFonts w:cs="Times New Roman"/>
          <w:noProof/>
          <w:lang w:val="sk-SK"/>
        </w:rPr>
        <w:t>najlepších opatreniach</w:t>
      </w:r>
      <w:r w:rsidR="00A75B3C" w:rsidRPr="003F23AC">
        <w:rPr>
          <w:rFonts w:cs="Times New Roman"/>
          <w:noProof/>
          <w:lang w:val="sk-SK"/>
        </w:rPr>
        <w:t xml:space="preserve"> v </w:t>
      </w:r>
      <w:r w:rsidRPr="003F23AC">
        <w:rPr>
          <w:rFonts w:cs="Times New Roman"/>
          <w:noProof/>
          <w:lang w:val="sk-SK"/>
        </w:rPr>
        <w:t>oblasti energetickej efektívnosti, ktoré sa majú prijať</w:t>
      </w:r>
      <w:r w:rsidR="00A75B3C" w:rsidRPr="003F23AC">
        <w:rPr>
          <w:rFonts w:cs="Times New Roman"/>
          <w:noProof/>
          <w:lang w:val="sk-SK"/>
        </w:rPr>
        <w:t>.</w:t>
      </w:r>
    </w:p>
    <w:p w14:paraId="645F2D6F" w14:textId="0D61C3DC" w:rsidR="00387C70" w:rsidRPr="003F23AC" w:rsidRDefault="000F5AA4" w:rsidP="003F23AC">
      <w:pPr>
        <w:pStyle w:val="P68B1DB1-Normal4"/>
        <w:numPr>
          <w:ilvl w:val="0"/>
          <w:numId w:val="60"/>
        </w:numPr>
        <w:spacing w:before="40" w:after="160" w:line="259" w:lineRule="auto"/>
        <w:contextualSpacing/>
        <w:jc w:val="both"/>
        <w:rPr>
          <w:rFonts w:eastAsiaTheme="minorEastAsia" w:cs="Times New Roman"/>
          <w:noProof/>
          <w:lang w:val="sk-SK"/>
        </w:rPr>
      </w:pPr>
      <w:r w:rsidRPr="003F23AC">
        <w:rPr>
          <w:rFonts w:cs="Times New Roman"/>
          <w:noProof/>
          <w:lang w:val="sk-SK"/>
        </w:rPr>
        <w:t>K dispozícii sú aj komunikačné kanály</w:t>
      </w:r>
      <w:r w:rsidR="00A75B3C" w:rsidRPr="003F23AC">
        <w:rPr>
          <w:rFonts w:cs="Times New Roman"/>
          <w:noProof/>
          <w:lang w:val="sk-SK"/>
        </w:rPr>
        <w:t xml:space="preserve"> a </w:t>
      </w:r>
      <w:r w:rsidRPr="003F23AC">
        <w:rPr>
          <w:rFonts w:cs="Times New Roman"/>
          <w:noProof/>
          <w:lang w:val="sk-SK"/>
        </w:rPr>
        <w:t>jednotné kontaktné miesta, ktoré pomôžu objasniť pochybnosti</w:t>
      </w:r>
      <w:r w:rsidR="00A75B3C" w:rsidRPr="003F23AC">
        <w:rPr>
          <w:rFonts w:cs="Times New Roman"/>
          <w:noProof/>
          <w:lang w:val="sk-SK"/>
        </w:rPr>
        <w:t xml:space="preserve"> o </w:t>
      </w:r>
      <w:r w:rsidRPr="003F23AC">
        <w:rPr>
          <w:rFonts w:cs="Times New Roman"/>
          <w:noProof/>
          <w:lang w:val="sk-SK"/>
        </w:rPr>
        <w:t>tom, ako získať túto podporu,</w:t>
      </w:r>
      <w:r w:rsidR="00A75B3C" w:rsidRPr="003F23AC">
        <w:rPr>
          <w:rFonts w:cs="Times New Roman"/>
          <w:noProof/>
          <w:lang w:val="sk-SK"/>
        </w:rPr>
        <w:t xml:space="preserve"> a </w:t>
      </w:r>
      <w:r w:rsidRPr="003F23AC">
        <w:rPr>
          <w:rFonts w:cs="Times New Roman"/>
          <w:noProof/>
          <w:lang w:val="sk-SK"/>
        </w:rPr>
        <w:t>to</w:t>
      </w:r>
      <w:r w:rsidR="00A75B3C" w:rsidRPr="003F23AC">
        <w:rPr>
          <w:rFonts w:cs="Times New Roman"/>
          <w:noProof/>
          <w:lang w:val="sk-SK"/>
        </w:rPr>
        <w:t xml:space="preserve"> v </w:t>
      </w:r>
      <w:r w:rsidRPr="003F23AC">
        <w:rPr>
          <w:rFonts w:cs="Times New Roman"/>
          <w:noProof/>
          <w:lang w:val="sk-SK"/>
        </w:rPr>
        <w:t>koordinácii</w:t>
      </w:r>
      <w:r w:rsidR="00A75B3C" w:rsidRPr="003F23AC">
        <w:rPr>
          <w:rFonts w:cs="Times New Roman"/>
          <w:noProof/>
          <w:lang w:val="sk-SK"/>
        </w:rPr>
        <w:t xml:space="preserve"> s </w:t>
      </w:r>
      <w:r w:rsidRPr="003F23AC">
        <w:rPr>
          <w:rFonts w:cs="Times New Roman"/>
          <w:noProof/>
          <w:lang w:val="sk-SK"/>
        </w:rPr>
        <w:t>rôznymi vnútroštátnymi</w:t>
      </w:r>
      <w:r w:rsidR="00A75B3C" w:rsidRPr="003F23AC">
        <w:rPr>
          <w:rFonts w:cs="Times New Roman"/>
          <w:noProof/>
          <w:lang w:val="sk-SK"/>
        </w:rPr>
        <w:t xml:space="preserve"> a </w:t>
      </w:r>
      <w:r w:rsidRPr="003F23AC">
        <w:rPr>
          <w:rFonts w:cs="Times New Roman"/>
          <w:noProof/>
          <w:lang w:val="sk-SK"/>
        </w:rPr>
        <w:t>miestnymi subjektmi, aby spotrebitelia mohli prijímať najlepšie investičné rozhodnutia.</w:t>
      </w:r>
    </w:p>
    <w:p w14:paraId="325EE6D9" w14:textId="70E7B108"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plánovanej investície je dosiahnuť priemernú úsporu primárnej energie približne 200 ktoe</w:t>
      </w:r>
      <w:r w:rsidR="00A75B3C" w:rsidRPr="003F23AC">
        <w:rPr>
          <w:rFonts w:cs="Times New Roman"/>
          <w:noProof/>
          <w:lang w:val="sk-SK"/>
        </w:rPr>
        <w:t xml:space="preserve"> a </w:t>
      </w:r>
      <w:r w:rsidRPr="003F23AC">
        <w:rPr>
          <w:rFonts w:cs="Times New Roman"/>
          <w:noProof/>
          <w:lang w:val="sk-SK"/>
        </w:rPr>
        <w:t>zníženie emisií CO2 približne</w:t>
      </w:r>
      <w:r w:rsidR="00A75B3C" w:rsidRPr="003F23AC">
        <w:rPr>
          <w:rFonts w:cs="Times New Roman"/>
          <w:noProof/>
          <w:lang w:val="sk-SK"/>
        </w:rPr>
        <w:t xml:space="preserve"> o </w:t>
      </w:r>
      <w:r w:rsidRPr="003F23AC">
        <w:rPr>
          <w:rFonts w:cs="Times New Roman"/>
          <w:noProof/>
          <w:lang w:val="sk-SK"/>
        </w:rPr>
        <w:t>150 kt.</w:t>
      </w:r>
    </w:p>
    <w:p w14:paraId="7DCADF68" w14:textId="4A488DB0"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6AE98B0B" w14:textId="77777777" w:rsidR="00387C70" w:rsidRPr="003F23AC" w:rsidRDefault="000F5AA4" w:rsidP="003F23AC">
      <w:pPr>
        <w:pStyle w:val="P68B1DB1-Normal5"/>
        <w:spacing w:before="240" w:after="0" w:line="240" w:lineRule="auto"/>
        <w:ind w:left="851"/>
        <w:jc w:val="both"/>
        <w:outlineLvl w:val="2"/>
        <w:rPr>
          <w:rFonts w:eastAsiaTheme="minorEastAsia" w:cs="Times New Roman"/>
          <w:noProof/>
          <w:lang w:val="sk-SK"/>
        </w:rPr>
      </w:pPr>
      <w:r w:rsidRPr="003F23AC">
        <w:rPr>
          <w:rFonts w:cs="Times New Roman"/>
          <w:noProof/>
          <w:lang w:val="sk-SK"/>
        </w:rPr>
        <w:t>Investície TC-C13-i02: Energetická efektívnosť budov ústredných orgánov štátnej správy</w:t>
      </w:r>
    </w:p>
    <w:p w14:paraId="29EC3052" w14:textId="04F1C1E9" w:rsidR="00A75B3C" w:rsidRPr="003F23AC" w:rsidRDefault="000F5AA4" w:rsidP="003F23AC">
      <w:pPr>
        <w:pStyle w:val="P68B1DB1-Normal19"/>
        <w:spacing w:before="40" w:after="0" w:line="259" w:lineRule="auto"/>
        <w:jc w:val="both"/>
        <w:rPr>
          <w:rFonts w:cs="Times New Roman"/>
          <w:noProof/>
          <w:sz w:val="16"/>
          <w:lang w:val="sk-SK"/>
        </w:rPr>
      </w:pPr>
      <w:r w:rsidRPr="003F23AC">
        <w:rPr>
          <w:rFonts w:cs="Times New Roman"/>
          <w:noProof/>
          <w:sz w:val="24"/>
          <w:lang w:val="sk-SK"/>
        </w:rPr>
        <w:t>Cieľom tejto investície je podporiť</w:t>
      </w:r>
      <w:r w:rsidRPr="003F23AC">
        <w:rPr>
          <w:rFonts w:cs="Times New Roman"/>
          <w:noProof/>
          <w:sz w:val="24"/>
          <w:shd w:val="clear" w:color="auto" w:fill="FFFFFF"/>
          <w:lang w:val="sk-SK"/>
        </w:rPr>
        <w:t xml:space="preserve"> energetickú obnovu budov ústredných orgánov štátnej správy,</w:t>
      </w:r>
      <w:r w:rsidRPr="003F23AC">
        <w:rPr>
          <w:rFonts w:cs="Times New Roman"/>
          <w:noProof/>
          <w:sz w:val="24"/>
          <w:lang w:val="sk-SK"/>
        </w:rPr>
        <w:t xml:space="preserve"> podporiť energetickú efektívnosť</w:t>
      </w:r>
      <w:r w:rsidR="00A75B3C" w:rsidRPr="003F23AC">
        <w:rPr>
          <w:rFonts w:cs="Times New Roman"/>
          <w:noProof/>
          <w:sz w:val="24"/>
          <w:lang w:val="sk-SK"/>
        </w:rPr>
        <w:t xml:space="preserve"> a </w:t>
      </w:r>
      <w:r w:rsidRPr="003F23AC">
        <w:rPr>
          <w:rFonts w:cs="Times New Roman"/>
          <w:noProof/>
          <w:sz w:val="24"/>
          <w:lang w:val="sk-SK"/>
        </w:rPr>
        <w:t>efektívne využívanie zdrojov</w:t>
      </w:r>
      <w:r w:rsidR="00A75B3C" w:rsidRPr="003F23AC">
        <w:rPr>
          <w:rFonts w:cs="Times New Roman"/>
          <w:noProof/>
          <w:sz w:val="24"/>
          <w:lang w:val="sk-SK"/>
        </w:rPr>
        <w:t xml:space="preserve"> a </w:t>
      </w:r>
      <w:r w:rsidRPr="003F23AC">
        <w:rPr>
          <w:rFonts w:cs="Times New Roman"/>
          <w:noProof/>
          <w:sz w:val="24"/>
          <w:lang w:val="sk-SK"/>
        </w:rPr>
        <w:t>zvýšiť vlastnú spotrebu energie</w:t>
      </w:r>
      <w:r w:rsidR="00A75B3C" w:rsidRPr="003F23AC">
        <w:rPr>
          <w:rFonts w:cs="Times New Roman"/>
          <w:noProof/>
          <w:sz w:val="24"/>
          <w:lang w:val="sk-SK"/>
        </w:rPr>
        <w:t xml:space="preserve"> z </w:t>
      </w:r>
      <w:r w:rsidRPr="003F23AC">
        <w:rPr>
          <w:rFonts w:cs="Times New Roman"/>
          <w:noProof/>
          <w:sz w:val="24"/>
          <w:lang w:val="sk-SK"/>
        </w:rPr>
        <w:t>obnoviteľných zdrojov</w:t>
      </w:r>
      <w:r w:rsidR="00A75B3C" w:rsidRPr="003F23AC">
        <w:rPr>
          <w:rFonts w:cs="Times New Roman"/>
          <w:noProof/>
          <w:sz w:val="16"/>
          <w:lang w:val="sk-SK"/>
        </w:rPr>
        <w:t>.</w:t>
      </w:r>
    </w:p>
    <w:p w14:paraId="46800E80" w14:textId="6BEB25BB"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Tieto investície pozostávajú</w:t>
      </w:r>
      <w:r w:rsidR="00A75B3C" w:rsidRPr="003F23AC">
        <w:rPr>
          <w:rFonts w:cs="Times New Roman"/>
          <w:noProof/>
          <w:lang w:val="sk-SK"/>
        </w:rPr>
        <w:t xml:space="preserve"> z </w:t>
      </w:r>
      <w:r w:rsidRPr="003F23AC">
        <w:rPr>
          <w:rFonts w:cs="Times New Roman"/>
          <w:noProof/>
          <w:lang w:val="sk-SK"/>
        </w:rPr>
        <w:t>opatrení na podporu obnovy, energetickej efektívnosti, dekarbonizácie, efektívneho využívania vody</w:t>
      </w:r>
      <w:r w:rsidR="00A75B3C" w:rsidRPr="003F23AC">
        <w:rPr>
          <w:rFonts w:cs="Times New Roman"/>
          <w:noProof/>
          <w:lang w:val="sk-SK"/>
        </w:rPr>
        <w:t xml:space="preserve"> a </w:t>
      </w:r>
      <w:r w:rsidRPr="003F23AC">
        <w:rPr>
          <w:rFonts w:cs="Times New Roman"/>
          <w:noProof/>
          <w:lang w:val="sk-SK"/>
        </w:rPr>
        <w:t>obehového hospodárstva</w:t>
      </w:r>
      <w:r w:rsidR="00A75B3C" w:rsidRPr="003F23AC">
        <w:rPr>
          <w:rFonts w:cs="Times New Roman"/>
          <w:noProof/>
          <w:lang w:val="sk-SK"/>
        </w:rPr>
        <w:t xml:space="preserve"> v </w:t>
      </w:r>
      <w:r w:rsidRPr="003F23AC">
        <w:rPr>
          <w:rFonts w:cs="Times New Roman"/>
          <w:noProof/>
          <w:lang w:val="sk-SK"/>
        </w:rPr>
        <w:t>budovách</w:t>
      </w:r>
      <w:r w:rsidR="00A75B3C" w:rsidRPr="003F23AC">
        <w:rPr>
          <w:rFonts w:cs="Times New Roman"/>
          <w:noProof/>
          <w:lang w:val="sk-SK"/>
        </w:rPr>
        <w:t>.</w:t>
      </w:r>
    </w:p>
    <w:p w14:paraId="0C27344B" w14:textId="7C701DD7" w:rsidR="00A75B3C" w:rsidRPr="003F23AC" w:rsidRDefault="000F5AA4" w:rsidP="003F23AC">
      <w:pPr>
        <w:pStyle w:val="P68B1DB1-Normal4"/>
        <w:numPr>
          <w:ilvl w:val="0"/>
          <w:numId w:val="30"/>
        </w:numPr>
        <w:spacing w:before="40" w:after="160" w:line="240" w:lineRule="auto"/>
        <w:contextualSpacing/>
        <w:jc w:val="both"/>
        <w:rPr>
          <w:rFonts w:cs="Times New Roman"/>
          <w:noProof/>
          <w:lang w:val="sk-SK"/>
        </w:rPr>
      </w:pPr>
      <w:r w:rsidRPr="003F23AC">
        <w:rPr>
          <w:rFonts w:cs="Times New Roman"/>
          <w:noProof/>
          <w:lang w:val="sk-SK"/>
        </w:rPr>
        <w:t>Oznámenia sa každoročne vydávajú</w:t>
      </w:r>
      <w:r w:rsidR="00A75B3C" w:rsidRPr="003F23AC">
        <w:rPr>
          <w:rFonts w:cs="Times New Roman"/>
          <w:noProof/>
          <w:lang w:val="sk-SK"/>
        </w:rPr>
        <w:t xml:space="preserve"> v </w:t>
      </w:r>
      <w:r w:rsidRPr="003F23AC">
        <w:rPr>
          <w:rFonts w:cs="Times New Roman"/>
          <w:noProof/>
          <w:lang w:val="sk-SK"/>
        </w:rPr>
        <w:t>súvislosti</w:t>
      </w:r>
      <w:r w:rsidR="00A75B3C" w:rsidRPr="003F23AC">
        <w:rPr>
          <w:rFonts w:cs="Times New Roman"/>
          <w:noProof/>
          <w:lang w:val="sk-SK"/>
        </w:rPr>
        <w:t xml:space="preserve"> s </w:t>
      </w:r>
      <w:r w:rsidRPr="003F23AC">
        <w:rPr>
          <w:rFonts w:cs="Times New Roman"/>
          <w:noProof/>
          <w:lang w:val="sk-SK"/>
        </w:rPr>
        <w:t>rôznymi typmi zásahov do budov, ktoré sa majú určiť</w:t>
      </w:r>
      <w:r w:rsidR="00A75B3C" w:rsidRPr="003F23AC">
        <w:rPr>
          <w:rFonts w:cs="Times New Roman"/>
          <w:noProof/>
          <w:lang w:val="sk-SK"/>
        </w:rPr>
        <w:t xml:space="preserve"> v </w:t>
      </w:r>
      <w:r w:rsidRPr="003F23AC">
        <w:rPr>
          <w:rFonts w:cs="Times New Roman"/>
          <w:noProof/>
          <w:lang w:val="sk-SK"/>
        </w:rPr>
        <w:t>plánoch efektívnosti, ktoré sa majú vypracovať</w:t>
      </w:r>
      <w:r w:rsidR="00A75B3C" w:rsidRPr="003F23AC">
        <w:rPr>
          <w:rFonts w:cs="Times New Roman"/>
          <w:noProof/>
          <w:lang w:val="sk-SK"/>
        </w:rPr>
        <w:t xml:space="preserve"> v </w:t>
      </w:r>
      <w:r w:rsidRPr="003F23AC">
        <w:rPr>
          <w:rFonts w:cs="Times New Roman"/>
          <w:noProof/>
          <w:lang w:val="sk-SK"/>
        </w:rPr>
        <w:t>rámci európskeho akčného plánu ekologických inovácií ECO.AP 2030. ECO.AP 2030 je takisto</w:t>
      </w:r>
      <w:r w:rsidR="00A75B3C" w:rsidRPr="003F23AC">
        <w:rPr>
          <w:rFonts w:cs="Times New Roman"/>
          <w:noProof/>
          <w:lang w:val="sk-SK"/>
        </w:rPr>
        <w:t xml:space="preserve"> k </w:t>
      </w:r>
      <w:r w:rsidRPr="003F23AC">
        <w:rPr>
          <w:rFonts w:cs="Times New Roman"/>
          <w:noProof/>
          <w:lang w:val="sk-SK"/>
        </w:rPr>
        <w:t>dispozícii na poskytovanie technickej podpory ústredným verejným orgánom pri identifikácii projektov</w:t>
      </w:r>
      <w:r w:rsidR="00A75B3C" w:rsidRPr="003F23AC">
        <w:rPr>
          <w:rFonts w:cs="Times New Roman"/>
          <w:noProof/>
          <w:lang w:val="sk-SK"/>
        </w:rPr>
        <w:t xml:space="preserve"> a </w:t>
      </w:r>
      <w:r w:rsidRPr="003F23AC">
        <w:rPr>
          <w:rFonts w:cs="Times New Roman"/>
          <w:noProof/>
          <w:lang w:val="sk-SK"/>
        </w:rPr>
        <w:t>podpore ich vykonávania</w:t>
      </w:r>
      <w:r w:rsidR="00A75B3C" w:rsidRPr="003F23AC">
        <w:rPr>
          <w:rFonts w:cs="Times New Roman"/>
          <w:noProof/>
          <w:lang w:val="sk-SK"/>
        </w:rPr>
        <w:t>.</w:t>
      </w:r>
    </w:p>
    <w:p w14:paraId="4761BD7E" w14:textId="05D02E0F" w:rsidR="00A75B3C" w:rsidRPr="003F23AC" w:rsidRDefault="000F5AA4" w:rsidP="003F23AC">
      <w:pPr>
        <w:pStyle w:val="P68B1DB1-Normal4"/>
        <w:numPr>
          <w:ilvl w:val="0"/>
          <w:numId w:val="30"/>
        </w:numPr>
        <w:spacing w:before="40" w:after="160" w:line="240" w:lineRule="auto"/>
        <w:contextualSpacing/>
        <w:jc w:val="both"/>
        <w:rPr>
          <w:rFonts w:cs="Times New Roman"/>
          <w:noProof/>
          <w:lang w:val="sk-SK"/>
        </w:rPr>
      </w:pPr>
      <w:r w:rsidRPr="003F23AC">
        <w:rPr>
          <w:rFonts w:cs="Times New Roman"/>
          <w:noProof/>
          <w:lang w:val="sk-SK"/>
        </w:rPr>
        <w:t>Podporný materiál sa poskytne úradníkom verejnej správy</w:t>
      </w:r>
      <w:r w:rsidR="00A75B3C" w:rsidRPr="003F23AC">
        <w:rPr>
          <w:rFonts w:cs="Times New Roman"/>
          <w:noProof/>
          <w:lang w:val="sk-SK"/>
        </w:rPr>
        <w:t xml:space="preserve"> s </w:t>
      </w:r>
      <w:r w:rsidRPr="003F23AC">
        <w:rPr>
          <w:rFonts w:cs="Times New Roman"/>
          <w:noProof/>
          <w:lang w:val="sk-SK"/>
        </w:rPr>
        <w:t>cieľom pomôcť im pri rozhodovaní</w:t>
      </w:r>
      <w:r w:rsidR="00A75B3C" w:rsidRPr="003F23AC">
        <w:rPr>
          <w:rFonts w:cs="Times New Roman"/>
          <w:noProof/>
          <w:lang w:val="sk-SK"/>
        </w:rPr>
        <w:t xml:space="preserve"> o </w:t>
      </w:r>
      <w:r w:rsidRPr="003F23AC">
        <w:rPr>
          <w:rFonts w:cs="Times New Roman"/>
          <w:noProof/>
          <w:lang w:val="sk-SK"/>
        </w:rPr>
        <w:t>najlepších opatreniach</w:t>
      </w:r>
      <w:r w:rsidR="00A75B3C" w:rsidRPr="003F23AC">
        <w:rPr>
          <w:rFonts w:cs="Times New Roman"/>
          <w:noProof/>
          <w:lang w:val="sk-SK"/>
        </w:rPr>
        <w:t xml:space="preserve"> v </w:t>
      </w:r>
      <w:r w:rsidRPr="003F23AC">
        <w:rPr>
          <w:rFonts w:cs="Times New Roman"/>
          <w:noProof/>
          <w:lang w:val="sk-SK"/>
        </w:rPr>
        <w:t>oblasti energetickej efektívnosti, ktoré sa majú prijať</w:t>
      </w:r>
      <w:r w:rsidR="00A75B3C" w:rsidRPr="003F23AC">
        <w:rPr>
          <w:rFonts w:cs="Times New Roman"/>
          <w:noProof/>
          <w:lang w:val="sk-SK"/>
        </w:rPr>
        <w:t>.</w:t>
      </w:r>
    </w:p>
    <w:p w14:paraId="4AE03146" w14:textId="2FC8EE08"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plánovanej investície je dosiahnuť priemernú úsporu primárnej energie približne 185 ktoe</w:t>
      </w:r>
      <w:r w:rsidR="00A75B3C" w:rsidRPr="003F23AC">
        <w:rPr>
          <w:rFonts w:cs="Times New Roman"/>
          <w:noProof/>
          <w:lang w:val="sk-SK"/>
        </w:rPr>
        <w:t xml:space="preserve"> a </w:t>
      </w:r>
      <w:r w:rsidRPr="003F23AC">
        <w:rPr>
          <w:rFonts w:cs="Times New Roman"/>
          <w:noProof/>
          <w:lang w:val="sk-SK"/>
        </w:rPr>
        <w:t>zníženie emisií CO2 približne</w:t>
      </w:r>
      <w:r w:rsidR="009E4E5C">
        <w:rPr>
          <w:rFonts w:cs="Times New Roman"/>
          <w:noProof/>
          <w:lang w:val="sk-SK"/>
        </w:rPr>
        <w:t xml:space="preserve"> </w:t>
      </w:r>
      <w:r w:rsidRPr="003F23AC">
        <w:rPr>
          <w:rFonts w:cs="Times New Roman"/>
          <w:noProof/>
          <w:vertAlign w:val="subscript"/>
          <w:lang w:val="sk-SK"/>
        </w:rPr>
        <w:t>o</w:t>
      </w:r>
      <w:r w:rsidRPr="003F23AC">
        <w:rPr>
          <w:rFonts w:cs="Times New Roman"/>
          <w:noProof/>
          <w:lang w:val="sk-SK"/>
        </w:rPr>
        <w:t xml:space="preserve"> 140 kt.</w:t>
      </w:r>
    </w:p>
    <w:p w14:paraId="15CF3667" w14:textId="6157894F"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4966DD71" w14:textId="3C281B71" w:rsidR="00387C70" w:rsidRPr="003F23AC" w:rsidRDefault="000F5AA4" w:rsidP="003F23AC">
      <w:pPr>
        <w:pStyle w:val="P68B1DB1-Normal5"/>
        <w:spacing w:before="240" w:after="0" w:line="240" w:lineRule="auto"/>
        <w:ind w:left="851"/>
        <w:jc w:val="both"/>
        <w:outlineLvl w:val="2"/>
        <w:rPr>
          <w:rFonts w:eastAsiaTheme="minorEastAsia" w:cs="Times New Roman"/>
          <w:noProof/>
          <w:lang w:val="sk-SK"/>
        </w:rPr>
      </w:pPr>
      <w:r w:rsidRPr="003F23AC">
        <w:rPr>
          <w:rFonts w:cs="Times New Roman"/>
          <w:noProof/>
          <w:lang w:val="sk-SK"/>
        </w:rPr>
        <w:t>Investície TC-C13-i03: Energetická hospodárnosť budov používaných</w:t>
      </w:r>
      <w:r w:rsidR="00A75B3C" w:rsidRPr="003F23AC">
        <w:rPr>
          <w:rFonts w:cs="Times New Roman"/>
          <w:noProof/>
          <w:lang w:val="sk-SK"/>
        </w:rPr>
        <w:t xml:space="preserve"> v </w:t>
      </w:r>
      <w:r w:rsidRPr="003F23AC">
        <w:rPr>
          <w:rFonts w:cs="Times New Roman"/>
          <w:noProof/>
          <w:lang w:val="sk-SK"/>
        </w:rPr>
        <w:t>sektore služieb</w:t>
      </w:r>
    </w:p>
    <w:p w14:paraId="636E844D" w14:textId="6916AC30" w:rsidR="00A75B3C" w:rsidRPr="003F23AC" w:rsidRDefault="000F5AA4" w:rsidP="003F23AC">
      <w:pPr>
        <w:pStyle w:val="P68B1DB1-Normal4"/>
        <w:spacing w:before="40" w:after="0" w:line="240" w:lineRule="auto"/>
        <w:jc w:val="both"/>
        <w:rPr>
          <w:rFonts w:cs="Times New Roman"/>
          <w:noProof/>
          <w:lang w:val="sk-SK"/>
        </w:rPr>
      </w:pPr>
      <w:r w:rsidRPr="003F23AC">
        <w:rPr>
          <w:rFonts w:cs="Times New Roman"/>
          <w:noProof/>
          <w:lang w:val="sk-SK"/>
        </w:rPr>
        <w:t xml:space="preserve">Cieľom tejto investície je podpora </w:t>
      </w:r>
      <w:r w:rsidRPr="003F23AC">
        <w:rPr>
          <w:rFonts w:cs="Times New Roman"/>
          <w:noProof/>
          <w:shd w:val="clear" w:color="auto" w:fill="FFFFFF"/>
          <w:lang w:val="sk-SK"/>
        </w:rPr>
        <w:t>energetickej obnovy budov využívaných</w:t>
      </w:r>
      <w:r w:rsidR="00A75B3C" w:rsidRPr="003F23AC">
        <w:rPr>
          <w:rFonts w:cs="Times New Roman"/>
          <w:noProof/>
          <w:shd w:val="clear" w:color="auto" w:fill="FFFFFF"/>
          <w:lang w:val="sk-SK"/>
        </w:rPr>
        <w:t xml:space="preserve"> v </w:t>
      </w:r>
      <w:r w:rsidRPr="003F23AC">
        <w:rPr>
          <w:rFonts w:cs="Times New Roman"/>
          <w:noProof/>
          <w:shd w:val="clear" w:color="auto" w:fill="FFFFFF"/>
          <w:lang w:val="sk-SK"/>
        </w:rPr>
        <w:t>sektore služieb,</w:t>
      </w:r>
      <w:r w:rsidRPr="003F23AC">
        <w:rPr>
          <w:rFonts w:cs="Times New Roman"/>
          <w:noProof/>
          <w:lang w:val="sk-SK"/>
        </w:rPr>
        <w:t xml:space="preserve"> podpora energetickej efektívnosti</w:t>
      </w:r>
      <w:r w:rsidR="00A75B3C" w:rsidRPr="003F23AC">
        <w:rPr>
          <w:rFonts w:cs="Times New Roman"/>
          <w:noProof/>
          <w:lang w:val="sk-SK"/>
        </w:rPr>
        <w:t xml:space="preserve"> a </w:t>
      </w:r>
      <w:r w:rsidRPr="003F23AC">
        <w:rPr>
          <w:rFonts w:cs="Times New Roman"/>
          <w:noProof/>
          <w:lang w:val="sk-SK"/>
        </w:rPr>
        <w:t>efektívneho využívania zdrojov, zvýšenie vlastnej spotreby energie</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w:t>
      </w:r>
    </w:p>
    <w:p w14:paraId="5691AA04" w14:textId="17AF0131" w:rsidR="00387C70" w:rsidRPr="003F23AC" w:rsidRDefault="000F5AA4" w:rsidP="003F23AC">
      <w:pPr>
        <w:pStyle w:val="P68B1DB1-Normal4"/>
        <w:spacing w:before="40" w:after="0" w:line="240" w:lineRule="auto"/>
        <w:jc w:val="both"/>
        <w:rPr>
          <w:rFonts w:eastAsiaTheme="minorEastAsia" w:cs="Times New Roman"/>
          <w:noProof/>
          <w:lang w:val="sk-SK"/>
        </w:rPr>
      </w:pPr>
      <w:r w:rsidRPr="003F23AC">
        <w:rPr>
          <w:rFonts w:cs="Times New Roman"/>
          <w:noProof/>
          <w:lang w:val="sk-SK"/>
        </w:rPr>
        <w:t>Táto investícia pozostáva</w:t>
      </w:r>
      <w:r w:rsidR="00A75B3C" w:rsidRPr="003F23AC">
        <w:rPr>
          <w:rFonts w:cs="Times New Roman"/>
          <w:noProof/>
          <w:lang w:val="sk-SK"/>
        </w:rPr>
        <w:t xml:space="preserve"> z </w:t>
      </w:r>
      <w:r w:rsidRPr="003F23AC">
        <w:rPr>
          <w:rFonts w:cs="Times New Roman"/>
          <w:noProof/>
          <w:lang w:val="sk-SK"/>
        </w:rPr>
        <w:t>týchto opatrení:</w:t>
      </w:r>
    </w:p>
    <w:p w14:paraId="36FC37D9" w14:textId="60610EEC" w:rsidR="00A75B3C" w:rsidRPr="003F23AC" w:rsidRDefault="000F5AA4" w:rsidP="003F23AC">
      <w:pPr>
        <w:pStyle w:val="P68B1DB1-Normal4"/>
        <w:numPr>
          <w:ilvl w:val="0"/>
          <w:numId w:val="30"/>
        </w:numPr>
        <w:spacing w:before="40" w:after="160" w:line="240" w:lineRule="auto"/>
        <w:contextualSpacing/>
        <w:jc w:val="both"/>
        <w:rPr>
          <w:rFonts w:cs="Times New Roman"/>
          <w:noProof/>
          <w:lang w:val="sk-SK"/>
        </w:rPr>
      </w:pPr>
      <w:r w:rsidRPr="003F23AC">
        <w:rPr>
          <w:rFonts w:cs="Times New Roman"/>
          <w:noProof/>
          <w:lang w:val="sk-SK"/>
        </w:rPr>
        <w:t>Oznámenia sa každoročne vydávajú</w:t>
      </w:r>
      <w:r w:rsidR="00A75B3C" w:rsidRPr="003F23AC">
        <w:rPr>
          <w:rFonts w:cs="Times New Roman"/>
          <w:noProof/>
          <w:lang w:val="sk-SK"/>
        </w:rPr>
        <w:t xml:space="preserve"> s </w:t>
      </w:r>
      <w:r w:rsidRPr="003F23AC">
        <w:rPr>
          <w:rFonts w:cs="Times New Roman"/>
          <w:noProof/>
          <w:lang w:val="sk-SK"/>
        </w:rPr>
        <w:t>cieľom požiadať</w:t>
      </w:r>
      <w:r w:rsidR="00A75B3C" w:rsidRPr="003F23AC">
        <w:rPr>
          <w:rFonts w:cs="Times New Roman"/>
          <w:noProof/>
          <w:lang w:val="sk-SK"/>
        </w:rPr>
        <w:t xml:space="preserve"> o </w:t>
      </w:r>
      <w:r w:rsidRPr="003F23AC">
        <w:rPr>
          <w:rFonts w:cs="Times New Roman"/>
          <w:noProof/>
          <w:lang w:val="sk-SK"/>
        </w:rPr>
        <w:t>podporu (zvyčajne od 50</w:t>
      </w:r>
      <w:r w:rsidR="00A75B3C" w:rsidRPr="003F23AC">
        <w:rPr>
          <w:rFonts w:cs="Times New Roman"/>
          <w:noProof/>
          <w:lang w:val="sk-SK"/>
        </w:rPr>
        <w:t> %</w:t>
      </w:r>
      <w:r w:rsidRPr="003F23AC">
        <w:rPr>
          <w:rFonts w:cs="Times New Roman"/>
          <w:noProof/>
          <w:lang w:val="sk-SK"/>
        </w:rPr>
        <w:t xml:space="preserve"> do 70</w:t>
      </w:r>
      <w:r w:rsidR="00A75B3C" w:rsidRPr="003F23AC">
        <w:rPr>
          <w:rFonts w:cs="Times New Roman"/>
          <w:noProof/>
          <w:lang w:val="sk-SK"/>
        </w:rPr>
        <w:t> %</w:t>
      </w:r>
      <w:r w:rsidRPr="003F23AC">
        <w:rPr>
          <w:rFonts w:cs="Times New Roman"/>
          <w:noProof/>
          <w:lang w:val="sk-SK"/>
        </w:rPr>
        <w:t xml:space="preserve"> celkových nákladov)</w:t>
      </w:r>
      <w:r w:rsidR="00A75B3C" w:rsidRPr="003F23AC">
        <w:rPr>
          <w:rFonts w:cs="Times New Roman"/>
          <w:noProof/>
          <w:lang w:val="sk-SK"/>
        </w:rPr>
        <w:t xml:space="preserve"> s </w:t>
      </w:r>
      <w:r w:rsidRPr="003F23AC">
        <w:rPr>
          <w:rFonts w:cs="Times New Roman"/>
          <w:noProof/>
          <w:lang w:val="sk-SK"/>
        </w:rPr>
        <w:t>cieľom rozdeliť tieto náklady na rôzne typy stavebných intervencií</w:t>
      </w:r>
      <w:r w:rsidR="00A75B3C" w:rsidRPr="003F23AC">
        <w:rPr>
          <w:rFonts w:cs="Times New Roman"/>
          <w:noProof/>
          <w:lang w:val="sk-SK"/>
        </w:rPr>
        <w:t xml:space="preserve"> s </w:t>
      </w:r>
      <w:r w:rsidRPr="003F23AC">
        <w:rPr>
          <w:rFonts w:cs="Times New Roman"/>
          <w:noProof/>
          <w:lang w:val="sk-SK"/>
        </w:rPr>
        <w:t>cieľom zlepšiť ich energetickú hospodárnosť</w:t>
      </w:r>
      <w:r w:rsidR="00A75B3C" w:rsidRPr="003F23AC">
        <w:rPr>
          <w:rFonts w:cs="Times New Roman"/>
          <w:noProof/>
          <w:lang w:val="sk-SK"/>
        </w:rPr>
        <w:t xml:space="preserve"> a </w:t>
      </w:r>
      <w:r w:rsidRPr="003F23AC">
        <w:rPr>
          <w:rFonts w:cs="Times New Roman"/>
          <w:noProof/>
          <w:lang w:val="sk-SK"/>
        </w:rPr>
        <w:t>environmentálne vlastnosti</w:t>
      </w:r>
      <w:r w:rsidR="00A75B3C" w:rsidRPr="003F23AC">
        <w:rPr>
          <w:rFonts w:cs="Times New Roman"/>
          <w:noProof/>
          <w:lang w:val="sk-SK"/>
        </w:rPr>
        <w:t>.</w:t>
      </w:r>
    </w:p>
    <w:p w14:paraId="1E4C6346" w14:textId="629418BB" w:rsidR="00A75B3C" w:rsidRPr="003F23AC" w:rsidRDefault="000F5AA4" w:rsidP="003F23AC">
      <w:pPr>
        <w:pStyle w:val="P68B1DB1-Normal4"/>
        <w:numPr>
          <w:ilvl w:val="0"/>
          <w:numId w:val="30"/>
        </w:numPr>
        <w:spacing w:before="40" w:after="160" w:line="240" w:lineRule="auto"/>
        <w:contextualSpacing/>
        <w:jc w:val="both"/>
        <w:rPr>
          <w:rFonts w:cs="Times New Roman"/>
          <w:noProof/>
          <w:lang w:val="sk-SK"/>
        </w:rPr>
      </w:pPr>
      <w:r w:rsidRPr="003F23AC">
        <w:rPr>
          <w:rFonts w:cs="Times New Roman"/>
          <w:noProof/>
          <w:lang w:val="sk-SK"/>
        </w:rPr>
        <w:t>Podporné materiály sa šíria</w:t>
      </w:r>
      <w:r w:rsidR="00A75B3C" w:rsidRPr="003F23AC">
        <w:rPr>
          <w:rFonts w:cs="Times New Roman"/>
          <w:noProof/>
          <w:lang w:val="sk-SK"/>
        </w:rPr>
        <w:t xml:space="preserve"> s </w:t>
      </w:r>
      <w:r w:rsidRPr="003F23AC">
        <w:rPr>
          <w:rFonts w:cs="Times New Roman"/>
          <w:noProof/>
          <w:lang w:val="sk-SK"/>
        </w:rPr>
        <w:t>cieľom pomôcť pri rozhodovaní</w:t>
      </w:r>
      <w:r w:rsidR="00A75B3C" w:rsidRPr="003F23AC">
        <w:rPr>
          <w:rFonts w:cs="Times New Roman"/>
          <w:noProof/>
          <w:lang w:val="sk-SK"/>
        </w:rPr>
        <w:t xml:space="preserve"> o </w:t>
      </w:r>
      <w:r w:rsidRPr="003F23AC">
        <w:rPr>
          <w:rFonts w:cs="Times New Roman"/>
          <w:noProof/>
          <w:lang w:val="sk-SK"/>
        </w:rPr>
        <w:t>najlepších opatreniach</w:t>
      </w:r>
      <w:r w:rsidR="00A75B3C" w:rsidRPr="003F23AC">
        <w:rPr>
          <w:rFonts w:cs="Times New Roman"/>
          <w:noProof/>
          <w:lang w:val="sk-SK"/>
        </w:rPr>
        <w:t xml:space="preserve"> v </w:t>
      </w:r>
      <w:r w:rsidRPr="003F23AC">
        <w:rPr>
          <w:rFonts w:cs="Times New Roman"/>
          <w:noProof/>
          <w:lang w:val="sk-SK"/>
        </w:rPr>
        <w:t>oblasti energetickej efektívnosti, ktoré sa majú prijať</w:t>
      </w:r>
      <w:r w:rsidR="00A75B3C" w:rsidRPr="003F23AC">
        <w:rPr>
          <w:rFonts w:cs="Times New Roman"/>
          <w:noProof/>
          <w:lang w:val="sk-SK"/>
        </w:rPr>
        <w:t>.</w:t>
      </w:r>
    </w:p>
    <w:p w14:paraId="47FC485D" w14:textId="2588CE86" w:rsidR="00387C70" w:rsidRPr="003F23AC" w:rsidRDefault="000F5AA4" w:rsidP="003F23AC">
      <w:pPr>
        <w:pStyle w:val="P68B1DB1-Normal4"/>
        <w:numPr>
          <w:ilvl w:val="0"/>
          <w:numId w:val="30"/>
        </w:numPr>
        <w:spacing w:before="40" w:after="160" w:line="240" w:lineRule="auto"/>
        <w:contextualSpacing/>
        <w:jc w:val="both"/>
        <w:rPr>
          <w:rFonts w:eastAsiaTheme="minorEastAsia" w:cs="Times New Roman"/>
          <w:noProof/>
          <w:lang w:val="sk-SK"/>
        </w:rPr>
      </w:pPr>
      <w:r w:rsidRPr="003F23AC">
        <w:rPr>
          <w:rFonts w:cs="Times New Roman"/>
          <w:noProof/>
          <w:lang w:val="sk-SK"/>
        </w:rPr>
        <w:t>K dispozícii sú aj komunikačné kanály, ktoré pomôžu objasniť pochybnosti</w:t>
      </w:r>
      <w:r w:rsidR="00A75B3C" w:rsidRPr="003F23AC">
        <w:rPr>
          <w:rFonts w:cs="Times New Roman"/>
          <w:noProof/>
          <w:lang w:val="sk-SK"/>
        </w:rPr>
        <w:t xml:space="preserve"> o </w:t>
      </w:r>
      <w:r w:rsidRPr="003F23AC">
        <w:rPr>
          <w:rFonts w:cs="Times New Roman"/>
          <w:noProof/>
          <w:lang w:val="sk-SK"/>
        </w:rPr>
        <w:t>tom, ako získať túto podporu,</w:t>
      </w:r>
      <w:r w:rsidR="00A75B3C" w:rsidRPr="003F23AC">
        <w:rPr>
          <w:rFonts w:cs="Times New Roman"/>
          <w:noProof/>
          <w:lang w:val="sk-SK"/>
        </w:rPr>
        <w:t xml:space="preserve"> a </w:t>
      </w:r>
      <w:r w:rsidRPr="003F23AC">
        <w:rPr>
          <w:rFonts w:cs="Times New Roman"/>
          <w:noProof/>
          <w:lang w:val="sk-SK"/>
        </w:rPr>
        <w:t>to</w:t>
      </w:r>
      <w:r w:rsidR="00A75B3C" w:rsidRPr="003F23AC">
        <w:rPr>
          <w:rFonts w:cs="Times New Roman"/>
          <w:noProof/>
          <w:lang w:val="sk-SK"/>
        </w:rPr>
        <w:t xml:space="preserve"> v </w:t>
      </w:r>
      <w:r w:rsidRPr="003F23AC">
        <w:rPr>
          <w:rFonts w:cs="Times New Roman"/>
          <w:noProof/>
          <w:lang w:val="sk-SK"/>
        </w:rPr>
        <w:t>koordinácii</w:t>
      </w:r>
      <w:r w:rsidR="00A75B3C" w:rsidRPr="003F23AC">
        <w:rPr>
          <w:rFonts w:cs="Times New Roman"/>
          <w:noProof/>
          <w:lang w:val="sk-SK"/>
        </w:rPr>
        <w:t xml:space="preserve"> s </w:t>
      </w:r>
      <w:r w:rsidRPr="003F23AC">
        <w:rPr>
          <w:rFonts w:cs="Times New Roman"/>
          <w:noProof/>
          <w:lang w:val="sk-SK"/>
        </w:rPr>
        <w:t>rôznymi vnútroštátnymi</w:t>
      </w:r>
      <w:r w:rsidR="00A75B3C" w:rsidRPr="003F23AC">
        <w:rPr>
          <w:rFonts w:cs="Times New Roman"/>
          <w:noProof/>
          <w:lang w:val="sk-SK"/>
        </w:rPr>
        <w:t xml:space="preserve"> a </w:t>
      </w:r>
      <w:r w:rsidRPr="003F23AC">
        <w:rPr>
          <w:rFonts w:cs="Times New Roman"/>
          <w:noProof/>
          <w:lang w:val="sk-SK"/>
        </w:rPr>
        <w:t>miestnymi subjektmi, aby spotrebitelia mohli prijímať najlepšie investičné rozhodnutia.</w:t>
      </w:r>
    </w:p>
    <w:p w14:paraId="3470E975" w14:textId="4A6079FA" w:rsidR="00387C70" w:rsidRPr="003F23AC" w:rsidRDefault="000F5AA4" w:rsidP="003F23AC">
      <w:pPr>
        <w:pStyle w:val="P68B1DB1-Normal4"/>
        <w:spacing w:before="40" w:after="0" w:line="240" w:lineRule="auto"/>
        <w:jc w:val="both"/>
        <w:rPr>
          <w:rFonts w:eastAsiaTheme="minorEastAsia" w:cs="Times New Roman"/>
          <w:noProof/>
          <w:lang w:val="sk-SK"/>
        </w:rPr>
      </w:pPr>
      <w:r w:rsidRPr="003F23AC">
        <w:rPr>
          <w:rFonts w:cs="Times New Roman"/>
          <w:noProof/>
          <w:lang w:val="sk-SK"/>
        </w:rPr>
        <w:t>Cieľom plánovanej investície je dosiahnuť priemernú úsporu primárnej energie približne 50 ktoe</w:t>
      </w:r>
      <w:r w:rsidR="00A75B3C" w:rsidRPr="003F23AC">
        <w:rPr>
          <w:rFonts w:cs="Times New Roman"/>
          <w:noProof/>
          <w:lang w:val="sk-SK"/>
        </w:rPr>
        <w:t xml:space="preserve"> a </w:t>
      </w:r>
      <w:r w:rsidRPr="003F23AC">
        <w:rPr>
          <w:rFonts w:cs="Times New Roman"/>
          <w:noProof/>
          <w:lang w:val="sk-SK"/>
        </w:rPr>
        <w:t>zníženie emisií CO2 približne</w:t>
      </w:r>
      <w:r w:rsidR="009E4E5C">
        <w:rPr>
          <w:rFonts w:cs="Times New Roman"/>
          <w:noProof/>
          <w:lang w:val="sk-SK"/>
        </w:rPr>
        <w:t xml:space="preserve"> </w:t>
      </w:r>
      <w:r w:rsidRPr="003F23AC">
        <w:rPr>
          <w:rFonts w:cs="Times New Roman"/>
          <w:noProof/>
          <w:vertAlign w:val="subscript"/>
          <w:lang w:val="sk-SK"/>
        </w:rPr>
        <w:t>o</w:t>
      </w:r>
      <w:r w:rsidRPr="003F23AC">
        <w:rPr>
          <w:rFonts w:cs="Times New Roman"/>
          <w:noProof/>
          <w:lang w:val="sk-SK"/>
        </w:rPr>
        <w:t xml:space="preserve"> 30 kt.</w:t>
      </w:r>
    </w:p>
    <w:p w14:paraId="55C9613B" w14:textId="62CB38C9" w:rsidR="00387C70" w:rsidRPr="003F23AC" w:rsidRDefault="000F5AA4" w:rsidP="003F23AC">
      <w:pPr>
        <w:pStyle w:val="P68B1DB1-Normal4"/>
        <w:spacing w:before="40" w:after="0" w:line="240" w:lineRule="auto"/>
        <w:jc w:val="both"/>
        <w:rPr>
          <w:rFonts w:eastAsiaTheme="minorEastAsia" w:cs="Times New Roman"/>
          <w:noProof/>
          <w:lang w:val="sk-SK"/>
        </w:rPr>
        <w:sectPr w:rsidR="00387C70" w:rsidRPr="003F23AC" w:rsidSect="00E00EDD">
          <w:headerReference w:type="even" r:id="rId258"/>
          <w:headerReference w:type="default" r:id="rId259"/>
          <w:footerReference w:type="even" r:id="rId260"/>
          <w:footerReference w:type="default" r:id="rId261"/>
          <w:headerReference w:type="first" r:id="rId262"/>
          <w:footerReference w:type="first" r:id="rId263"/>
          <w:pgSz w:w="11907" w:h="16839"/>
          <w:pgMar w:top="1134" w:right="1134" w:bottom="1134" w:left="1134" w:header="567" w:footer="567" w:gutter="0"/>
          <w:cols w:space="720"/>
          <w:docGrid w:linePitch="360"/>
        </w:sect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29A3F2EB" w14:textId="547F6A93"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M.2.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p w14:paraId="11AAFD16"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134"/>
        <w:gridCol w:w="1701"/>
        <w:gridCol w:w="1275"/>
        <w:gridCol w:w="993"/>
        <w:gridCol w:w="850"/>
        <w:gridCol w:w="992"/>
        <w:gridCol w:w="647"/>
        <w:gridCol w:w="487"/>
        <w:gridCol w:w="3969"/>
      </w:tblGrid>
      <w:tr w:rsidR="00387C70" w:rsidRPr="003F23AC" w14:paraId="0E0C05EE" w14:textId="77777777" w:rsidTr="009E4E5C">
        <w:trPr>
          <w:trHeight w:val="910"/>
          <w:tblHeader/>
        </w:trPr>
        <w:tc>
          <w:tcPr>
            <w:tcW w:w="1135" w:type="dxa"/>
            <w:vMerge w:val="restart"/>
            <w:shd w:val="clear" w:color="auto" w:fill="BDD6EE"/>
            <w:tcMar>
              <w:left w:w="28" w:type="dxa"/>
              <w:right w:w="28" w:type="dxa"/>
            </w:tcMar>
            <w:vAlign w:val="center"/>
            <w:hideMark/>
          </w:tcPr>
          <w:p w14:paraId="67BBF50E"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76" w:type="dxa"/>
            <w:vMerge w:val="restart"/>
            <w:shd w:val="clear" w:color="auto" w:fill="BDD6EE"/>
            <w:tcMar>
              <w:left w:w="28" w:type="dxa"/>
              <w:right w:w="28" w:type="dxa"/>
            </w:tcMar>
            <w:vAlign w:val="center"/>
            <w:hideMark/>
          </w:tcPr>
          <w:p w14:paraId="30B4FF8A"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34" w:type="dxa"/>
            <w:vMerge w:val="restart"/>
            <w:shd w:val="clear" w:color="auto" w:fill="BDD6EE"/>
            <w:tcMar>
              <w:left w:w="28" w:type="dxa"/>
              <w:right w:w="28" w:type="dxa"/>
            </w:tcMar>
            <w:vAlign w:val="center"/>
            <w:hideMark/>
          </w:tcPr>
          <w:p w14:paraId="2ABC28BA" w14:textId="6B49251B" w:rsidR="00387C70" w:rsidRPr="003F23AC" w:rsidRDefault="000F5AA4" w:rsidP="003F23AC">
            <w:pPr>
              <w:pStyle w:val="P68B1DB1-Normal6"/>
              <w:spacing w:after="0" w:line="240" w:lineRule="auto"/>
              <w:jc w:val="center"/>
              <w:rPr>
                <w:rFonts w:eastAsia="Times New Roman" w:cs="Times New Roman"/>
                <w:noProof/>
                <w:sz w:val="14"/>
                <w:lang w:val="sk-SK"/>
              </w:rPr>
            </w:pPr>
            <w:r w:rsidRPr="003F23AC">
              <w:rPr>
                <w:rFonts w:cs="Times New Roman"/>
                <w:noProof/>
                <w:lang w:val="sk-SK"/>
              </w:rPr>
              <w:t>Míľnik/cieľ</w:t>
            </w:r>
          </w:p>
        </w:tc>
        <w:tc>
          <w:tcPr>
            <w:tcW w:w="1701" w:type="dxa"/>
            <w:vMerge w:val="restart"/>
            <w:shd w:val="clear" w:color="auto" w:fill="BDD6EE"/>
            <w:tcMar>
              <w:left w:w="28" w:type="dxa"/>
              <w:right w:w="28" w:type="dxa"/>
            </w:tcMar>
            <w:vAlign w:val="center"/>
            <w:hideMark/>
          </w:tcPr>
          <w:p w14:paraId="0F732803"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275" w:type="dxa"/>
            <w:vMerge w:val="restart"/>
            <w:shd w:val="clear" w:color="auto" w:fill="BDD6EE"/>
            <w:tcMar>
              <w:left w:w="28" w:type="dxa"/>
              <w:right w:w="28" w:type="dxa"/>
            </w:tcMar>
            <w:vAlign w:val="center"/>
            <w:hideMark/>
          </w:tcPr>
          <w:p w14:paraId="4FD2B6A8"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835" w:type="dxa"/>
            <w:gridSpan w:val="3"/>
            <w:shd w:val="clear" w:color="auto" w:fill="BDD6EE"/>
            <w:tcMar>
              <w:left w:w="28" w:type="dxa"/>
              <w:right w:w="28" w:type="dxa"/>
            </w:tcMar>
            <w:vAlign w:val="center"/>
            <w:hideMark/>
          </w:tcPr>
          <w:p w14:paraId="61B63461"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134" w:type="dxa"/>
            <w:gridSpan w:val="2"/>
            <w:shd w:val="clear" w:color="auto" w:fill="BDD6EE"/>
            <w:tcMar>
              <w:left w:w="28" w:type="dxa"/>
              <w:right w:w="28" w:type="dxa"/>
            </w:tcMar>
            <w:vAlign w:val="center"/>
            <w:hideMark/>
          </w:tcPr>
          <w:p w14:paraId="260455EA"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3969" w:type="dxa"/>
            <w:vMerge w:val="restart"/>
            <w:shd w:val="clear" w:color="auto" w:fill="BDD6EE"/>
            <w:tcMar>
              <w:left w:w="28" w:type="dxa"/>
              <w:right w:w="28" w:type="dxa"/>
            </w:tcMar>
            <w:vAlign w:val="center"/>
            <w:hideMark/>
          </w:tcPr>
          <w:p w14:paraId="0F60C256" w14:textId="735D0FB3"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3FAB00E2" w14:textId="77777777" w:rsidTr="008E475E">
        <w:trPr>
          <w:trHeight w:val="470"/>
          <w:tblHeader/>
        </w:trPr>
        <w:tc>
          <w:tcPr>
            <w:tcW w:w="1135" w:type="dxa"/>
            <w:vMerge/>
            <w:tcMar>
              <w:left w:w="28" w:type="dxa"/>
              <w:right w:w="28" w:type="dxa"/>
            </w:tcMar>
            <w:vAlign w:val="center"/>
            <w:hideMark/>
          </w:tcPr>
          <w:p w14:paraId="7E4C4723"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6" w:type="dxa"/>
            <w:vMerge/>
            <w:tcMar>
              <w:left w:w="28" w:type="dxa"/>
              <w:right w:w="28" w:type="dxa"/>
            </w:tcMar>
            <w:vAlign w:val="center"/>
            <w:hideMark/>
          </w:tcPr>
          <w:p w14:paraId="4F51F516"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34" w:type="dxa"/>
            <w:vMerge/>
            <w:shd w:val="clear" w:color="auto" w:fill="BDD6EE"/>
            <w:tcMar>
              <w:left w:w="28" w:type="dxa"/>
              <w:right w:w="28" w:type="dxa"/>
            </w:tcMar>
            <w:vAlign w:val="center"/>
            <w:hideMark/>
          </w:tcPr>
          <w:p w14:paraId="16343213" w14:textId="293593C9" w:rsidR="00387C70" w:rsidRPr="003F23AC" w:rsidRDefault="00387C70" w:rsidP="003F23AC">
            <w:pPr>
              <w:spacing w:after="0" w:line="240" w:lineRule="auto"/>
              <w:jc w:val="center"/>
              <w:rPr>
                <w:rFonts w:ascii="Times New Roman" w:eastAsia="Times New Roman" w:hAnsi="Times New Roman" w:cs="Times New Roman"/>
                <w:b/>
                <w:noProof/>
                <w:sz w:val="14"/>
                <w:lang w:val="sk-SK"/>
              </w:rPr>
            </w:pPr>
          </w:p>
        </w:tc>
        <w:tc>
          <w:tcPr>
            <w:tcW w:w="1701" w:type="dxa"/>
            <w:vMerge/>
            <w:tcMar>
              <w:left w:w="28" w:type="dxa"/>
              <w:right w:w="28" w:type="dxa"/>
            </w:tcMar>
            <w:vAlign w:val="center"/>
            <w:hideMark/>
          </w:tcPr>
          <w:p w14:paraId="6B71B7A6"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5" w:type="dxa"/>
            <w:vMerge/>
            <w:tcMar>
              <w:left w:w="28" w:type="dxa"/>
              <w:right w:w="28" w:type="dxa"/>
            </w:tcMar>
            <w:vAlign w:val="center"/>
            <w:hideMark/>
          </w:tcPr>
          <w:p w14:paraId="049F56B7"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993" w:type="dxa"/>
            <w:shd w:val="clear" w:color="auto" w:fill="BDD6EE"/>
            <w:tcMar>
              <w:left w:w="28" w:type="dxa"/>
              <w:right w:w="28" w:type="dxa"/>
            </w:tcMar>
            <w:vAlign w:val="center"/>
            <w:hideMark/>
          </w:tcPr>
          <w:p w14:paraId="6FCE643F"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850" w:type="dxa"/>
            <w:shd w:val="clear" w:color="auto" w:fill="BDD6EE"/>
            <w:tcMar>
              <w:left w:w="28" w:type="dxa"/>
              <w:right w:w="28" w:type="dxa"/>
            </w:tcMar>
            <w:vAlign w:val="center"/>
            <w:hideMark/>
          </w:tcPr>
          <w:p w14:paraId="5BE8C6D0" w14:textId="4D390578"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992" w:type="dxa"/>
            <w:shd w:val="clear" w:color="auto" w:fill="BDD6EE"/>
            <w:tcMar>
              <w:left w:w="28" w:type="dxa"/>
              <w:right w:w="28" w:type="dxa"/>
            </w:tcMar>
            <w:vAlign w:val="center"/>
            <w:hideMark/>
          </w:tcPr>
          <w:p w14:paraId="0C1FF235" w14:textId="166192B2"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647" w:type="dxa"/>
            <w:shd w:val="clear" w:color="auto" w:fill="BDD6EE"/>
            <w:tcMar>
              <w:left w:w="28" w:type="dxa"/>
              <w:right w:w="28" w:type="dxa"/>
            </w:tcMar>
            <w:vAlign w:val="center"/>
            <w:hideMark/>
          </w:tcPr>
          <w:p w14:paraId="409B8A29" w14:textId="644F9F5E"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487" w:type="dxa"/>
            <w:shd w:val="clear" w:color="auto" w:fill="BDD6EE"/>
            <w:tcMar>
              <w:left w:w="28" w:type="dxa"/>
              <w:right w:w="28" w:type="dxa"/>
            </w:tcMar>
            <w:vAlign w:val="center"/>
            <w:hideMark/>
          </w:tcPr>
          <w:p w14:paraId="2A10157F"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3969" w:type="dxa"/>
            <w:vMerge/>
            <w:tcMar>
              <w:left w:w="28" w:type="dxa"/>
              <w:right w:w="28" w:type="dxa"/>
            </w:tcMar>
            <w:vAlign w:val="center"/>
            <w:hideMark/>
          </w:tcPr>
          <w:p w14:paraId="4615715E"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606EC8F0" w14:textId="77777777" w:rsidTr="008E475E">
        <w:trPr>
          <w:trHeight w:val="420"/>
        </w:trPr>
        <w:tc>
          <w:tcPr>
            <w:tcW w:w="1135" w:type="dxa"/>
            <w:shd w:val="clear" w:color="auto" w:fill="C4EFCE"/>
            <w:tcMar>
              <w:left w:w="28" w:type="dxa"/>
              <w:right w:w="28" w:type="dxa"/>
            </w:tcMar>
            <w:vAlign w:val="center"/>
            <w:hideMark/>
          </w:tcPr>
          <w:p w14:paraId="1E4DC0DC"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13.1</w:t>
            </w:r>
          </w:p>
        </w:tc>
        <w:tc>
          <w:tcPr>
            <w:tcW w:w="1276" w:type="dxa"/>
            <w:shd w:val="clear" w:color="auto" w:fill="C4EFCE"/>
            <w:noWrap/>
            <w:tcMar>
              <w:left w:w="28" w:type="dxa"/>
              <w:right w:w="28" w:type="dxa"/>
            </w:tcMar>
            <w:vAlign w:val="center"/>
            <w:hideMark/>
          </w:tcPr>
          <w:p w14:paraId="27EC7AD6"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TC-C13-i01</w:t>
            </w:r>
          </w:p>
        </w:tc>
        <w:tc>
          <w:tcPr>
            <w:tcW w:w="1134" w:type="dxa"/>
            <w:shd w:val="clear" w:color="auto" w:fill="C4EFCE"/>
            <w:noWrap/>
            <w:tcMar>
              <w:left w:w="28" w:type="dxa"/>
              <w:right w:w="28" w:type="dxa"/>
            </w:tcMar>
            <w:vAlign w:val="center"/>
            <w:hideMark/>
          </w:tcPr>
          <w:p w14:paraId="36311F16" w14:textId="19B96C9C" w:rsidR="00387C70" w:rsidRPr="003F23AC" w:rsidRDefault="00C32C63"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15826370" w14:textId="706C3288"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Obnova súkromných bytových budov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hľadiska energetickej efektívnosti</w:t>
            </w:r>
          </w:p>
        </w:tc>
        <w:tc>
          <w:tcPr>
            <w:tcW w:w="1275" w:type="dxa"/>
            <w:shd w:val="clear" w:color="auto" w:fill="C4EFCE"/>
            <w:noWrap/>
            <w:tcMar>
              <w:left w:w="28" w:type="dxa"/>
              <w:right w:w="28" w:type="dxa"/>
            </w:tcMar>
            <w:vAlign w:val="center"/>
            <w:hideMark/>
          </w:tcPr>
          <w:p w14:paraId="462D8E5D"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5CBB54F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m²</w:t>
            </w:r>
          </w:p>
        </w:tc>
        <w:tc>
          <w:tcPr>
            <w:tcW w:w="850" w:type="dxa"/>
            <w:shd w:val="clear" w:color="auto" w:fill="C4EFCE"/>
            <w:noWrap/>
            <w:tcMar>
              <w:left w:w="28" w:type="dxa"/>
              <w:right w:w="28" w:type="dxa"/>
            </w:tcMar>
            <w:vAlign w:val="center"/>
            <w:hideMark/>
          </w:tcPr>
          <w:p w14:paraId="19B8212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hideMark/>
          </w:tcPr>
          <w:p w14:paraId="47DD0506"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830 000</w:t>
            </w:r>
          </w:p>
        </w:tc>
        <w:tc>
          <w:tcPr>
            <w:tcW w:w="647" w:type="dxa"/>
            <w:shd w:val="clear" w:color="auto" w:fill="C4EFCE"/>
            <w:noWrap/>
            <w:tcMar>
              <w:left w:w="28" w:type="dxa"/>
              <w:right w:w="28" w:type="dxa"/>
            </w:tcMar>
            <w:vAlign w:val="center"/>
            <w:hideMark/>
          </w:tcPr>
          <w:p w14:paraId="05169CF0" w14:textId="6A751B0A" w:rsidR="00387C70" w:rsidRPr="003F23AC" w:rsidRDefault="00FF0A91"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87" w:type="dxa"/>
            <w:shd w:val="clear" w:color="auto" w:fill="C4EFCE"/>
            <w:noWrap/>
            <w:tcMar>
              <w:left w:w="28" w:type="dxa"/>
              <w:right w:w="28" w:type="dxa"/>
            </w:tcMar>
            <w:vAlign w:val="center"/>
            <w:hideMark/>
          </w:tcPr>
          <w:p w14:paraId="4F8F49ED"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hideMark/>
          </w:tcPr>
          <w:p w14:paraId="4713DF6A" w14:textId="65F7C21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Oblasť obnovených súkromných obytných budov. Obnovami zameranými na energetickú efektívnosť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dosiahne aspoň stredná hĺbková obnova,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87C70" w:rsidRPr="003F23AC" w14:paraId="1017303B" w14:textId="77777777" w:rsidTr="008E475E">
        <w:trPr>
          <w:trHeight w:val="420"/>
        </w:trPr>
        <w:tc>
          <w:tcPr>
            <w:tcW w:w="1135" w:type="dxa"/>
            <w:shd w:val="clear" w:color="auto" w:fill="C4EFCE"/>
            <w:tcMar>
              <w:left w:w="28" w:type="dxa"/>
              <w:right w:w="28" w:type="dxa"/>
            </w:tcMar>
            <w:vAlign w:val="center"/>
            <w:hideMark/>
          </w:tcPr>
          <w:p w14:paraId="10D598D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13.2</w:t>
            </w:r>
          </w:p>
        </w:tc>
        <w:tc>
          <w:tcPr>
            <w:tcW w:w="1276" w:type="dxa"/>
            <w:shd w:val="clear" w:color="auto" w:fill="C4EFCE"/>
            <w:noWrap/>
            <w:tcMar>
              <w:left w:w="28" w:type="dxa"/>
              <w:right w:w="28" w:type="dxa"/>
            </w:tcMar>
            <w:vAlign w:val="center"/>
            <w:hideMark/>
          </w:tcPr>
          <w:p w14:paraId="6D5511F8"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TC-C13-i01</w:t>
            </w:r>
          </w:p>
        </w:tc>
        <w:tc>
          <w:tcPr>
            <w:tcW w:w="1134" w:type="dxa"/>
            <w:shd w:val="clear" w:color="auto" w:fill="C4EFCE"/>
            <w:noWrap/>
            <w:tcMar>
              <w:left w:w="28" w:type="dxa"/>
              <w:right w:w="28" w:type="dxa"/>
            </w:tcMar>
            <w:vAlign w:val="center"/>
            <w:hideMark/>
          </w:tcPr>
          <w:p w14:paraId="739F5B31" w14:textId="010C8A3A" w:rsidR="00387C70" w:rsidRPr="003F23AC" w:rsidRDefault="00C32C63"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437A49A2" w14:textId="5F62279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Obnova súkromných bytových budov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 xml:space="preserve">hľadiska energetickej efektívnosti </w:t>
            </w:r>
          </w:p>
        </w:tc>
        <w:tc>
          <w:tcPr>
            <w:tcW w:w="1275" w:type="dxa"/>
            <w:shd w:val="clear" w:color="auto" w:fill="C4EFCE"/>
            <w:noWrap/>
            <w:tcMar>
              <w:left w:w="28" w:type="dxa"/>
              <w:right w:w="28" w:type="dxa"/>
            </w:tcMar>
            <w:vAlign w:val="center"/>
            <w:hideMark/>
          </w:tcPr>
          <w:p w14:paraId="456795CE"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31EAE46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m²</w:t>
            </w:r>
          </w:p>
        </w:tc>
        <w:tc>
          <w:tcPr>
            <w:tcW w:w="850" w:type="dxa"/>
            <w:shd w:val="clear" w:color="auto" w:fill="C4EFCE"/>
            <w:noWrap/>
            <w:tcMar>
              <w:left w:w="28" w:type="dxa"/>
              <w:right w:w="28" w:type="dxa"/>
            </w:tcMar>
            <w:vAlign w:val="center"/>
            <w:hideMark/>
          </w:tcPr>
          <w:p w14:paraId="1B48A10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830 000</w:t>
            </w:r>
          </w:p>
        </w:tc>
        <w:tc>
          <w:tcPr>
            <w:tcW w:w="992" w:type="dxa"/>
            <w:shd w:val="clear" w:color="auto" w:fill="C4EFCE"/>
            <w:noWrap/>
            <w:tcMar>
              <w:left w:w="28" w:type="dxa"/>
              <w:right w:w="28" w:type="dxa"/>
            </w:tcMar>
            <w:vAlign w:val="center"/>
            <w:hideMark/>
          </w:tcPr>
          <w:p w14:paraId="4C565512"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1 020 000</w:t>
            </w:r>
          </w:p>
        </w:tc>
        <w:tc>
          <w:tcPr>
            <w:tcW w:w="647" w:type="dxa"/>
            <w:shd w:val="clear" w:color="auto" w:fill="C4EFCE"/>
            <w:noWrap/>
            <w:tcMar>
              <w:left w:w="28" w:type="dxa"/>
              <w:right w:w="28" w:type="dxa"/>
            </w:tcMar>
            <w:vAlign w:val="center"/>
            <w:hideMark/>
          </w:tcPr>
          <w:p w14:paraId="270A70FA" w14:textId="4620B9EE" w:rsidR="00387C70" w:rsidRPr="003F23AC" w:rsidRDefault="00FF0A91"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87" w:type="dxa"/>
            <w:shd w:val="clear" w:color="auto" w:fill="C4EFCE"/>
            <w:noWrap/>
            <w:tcMar>
              <w:left w:w="28" w:type="dxa"/>
              <w:right w:w="28" w:type="dxa"/>
            </w:tcMar>
            <w:vAlign w:val="center"/>
            <w:hideMark/>
          </w:tcPr>
          <w:p w14:paraId="569CEDB4"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5D57E5C9" w14:textId="6406DF2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Oblasť obnovených súkromných obytných budov. Obnovy zamerané na energetickú efektívnosť musia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dosiahnuť aspoň strednú hĺbkovú obnovu,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87C70" w:rsidRPr="003F23AC" w14:paraId="2393B3AE" w14:textId="77777777" w:rsidTr="008E475E">
        <w:trPr>
          <w:trHeight w:val="1060"/>
        </w:trPr>
        <w:tc>
          <w:tcPr>
            <w:tcW w:w="1135" w:type="dxa"/>
            <w:shd w:val="clear" w:color="auto" w:fill="C4EFCE"/>
            <w:tcMar>
              <w:left w:w="28" w:type="dxa"/>
              <w:right w:w="28" w:type="dxa"/>
            </w:tcMar>
            <w:vAlign w:val="center"/>
            <w:hideMark/>
          </w:tcPr>
          <w:p w14:paraId="67D8B225"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13.3</w:t>
            </w:r>
          </w:p>
        </w:tc>
        <w:tc>
          <w:tcPr>
            <w:tcW w:w="1276" w:type="dxa"/>
            <w:shd w:val="clear" w:color="auto" w:fill="C4EFCE"/>
            <w:noWrap/>
            <w:tcMar>
              <w:left w:w="28" w:type="dxa"/>
              <w:right w:w="28" w:type="dxa"/>
            </w:tcMar>
            <w:vAlign w:val="center"/>
            <w:hideMark/>
          </w:tcPr>
          <w:p w14:paraId="7F372A8D"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TC-C13-i01</w:t>
            </w:r>
          </w:p>
        </w:tc>
        <w:tc>
          <w:tcPr>
            <w:tcW w:w="1134" w:type="dxa"/>
            <w:shd w:val="clear" w:color="auto" w:fill="C4EFCE"/>
            <w:noWrap/>
            <w:tcMar>
              <w:left w:w="28" w:type="dxa"/>
              <w:right w:w="28" w:type="dxa"/>
            </w:tcMar>
            <w:vAlign w:val="center"/>
            <w:hideMark/>
          </w:tcPr>
          <w:p w14:paraId="02685FC2" w14:textId="27E14CE6" w:rsidR="00387C70" w:rsidRPr="003F23AC" w:rsidRDefault="00C32C63"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792E44C1" w14:textId="577C7FCA"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Poukazy na efektívnosť distribuované pre domácnosti trpiace energetickou chudobou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nahradiť staré zariadenia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prijať energeticky účinné riešenia</w:t>
            </w:r>
          </w:p>
        </w:tc>
        <w:tc>
          <w:tcPr>
            <w:tcW w:w="1275" w:type="dxa"/>
            <w:shd w:val="clear" w:color="auto" w:fill="C4EFCE"/>
            <w:noWrap/>
            <w:tcMar>
              <w:left w:w="28" w:type="dxa"/>
              <w:right w:w="28" w:type="dxa"/>
            </w:tcMar>
            <w:vAlign w:val="center"/>
            <w:hideMark/>
          </w:tcPr>
          <w:p w14:paraId="7F10918E"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39ACE5A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50" w:type="dxa"/>
            <w:shd w:val="clear" w:color="auto" w:fill="C4EFCE"/>
            <w:noWrap/>
            <w:tcMar>
              <w:left w:w="28" w:type="dxa"/>
              <w:right w:w="28" w:type="dxa"/>
            </w:tcMar>
            <w:vAlign w:val="center"/>
            <w:hideMark/>
          </w:tcPr>
          <w:p w14:paraId="38F3154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hideMark/>
          </w:tcPr>
          <w:p w14:paraId="6083336E"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100 000</w:t>
            </w:r>
          </w:p>
        </w:tc>
        <w:tc>
          <w:tcPr>
            <w:tcW w:w="647" w:type="dxa"/>
            <w:shd w:val="clear" w:color="auto" w:fill="C4EFCE"/>
            <w:noWrap/>
            <w:tcMar>
              <w:left w:w="28" w:type="dxa"/>
              <w:right w:w="28" w:type="dxa"/>
            </w:tcMar>
            <w:vAlign w:val="center"/>
            <w:hideMark/>
          </w:tcPr>
          <w:p w14:paraId="2458F47B" w14:textId="3DFE203E" w:rsidR="00387C70" w:rsidRPr="003F23AC" w:rsidRDefault="00FF0A91"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87" w:type="dxa"/>
            <w:shd w:val="clear" w:color="auto" w:fill="C4EFCE"/>
            <w:noWrap/>
            <w:tcMar>
              <w:left w:w="28" w:type="dxa"/>
              <w:right w:w="28" w:type="dxa"/>
            </w:tcMar>
            <w:vAlign w:val="center"/>
            <w:hideMark/>
          </w:tcPr>
          <w:p w14:paraId="03A7CD48"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577AF848" w14:textId="3B49BCF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„poukážok na efektívnosť“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1 330 EUR distribuovaných domácnostiam trpiacim energetickou chudobou (z prostredia domácností, ktoré využívajú sociálnu sadzbu za energiu), na nákup energeticky účinných zariadení, ako sú tepelné čerpadlá, ako aj na vykonávanie prác na zlepšenie energetickej hospodárnosti samotnej domácnosti. Zahŕňa inštalačné služby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zber predchádzajúceho vybavenia (presmerovanie na environmentálne zodpovedné konečné miesto určenia).</w:t>
            </w:r>
          </w:p>
        </w:tc>
      </w:tr>
      <w:tr w:rsidR="00387C70" w:rsidRPr="003F23AC" w14:paraId="0B0E361D" w14:textId="77777777" w:rsidTr="008E475E">
        <w:trPr>
          <w:trHeight w:val="640"/>
        </w:trPr>
        <w:tc>
          <w:tcPr>
            <w:tcW w:w="1135" w:type="dxa"/>
            <w:shd w:val="clear" w:color="auto" w:fill="C4EFCE"/>
            <w:tcMar>
              <w:left w:w="28" w:type="dxa"/>
              <w:right w:w="28" w:type="dxa"/>
            </w:tcMar>
            <w:vAlign w:val="center"/>
            <w:hideMark/>
          </w:tcPr>
          <w:p w14:paraId="7460E5A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13.4</w:t>
            </w:r>
          </w:p>
        </w:tc>
        <w:tc>
          <w:tcPr>
            <w:tcW w:w="1276" w:type="dxa"/>
            <w:shd w:val="clear" w:color="auto" w:fill="C4EFCE"/>
            <w:noWrap/>
            <w:tcMar>
              <w:left w:w="28" w:type="dxa"/>
              <w:right w:w="28" w:type="dxa"/>
            </w:tcMar>
            <w:vAlign w:val="center"/>
            <w:hideMark/>
          </w:tcPr>
          <w:p w14:paraId="4457813A"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TC-C13-i01</w:t>
            </w:r>
          </w:p>
        </w:tc>
        <w:tc>
          <w:tcPr>
            <w:tcW w:w="1134" w:type="dxa"/>
            <w:shd w:val="clear" w:color="auto" w:fill="C4EFCE"/>
            <w:noWrap/>
            <w:tcMar>
              <w:left w:w="28" w:type="dxa"/>
              <w:right w:w="28" w:type="dxa"/>
            </w:tcMar>
            <w:vAlign w:val="center"/>
            <w:hideMark/>
          </w:tcPr>
          <w:p w14:paraId="6C055939" w14:textId="57AF8BC1" w:rsidR="00387C70" w:rsidRPr="003F23AC" w:rsidRDefault="00C32C63"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243CC0AB" w14:textId="31ED1460"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Dodatočná kapacita výroby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 vlastnú spotrebu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využitie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komunitách vyrábajúcich energiu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súkromnom sektore bývania</w:t>
            </w:r>
          </w:p>
        </w:tc>
        <w:tc>
          <w:tcPr>
            <w:tcW w:w="1275" w:type="dxa"/>
            <w:shd w:val="clear" w:color="auto" w:fill="C4EFCE"/>
            <w:noWrap/>
            <w:tcMar>
              <w:left w:w="28" w:type="dxa"/>
              <w:right w:w="28" w:type="dxa"/>
            </w:tcMar>
            <w:vAlign w:val="center"/>
            <w:hideMark/>
          </w:tcPr>
          <w:p w14:paraId="49B81565"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3619A32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850" w:type="dxa"/>
            <w:shd w:val="clear" w:color="auto" w:fill="C4EFCE"/>
            <w:noWrap/>
            <w:tcMar>
              <w:left w:w="28" w:type="dxa"/>
              <w:right w:w="28" w:type="dxa"/>
            </w:tcMar>
            <w:vAlign w:val="center"/>
            <w:hideMark/>
          </w:tcPr>
          <w:p w14:paraId="1094D26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hideMark/>
          </w:tcPr>
          <w:p w14:paraId="3857AA75"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35</w:t>
            </w:r>
          </w:p>
        </w:tc>
        <w:tc>
          <w:tcPr>
            <w:tcW w:w="647" w:type="dxa"/>
            <w:shd w:val="clear" w:color="auto" w:fill="C4EFCE"/>
            <w:noWrap/>
            <w:tcMar>
              <w:left w:w="28" w:type="dxa"/>
              <w:right w:w="28" w:type="dxa"/>
            </w:tcMar>
            <w:vAlign w:val="center"/>
            <w:hideMark/>
          </w:tcPr>
          <w:p w14:paraId="16330E77" w14:textId="7F2841CB" w:rsidR="00387C70" w:rsidRPr="003F23AC" w:rsidRDefault="00FF0A91"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87" w:type="dxa"/>
            <w:shd w:val="clear" w:color="auto" w:fill="C4EFCE"/>
            <w:noWrap/>
            <w:tcMar>
              <w:left w:w="28" w:type="dxa"/>
              <w:right w:w="28" w:type="dxa"/>
            </w:tcMar>
            <w:vAlign w:val="center"/>
            <w:hideMark/>
          </w:tcPr>
          <w:p w14:paraId="3FBEBB67"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132845E6" w14:textId="63F39FD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Dodatočná kapacita na výrobu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(napríklad fotovoltické panely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batérie, keďže táto technológia je vyspelá) inštalovaná na vlastnú spotrebu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použitie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komunitách vyrábajúcich energiu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súkromnom sektore bývania.</w:t>
            </w:r>
          </w:p>
        </w:tc>
      </w:tr>
      <w:tr w:rsidR="00387C70" w:rsidRPr="003F23AC" w14:paraId="72822A32" w14:textId="77777777" w:rsidTr="008E475E">
        <w:trPr>
          <w:trHeight w:val="420"/>
        </w:trPr>
        <w:tc>
          <w:tcPr>
            <w:tcW w:w="1135" w:type="dxa"/>
            <w:shd w:val="clear" w:color="auto" w:fill="C4EFCE"/>
            <w:tcMar>
              <w:left w:w="28" w:type="dxa"/>
              <w:right w:w="28" w:type="dxa"/>
            </w:tcMar>
            <w:vAlign w:val="center"/>
            <w:hideMark/>
          </w:tcPr>
          <w:p w14:paraId="3B3EBACC"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13.5</w:t>
            </w:r>
          </w:p>
        </w:tc>
        <w:tc>
          <w:tcPr>
            <w:tcW w:w="1276" w:type="dxa"/>
            <w:shd w:val="clear" w:color="auto" w:fill="C4EFCE"/>
            <w:noWrap/>
            <w:tcMar>
              <w:left w:w="28" w:type="dxa"/>
              <w:right w:w="28" w:type="dxa"/>
            </w:tcMar>
            <w:vAlign w:val="center"/>
            <w:hideMark/>
          </w:tcPr>
          <w:p w14:paraId="7090E9CA"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TC-C13-i02</w:t>
            </w:r>
          </w:p>
        </w:tc>
        <w:tc>
          <w:tcPr>
            <w:tcW w:w="1134" w:type="dxa"/>
            <w:shd w:val="clear" w:color="auto" w:fill="C4EFCE"/>
            <w:noWrap/>
            <w:tcMar>
              <w:left w:w="28" w:type="dxa"/>
              <w:right w:w="28" w:type="dxa"/>
            </w:tcMar>
            <w:vAlign w:val="center"/>
            <w:hideMark/>
          </w:tcPr>
          <w:p w14:paraId="0265E7BE" w14:textId="556526EC" w:rsidR="00387C70" w:rsidRPr="003F23AC" w:rsidRDefault="00C32C63"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1A781328"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Obnova budov ústredných orgánov štátnej správy zameraná na energetickú efektívnosť</w:t>
            </w:r>
          </w:p>
        </w:tc>
        <w:tc>
          <w:tcPr>
            <w:tcW w:w="1275" w:type="dxa"/>
            <w:shd w:val="clear" w:color="auto" w:fill="C4EFCE"/>
            <w:noWrap/>
            <w:tcMar>
              <w:left w:w="28" w:type="dxa"/>
              <w:right w:w="28" w:type="dxa"/>
            </w:tcMar>
            <w:vAlign w:val="center"/>
            <w:hideMark/>
          </w:tcPr>
          <w:p w14:paraId="0B83A2AE"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540499B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m²</w:t>
            </w:r>
          </w:p>
        </w:tc>
        <w:tc>
          <w:tcPr>
            <w:tcW w:w="850" w:type="dxa"/>
            <w:shd w:val="clear" w:color="auto" w:fill="C4EFCE"/>
            <w:noWrap/>
            <w:tcMar>
              <w:left w:w="28" w:type="dxa"/>
              <w:right w:w="28" w:type="dxa"/>
            </w:tcMar>
            <w:vAlign w:val="center"/>
            <w:hideMark/>
          </w:tcPr>
          <w:p w14:paraId="4F89FDA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hideMark/>
          </w:tcPr>
          <w:p w14:paraId="7BD42F3A"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1 065 000</w:t>
            </w:r>
          </w:p>
        </w:tc>
        <w:tc>
          <w:tcPr>
            <w:tcW w:w="647" w:type="dxa"/>
            <w:shd w:val="clear" w:color="auto" w:fill="C4EFCE"/>
            <w:noWrap/>
            <w:tcMar>
              <w:left w:w="28" w:type="dxa"/>
              <w:right w:w="28" w:type="dxa"/>
            </w:tcMar>
            <w:vAlign w:val="center"/>
            <w:hideMark/>
          </w:tcPr>
          <w:p w14:paraId="1624BC2F" w14:textId="18E9CE64" w:rsidR="00387C70" w:rsidRPr="003F23AC" w:rsidRDefault="00FF0A91"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87" w:type="dxa"/>
            <w:shd w:val="clear" w:color="auto" w:fill="C4EFCE"/>
            <w:noWrap/>
            <w:tcMar>
              <w:left w:w="28" w:type="dxa"/>
              <w:right w:w="28" w:type="dxa"/>
            </w:tcMar>
            <w:vAlign w:val="center"/>
            <w:hideMark/>
          </w:tcPr>
          <w:p w14:paraId="1A541125"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26228984" w14:textId="77777777" w:rsidR="00387C70" w:rsidRPr="003F23AC" w:rsidRDefault="00387C70" w:rsidP="003F23AC">
            <w:pPr>
              <w:spacing w:after="0" w:line="240" w:lineRule="auto"/>
              <w:jc w:val="both"/>
              <w:rPr>
                <w:rFonts w:ascii="Times New Roman" w:eastAsia="Times New Roman" w:hAnsi="Times New Roman" w:cs="Times New Roman"/>
                <w:noProof/>
                <w:sz w:val="16"/>
                <w:lang w:val="sk-SK"/>
              </w:rPr>
            </w:pPr>
          </w:p>
          <w:p w14:paraId="160254F6" w14:textId="7CC76D6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Oblasť obnovených budov ústredných orgánov štátnej správy. Obnovy zamerané na energetickú efektívnosť musia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dosiahnuť aspoň strednú hĺbkovú obnovu,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87C70" w:rsidRPr="003F23AC" w14:paraId="3AB1A080" w14:textId="77777777" w:rsidTr="008E475E">
        <w:trPr>
          <w:trHeight w:val="420"/>
        </w:trPr>
        <w:tc>
          <w:tcPr>
            <w:tcW w:w="1135" w:type="dxa"/>
            <w:shd w:val="clear" w:color="auto" w:fill="C4EFCE"/>
            <w:tcMar>
              <w:left w:w="28" w:type="dxa"/>
              <w:right w:w="28" w:type="dxa"/>
            </w:tcMar>
            <w:vAlign w:val="center"/>
            <w:hideMark/>
          </w:tcPr>
          <w:p w14:paraId="60E0C01F"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13.6</w:t>
            </w:r>
          </w:p>
        </w:tc>
        <w:tc>
          <w:tcPr>
            <w:tcW w:w="1276" w:type="dxa"/>
            <w:shd w:val="clear" w:color="auto" w:fill="C4EFCE"/>
            <w:noWrap/>
            <w:tcMar>
              <w:left w:w="28" w:type="dxa"/>
              <w:right w:w="28" w:type="dxa"/>
            </w:tcMar>
            <w:vAlign w:val="center"/>
            <w:hideMark/>
          </w:tcPr>
          <w:p w14:paraId="293744CC"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TC-C13-i02</w:t>
            </w:r>
          </w:p>
        </w:tc>
        <w:tc>
          <w:tcPr>
            <w:tcW w:w="1134" w:type="dxa"/>
            <w:shd w:val="clear" w:color="auto" w:fill="C4EFCE"/>
            <w:noWrap/>
            <w:tcMar>
              <w:left w:w="28" w:type="dxa"/>
              <w:right w:w="28" w:type="dxa"/>
            </w:tcMar>
            <w:vAlign w:val="center"/>
            <w:hideMark/>
          </w:tcPr>
          <w:p w14:paraId="4857104A" w14:textId="38777C7F" w:rsidR="00387C70" w:rsidRPr="003F23AC" w:rsidRDefault="00C32C63"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4F18B9FA"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Obnova budov ústredných orgánov štátnej správy zameraná na energetickú efektívnosť </w:t>
            </w:r>
          </w:p>
        </w:tc>
        <w:tc>
          <w:tcPr>
            <w:tcW w:w="1275" w:type="dxa"/>
            <w:shd w:val="clear" w:color="auto" w:fill="C4EFCE"/>
            <w:noWrap/>
            <w:tcMar>
              <w:left w:w="28" w:type="dxa"/>
              <w:right w:w="28" w:type="dxa"/>
            </w:tcMar>
            <w:vAlign w:val="center"/>
            <w:hideMark/>
          </w:tcPr>
          <w:p w14:paraId="02A39686"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58D238F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m²</w:t>
            </w:r>
          </w:p>
        </w:tc>
        <w:tc>
          <w:tcPr>
            <w:tcW w:w="850" w:type="dxa"/>
            <w:shd w:val="clear" w:color="auto" w:fill="C4EFCE"/>
            <w:noWrap/>
            <w:tcMar>
              <w:left w:w="28" w:type="dxa"/>
              <w:right w:w="28" w:type="dxa"/>
            </w:tcMar>
            <w:vAlign w:val="center"/>
            <w:hideMark/>
          </w:tcPr>
          <w:p w14:paraId="13E054F8" w14:textId="62C82D6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1 065 000</w:t>
            </w:r>
          </w:p>
        </w:tc>
        <w:tc>
          <w:tcPr>
            <w:tcW w:w="992" w:type="dxa"/>
            <w:shd w:val="clear" w:color="auto" w:fill="C4EFCE"/>
            <w:noWrap/>
            <w:tcMar>
              <w:left w:w="28" w:type="dxa"/>
              <w:right w:w="28" w:type="dxa"/>
            </w:tcMar>
            <w:vAlign w:val="center"/>
            <w:hideMark/>
          </w:tcPr>
          <w:p w14:paraId="20287487"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1 255 000</w:t>
            </w:r>
          </w:p>
        </w:tc>
        <w:tc>
          <w:tcPr>
            <w:tcW w:w="647" w:type="dxa"/>
            <w:shd w:val="clear" w:color="auto" w:fill="C4EFCE"/>
            <w:noWrap/>
            <w:tcMar>
              <w:left w:w="28" w:type="dxa"/>
              <w:right w:w="28" w:type="dxa"/>
            </w:tcMar>
            <w:vAlign w:val="center"/>
            <w:hideMark/>
          </w:tcPr>
          <w:p w14:paraId="4B0B2EFE" w14:textId="769CC49C" w:rsidR="00387C70" w:rsidRPr="003F23AC" w:rsidRDefault="00FF0A91"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87" w:type="dxa"/>
            <w:shd w:val="clear" w:color="auto" w:fill="C4EFCE"/>
            <w:noWrap/>
            <w:tcMar>
              <w:left w:w="28" w:type="dxa"/>
              <w:right w:w="28" w:type="dxa"/>
            </w:tcMar>
            <w:vAlign w:val="center"/>
            <w:hideMark/>
          </w:tcPr>
          <w:p w14:paraId="071698D9"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08F276C1" w14:textId="77777777" w:rsidR="00387C70" w:rsidRPr="003F23AC" w:rsidRDefault="00387C70" w:rsidP="003F23AC">
            <w:pPr>
              <w:spacing w:after="0" w:line="240" w:lineRule="auto"/>
              <w:jc w:val="both"/>
              <w:rPr>
                <w:rFonts w:ascii="Times New Roman" w:eastAsia="Times New Roman" w:hAnsi="Times New Roman" w:cs="Times New Roman"/>
                <w:noProof/>
                <w:sz w:val="16"/>
                <w:lang w:val="sk-SK"/>
              </w:rPr>
            </w:pPr>
          </w:p>
          <w:p w14:paraId="58C28D3F" w14:textId="5F7F1F9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Oblasť obnovených budov ústredných orgánov štátnej správy. Obnovy zamerané na energetickú efektívnosť musia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dosiahnuť aspoň strednú hĺbkovú obnovu,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87C70" w:rsidRPr="003F23AC" w14:paraId="6107EFB2" w14:textId="77777777" w:rsidTr="008E475E">
        <w:trPr>
          <w:trHeight w:val="1791"/>
        </w:trPr>
        <w:tc>
          <w:tcPr>
            <w:tcW w:w="1135" w:type="dxa"/>
            <w:shd w:val="clear" w:color="auto" w:fill="C4EFCE"/>
            <w:tcMar>
              <w:left w:w="28" w:type="dxa"/>
              <w:right w:w="28" w:type="dxa"/>
            </w:tcMar>
            <w:vAlign w:val="center"/>
            <w:hideMark/>
          </w:tcPr>
          <w:p w14:paraId="6E63D5C7"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13.7</w:t>
            </w:r>
          </w:p>
        </w:tc>
        <w:tc>
          <w:tcPr>
            <w:tcW w:w="1276" w:type="dxa"/>
            <w:shd w:val="clear" w:color="auto" w:fill="C4EFCE"/>
            <w:noWrap/>
            <w:tcMar>
              <w:left w:w="28" w:type="dxa"/>
              <w:right w:w="28" w:type="dxa"/>
            </w:tcMar>
            <w:vAlign w:val="center"/>
            <w:hideMark/>
          </w:tcPr>
          <w:p w14:paraId="070D1DC5"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TC-C13-i02</w:t>
            </w:r>
          </w:p>
        </w:tc>
        <w:tc>
          <w:tcPr>
            <w:tcW w:w="1134" w:type="dxa"/>
            <w:shd w:val="clear" w:color="auto" w:fill="C4EFCE"/>
            <w:noWrap/>
            <w:tcMar>
              <w:left w:w="28" w:type="dxa"/>
              <w:right w:w="28" w:type="dxa"/>
            </w:tcMar>
            <w:vAlign w:val="center"/>
            <w:hideMark/>
          </w:tcPr>
          <w:p w14:paraId="1D3BC664" w14:textId="3FDD14C3" w:rsidR="00387C70" w:rsidRPr="003F23AC" w:rsidRDefault="00C32C63"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1936AA2B" w14:textId="550916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Dodatočná kapacita výroby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 vlastnú spotrebu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využitie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komunitách vyrábajúcich energiu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budovách ústredných orgánov štátnej správy </w:t>
            </w:r>
          </w:p>
        </w:tc>
        <w:tc>
          <w:tcPr>
            <w:tcW w:w="1275" w:type="dxa"/>
            <w:shd w:val="clear" w:color="auto" w:fill="C4EFCE"/>
            <w:noWrap/>
            <w:tcMar>
              <w:left w:w="28" w:type="dxa"/>
              <w:right w:w="28" w:type="dxa"/>
            </w:tcMar>
            <w:vAlign w:val="center"/>
            <w:hideMark/>
          </w:tcPr>
          <w:p w14:paraId="612B042B"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4A4BC99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850" w:type="dxa"/>
            <w:shd w:val="clear" w:color="auto" w:fill="C4EFCE"/>
            <w:noWrap/>
            <w:tcMar>
              <w:left w:w="28" w:type="dxa"/>
              <w:right w:w="28" w:type="dxa"/>
            </w:tcMar>
            <w:vAlign w:val="center"/>
            <w:hideMark/>
          </w:tcPr>
          <w:p w14:paraId="5880F21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hideMark/>
          </w:tcPr>
          <w:p w14:paraId="65D3D5C3"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28</w:t>
            </w:r>
          </w:p>
        </w:tc>
        <w:tc>
          <w:tcPr>
            <w:tcW w:w="647" w:type="dxa"/>
            <w:shd w:val="clear" w:color="auto" w:fill="C4EFCE"/>
            <w:noWrap/>
            <w:tcMar>
              <w:left w:w="28" w:type="dxa"/>
              <w:right w:w="28" w:type="dxa"/>
            </w:tcMar>
            <w:vAlign w:val="center"/>
            <w:hideMark/>
          </w:tcPr>
          <w:p w14:paraId="0ABC7448" w14:textId="78D0B749" w:rsidR="00387C70" w:rsidRPr="003F23AC" w:rsidRDefault="00FF0A91"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87" w:type="dxa"/>
            <w:shd w:val="clear" w:color="auto" w:fill="C4EFCE"/>
            <w:noWrap/>
            <w:tcMar>
              <w:left w:w="28" w:type="dxa"/>
              <w:right w:w="28" w:type="dxa"/>
            </w:tcMar>
            <w:vAlign w:val="center"/>
            <w:hideMark/>
          </w:tcPr>
          <w:p w14:paraId="7AC5AAD8"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0C38259F" w14:textId="7F80281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Dodatočná kapacita na výrobu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(ako sú fotovoltické panely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batérie, keďže táto technológia je vyspelá) na vlastnú spotrebu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použitie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komunitách vyrábajúcich energiu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budovách ústredných orgánov štátnej správy. </w:t>
            </w:r>
          </w:p>
        </w:tc>
      </w:tr>
      <w:tr w:rsidR="00387C70" w:rsidRPr="003F23AC" w14:paraId="315A0896" w14:textId="77777777" w:rsidTr="008E475E">
        <w:trPr>
          <w:trHeight w:val="630"/>
        </w:trPr>
        <w:tc>
          <w:tcPr>
            <w:tcW w:w="1135" w:type="dxa"/>
            <w:shd w:val="clear" w:color="auto" w:fill="C4EFCE"/>
            <w:tcMar>
              <w:left w:w="28" w:type="dxa"/>
              <w:right w:w="28" w:type="dxa"/>
            </w:tcMar>
            <w:vAlign w:val="center"/>
            <w:hideMark/>
          </w:tcPr>
          <w:p w14:paraId="08835C9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13.8</w:t>
            </w:r>
          </w:p>
        </w:tc>
        <w:tc>
          <w:tcPr>
            <w:tcW w:w="1276" w:type="dxa"/>
            <w:shd w:val="clear" w:color="auto" w:fill="C4EFCE"/>
            <w:noWrap/>
            <w:tcMar>
              <w:left w:w="28" w:type="dxa"/>
              <w:right w:w="28" w:type="dxa"/>
            </w:tcMar>
            <w:vAlign w:val="center"/>
            <w:hideMark/>
          </w:tcPr>
          <w:p w14:paraId="3283563C"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TC-C13-i03</w:t>
            </w:r>
          </w:p>
        </w:tc>
        <w:tc>
          <w:tcPr>
            <w:tcW w:w="1134" w:type="dxa"/>
            <w:shd w:val="clear" w:color="auto" w:fill="C4EFCE"/>
            <w:noWrap/>
            <w:tcMar>
              <w:left w:w="28" w:type="dxa"/>
              <w:right w:w="28" w:type="dxa"/>
            </w:tcMar>
            <w:vAlign w:val="center"/>
            <w:hideMark/>
          </w:tcPr>
          <w:p w14:paraId="739005AC" w14:textId="006B8346" w:rsidR="00387C70" w:rsidRPr="003F23AC" w:rsidRDefault="00C32C63"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77369B6E"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Obnova budov súkromných služieb zameraná na energetickú efektívnosť</w:t>
            </w:r>
          </w:p>
        </w:tc>
        <w:tc>
          <w:tcPr>
            <w:tcW w:w="1275" w:type="dxa"/>
            <w:shd w:val="clear" w:color="auto" w:fill="C4EFCE"/>
            <w:noWrap/>
            <w:tcMar>
              <w:left w:w="28" w:type="dxa"/>
              <w:right w:w="28" w:type="dxa"/>
            </w:tcMar>
            <w:vAlign w:val="center"/>
            <w:hideMark/>
          </w:tcPr>
          <w:p w14:paraId="04F5C639"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63C2248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m²</w:t>
            </w:r>
          </w:p>
        </w:tc>
        <w:tc>
          <w:tcPr>
            <w:tcW w:w="850" w:type="dxa"/>
            <w:shd w:val="clear" w:color="auto" w:fill="C4EFCE"/>
            <w:noWrap/>
            <w:tcMar>
              <w:left w:w="28" w:type="dxa"/>
              <w:right w:w="28" w:type="dxa"/>
            </w:tcMar>
            <w:vAlign w:val="center"/>
            <w:hideMark/>
          </w:tcPr>
          <w:p w14:paraId="2A00A5F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hideMark/>
          </w:tcPr>
          <w:p w14:paraId="75EABFED"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315 000</w:t>
            </w:r>
          </w:p>
        </w:tc>
        <w:tc>
          <w:tcPr>
            <w:tcW w:w="647" w:type="dxa"/>
            <w:shd w:val="clear" w:color="auto" w:fill="C4EFCE"/>
            <w:noWrap/>
            <w:tcMar>
              <w:left w:w="28" w:type="dxa"/>
              <w:right w:w="28" w:type="dxa"/>
            </w:tcMar>
            <w:vAlign w:val="center"/>
            <w:hideMark/>
          </w:tcPr>
          <w:p w14:paraId="49D1DBD6" w14:textId="71F09E12" w:rsidR="00387C70" w:rsidRPr="003F23AC" w:rsidRDefault="00FF0A91"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87" w:type="dxa"/>
            <w:shd w:val="clear" w:color="auto" w:fill="C4EFCE"/>
            <w:noWrap/>
            <w:tcMar>
              <w:left w:w="28" w:type="dxa"/>
              <w:right w:w="28" w:type="dxa"/>
            </w:tcMar>
            <w:vAlign w:val="center"/>
            <w:hideMark/>
          </w:tcPr>
          <w:p w14:paraId="12EB7A96"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6ECA77CC" w14:textId="77777777" w:rsidR="00387C70" w:rsidRPr="003F23AC" w:rsidRDefault="00387C70" w:rsidP="003F23AC">
            <w:pPr>
              <w:spacing w:after="0" w:line="240" w:lineRule="auto"/>
              <w:jc w:val="both"/>
              <w:rPr>
                <w:rFonts w:ascii="Times New Roman" w:eastAsia="Times New Roman" w:hAnsi="Times New Roman" w:cs="Times New Roman"/>
                <w:noProof/>
                <w:sz w:val="16"/>
                <w:lang w:val="sk-SK"/>
              </w:rPr>
            </w:pPr>
          </w:p>
          <w:p w14:paraId="6862CCDC" w14:textId="520E9FE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Plocha obnovených budov využívaných súkromnými službami. Obnovami zameranými na energetickú efektívnosť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dosiahne aspoň stredná hĺbková obnova,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87C70" w:rsidRPr="003F23AC" w14:paraId="7CEEEEA3" w14:textId="77777777" w:rsidTr="008E475E">
        <w:trPr>
          <w:trHeight w:val="630"/>
        </w:trPr>
        <w:tc>
          <w:tcPr>
            <w:tcW w:w="1135" w:type="dxa"/>
            <w:shd w:val="clear" w:color="auto" w:fill="C4EFCE"/>
            <w:tcMar>
              <w:left w:w="28" w:type="dxa"/>
              <w:right w:w="28" w:type="dxa"/>
            </w:tcMar>
            <w:vAlign w:val="center"/>
            <w:hideMark/>
          </w:tcPr>
          <w:p w14:paraId="1558A3B7"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13.9</w:t>
            </w:r>
          </w:p>
        </w:tc>
        <w:tc>
          <w:tcPr>
            <w:tcW w:w="1276" w:type="dxa"/>
            <w:shd w:val="clear" w:color="auto" w:fill="C4EFCE"/>
            <w:noWrap/>
            <w:tcMar>
              <w:left w:w="28" w:type="dxa"/>
              <w:right w:w="28" w:type="dxa"/>
            </w:tcMar>
            <w:vAlign w:val="center"/>
            <w:hideMark/>
          </w:tcPr>
          <w:p w14:paraId="048D644C"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TC-C13-i03</w:t>
            </w:r>
          </w:p>
        </w:tc>
        <w:tc>
          <w:tcPr>
            <w:tcW w:w="1134" w:type="dxa"/>
            <w:shd w:val="clear" w:color="auto" w:fill="C4EFCE"/>
            <w:noWrap/>
            <w:tcMar>
              <w:left w:w="28" w:type="dxa"/>
              <w:right w:w="28" w:type="dxa"/>
            </w:tcMar>
            <w:vAlign w:val="center"/>
            <w:hideMark/>
          </w:tcPr>
          <w:p w14:paraId="3F4D6FA8" w14:textId="56A5EC64" w:rsidR="00387C70" w:rsidRPr="003F23AC" w:rsidRDefault="00C32C63"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18C154C7"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Obnova budov súkromných služieb zameraná na energetickú efektívnosť</w:t>
            </w:r>
          </w:p>
        </w:tc>
        <w:tc>
          <w:tcPr>
            <w:tcW w:w="1275" w:type="dxa"/>
            <w:shd w:val="clear" w:color="auto" w:fill="C4EFCE"/>
            <w:noWrap/>
            <w:tcMar>
              <w:left w:w="28" w:type="dxa"/>
              <w:right w:w="28" w:type="dxa"/>
            </w:tcMar>
            <w:vAlign w:val="center"/>
            <w:hideMark/>
          </w:tcPr>
          <w:p w14:paraId="4BDE1A7A"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22AA9F6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m²</w:t>
            </w:r>
          </w:p>
        </w:tc>
        <w:tc>
          <w:tcPr>
            <w:tcW w:w="850" w:type="dxa"/>
            <w:shd w:val="clear" w:color="auto" w:fill="C4EFCE"/>
            <w:noWrap/>
            <w:tcMar>
              <w:left w:w="28" w:type="dxa"/>
              <w:right w:w="28" w:type="dxa"/>
            </w:tcMar>
            <w:vAlign w:val="center"/>
            <w:hideMark/>
          </w:tcPr>
          <w:p w14:paraId="06B1E72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315 000</w:t>
            </w:r>
          </w:p>
        </w:tc>
        <w:tc>
          <w:tcPr>
            <w:tcW w:w="992" w:type="dxa"/>
            <w:shd w:val="clear" w:color="auto" w:fill="C4EFCE"/>
            <w:noWrap/>
            <w:tcMar>
              <w:left w:w="28" w:type="dxa"/>
              <w:right w:w="28" w:type="dxa"/>
            </w:tcMar>
            <w:vAlign w:val="center"/>
            <w:hideMark/>
          </w:tcPr>
          <w:p w14:paraId="71FE31A9"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360 000</w:t>
            </w:r>
          </w:p>
        </w:tc>
        <w:tc>
          <w:tcPr>
            <w:tcW w:w="647" w:type="dxa"/>
            <w:shd w:val="clear" w:color="auto" w:fill="C4EFCE"/>
            <w:noWrap/>
            <w:tcMar>
              <w:left w:w="28" w:type="dxa"/>
              <w:right w:w="28" w:type="dxa"/>
            </w:tcMar>
            <w:vAlign w:val="center"/>
            <w:hideMark/>
          </w:tcPr>
          <w:p w14:paraId="3FC426D1" w14:textId="7D4460A4" w:rsidR="00387C70" w:rsidRPr="003F23AC" w:rsidRDefault="00FF0A91"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87" w:type="dxa"/>
            <w:shd w:val="clear" w:color="auto" w:fill="C4EFCE"/>
            <w:noWrap/>
            <w:tcMar>
              <w:left w:w="28" w:type="dxa"/>
              <w:right w:w="28" w:type="dxa"/>
            </w:tcMar>
            <w:vAlign w:val="center"/>
            <w:hideMark/>
          </w:tcPr>
          <w:p w14:paraId="6311F4AB"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42E42EAB" w14:textId="77777777" w:rsidR="00387C70" w:rsidRPr="003F23AC" w:rsidRDefault="00387C70" w:rsidP="003F23AC">
            <w:pPr>
              <w:spacing w:after="0" w:line="240" w:lineRule="auto"/>
              <w:jc w:val="both"/>
              <w:rPr>
                <w:rFonts w:ascii="Times New Roman" w:eastAsia="Times New Roman" w:hAnsi="Times New Roman" w:cs="Times New Roman"/>
                <w:noProof/>
                <w:sz w:val="16"/>
                <w:lang w:val="sk-SK"/>
              </w:rPr>
            </w:pPr>
          </w:p>
          <w:p w14:paraId="46DF3B33" w14:textId="030BAB1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Oblasť obnovených budov využívaných súkromným sektorom služieb. Obnovami zameranými na energetickú efektívnosť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dosiahne aspoň stredná hĺbková obnova,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87C70" w:rsidRPr="003F23AC" w14:paraId="5F36D45E" w14:textId="77777777" w:rsidTr="008E475E">
        <w:trPr>
          <w:trHeight w:val="1995"/>
        </w:trPr>
        <w:tc>
          <w:tcPr>
            <w:tcW w:w="1135" w:type="dxa"/>
            <w:shd w:val="clear" w:color="auto" w:fill="C4EFCE"/>
            <w:tcMar>
              <w:left w:w="28" w:type="dxa"/>
              <w:right w:w="28" w:type="dxa"/>
            </w:tcMar>
            <w:vAlign w:val="center"/>
            <w:hideMark/>
          </w:tcPr>
          <w:p w14:paraId="4985012C"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13.10</w:t>
            </w:r>
          </w:p>
        </w:tc>
        <w:tc>
          <w:tcPr>
            <w:tcW w:w="1276" w:type="dxa"/>
            <w:shd w:val="clear" w:color="auto" w:fill="C4EFCE"/>
            <w:noWrap/>
            <w:tcMar>
              <w:left w:w="28" w:type="dxa"/>
              <w:right w:w="28" w:type="dxa"/>
            </w:tcMar>
            <w:vAlign w:val="center"/>
            <w:hideMark/>
          </w:tcPr>
          <w:p w14:paraId="0E8ACC47"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TC-C13-i03</w:t>
            </w:r>
          </w:p>
        </w:tc>
        <w:tc>
          <w:tcPr>
            <w:tcW w:w="1134" w:type="dxa"/>
            <w:shd w:val="clear" w:color="auto" w:fill="C4EFCE"/>
            <w:noWrap/>
            <w:tcMar>
              <w:left w:w="28" w:type="dxa"/>
              <w:right w:w="28" w:type="dxa"/>
            </w:tcMar>
            <w:vAlign w:val="center"/>
            <w:hideMark/>
          </w:tcPr>
          <w:p w14:paraId="7DCB8AB8" w14:textId="32A6FF96" w:rsidR="00387C70" w:rsidRPr="003F23AC" w:rsidRDefault="00C32C63"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0495A743" w14:textId="65BE20F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Dodatočná kapacita výroby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 vlastnú spotrebu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využitie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komunitách vyrábajúcich energiu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sektore súkromných služieb </w:t>
            </w:r>
          </w:p>
        </w:tc>
        <w:tc>
          <w:tcPr>
            <w:tcW w:w="1275" w:type="dxa"/>
            <w:shd w:val="clear" w:color="auto" w:fill="C4EFCE"/>
            <w:noWrap/>
            <w:tcMar>
              <w:left w:w="28" w:type="dxa"/>
              <w:right w:w="28" w:type="dxa"/>
            </w:tcMar>
            <w:vAlign w:val="center"/>
            <w:hideMark/>
          </w:tcPr>
          <w:p w14:paraId="7C3E76E6"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0364534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850" w:type="dxa"/>
            <w:shd w:val="clear" w:color="auto" w:fill="C4EFCE"/>
            <w:noWrap/>
            <w:tcMar>
              <w:left w:w="28" w:type="dxa"/>
              <w:right w:w="28" w:type="dxa"/>
            </w:tcMar>
            <w:vAlign w:val="center"/>
            <w:hideMark/>
          </w:tcPr>
          <w:p w14:paraId="3ADBE991"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hideMark/>
          </w:tcPr>
          <w:p w14:paraId="219C358C"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30</w:t>
            </w:r>
          </w:p>
        </w:tc>
        <w:tc>
          <w:tcPr>
            <w:tcW w:w="647" w:type="dxa"/>
            <w:shd w:val="clear" w:color="auto" w:fill="C4EFCE"/>
            <w:noWrap/>
            <w:tcMar>
              <w:left w:w="28" w:type="dxa"/>
              <w:right w:w="28" w:type="dxa"/>
            </w:tcMar>
            <w:vAlign w:val="center"/>
            <w:hideMark/>
          </w:tcPr>
          <w:p w14:paraId="00BEF57C" w14:textId="7DF6B6A5" w:rsidR="00387C70" w:rsidRPr="003F23AC" w:rsidRDefault="00FF0A91"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87" w:type="dxa"/>
            <w:shd w:val="clear" w:color="auto" w:fill="C4EFCE"/>
            <w:noWrap/>
            <w:tcMar>
              <w:left w:w="28" w:type="dxa"/>
              <w:right w:w="28" w:type="dxa"/>
            </w:tcMar>
            <w:vAlign w:val="center"/>
            <w:hideMark/>
          </w:tcPr>
          <w:p w14:paraId="38DC3D4F"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7428E06E" w14:textId="374082A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Dodatočná kapacita na výrobu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(ako sú fotovoltické panely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batérie, keďže táto technológia je vyspelá) na vlastnú spotrebu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použitie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komunitách vyrábajúcich energiu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sektore súkromných služieb.</w:t>
            </w:r>
          </w:p>
        </w:tc>
      </w:tr>
    </w:tbl>
    <w:p w14:paraId="557E1674"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61304717"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2EA2F20F"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sectPr w:rsidR="00387C70" w:rsidRPr="003F23AC" w:rsidSect="00E00EDD">
          <w:headerReference w:type="even" r:id="rId264"/>
          <w:headerReference w:type="default" r:id="rId265"/>
          <w:footerReference w:type="even" r:id="rId266"/>
          <w:footerReference w:type="default" r:id="rId267"/>
          <w:headerReference w:type="first" r:id="rId268"/>
          <w:footerReference w:type="first" r:id="rId269"/>
          <w:pgSz w:w="16839" w:h="11907" w:orient="landscape"/>
          <w:pgMar w:top="1134" w:right="1134" w:bottom="1134" w:left="1134" w:header="567" w:footer="567" w:gutter="0"/>
          <w:cols w:space="720"/>
          <w:docGrid w:linePitch="360"/>
        </w:sectPr>
      </w:pPr>
    </w:p>
    <w:p w14:paraId="3C2CFB1F" w14:textId="3934288B"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N</w:t>
      </w:r>
      <w:r w:rsidR="00C32C63" w:rsidRPr="003F23AC">
        <w:rPr>
          <w:rFonts w:cs="Times New Roman"/>
          <w:noProof/>
          <w:lang w:val="sk-SK"/>
        </w:rPr>
        <w:t>. KOMPONENT</w:t>
      </w:r>
      <w:r w:rsidRPr="003F23AC">
        <w:rPr>
          <w:rFonts w:cs="Times New Roman"/>
          <w:noProof/>
          <w:lang w:val="sk-SK"/>
        </w:rPr>
        <w:t xml:space="preserve"> 14: Vodík</w:t>
      </w:r>
      <w:r w:rsidR="00A75B3C" w:rsidRPr="003F23AC">
        <w:rPr>
          <w:rFonts w:cs="Times New Roman"/>
          <w:noProof/>
          <w:lang w:val="sk-SK"/>
        </w:rPr>
        <w:t xml:space="preserve"> a </w:t>
      </w:r>
      <w:r w:rsidRPr="003F23AC">
        <w:rPr>
          <w:rFonts w:cs="Times New Roman"/>
          <w:noProof/>
          <w:lang w:val="sk-SK"/>
        </w:rPr>
        <w:t>obnoviteľné zdroje energie</w:t>
      </w:r>
    </w:p>
    <w:p w14:paraId="24AAADA7" w14:textId="1BC6BAE4"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Portugalsko sa zaviazalo dosiahnuť uhlíkovú neutralitu do roku 2050, pričom krajinu zaradilo medzi tých, ktorí podľa Parížskej dohody prevzali vedúcu úlohu</w:t>
      </w:r>
      <w:r w:rsidR="00A75B3C" w:rsidRPr="003F23AC">
        <w:rPr>
          <w:rFonts w:cs="Times New Roman"/>
          <w:noProof/>
          <w:lang w:val="sk-SK"/>
        </w:rPr>
        <w:t xml:space="preserve"> v </w:t>
      </w:r>
      <w:r w:rsidRPr="003F23AC">
        <w:rPr>
          <w:rFonts w:cs="Times New Roman"/>
          <w:noProof/>
          <w:lang w:val="sk-SK"/>
        </w:rPr>
        <w:t>boji proti zmene klímy.</w:t>
      </w:r>
      <w:r w:rsidR="00A75B3C" w:rsidRPr="003F23AC">
        <w:rPr>
          <w:rFonts w:cs="Times New Roman"/>
          <w:noProof/>
          <w:lang w:val="sk-SK"/>
        </w:rPr>
        <w:t xml:space="preserve"> V </w:t>
      </w:r>
      <w:r w:rsidRPr="003F23AC">
        <w:rPr>
          <w:rFonts w:cs="Times New Roman"/>
          <w:noProof/>
          <w:lang w:val="sk-SK"/>
        </w:rPr>
        <w:t>Pláne uhlíkovej neutrality do roku 2050 (RNC 2050) sa ako ciele dekarbonizácie stanovuje zníženie emisií</w:t>
      </w:r>
      <w:r w:rsidR="00A75B3C" w:rsidRPr="003F23AC">
        <w:rPr>
          <w:rFonts w:cs="Times New Roman"/>
          <w:noProof/>
          <w:lang w:val="sk-SK"/>
        </w:rPr>
        <w:t xml:space="preserve"> o </w:t>
      </w:r>
      <w:r w:rsidRPr="003F23AC">
        <w:rPr>
          <w:rFonts w:cs="Times New Roman"/>
          <w:noProof/>
          <w:lang w:val="sk-SK"/>
        </w:rPr>
        <w:t>viac ako 85</w:t>
      </w:r>
      <w:r w:rsidR="00A75B3C" w:rsidRPr="003F23AC">
        <w:rPr>
          <w:rFonts w:cs="Times New Roman"/>
          <w:noProof/>
          <w:lang w:val="sk-SK"/>
        </w:rPr>
        <w:t> % v </w:t>
      </w:r>
      <w:r w:rsidRPr="003F23AC">
        <w:rPr>
          <w:rFonts w:cs="Times New Roman"/>
          <w:noProof/>
          <w:lang w:val="sk-SK"/>
        </w:rPr>
        <w:t>porovnaní</w:t>
      </w:r>
      <w:r w:rsidR="00A75B3C" w:rsidRPr="003F23AC">
        <w:rPr>
          <w:rFonts w:cs="Times New Roman"/>
          <w:noProof/>
          <w:lang w:val="sk-SK"/>
        </w:rPr>
        <w:t xml:space="preserve"> s </w:t>
      </w:r>
      <w:r w:rsidRPr="003F23AC">
        <w:rPr>
          <w:rFonts w:cs="Times New Roman"/>
          <w:noProof/>
          <w:lang w:val="sk-SK"/>
        </w:rPr>
        <w:t>emisiami</w:t>
      </w:r>
      <w:r w:rsidR="00A75B3C" w:rsidRPr="003F23AC">
        <w:rPr>
          <w:rFonts w:cs="Times New Roman"/>
          <w:noProof/>
          <w:lang w:val="sk-SK"/>
        </w:rPr>
        <w:t xml:space="preserve"> z </w:t>
      </w:r>
      <w:r w:rsidRPr="003F23AC">
        <w:rPr>
          <w:rFonts w:cs="Times New Roman"/>
          <w:noProof/>
          <w:lang w:val="sk-SK"/>
        </w:rPr>
        <w:t>roku 2005</w:t>
      </w:r>
      <w:r w:rsidR="00A75B3C" w:rsidRPr="003F23AC">
        <w:rPr>
          <w:rFonts w:cs="Times New Roman"/>
          <w:noProof/>
          <w:lang w:val="sk-SK"/>
        </w:rPr>
        <w:t xml:space="preserve"> a </w:t>
      </w:r>
      <w:r w:rsidRPr="003F23AC">
        <w:rPr>
          <w:rFonts w:cs="Times New Roman"/>
          <w:noProof/>
          <w:lang w:val="sk-SK"/>
        </w:rPr>
        <w:t>kapacita sekvestrácie uhlíka 13000000 ton. Táto zložka sa zameriava na tzv. ťažko zmenšiteľné odvetvia tým, že podporuje zavádzanie vodíka</w:t>
      </w:r>
      <w:r w:rsidR="00A75B3C" w:rsidRPr="003F23AC">
        <w:rPr>
          <w:rFonts w:cs="Times New Roman"/>
          <w:noProof/>
          <w:lang w:val="sk-SK"/>
        </w:rPr>
        <w:t xml:space="preserve"> z </w:t>
      </w:r>
      <w:r w:rsidRPr="003F23AC">
        <w:rPr>
          <w:rFonts w:cs="Times New Roman"/>
          <w:noProof/>
          <w:lang w:val="sk-SK"/>
        </w:rPr>
        <w:t>obnoviteľných zdrojov.</w:t>
      </w:r>
    </w:p>
    <w:p w14:paraId="42D4ADE5" w14:textId="06BA0D1E"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komponentu je podporovať energetickú transformáciu</w:t>
      </w:r>
      <w:r w:rsidR="00A75B3C" w:rsidRPr="003F23AC">
        <w:rPr>
          <w:rFonts w:cs="Times New Roman"/>
          <w:noProof/>
          <w:lang w:val="sk-SK"/>
        </w:rPr>
        <w:t xml:space="preserve"> a </w:t>
      </w:r>
      <w:r w:rsidRPr="003F23AC">
        <w:rPr>
          <w:rFonts w:cs="Times New Roman"/>
          <w:noProof/>
          <w:lang w:val="sk-SK"/>
        </w:rPr>
        <w:t>dekarbonizáciu priemyslu</w:t>
      </w:r>
      <w:r w:rsidR="00A75B3C" w:rsidRPr="003F23AC">
        <w:rPr>
          <w:rFonts w:cs="Times New Roman"/>
          <w:noProof/>
          <w:lang w:val="sk-SK"/>
        </w:rPr>
        <w:t xml:space="preserve"> a </w:t>
      </w:r>
      <w:r w:rsidRPr="003F23AC">
        <w:rPr>
          <w:rFonts w:cs="Times New Roman"/>
          <w:noProof/>
          <w:lang w:val="sk-SK"/>
        </w:rPr>
        <w:t>dopravy so silným zameraním na výrobu vodíka</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a </w:t>
      </w:r>
      <w:r w:rsidRPr="003F23AC">
        <w:rPr>
          <w:rFonts w:cs="Times New Roman"/>
          <w:noProof/>
          <w:lang w:val="sk-SK"/>
        </w:rPr>
        <w:t>iných obnoviteľných plynov.</w:t>
      </w:r>
      <w:r w:rsidR="00A75B3C" w:rsidRPr="003F23AC">
        <w:rPr>
          <w:rFonts w:cs="Times New Roman"/>
          <w:noProof/>
          <w:lang w:val="sk-SK"/>
        </w:rPr>
        <w:t xml:space="preserve"> V </w:t>
      </w:r>
      <w:r w:rsidRPr="003F23AC">
        <w:rPr>
          <w:rFonts w:cs="Times New Roman"/>
          <w:noProof/>
          <w:lang w:val="sk-SK"/>
        </w:rPr>
        <w:t>prípade autonómnych regiónov sa dôraz kladie na zavádzanie energie</w:t>
      </w:r>
      <w:r w:rsidR="00A75B3C" w:rsidRPr="003F23AC">
        <w:rPr>
          <w:rFonts w:cs="Times New Roman"/>
          <w:noProof/>
          <w:lang w:val="sk-SK"/>
        </w:rPr>
        <w:t xml:space="preserve"> z </w:t>
      </w:r>
      <w:r w:rsidRPr="003F23AC">
        <w:rPr>
          <w:rFonts w:cs="Times New Roman"/>
          <w:noProof/>
          <w:lang w:val="sk-SK"/>
        </w:rPr>
        <w:t>obnoviteľných zdrojov (geotermálna, veterná, fotovoltická</w:t>
      </w:r>
      <w:r w:rsidR="00A75B3C" w:rsidRPr="003F23AC">
        <w:rPr>
          <w:rFonts w:cs="Times New Roman"/>
          <w:noProof/>
          <w:lang w:val="sk-SK"/>
        </w:rPr>
        <w:t xml:space="preserve"> a </w:t>
      </w:r>
      <w:r w:rsidRPr="003F23AC">
        <w:rPr>
          <w:rFonts w:cs="Times New Roman"/>
          <w:noProof/>
          <w:lang w:val="sk-SK"/>
        </w:rPr>
        <w:t>vodná energia)</w:t>
      </w:r>
      <w:r w:rsidR="00A75B3C" w:rsidRPr="003F23AC">
        <w:rPr>
          <w:rFonts w:cs="Times New Roman"/>
          <w:noProof/>
          <w:lang w:val="sk-SK"/>
        </w:rPr>
        <w:t xml:space="preserve"> a </w:t>
      </w:r>
      <w:r w:rsidRPr="003F23AC">
        <w:rPr>
          <w:rFonts w:cs="Times New Roman"/>
          <w:noProof/>
          <w:lang w:val="sk-SK"/>
        </w:rPr>
        <w:t>skladovanie. Táto zložka je kľúčom</w:t>
      </w:r>
      <w:r w:rsidR="00A75B3C" w:rsidRPr="003F23AC">
        <w:rPr>
          <w:rFonts w:cs="Times New Roman"/>
          <w:noProof/>
          <w:lang w:val="sk-SK"/>
        </w:rPr>
        <w:t xml:space="preserve"> k </w:t>
      </w:r>
      <w:r w:rsidRPr="003F23AC">
        <w:rPr>
          <w:rFonts w:cs="Times New Roman"/>
          <w:noProof/>
          <w:lang w:val="sk-SK"/>
        </w:rPr>
        <w:t>zníženiu vnútroštátnej energetickej závislosti prostredníctvom výroby energie</w:t>
      </w:r>
      <w:r w:rsidR="00A75B3C" w:rsidRPr="003F23AC">
        <w:rPr>
          <w:rFonts w:cs="Times New Roman"/>
          <w:noProof/>
          <w:lang w:val="sk-SK"/>
        </w:rPr>
        <w:t xml:space="preserve"> z </w:t>
      </w:r>
      <w:r w:rsidRPr="003F23AC">
        <w:rPr>
          <w:rFonts w:cs="Times New Roman"/>
          <w:noProof/>
          <w:lang w:val="sk-SK"/>
        </w:rPr>
        <w:t>miestnych zdrojov,</w:t>
      </w:r>
      <w:r w:rsidR="00A75B3C" w:rsidRPr="003F23AC">
        <w:rPr>
          <w:rFonts w:cs="Times New Roman"/>
          <w:noProof/>
          <w:lang w:val="sk-SK"/>
        </w:rPr>
        <w:t xml:space="preserve"> k </w:t>
      </w:r>
      <w:r w:rsidRPr="003F23AC">
        <w:rPr>
          <w:rFonts w:cs="Times New Roman"/>
          <w:noProof/>
          <w:lang w:val="sk-SK"/>
        </w:rPr>
        <w:t>zlepšeniu obchodnej bilancie</w:t>
      </w:r>
      <w:r w:rsidR="00A75B3C" w:rsidRPr="003F23AC">
        <w:rPr>
          <w:rFonts w:cs="Times New Roman"/>
          <w:noProof/>
          <w:lang w:val="sk-SK"/>
        </w:rPr>
        <w:t xml:space="preserve"> a </w:t>
      </w:r>
      <w:r w:rsidRPr="003F23AC">
        <w:rPr>
          <w:rFonts w:cs="Times New Roman"/>
          <w:noProof/>
          <w:lang w:val="sk-SK"/>
        </w:rPr>
        <w:t>posilneniu odolnosti domáceho hospodárstva.</w:t>
      </w:r>
    </w:p>
    <w:p w14:paraId="741FF5F1" w14:textId="533481E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zložka podporuje plnenie odporúčania pre jednotlivé krajiny zamerať investície na klimatickú transformáciu so zameraním na výrobu energie</w:t>
      </w:r>
      <w:r w:rsidR="00A75B3C" w:rsidRPr="003F23AC">
        <w:rPr>
          <w:rFonts w:cs="Times New Roman"/>
          <w:noProof/>
          <w:lang w:val="sk-SK"/>
        </w:rPr>
        <w:t xml:space="preserve"> z </w:t>
      </w:r>
      <w:r w:rsidRPr="003F23AC">
        <w:rPr>
          <w:rFonts w:cs="Times New Roman"/>
          <w:noProof/>
          <w:lang w:val="sk-SK"/>
        </w:rPr>
        <w:t>obnoviteľných zdrojov (odporúčanie pre jednotlivé krajiny 3 2019</w:t>
      </w:r>
      <w:r w:rsidR="00A75B3C" w:rsidRPr="003F23AC">
        <w:rPr>
          <w:rFonts w:cs="Times New Roman"/>
          <w:noProof/>
          <w:lang w:val="sk-SK"/>
        </w:rPr>
        <w:t xml:space="preserve"> a </w:t>
      </w:r>
      <w:r w:rsidRPr="003F23AC">
        <w:rPr>
          <w:rFonts w:cs="Times New Roman"/>
          <w:noProof/>
          <w:lang w:val="sk-SK"/>
        </w:rPr>
        <w:t>2020).</w:t>
      </w:r>
    </w:p>
    <w:p w14:paraId="4703B4A1" w14:textId="5D070DF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r w:rsidR="00A75B3C" w:rsidRPr="003F23AC">
        <w:rPr>
          <w:rFonts w:cs="Times New Roman"/>
          <w:noProof/>
          <w:lang w:val="sk-SK"/>
        </w:rPr>
        <w:t>.</w:t>
      </w:r>
    </w:p>
    <w:p w14:paraId="5433DBDC" w14:textId="59EA5A43"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N.1.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64866960"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Reforma TC-r29: Národná vodíková stratégia (EN-H2)</w:t>
      </w:r>
    </w:p>
    <w:p w14:paraId="13857BA4" w14:textId="053266B3"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opatrenia je zaviesť stimulačný</w:t>
      </w:r>
      <w:r w:rsidR="00A75B3C" w:rsidRPr="003F23AC">
        <w:rPr>
          <w:rFonts w:cs="Times New Roman"/>
          <w:noProof/>
          <w:lang w:val="sk-SK"/>
        </w:rPr>
        <w:t xml:space="preserve"> a </w:t>
      </w:r>
      <w:r w:rsidRPr="003F23AC">
        <w:rPr>
          <w:rFonts w:cs="Times New Roman"/>
          <w:noProof/>
          <w:lang w:val="sk-SK"/>
        </w:rPr>
        <w:t>stabilizačný prvok pre odvetvie energetiky</w:t>
      </w:r>
      <w:r w:rsidR="00A75B3C" w:rsidRPr="003F23AC">
        <w:rPr>
          <w:rFonts w:cs="Times New Roman"/>
          <w:noProof/>
          <w:lang w:val="sk-SK"/>
        </w:rPr>
        <w:t xml:space="preserve"> a </w:t>
      </w:r>
      <w:r w:rsidRPr="003F23AC">
        <w:rPr>
          <w:rFonts w:cs="Times New Roman"/>
          <w:noProof/>
          <w:lang w:val="sk-SK"/>
        </w:rPr>
        <w:t>podporiť postupné zavádzanie vodíka</w:t>
      </w:r>
      <w:r w:rsidR="00A75B3C" w:rsidRPr="003F23AC">
        <w:rPr>
          <w:rFonts w:cs="Times New Roman"/>
          <w:noProof/>
          <w:lang w:val="sk-SK"/>
        </w:rPr>
        <w:t xml:space="preserve"> z </w:t>
      </w:r>
      <w:r w:rsidRPr="003F23AC">
        <w:rPr>
          <w:rFonts w:cs="Times New Roman"/>
          <w:noProof/>
          <w:lang w:val="sk-SK"/>
        </w:rPr>
        <w:t>obnoviteľných zdrojov ako udržateľného piliera komplexnejšej stratégie prechodu na dekarbonizované hospodárstvo. Táto stratégia vymedzuje súčasnú</w:t>
      </w:r>
      <w:r w:rsidR="00A75B3C" w:rsidRPr="003F23AC">
        <w:rPr>
          <w:rFonts w:cs="Times New Roman"/>
          <w:noProof/>
          <w:lang w:val="sk-SK"/>
        </w:rPr>
        <w:t xml:space="preserve"> a </w:t>
      </w:r>
      <w:r w:rsidRPr="003F23AC">
        <w:rPr>
          <w:rFonts w:cs="Times New Roman"/>
          <w:noProof/>
          <w:lang w:val="sk-SK"/>
        </w:rPr>
        <w:t>budúcu úlohu vodíka</w:t>
      </w:r>
      <w:r w:rsidR="00A75B3C" w:rsidRPr="003F23AC">
        <w:rPr>
          <w:rFonts w:cs="Times New Roman"/>
          <w:noProof/>
          <w:lang w:val="sk-SK"/>
        </w:rPr>
        <w:t xml:space="preserve"> v </w:t>
      </w:r>
      <w:r w:rsidRPr="003F23AC">
        <w:rPr>
          <w:rFonts w:cs="Times New Roman"/>
          <w:noProof/>
          <w:lang w:val="sk-SK"/>
        </w:rPr>
        <w:t>energetickom systéme</w:t>
      </w:r>
      <w:r w:rsidR="00A75B3C" w:rsidRPr="003F23AC">
        <w:rPr>
          <w:rFonts w:cs="Times New Roman"/>
          <w:noProof/>
          <w:lang w:val="sk-SK"/>
        </w:rPr>
        <w:t xml:space="preserve"> a </w:t>
      </w:r>
      <w:r w:rsidRPr="003F23AC">
        <w:rPr>
          <w:rFonts w:cs="Times New Roman"/>
          <w:noProof/>
          <w:lang w:val="sk-SK"/>
        </w:rPr>
        <w:t>navrhuje súbor opatrení</w:t>
      </w:r>
      <w:r w:rsidR="00A75B3C" w:rsidRPr="003F23AC">
        <w:rPr>
          <w:rFonts w:cs="Times New Roman"/>
          <w:noProof/>
          <w:lang w:val="sk-SK"/>
        </w:rPr>
        <w:t xml:space="preserve"> a </w:t>
      </w:r>
      <w:r w:rsidRPr="003F23AC">
        <w:rPr>
          <w:rFonts w:cs="Times New Roman"/>
          <w:noProof/>
          <w:lang w:val="sk-SK"/>
        </w:rPr>
        <w:t>cieľov na začlenenie vodíka do rôznych odvetví hospodárstva. To zahŕňa aj vytvorenie potrebných podmienok pre tento posun, okrem iného vrátane právnych predpisov</w:t>
      </w:r>
      <w:r w:rsidR="00A75B3C" w:rsidRPr="003F23AC">
        <w:rPr>
          <w:rFonts w:cs="Times New Roman"/>
          <w:noProof/>
          <w:lang w:val="sk-SK"/>
        </w:rPr>
        <w:t xml:space="preserve"> a </w:t>
      </w:r>
      <w:r w:rsidRPr="003F23AC">
        <w:rPr>
          <w:rFonts w:cs="Times New Roman"/>
          <w:noProof/>
          <w:lang w:val="sk-SK"/>
        </w:rPr>
        <w:t>regulácie, bezpečnosti, noriem, inovácií</w:t>
      </w:r>
      <w:r w:rsidR="00A75B3C" w:rsidRPr="003F23AC">
        <w:rPr>
          <w:rFonts w:cs="Times New Roman"/>
          <w:noProof/>
          <w:lang w:val="sk-SK"/>
        </w:rPr>
        <w:t xml:space="preserve"> a </w:t>
      </w:r>
      <w:r w:rsidRPr="003F23AC">
        <w:rPr>
          <w:rFonts w:cs="Times New Roman"/>
          <w:noProof/>
          <w:lang w:val="sk-SK"/>
        </w:rPr>
        <w:t>rozvoja</w:t>
      </w:r>
      <w:r w:rsidR="00A75B3C" w:rsidRPr="003F23AC">
        <w:rPr>
          <w:rFonts w:cs="Times New Roman"/>
          <w:noProof/>
          <w:lang w:val="sk-SK"/>
        </w:rPr>
        <w:t xml:space="preserve"> a </w:t>
      </w:r>
      <w:r w:rsidRPr="003F23AC">
        <w:rPr>
          <w:rFonts w:cs="Times New Roman"/>
          <w:noProof/>
          <w:lang w:val="sk-SK"/>
        </w:rPr>
        <w:t>financovania. Opatrenie sa týka zmeneného</w:t>
      </w:r>
      <w:r w:rsidR="00A75B3C" w:rsidRPr="003F23AC">
        <w:rPr>
          <w:rFonts w:cs="Times New Roman"/>
          <w:noProof/>
          <w:lang w:val="sk-SK"/>
        </w:rPr>
        <w:t xml:space="preserve"> a </w:t>
      </w:r>
      <w:r w:rsidRPr="003F23AC">
        <w:rPr>
          <w:rFonts w:cs="Times New Roman"/>
          <w:noProof/>
          <w:lang w:val="sk-SK"/>
        </w:rPr>
        <w:t>doplneného nariadenia</w:t>
      </w:r>
      <w:r w:rsidR="00A75B3C" w:rsidRPr="003F23AC">
        <w:rPr>
          <w:rFonts w:cs="Times New Roman"/>
          <w:noProof/>
          <w:lang w:val="sk-SK"/>
        </w:rPr>
        <w:t xml:space="preserve"> o </w:t>
      </w:r>
      <w:r w:rsidRPr="003F23AC">
        <w:rPr>
          <w:rFonts w:cs="Times New Roman"/>
          <w:noProof/>
          <w:lang w:val="sk-SK"/>
        </w:rPr>
        <w:t>národnej prepravnej sieti plynu</w:t>
      </w:r>
      <w:r w:rsidR="00A75B3C" w:rsidRPr="003F23AC">
        <w:rPr>
          <w:rFonts w:cs="Times New Roman"/>
          <w:noProof/>
          <w:lang w:val="sk-SK"/>
        </w:rPr>
        <w:t xml:space="preserve"> a </w:t>
      </w:r>
      <w:r w:rsidRPr="003F23AC">
        <w:rPr>
          <w:rFonts w:cs="Times New Roman"/>
          <w:noProof/>
          <w:lang w:val="sk-SK"/>
        </w:rPr>
        <w:t>regulácie národnej distribučnej siete plynu, ktoré má schváliť Generálne riaditeľstvo pre energetiku</w:t>
      </w:r>
      <w:r w:rsidR="00A75B3C" w:rsidRPr="003F23AC">
        <w:rPr>
          <w:rFonts w:cs="Times New Roman"/>
          <w:noProof/>
          <w:lang w:val="sk-SK"/>
        </w:rPr>
        <w:t xml:space="preserve"> a </w:t>
      </w:r>
      <w:r w:rsidRPr="003F23AC">
        <w:rPr>
          <w:rFonts w:cs="Times New Roman"/>
          <w:noProof/>
          <w:lang w:val="sk-SK"/>
        </w:rPr>
        <w:t>geológiu. Zmenené nariadenie umožní stanoviť podmienky pre pripojenie</w:t>
      </w:r>
      <w:r w:rsidR="00A75B3C" w:rsidRPr="003F23AC">
        <w:rPr>
          <w:rFonts w:cs="Times New Roman"/>
          <w:noProof/>
          <w:lang w:val="sk-SK"/>
        </w:rPr>
        <w:t xml:space="preserve"> k </w:t>
      </w:r>
      <w:r w:rsidRPr="003F23AC">
        <w:rPr>
          <w:rFonts w:cs="Times New Roman"/>
          <w:noProof/>
          <w:lang w:val="sk-SK"/>
        </w:rPr>
        <w:t>infraštruktúre na prepravu plynu, najmä pre vtláčanie plynov obnoviteľného pôvodu vrátane vodíka</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a </w:t>
      </w:r>
      <w:r w:rsidRPr="003F23AC">
        <w:rPr>
          <w:rFonts w:cs="Times New Roman"/>
          <w:noProof/>
          <w:lang w:val="sk-SK"/>
        </w:rPr>
        <w:t>plynov</w:t>
      </w:r>
      <w:r w:rsidR="00A75B3C" w:rsidRPr="003F23AC">
        <w:rPr>
          <w:rFonts w:cs="Times New Roman"/>
          <w:noProof/>
          <w:lang w:val="sk-SK"/>
        </w:rPr>
        <w:t xml:space="preserve"> s </w:t>
      </w:r>
      <w:r w:rsidRPr="003F23AC">
        <w:rPr>
          <w:rFonts w:cs="Times New Roman"/>
          <w:noProof/>
          <w:lang w:val="sk-SK"/>
        </w:rPr>
        <w:t>nízkym obsahom uhlíka, ako aj stanoviť minimálne</w:t>
      </w:r>
      <w:r w:rsidR="00A75B3C" w:rsidRPr="003F23AC">
        <w:rPr>
          <w:rFonts w:cs="Times New Roman"/>
          <w:noProof/>
          <w:lang w:val="sk-SK"/>
        </w:rPr>
        <w:t xml:space="preserve"> a </w:t>
      </w:r>
      <w:r w:rsidRPr="003F23AC">
        <w:rPr>
          <w:rFonts w:cs="Times New Roman"/>
          <w:noProof/>
          <w:lang w:val="sk-SK"/>
        </w:rPr>
        <w:t>maximálne percentuálne podiely vstrekovania týchto plynov do sietí. Zmenené</w:t>
      </w:r>
      <w:r w:rsidR="00A75B3C" w:rsidRPr="003F23AC">
        <w:rPr>
          <w:rFonts w:cs="Times New Roman"/>
          <w:noProof/>
          <w:lang w:val="sk-SK"/>
        </w:rPr>
        <w:t xml:space="preserve"> a </w:t>
      </w:r>
      <w:r w:rsidRPr="003F23AC">
        <w:rPr>
          <w:rFonts w:cs="Times New Roman"/>
          <w:noProof/>
          <w:lang w:val="sk-SK"/>
        </w:rPr>
        <w:t>doplnené nariadenie okrem toho zahŕňa potrebné revízie technických noriem, ktorými sa zabezpečí kvalita služby</w:t>
      </w:r>
      <w:r w:rsidR="00A75B3C" w:rsidRPr="003F23AC">
        <w:rPr>
          <w:rFonts w:cs="Times New Roman"/>
          <w:noProof/>
          <w:lang w:val="sk-SK"/>
        </w:rPr>
        <w:t xml:space="preserve"> a </w:t>
      </w:r>
      <w:r w:rsidRPr="003F23AC">
        <w:rPr>
          <w:rFonts w:cs="Times New Roman"/>
          <w:noProof/>
          <w:lang w:val="sk-SK"/>
        </w:rPr>
        <w:t>bezpečné používanie týchto infraštruktúr pre všetkých používateľov.</w:t>
      </w:r>
    </w:p>
    <w:p w14:paraId="02E50E69" w14:textId="41D88B81"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reformy sa dokončí do 30</w:t>
      </w:r>
      <w:r w:rsidR="00A75B3C" w:rsidRPr="003F23AC">
        <w:rPr>
          <w:rFonts w:cs="Times New Roman"/>
          <w:noProof/>
          <w:lang w:val="sk-SK"/>
        </w:rPr>
        <w:t>. septembra</w:t>
      </w:r>
      <w:r w:rsidRPr="003F23AC">
        <w:rPr>
          <w:rFonts w:cs="Times New Roman"/>
          <w:noProof/>
          <w:lang w:val="sk-SK"/>
        </w:rPr>
        <w:t xml:space="preserve"> 2021.</w:t>
      </w:r>
    </w:p>
    <w:p w14:paraId="28667EBB" w14:textId="380C83E2"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TC-C14-i01: Vodík</w:t>
      </w:r>
      <w:r w:rsidR="00A75B3C" w:rsidRPr="003F23AC">
        <w:rPr>
          <w:rFonts w:cs="Times New Roman"/>
          <w:noProof/>
          <w:lang w:val="sk-SK"/>
        </w:rPr>
        <w:t xml:space="preserve"> a </w:t>
      </w:r>
      <w:r w:rsidRPr="003F23AC">
        <w:rPr>
          <w:rFonts w:cs="Times New Roman"/>
          <w:noProof/>
          <w:lang w:val="sk-SK"/>
        </w:rPr>
        <w:t>obnoviteľné plyny</w:t>
      </w:r>
    </w:p>
    <w:p w14:paraId="7F188255" w14:textId="6622421E"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opatrenia je podporiť súkromné projekty na výrobu vodíka</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a </w:t>
      </w:r>
      <w:r w:rsidRPr="003F23AC">
        <w:rPr>
          <w:rFonts w:cs="Times New Roman"/>
          <w:noProof/>
          <w:lang w:val="sk-SK"/>
        </w:rPr>
        <w:t>iných plynov obnoviteľného pôvodu na vlastnú spotrebu alebo vtláčanie do siete.</w:t>
      </w:r>
    </w:p>
    <w:p w14:paraId="3E0912D8" w14:textId="73E73C5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opatrení na podporu výroby, skladovania, prepravy</w:t>
      </w:r>
      <w:r w:rsidR="00A75B3C" w:rsidRPr="003F23AC">
        <w:rPr>
          <w:rFonts w:cs="Times New Roman"/>
          <w:noProof/>
          <w:lang w:val="sk-SK"/>
        </w:rPr>
        <w:t xml:space="preserve"> a </w:t>
      </w:r>
      <w:r w:rsidRPr="003F23AC">
        <w:rPr>
          <w:rFonts w:cs="Times New Roman"/>
          <w:noProof/>
          <w:lang w:val="sk-SK"/>
        </w:rPr>
        <w:t>distribúcie obnoviteľných plynov, ktorých cieľom je zvýšiť príspevok obnoviteľných plynov</w:t>
      </w:r>
      <w:r w:rsidR="00A75B3C" w:rsidRPr="003F23AC">
        <w:rPr>
          <w:rFonts w:cs="Times New Roman"/>
          <w:noProof/>
          <w:lang w:val="sk-SK"/>
        </w:rPr>
        <w:t xml:space="preserve"> k </w:t>
      </w:r>
      <w:r w:rsidRPr="003F23AC">
        <w:rPr>
          <w:rFonts w:cs="Times New Roman"/>
          <w:noProof/>
          <w:lang w:val="sk-SK"/>
        </w:rPr>
        <w:t>spotrebe energie, znížiť emisie skleníkových plynov, znížiť energetickú závislosť</w:t>
      </w:r>
      <w:r w:rsidR="00A75B3C" w:rsidRPr="003F23AC">
        <w:rPr>
          <w:rFonts w:cs="Times New Roman"/>
          <w:noProof/>
          <w:lang w:val="sk-SK"/>
        </w:rPr>
        <w:t xml:space="preserve"> a </w:t>
      </w:r>
      <w:r w:rsidRPr="003F23AC">
        <w:rPr>
          <w:rFonts w:cs="Times New Roman"/>
          <w:noProof/>
          <w:lang w:val="sk-SK"/>
        </w:rPr>
        <w:t>zlepšiť bezpečnosť dodávok energie. Podporujú sa rôzne aplikácie, ako je využívanie obnoviteľných plynov na prepravu</w:t>
      </w:r>
      <w:r w:rsidR="00A75B3C" w:rsidRPr="003F23AC">
        <w:rPr>
          <w:rFonts w:cs="Times New Roman"/>
          <w:noProof/>
          <w:lang w:val="sk-SK"/>
        </w:rPr>
        <w:t xml:space="preserve"> a </w:t>
      </w:r>
      <w:r w:rsidRPr="003F23AC">
        <w:rPr>
          <w:rFonts w:cs="Times New Roman"/>
          <w:noProof/>
          <w:lang w:val="sk-SK"/>
        </w:rPr>
        <w:t>vtláčanie obnoviteľných plynov do siete zemného plynu</w:t>
      </w:r>
      <w:r w:rsidR="00A75B3C" w:rsidRPr="003F23AC">
        <w:rPr>
          <w:rFonts w:cs="Times New Roman"/>
          <w:noProof/>
          <w:lang w:val="sk-SK"/>
        </w:rPr>
        <w:t>.</w:t>
      </w:r>
    </w:p>
    <w:p w14:paraId="22A4B55A" w14:textId="59B60BA9"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Výroba obnoviteľných plynov, ako je obnoviteľný vodík alebo biometán, výlučne</w:t>
      </w:r>
      <w:r w:rsidR="00A75B3C" w:rsidRPr="003F23AC">
        <w:rPr>
          <w:rFonts w:cs="Times New Roman"/>
          <w:noProof/>
          <w:lang w:val="sk-SK"/>
        </w:rPr>
        <w:t xml:space="preserve"> z </w:t>
      </w:r>
      <w:r w:rsidRPr="003F23AC">
        <w:rPr>
          <w:rFonts w:cs="Times New Roman"/>
          <w:noProof/>
          <w:lang w:val="sk-SK"/>
        </w:rPr>
        <w:t>obnoviteľných zdrojov energie, môže využívať celý rad technológií, ako sú: Elektrolýza; Termochemické</w:t>
      </w:r>
      <w:r w:rsidR="00A75B3C" w:rsidRPr="003F23AC">
        <w:rPr>
          <w:rFonts w:cs="Times New Roman"/>
          <w:noProof/>
          <w:lang w:val="sk-SK"/>
        </w:rPr>
        <w:t xml:space="preserve"> a </w:t>
      </w:r>
      <w:r w:rsidRPr="003F23AC">
        <w:rPr>
          <w:rFonts w:cs="Times New Roman"/>
          <w:noProof/>
          <w:lang w:val="sk-SK"/>
        </w:rPr>
        <w:t>hydrotermálne procesy; Biologické procesy (biofotolýza</w:t>
      </w:r>
      <w:r w:rsidR="00A75B3C" w:rsidRPr="003F23AC">
        <w:rPr>
          <w:rFonts w:cs="Times New Roman"/>
          <w:noProof/>
          <w:lang w:val="sk-SK"/>
        </w:rPr>
        <w:t xml:space="preserve"> a </w:t>
      </w:r>
      <w:r w:rsidRPr="003F23AC">
        <w:rPr>
          <w:rFonts w:cs="Times New Roman"/>
          <w:noProof/>
          <w:lang w:val="sk-SK"/>
        </w:rPr>
        <w:t>fermentácia); Obohacovanie bioplynu</w:t>
      </w:r>
      <w:r w:rsidR="00A75B3C" w:rsidRPr="003F23AC">
        <w:rPr>
          <w:rFonts w:cs="Times New Roman"/>
          <w:noProof/>
          <w:lang w:val="sk-SK"/>
        </w:rPr>
        <w:t xml:space="preserve"> z </w:t>
      </w:r>
      <w:r w:rsidRPr="003F23AC">
        <w:rPr>
          <w:rFonts w:cs="Times New Roman"/>
          <w:noProof/>
          <w:lang w:val="sk-SK"/>
        </w:rPr>
        <w:t>anaeróbnej digescie materiálov</w:t>
      </w:r>
      <w:r w:rsidR="00A75B3C" w:rsidRPr="003F23AC">
        <w:rPr>
          <w:rFonts w:cs="Times New Roman"/>
          <w:noProof/>
          <w:lang w:val="sk-SK"/>
        </w:rPr>
        <w:t xml:space="preserve"> z </w:t>
      </w:r>
      <w:r w:rsidRPr="003F23AC">
        <w:rPr>
          <w:rFonts w:cs="Times New Roman"/>
          <w:noProof/>
          <w:lang w:val="sk-SK"/>
        </w:rPr>
        <w:t>biomasy (okrem výroby bioplynu);</w:t>
      </w:r>
      <w:r w:rsidR="00A75B3C" w:rsidRPr="003F23AC">
        <w:rPr>
          <w:rFonts w:cs="Times New Roman"/>
          <w:noProof/>
          <w:lang w:val="sk-SK"/>
        </w:rPr>
        <w:t xml:space="preserve"> a </w:t>
      </w:r>
      <w:r w:rsidRPr="003F23AC">
        <w:rPr>
          <w:rFonts w:cs="Times New Roman"/>
          <w:noProof/>
          <w:lang w:val="sk-SK"/>
        </w:rPr>
        <w:t>metanáciu (obnoviteľný vodík</w:t>
      </w:r>
      <w:r w:rsidR="00A75B3C" w:rsidRPr="003F23AC">
        <w:rPr>
          <w:rFonts w:cs="Times New Roman"/>
          <w:noProof/>
          <w:lang w:val="sk-SK"/>
        </w:rPr>
        <w:t xml:space="preserve"> v </w:t>
      </w:r>
      <w:r w:rsidRPr="003F23AC">
        <w:rPr>
          <w:rFonts w:cs="Times New Roman"/>
          <w:noProof/>
          <w:lang w:val="sk-SK"/>
        </w:rPr>
        <w:t>kombinácii</w:t>
      </w:r>
      <w:r w:rsidR="00A75B3C" w:rsidRPr="003F23AC">
        <w:rPr>
          <w:rFonts w:cs="Times New Roman"/>
          <w:noProof/>
          <w:lang w:val="sk-SK"/>
        </w:rPr>
        <w:t xml:space="preserve"> s </w:t>
      </w:r>
      <w:r w:rsidRPr="003F23AC">
        <w:rPr>
          <w:rFonts w:cs="Times New Roman"/>
          <w:noProof/>
          <w:lang w:val="sk-SK"/>
        </w:rPr>
        <w:t>recyklovaným oxidom uhličitým).</w:t>
      </w:r>
    </w:p>
    <w:p w14:paraId="23CDF4FF" w14:textId="3E41607D"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Investície musia mať veľmi osobitné zameranie</w:t>
      </w:r>
      <w:r w:rsidR="00A75B3C" w:rsidRPr="003F23AC">
        <w:rPr>
          <w:rFonts w:cs="Times New Roman"/>
          <w:noProof/>
          <w:lang w:val="sk-SK"/>
        </w:rPr>
        <w:t xml:space="preserve"> a </w:t>
      </w:r>
      <w:r w:rsidRPr="003F23AC">
        <w:rPr>
          <w:rFonts w:cs="Times New Roman"/>
          <w:noProof/>
          <w:lang w:val="sk-SK"/>
        </w:rPr>
        <w:t>zamerať sa na zvýšenie inštalovanej kapacity na výrobu vodíka</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a </w:t>
      </w:r>
      <w:r w:rsidRPr="003F23AC">
        <w:rPr>
          <w:rFonts w:cs="Times New Roman"/>
          <w:noProof/>
          <w:lang w:val="sk-SK"/>
        </w:rPr>
        <w:t>iných obnoviteľných plynov vrátane inštalovaného výkonu</w:t>
      </w:r>
      <w:r w:rsidR="00A75B3C" w:rsidRPr="003F23AC">
        <w:rPr>
          <w:rFonts w:cs="Times New Roman"/>
          <w:noProof/>
          <w:lang w:val="sk-SK"/>
        </w:rPr>
        <w:t xml:space="preserve"> v </w:t>
      </w:r>
      <w:r w:rsidRPr="003F23AC">
        <w:rPr>
          <w:rFonts w:cs="Times New Roman"/>
          <w:noProof/>
          <w:lang w:val="sk-SK"/>
        </w:rPr>
        <w:t>elektrolyzéroch na výrobu vodíka</w:t>
      </w:r>
      <w:r w:rsidR="00A75B3C" w:rsidRPr="003F23AC">
        <w:rPr>
          <w:rFonts w:cs="Times New Roman"/>
          <w:noProof/>
          <w:lang w:val="sk-SK"/>
        </w:rPr>
        <w:t xml:space="preserve"> z </w:t>
      </w:r>
      <w:r w:rsidRPr="003F23AC">
        <w:rPr>
          <w:rFonts w:cs="Times New Roman"/>
          <w:noProof/>
          <w:lang w:val="sk-SK"/>
        </w:rPr>
        <w:t>obnoviteľných zdrojov. Projekt sa realizuje prostredníctvom otvorených</w:t>
      </w:r>
      <w:r w:rsidR="00A75B3C" w:rsidRPr="003F23AC">
        <w:rPr>
          <w:rFonts w:cs="Times New Roman"/>
          <w:noProof/>
          <w:lang w:val="sk-SK"/>
        </w:rPr>
        <w:t xml:space="preserve"> a </w:t>
      </w:r>
      <w:r w:rsidRPr="003F23AC">
        <w:rPr>
          <w:rFonts w:cs="Times New Roman"/>
          <w:noProof/>
          <w:lang w:val="sk-SK"/>
        </w:rPr>
        <w:t>nediskriminačných výziev na predkladanie ponúk</w:t>
      </w:r>
      <w:r w:rsidR="00A75B3C" w:rsidRPr="003F23AC">
        <w:rPr>
          <w:rFonts w:cs="Times New Roman"/>
          <w:noProof/>
          <w:lang w:val="sk-SK"/>
        </w:rPr>
        <w:t xml:space="preserve"> s </w:t>
      </w:r>
      <w:r w:rsidRPr="003F23AC">
        <w:rPr>
          <w:rFonts w:cs="Times New Roman"/>
          <w:noProof/>
          <w:lang w:val="sk-SK"/>
        </w:rPr>
        <w:t>cieľom podporiť projekty</w:t>
      </w:r>
      <w:r w:rsidR="00A75B3C" w:rsidRPr="003F23AC">
        <w:rPr>
          <w:rFonts w:cs="Times New Roman"/>
          <w:noProof/>
          <w:lang w:val="sk-SK"/>
        </w:rPr>
        <w:t xml:space="preserve"> v </w:t>
      </w:r>
      <w:r w:rsidRPr="003F23AC">
        <w:rPr>
          <w:rFonts w:cs="Times New Roman"/>
          <w:noProof/>
          <w:lang w:val="sk-SK"/>
        </w:rPr>
        <w:t>maximálnej výške 15 000 000 EUR na jeden projekt.</w:t>
      </w:r>
    </w:p>
    <w:p w14:paraId="2F3C9010" w14:textId="518ABB33"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marca</w:t>
      </w:r>
      <w:r w:rsidRPr="003F23AC">
        <w:rPr>
          <w:rFonts w:cs="Times New Roman"/>
          <w:noProof/>
          <w:lang w:val="sk-SK"/>
        </w:rPr>
        <w:t xml:space="preserve"> 2026.</w:t>
      </w:r>
    </w:p>
    <w:p w14:paraId="416F7CD8" w14:textId="38D45129"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TC-C14 – i02-RAM: Potenciácia elektrickej energie</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v </w:t>
      </w:r>
      <w:r w:rsidRPr="003F23AC">
        <w:rPr>
          <w:rFonts w:cs="Times New Roman"/>
          <w:noProof/>
          <w:lang w:val="sk-SK"/>
        </w:rPr>
        <w:t>súostroví Madeira</w:t>
      </w:r>
    </w:p>
    <w:p w14:paraId="05702BB0" w14:textId="679D138B"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opatrenia je podporovať výrobu, skladovanie, prenos</w:t>
      </w:r>
      <w:r w:rsidR="00A75B3C" w:rsidRPr="003F23AC">
        <w:rPr>
          <w:rFonts w:cs="Times New Roman"/>
          <w:noProof/>
          <w:lang w:val="sk-SK"/>
        </w:rPr>
        <w:t xml:space="preserve"> a </w:t>
      </w:r>
      <w:r w:rsidRPr="003F23AC">
        <w:rPr>
          <w:rFonts w:cs="Times New Roman"/>
          <w:noProof/>
          <w:lang w:val="sk-SK"/>
        </w:rPr>
        <w:t>distribúciu energie</w:t>
      </w:r>
      <w:r w:rsidR="00A75B3C" w:rsidRPr="003F23AC">
        <w:rPr>
          <w:rFonts w:cs="Times New Roman"/>
          <w:noProof/>
          <w:lang w:val="sk-SK"/>
        </w:rPr>
        <w:t xml:space="preserve"> z </w:t>
      </w:r>
      <w:r w:rsidRPr="003F23AC">
        <w:rPr>
          <w:rFonts w:cs="Times New Roman"/>
          <w:noProof/>
          <w:lang w:val="sk-SK"/>
        </w:rPr>
        <w:t>obnoviteľných zdrojov. Projekty zahrnuté do tejto investície umožnia zvýšiť podiel elektrickej energie</w:t>
      </w:r>
      <w:r w:rsidR="00A75B3C" w:rsidRPr="003F23AC">
        <w:rPr>
          <w:rFonts w:cs="Times New Roman"/>
          <w:noProof/>
          <w:lang w:val="sk-SK"/>
        </w:rPr>
        <w:t xml:space="preserve"> z </w:t>
      </w:r>
      <w:r w:rsidRPr="003F23AC">
        <w:rPr>
          <w:rFonts w:cs="Times New Roman"/>
          <w:noProof/>
          <w:lang w:val="sk-SK"/>
        </w:rPr>
        <w:t>obnoviteľných zdrojov, ktorá bude</w:t>
      </w:r>
      <w:r w:rsidR="00A75B3C" w:rsidRPr="003F23AC">
        <w:rPr>
          <w:rFonts w:cs="Times New Roman"/>
          <w:noProof/>
          <w:lang w:val="sk-SK"/>
        </w:rPr>
        <w:t xml:space="preserve"> k </w:t>
      </w:r>
      <w:r w:rsidRPr="003F23AC">
        <w:rPr>
          <w:rFonts w:cs="Times New Roman"/>
          <w:noProof/>
          <w:lang w:val="sk-SK"/>
        </w:rPr>
        <w:t>dispozícii na každom ostrove. Tieto investície prispievajú</w:t>
      </w:r>
      <w:r w:rsidR="00A75B3C" w:rsidRPr="003F23AC">
        <w:rPr>
          <w:rFonts w:cs="Times New Roman"/>
          <w:noProof/>
          <w:lang w:val="sk-SK"/>
        </w:rPr>
        <w:t xml:space="preserve"> k </w:t>
      </w:r>
      <w:r w:rsidRPr="003F23AC">
        <w:rPr>
          <w:rFonts w:cs="Times New Roman"/>
          <w:noProof/>
          <w:lang w:val="sk-SK"/>
        </w:rPr>
        <w:t>stratégii dekarbonizácie výroby elektrickej energie, čím sa zvyšuje odolnosť domáceho hospodárstva</w:t>
      </w:r>
      <w:r w:rsidR="00A75B3C" w:rsidRPr="003F23AC">
        <w:rPr>
          <w:rFonts w:cs="Times New Roman"/>
          <w:noProof/>
          <w:lang w:val="sk-SK"/>
        </w:rPr>
        <w:t>.</w:t>
      </w:r>
    </w:p>
    <w:p w14:paraId="66346470" w14:textId="0B543725"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týchto čiastkových investícií</w:t>
      </w:r>
      <w:r w:rsidR="00A75B3C" w:rsidRPr="003F23AC">
        <w:rPr>
          <w:rFonts w:cs="Times New Roman"/>
          <w:noProof/>
          <w:lang w:val="sk-SK"/>
        </w:rPr>
        <w:t>:</w:t>
      </w:r>
    </w:p>
    <w:p w14:paraId="4467DF1E" w14:textId="5F04EA28" w:rsidR="00387C70" w:rsidRPr="003F23AC" w:rsidRDefault="000F5AA4" w:rsidP="003F23AC">
      <w:pPr>
        <w:pStyle w:val="P68B1DB1-Normal4"/>
        <w:numPr>
          <w:ilvl w:val="0"/>
          <w:numId w:val="31"/>
        </w:numPr>
        <w:spacing w:before="40" w:after="160" w:line="259" w:lineRule="auto"/>
        <w:contextualSpacing/>
        <w:jc w:val="both"/>
        <w:rPr>
          <w:rFonts w:eastAsiaTheme="minorEastAsia" w:cs="Times New Roman"/>
          <w:noProof/>
          <w:lang w:val="sk-SK"/>
        </w:rPr>
      </w:pPr>
      <w:r w:rsidRPr="003F23AC">
        <w:rPr>
          <w:rFonts w:cs="Times New Roman"/>
          <w:noProof/>
          <w:lang w:val="sk-SK"/>
        </w:rPr>
        <w:t>Úplná renovácia</w:t>
      </w:r>
      <w:r w:rsidR="00A75B3C" w:rsidRPr="003F23AC">
        <w:rPr>
          <w:rFonts w:cs="Times New Roman"/>
          <w:noProof/>
          <w:lang w:val="sk-SK"/>
        </w:rPr>
        <w:t xml:space="preserve"> a </w:t>
      </w:r>
      <w:r w:rsidRPr="003F23AC">
        <w:rPr>
          <w:rFonts w:cs="Times New Roman"/>
          <w:noProof/>
          <w:lang w:val="sk-SK"/>
        </w:rPr>
        <w:t>obnova vodnej elektrárne Serra</w:t>
      </w:r>
      <w:r w:rsidR="00A75B3C" w:rsidRPr="003F23AC">
        <w:rPr>
          <w:rFonts w:cs="Times New Roman"/>
          <w:noProof/>
          <w:lang w:val="sk-SK"/>
        </w:rPr>
        <w:t xml:space="preserve"> a </w:t>
      </w:r>
      <w:r w:rsidRPr="003F23AC">
        <w:rPr>
          <w:rFonts w:cs="Times New Roman"/>
          <w:noProof/>
          <w:lang w:val="sk-SK"/>
        </w:rPr>
        <w:t>vodnej elektrárne Calheta I, ktorá revitalizuje inštalovaný výkon</w:t>
      </w:r>
      <w:r w:rsidR="00A75B3C" w:rsidRPr="003F23AC">
        <w:rPr>
          <w:rFonts w:cs="Times New Roman"/>
          <w:noProof/>
          <w:lang w:val="sk-SK"/>
        </w:rPr>
        <w:t xml:space="preserve"> a </w:t>
      </w:r>
      <w:r w:rsidRPr="003F23AC">
        <w:rPr>
          <w:rFonts w:cs="Times New Roman"/>
          <w:noProof/>
          <w:lang w:val="sk-SK"/>
        </w:rPr>
        <w:t>zvýši inštalovaný výkon pridaním 4 MW;</w:t>
      </w:r>
    </w:p>
    <w:p w14:paraId="5FE75D29" w14:textId="3D08A3EC" w:rsidR="00387C70" w:rsidRPr="003F23AC" w:rsidRDefault="000F5AA4" w:rsidP="003F23AC">
      <w:pPr>
        <w:pStyle w:val="P68B1DB1-Normal4"/>
        <w:numPr>
          <w:ilvl w:val="0"/>
          <w:numId w:val="31"/>
        </w:numPr>
        <w:spacing w:before="40" w:after="160" w:line="259" w:lineRule="auto"/>
        <w:contextualSpacing/>
        <w:jc w:val="both"/>
        <w:rPr>
          <w:rFonts w:eastAsiaTheme="minorEastAsia" w:cs="Times New Roman"/>
          <w:noProof/>
          <w:lang w:val="sk-SK"/>
        </w:rPr>
      </w:pPr>
      <w:r w:rsidRPr="003F23AC">
        <w:rPr>
          <w:rFonts w:cs="Times New Roman"/>
          <w:noProof/>
          <w:lang w:val="sk-SK"/>
        </w:rPr>
        <w:t>Zvýšiť inštalovanú kapacitu</w:t>
      </w:r>
      <w:r w:rsidR="00A75B3C" w:rsidRPr="003F23AC">
        <w:rPr>
          <w:rFonts w:cs="Times New Roman"/>
          <w:noProof/>
          <w:lang w:val="sk-SK"/>
        </w:rPr>
        <w:t xml:space="preserve"> v </w:t>
      </w:r>
      <w:r w:rsidRPr="003F23AC">
        <w:rPr>
          <w:rFonts w:cs="Times New Roman"/>
          <w:noProof/>
          <w:lang w:val="sk-SK"/>
        </w:rPr>
        <w:t>batériových systémoch na uskladňovanie energie pridaním uskladňovacej kapacity najmenej 21 MW/27 MWh;</w:t>
      </w:r>
    </w:p>
    <w:p w14:paraId="49EDD0E0" w14:textId="546337B5" w:rsidR="00387C70" w:rsidRPr="003F23AC" w:rsidRDefault="000F5AA4" w:rsidP="003F23AC">
      <w:pPr>
        <w:pStyle w:val="P68B1DB1-Normal4"/>
        <w:numPr>
          <w:ilvl w:val="0"/>
          <w:numId w:val="31"/>
        </w:numPr>
        <w:spacing w:before="40" w:after="160" w:line="259" w:lineRule="auto"/>
        <w:contextualSpacing/>
        <w:jc w:val="both"/>
        <w:rPr>
          <w:rFonts w:eastAsiaTheme="minorEastAsia" w:cs="Times New Roman"/>
          <w:noProof/>
          <w:lang w:val="sk-SK"/>
        </w:rPr>
      </w:pPr>
      <w:r w:rsidRPr="003F23AC">
        <w:rPr>
          <w:rFonts w:cs="Times New Roman"/>
          <w:noProof/>
          <w:lang w:val="sk-SK"/>
        </w:rPr>
        <w:t>Inštalovať nový synchrónny kompenzátor</w:t>
      </w:r>
      <w:r w:rsidR="00A75B3C" w:rsidRPr="003F23AC">
        <w:rPr>
          <w:rFonts w:cs="Times New Roman"/>
          <w:noProof/>
          <w:lang w:val="sk-SK"/>
        </w:rPr>
        <w:t xml:space="preserve"> s </w:t>
      </w:r>
      <w:r w:rsidRPr="003F23AC">
        <w:rPr>
          <w:rFonts w:cs="Times New Roman"/>
          <w:noProof/>
          <w:lang w:val="sk-SK"/>
        </w:rPr>
        <w:t>výkonom najmenej 15 MVAr;</w:t>
      </w:r>
    </w:p>
    <w:p w14:paraId="4372F931" w14:textId="0B18644A" w:rsidR="00387C70" w:rsidRPr="003F23AC" w:rsidRDefault="000F5AA4" w:rsidP="003F23AC">
      <w:pPr>
        <w:pStyle w:val="P68B1DB1-Normal4"/>
        <w:numPr>
          <w:ilvl w:val="0"/>
          <w:numId w:val="31"/>
        </w:numPr>
        <w:spacing w:before="40" w:after="160" w:line="259" w:lineRule="auto"/>
        <w:contextualSpacing/>
        <w:jc w:val="both"/>
        <w:rPr>
          <w:rFonts w:eastAsiaTheme="minorEastAsia" w:cs="Times New Roman"/>
          <w:noProof/>
          <w:lang w:val="sk-SK"/>
        </w:rPr>
      </w:pPr>
      <w:r w:rsidRPr="003F23AC">
        <w:rPr>
          <w:rFonts w:cs="Times New Roman"/>
          <w:noProof/>
          <w:lang w:val="sk-SK"/>
        </w:rPr>
        <w:t>Zvýšiť kapacitu elektrizačnej sústavy</w:t>
      </w:r>
      <w:r w:rsidR="00A75B3C" w:rsidRPr="003F23AC">
        <w:rPr>
          <w:rFonts w:cs="Times New Roman"/>
          <w:noProof/>
          <w:lang w:val="sk-SK"/>
        </w:rPr>
        <w:t xml:space="preserve"> s </w:t>
      </w:r>
      <w:r w:rsidRPr="003F23AC">
        <w:rPr>
          <w:rFonts w:cs="Times New Roman"/>
          <w:noProof/>
          <w:lang w:val="sk-SK"/>
        </w:rPr>
        <w:t>cieľom integrovať nový inštalovaný výkon najmenej 48 MW do obnoviteľných zdrojov energie</w:t>
      </w:r>
      <w:r w:rsidR="00A75B3C" w:rsidRPr="003F23AC">
        <w:rPr>
          <w:rFonts w:cs="Times New Roman"/>
          <w:noProof/>
          <w:lang w:val="sk-SK"/>
        </w:rPr>
        <w:t xml:space="preserve"> v </w:t>
      </w:r>
      <w:r w:rsidRPr="003F23AC">
        <w:rPr>
          <w:rFonts w:cs="Times New Roman"/>
          <w:noProof/>
          <w:lang w:val="sk-SK"/>
        </w:rPr>
        <w:t>elektrizačných sústavách (40 MW Madeira + 8 MW Porto Santo);</w:t>
      </w:r>
    </w:p>
    <w:p w14:paraId="2CCEA225" w14:textId="0F115B25" w:rsidR="00387C70" w:rsidRPr="003F23AC" w:rsidRDefault="000F5AA4" w:rsidP="003F23AC">
      <w:pPr>
        <w:pStyle w:val="P68B1DB1-Normal4"/>
        <w:numPr>
          <w:ilvl w:val="0"/>
          <w:numId w:val="31"/>
        </w:numPr>
        <w:spacing w:before="40" w:after="160" w:line="259" w:lineRule="auto"/>
        <w:contextualSpacing/>
        <w:jc w:val="both"/>
        <w:rPr>
          <w:rFonts w:eastAsiaTheme="minorEastAsia" w:cs="Times New Roman"/>
          <w:noProof/>
          <w:lang w:val="sk-SK"/>
        </w:rPr>
      </w:pPr>
      <w:r w:rsidRPr="003F23AC">
        <w:rPr>
          <w:rFonts w:cs="Times New Roman"/>
          <w:noProof/>
          <w:lang w:val="sk-SK"/>
        </w:rPr>
        <w:t>Inštalácia 130000 pripojených inteligentných meračov</w:t>
      </w:r>
      <w:r w:rsidR="00A75B3C" w:rsidRPr="003F23AC">
        <w:rPr>
          <w:rFonts w:cs="Times New Roman"/>
          <w:noProof/>
          <w:lang w:val="sk-SK"/>
        </w:rPr>
        <w:t xml:space="preserve"> a </w:t>
      </w:r>
      <w:r w:rsidRPr="003F23AC">
        <w:rPr>
          <w:rFonts w:cs="Times New Roman"/>
          <w:noProof/>
          <w:lang w:val="sk-SK"/>
        </w:rPr>
        <w:t>výmena 8750 pouličných osvetľovacích miest riešeniami</w:t>
      </w:r>
      <w:r w:rsidR="00A75B3C" w:rsidRPr="003F23AC">
        <w:rPr>
          <w:rFonts w:cs="Times New Roman"/>
          <w:noProof/>
          <w:lang w:val="sk-SK"/>
        </w:rPr>
        <w:t xml:space="preserve"> s </w:t>
      </w:r>
      <w:r w:rsidRPr="003F23AC">
        <w:rPr>
          <w:rFonts w:cs="Times New Roman"/>
          <w:noProof/>
          <w:lang w:val="sk-SK"/>
        </w:rPr>
        <w:t>nízkou spotrebou energie (vrátane modernizácie riadenia pouličného osvetlenia).</w:t>
      </w:r>
    </w:p>
    <w:p w14:paraId="0E2F3B03" w14:textId="72E24908"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44F7A633"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TC-C14 – i03-RAA: Energetická transformácia na Azorských ostrovoch</w:t>
      </w:r>
    </w:p>
    <w:p w14:paraId="6BAFD0A3" w14:textId="678B20F6"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opatrenia je vytvoriť najmodernejšiu elektrickú infraštruktúru</w:t>
      </w:r>
      <w:r w:rsidR="00A75B3C" w:rsidRPr="003F23AC">
        <w:rPr>
          <w:rFonts w:cs="Times New Roman"/>
          <w:noProof/>
          <w:lang w:val="sk-SK"/>
        </w:rPr>
        <w:t xml:space="preserve"> a </w:t>
      </w:r>
      <w:r w:rsidRPr="003F23AC">
        <w:rPr>
          <w:rFonts w:cs="Times New Roman"/>
          <w:noProof/>
          <w:lang w:val="sk-SK"/>
        </w:rPr>
        <w:t>realizovať projekty</w:t>
      </w:r>
      <w:r w:rsidR="00A75B3C" w:rsidRPr="003F23AC">
        <w:rPr>
          <w:rFonts w:cs="Times New Roman"/>
          <w:noProof/>
          <w:lang w:val="sk-SK"/>
        </w:rPr>
        <w:t xml:space="preserve"> s </w:t>
      </w:r>
      <w:r w:rsidRPr="003F23AC">
        <w:rPr>
          <w:rFonts w:cs="Times New Roman"/>
          <w:noProof/>
          <w:lang w:val="sk-SK"/>
        </w:rPr>
        <w:t>inovačnými technickými riešeniami na zvýšenie energetickej sebestačnosti. Na Azorách výroba elektrickej energie</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v </w:t>
      </w:r>
      <w:r w:rsidRPr="003F23AC">
        <w:rPr>
          <w:rFonts w:cs="Times New Roman"/>
          <w:noProof/>
          <w:lang w:val="sk-SK"/>
        </w:rPr>
        <w:t>súčasnosti predstavuje približne 40</w:t>
      </w:r>
      <w:r w:rsidR="00A75B3C" w:rsidRPr="003F23AC">
        <w:rPr>
          <w:rFonts w:cs="Times New Roman"/>
          <w:noProof/>
          <w:lang w:val="sk-SK"/>
        </w:rPr>
        <w:t> %</w:t>
      </w:r>
      <w:r w:rsidRPr="003F23AC">
        <w:rPr>
          <w:rFonts w:cs="Times New Roman"/>
          <w:noProof/>
          <w:lang w:val="sk-SK"/>
        </w:rPr>
        <w:t xml:space="preserve"> celkovej hodnoty regiónu,</w:t>
      </w:r>
      <w:r w:rsidR="00A75B3C" w:rsidRPr="003F23AC">
        <w:rPr>
          <w:rFonts w:cs="Times New Roman"/>
          <w:noProof/>
          <w:lang w:val="sk-SK"/>
        </w:rPr>
        <w:t xml:space="preserve"> z </w:t>
      </w:r>
      <w:r w:rsidRPr="003F23AC">
        <w:rPr>
          <w:rFonts w:cs="Times New Roman"/>
          <w:noProof/>
          <w:lang w:val="sk-SK"/>
        </w:rPr>
        <w:t>čoho približne 24</w:t>
      </w:r>
      <w:r w:rsidR="00A75B3C" w:rsidRPr="003F23AC">
        <w:rPr>
          <w:rFonts w:cs="Times New Roman"/>
          <w:noProof/>
          <w:lang w:val="sk-SK"/>
        </w:rPr>
        <w:t> %</w:t>
      </w:r>
      <w:r w:rsidRPr="003F23AC">
        <w:rPr>
          <w:rFonts w:cs="Times New Roman"/>
          <w:noProof/>
          <w:lang w:val="sk-SK"/>
        </w:rPr>
        <w:t xml:space="preserve"> pochádza</w:t>
      </w:r>
      <w:r w:rsidR="00A75B3C" w:rsidRPr="003F23AC">
        <w:rPr>
          <w:rFonts w:cs="Times New Roman"/>
          <w:noProof/>
          <w:lang w:val="sk-SK"/>
        </w:rPr>
        <w:t xml:space="preserve"> z </w:t>
      </w:r>
      <w:r w:rsidRPr="003F23AC">
        <w:rPr>
          <w:rFonts w:cs="Times New Roman"/>
          <w:noProof/>
          <w:lang w:val="sk-SK"/>
        </w:rPr>
        <w:t>geotermálnej energie na dvoch najväčších ostrovoch súostrovia. Zvyšných 60</w:t>
      </w:r>
      <w:r w:rsidR="00A75B3C" w:rsidRPr="003F23AC">
        <w:rPr>
          <w:rFonts w:cs="Times New Roman"/>
          <w:noProof/>
          <w:lang w:val="sk-SK"/>
        </w:rPr>
        <w:t> %</w:t>
      </w:r>
      <w:r w:rsidRPr="003F23AC">
        <w:rPr>
          <w:rFonts w:cs="Times New Roman"/>
          <w:noProof/>
          <w:lang w:val="sk-SK"/>
        </w:rPr>
        <w:t xml:space="preserve"> elektrickej energie sa vyrába</w:t>
      </w:r>
      <w:r w:rsidR="00A75B3C" w:rsidRPr="003F23AC">
        <w:rPr>
          <w:rFonts w:cs="Times New Roman"/>
          <w:noProof/>
          <w:lang w:val="sk-SK"/>
        </w:rPr>
        <w:t xml:space="preserve"> z </w:t>
      </w:r>
      <w:r w:rsidRPr="003F23AC">
        <w:rPr>
          <w:rFonts w:cs="Times New Roman"/>
          <w:noProof/>
          <w:lang w:val="sk-SK"/>
        </w:rPr>
        <w:t>fosílnych palív, vykurovacieho oleja</w:t>
      </w:r>
      <w:r w:rsidR="00A75B3C" w:rsidRPr="003F23AC">
        <w:rPr>
          <w:rFonts w:cs="Times New Roman"/>
          <w:noProof/>
          <w:lang w:val="sk-SK"/>
        </w:rPr>
        <w:t xml:space="preserve"> a </w:t>
      </w:r>
      <w:r w:rsidRPr="003F23AC">
        <w:rPr>
          <w:rFonts w:cs="Times New Roman"/>
          <w:noProof/>
          <w:lang w:val="sk-SK"/>
        </w:rPr>
        <w:t>motorovej nafty, čo predstavuje vysoké ročné účty,</w:t>
      </w:r>
      <w:r w:rsidR="00A75B3C" w:rsidRPr="003F23AC">
        <w:rPr>
          <w:rFonts w:cs="Times New Roman"/>
          <w:noProof/>
          <w:lang w:val="sk-SK"/>
        </w:rPr>
        <w:t xml:space="preserve"> a </w:t>
      </w:r>
      <w:r w:rsidRPr="003F23AC">
        <w:rPr>
          <w:rFonts w:cs="Times New Roman"/>
          <w:noProof/>
          <w:lang w:val="sk-SK"/>
        </w:rPr>
        <w:t>to nielen</w:t>
      </w:r>
      <w:r w:rsidR="00A75B3C" w:rsidRPr="003F23AC">
        <w:rPr>
          <w:rFonts w:cs="Times New Roman"/>
          <w:noProof/>
          <w:lang w:val="sk-SK"/>
        </w:rPr>
        <w:t xml:space="preserve"> z </w:t>
      </w:r>
      <w:r w:rsidRPr="003F23AC">
        <w:rPr>
          <w:rFonts w:cs="Times New Roman"/>
          <w:noProof/>
          <w:lang w:val="sk-SK"/>
        </w:rPr>
        <w:t>dôvodu nákupnej hodnoty palív, ale aj</w:t>
      </w:r>
      <w:r w:rsidR="00A75B3C" w:rsidRPr="003F23AC">
        <w:rPr>
          <w:rFonts w:cs="Times New Roman"/>
          <w:noProof/>
          <w:lang w:val="sk-SK"/>
        </w:rPr>
        <w:t xml:space="preserve"> z </w:t>
      </w:r>
      <w:r w:rsidRPr="003F23AC">
        <w:rPr>
          <w:rFonts w:cs="Times New Roman"/>
          <w:noProof/>
          <w:lang w:val="sk-SK"/>
        </w:rPr>
        <w:t>dôvodu ich prepravy po mori</w:t>
      </w:r>
      <w:r w:rsidR="00A75B3C" w:rsidRPr="003F23AC">
        <w:rPr>
          <w:rFonts w:cs="Times New Roman"/>
          <w:noProof/>
          <w:lang w:val="sk-SK"/>
        </w:rPr>
        <w:t xml:space="preserve"> z </w:t>
      </w:r>
      <w:r w:rsidRPr="003F23AC">
        <w:rPr>
          <w:rFonts w:cs="Times New Roman"/>
          <w:noProof/>
          <w:lang w:val="sk-SK"/>
        </w:rPr>
        <w:t>pevniny na ostrovy</w:t>
      </w:r>
      <w:r w:rsidR="00A75B3C" w:rsidRPr="003F23AC">
        <w:rPr>
          <w:rFonts w:cs="Times New Roman"/>
          <w:noProof/>
          <w:lang w:val="sk-SK"/>
        </w:rPr>
        <w:t xml:space="preserve"> a </w:t>
      </w:r>
      <w:r w:rsidRPr="003F23AC">
        <w:rPr>
          <w:rFonts w:cs="Times New Roman"/>
          <w:noProof/>
          <w:lang w:val="sk-SK"/>
        </w:rPr>
        <w:t>distribúcie medzi ostrovmi. Tento druh výroby okrem súvisiacich vysokých nákladov predstavuje silnú vonkajšiu závislosť, ktorá</w:t>
      </w:r>
      <w:r w:rsidR="00A75B3C" w:rsidRPr="003F23AC">
        <w:rPr>
          <w:rFonts w:cs="Times New Roman"/>
          <w:noProof/>
          <w:lang w:val="sk-SK"/>
        </w:rPr>
        <w:t xml:space="preserve"> v </w:t>
      </w:r>
      <w:r w:rsidRPr="003F23AC">
        <w:rPr>
          <w:rFonts w:cs="Times New Roman"/>
          <w:noProof/>
          <w:lang w:val="sk-SK"/>
        </w:rPr>
        <w:t>situáciách vnútroštátnej alebo medzinárodnej krízy môže ohroziť schopnosť uspokojiť energetické potreby súostrovia.</w:t>
      </w:r>
    </w:p>
    <w:p w14:paraId="52E3DC73" w14:textId="597EAC0E"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týchto čiastkových investícií:</w:t>
      </w:r>
    </w:p>
    <w:p w14:paraId="0A8CFC86" w14:textId="1158773D" w:rsidR="00387C70" w:rsidRPr="003F23AC" w:rsidRDefault="000F5AA4" w:rsidP="003F23AC">
      <w:pPr>
        <w:pStyle w:val="P68B1DB1-Normal4"/>
        <w:numPr>
          <w:ilvl w:val="0"/>
          <w:numId w:val="31"/>
        </w:numPr>
        <w:spacing w:before="40" w:after="160" w:line="259" w:lineRule="auto"/>
        <w:contextualSpacing/>
        <w:jc w:val="both"/>
        <w:rPr>
          <w:rFonts w:eastAsiaTheme="minorEastAsia" w:cs="Times New Roman"/>
          <w:noProof/>
          <w:lang w:val="sk-SK"/>
        </w:rPr>
      </w:pPr>
      <w:r w:rsidRPr="003F23AC">
        <w:rPr>
          <w:rFonts w:cs="Times New Roman"/>
          <w:noProof/>
          <w:lang w:val="sk-SK"/>
        </w:rPr>
        <w:t>Zvýšenie inštalovanej kapacity výroby energie</w:t>
      </w:r>
      <w:r w:rsidR="00A75B3C" w:rsidRPr="003F23AC">
        <w:rPr>
          <w:rFonts w:cs="Times New Roman"/>
          <w:noProof/>
          <w:lang w:val="sk-SK"/>
        </w:rPr>
        <w:t xml:space="preserve"> z </w:t>
      </w:r>
      <w:r w:rsidRPr="003F23AC">
        <w:rPr>
          <w:rFonts w:cs="Times New Roman"/>
          <w:noProof/>
          <w:lang w:val="sk-SK"/>
        </w:rPr>
        <w:t>obnoviteľných zdrojov, najmä geotermálnej,</w:t>
      </w:r>
      <w:r w:rsidR="00A75B3C" w:rsidRPr="003F23AC">
        <w:rPr>
          <w:rFonts w:cs="Times New Roman"/>
          <w:noProof/>
          <w:lang w:val="sk-SK"/>
        </w:rPr>
        <w:t xml:space="preserve"> o </w:t>
      </w:r>
      <w:r w:rsidRPr="003F23AC">
        <w:rPr>
          <w:rFonts w:cs="Times New Roman"/>
          <w:noProof/>
          <w:lang w:val="sk-SK"/>
        </w:rPr>
        <w:t>12 MW</w:t>
      </w:r>
      <w:r w:rsidR="00A75B3C" w:rsidRPr="003F23AC">
        <w:rPr>
          <w:rFonts w:cs="Times New Roman"/>
          <w:noProof/>
          <w:lang w:val="sk-SK"/>
        </w:rPr>
        <w:t xml:space="preserve"> a </w:t>
      </w:r>
      <w:r w:rsidRPr="003F23AC">
        <w:rPr>
          <w:rFonts w:cs="Times New Roman"/>
          <w:noProof/>
          <w:lang w:val="sk-SK"/>
        </w:rPr>
        <w:t>revitalizácia už nainštalovanej geotermálnej elektrárne</w:t>
      </w:r>
      <w:r w:rsidR="00A75B3C" w:rsidRPr="003F23AC">
        <w:rPr>
          <w:rFonts w:cs="Times New Roman"/>
          <w:noProof/>
          <w:lang w:val="sk-SK"/>
        </w:rPr>
        <w:t xml:space="preserve"> o </w:t>
      </w:r>
      <w:r w:rsidRPr="003F23AC">
        <w:rPr>
          <w:rFonts w:cs="Times New Roman"/>
          <w:noProof/>
          <w:lang w:val="sk-SK"/>
        </w:rPr>
        <w:t>5 MW;</w:t>
      </w:r>
    </w:p>
    <w:p w14:paraId="5DC064DD" w14:textId="699C0E5F" w:rsidR="00387C70" w:rsidRPr="003F23AC" w:rsidRDefault="000F5AA4" w:rsidP="003F23AC">
      <w:pPr>
        <w:pStyle w:val="P68B1DB1-Normal4"/>
        <w:numPr>
          <w:ilvl w:val="0"/>
          <w:numId w:val="31"/>
        </w:numPr>
        <w:spacing w:before="40" w:after="160" w:line="259" w:lineRule="auto"/>
        <w:contextualSpacing/>
        <w:jc w:val="both"/>
        <w:rPr>
          <w:rFonts w:eastAsiaTheme="minorEastAsia" w:cs="Times New Roman"/>
          <w:noProof/>
          <w:lang w:val="sk-SK"/>
        </w:rPr>
      </w:pPr>
      <w:r w:rsidRPr="003F23AC">
        <w:rPr>
          <w:rFonts w:cs="Times New Roman"/>
          <w:noProof/>
          <w:lang w:val="sk-SK"/>
        </w:rPr>
        <w:t>Zvýšenie inštalovanej kapacity na výrobu elektrickej energie</w:t>
      </w:r>
      <w:r w:rsidR="00A75B3C" w:rsidRPr="003F23AC">
        <w:rPr>
          <w:rFonts w:cs="Times New Roman"/>
          <w:noProof/>
          <w:lang w:val="sk-SK"/>
        </w:rPr>
        <w:t xml:space="preserve"> z </w:t>
      </w:r>
      <w:r w:rsidRPr="003F23AC">
        <w:rPr>
          <w:rFonts w:cs="Times New Roman"/>
          <w:noProof/>
          <w:lang w:val="sk-SK"/>
        </w:rPr>
        <w:t>obnoviteľných zdrojov na ostrove Corvo prostredníctvom inštalácie fotovoltického</w:t>
      </w:r>
      <w:r w:rsidR="00A75B3C" w:rsidRPr="003F23AC">
        <w:rPr>
          <w:rFonts w:cs="Times New Roman"/>
          <w:noProof/>
          <w:lang w:val="sk-SK"/>
        </w:rPr>
        <w:t xml:space="preserve"> a </w:t>
      </w:r>
      <w:r w:rsidRPr="003F23AC">
        <w:rPr>
          <w:rFonts w:cs="Times New Roman"/>
          <w:noProof/>
          <w:lang w:val="sk-SK"/>
        </w:rPr>
        <w:t>veterného parku</w:t>
      </w:r>
      <w:r w:rsidR="00A75B3C" w:rsidRPr="003F23AC">
        <w:rPr>
          <w:rFonts w:cs="Times New Roman"/>
          <w:noProof/>
          <w:lang w:val="sk-SK"/>
        </w:rPr>
        <w:t xml:space="preserve"> o </w:t>
      </w:r>
      <w:r w:rsidRPr="003F23AC">
        <w:rPr>
          <w:rFonts w:cs="Times New Roman"/>
          <w:noProof/>
          <w:lang w:val="sk-SK"/>
        </w:rPr>
        <w:t>850 kW;</w:t>
      </w:r>
    </w:p>
    <w:p w14:paraId="38EA575D" w14:textId="12A12A5B" w:rsidR="00387C70" w:rsidRPr="003F23AC" w:rsidRDefault="000F5AA4" w:rsidP="003F23AC">
      <w:pPr>
        <w:pStyle w:val="P68B1DB1-Normal4"/>
        <w:numPr>
          <w:ilvl w:val="0"/>
          <w:numId w:val="31"/>
        </w:numPr>
        <w:spacing w:before="40" w:after="160" w:line="259" w:lineRule="auto"/>
        <w:contextualSpacing/>
        <w:jc w:val="both"/>
        <w:rPr>
          <w:rFonts w:eastAsiaTheme="minorEastAsia" w:cs="Times New Roman"/>
          <w:noProof/>
          <w:lang w:val="sk-SK"/>
        </w:rPr>
      </w:pPr>
      <w:r w:rsidRPr="003F23AC">
        <w:rPr>
          <w:rFonts w:cs="Times New Roman"/>
          <w:noProof/>
          <w:lang w:val="sk-SK"/>
        </w:rPr>
        <w:t>Inštalácia nových systémov skladovania elektrickej energie na ostrovoch Santa Maria, São Jorge, Pico, Faial, Flores</w:t>
      </w:r>
      <w:r w:rsidR="00A75B3C" w:rsidRPr="003F23AC">
        <w:rPr>
          <w:rFonts w:cs="Times New Roman"/>
          <w:noProof/>
          <w:lang w:val="sk-SK"/>
        </w:rPr>
        <w:t xml:space="preserve"> a </w:t>
      </w:r>
      <w:r w:rsidRPr="003F23AC">
        <w:rPr>
          <w:rFonts w:cs="Times New Roman"/>
          <w:noProof/>
          <w:lang w:val="sk-SK"/>
        </w:rPr>
        <w:t>Corvo aspoň</w:t>
      </w:r>
      <w:r w:rsidR="00A75B3C" w:rsidRPr="003F23AC">
        <w:rPr>
          <w:rFonts w:cs="Times New Roman"/>
          <w:noProof/>
          <w:lang w:val="sk-SK"/>
        </w:rPr>
        <w:t xml:space="preserve"> o </w:t>
      </w:r>
      <w:r w:rsidRPr="003F23AC">
        <w:rPr>
          <w:rFonts w:cs="Times New Roman"/>
          <w:noProof/>
          <w:lang w:val="sk-SK"/>
        </w:rPr>
        <w:t>20 MW;</w:t>
      </w:r>
    </w:p>
    <w:p w14:paraId="112665E7" w14:textId="445E7B03" w:rsidR="00387C70" w:rsidRPr="003F23AC" w:rsidRDefault="000F5AA4" w:rsidP="003F23AC">
      <w:pPr>
        <w:pStyle w:val="P68B1DB1-Normal4"/>
        <w:numPr>
          <w:ilvl w:val="0"/>
          <w:numId w:val="31"/>
        </w:numPr>
        <w:spacing w:before="40" w:after="160" w:line="259" w:lineRule="auto"/>
        <w:contextualSpacing/>
        <w:jc w:val="both"/>
        <w:rPr>
          <w:rFonts w:eastAsiaTheme="minorEastAsia" w:cs="Times New Roman"/>
          <w:noProof/>
          <w:lang w:val="sk-SK"/>
        </w:rPr>
      </w:pPr>
      <w:r w:rsidRPr="003F23AC">
        <w:rPr>
          <w:rFonts w:cs="Times New Roman"/>
          <w:noProof/>
          <w:lang w:val="sk-SK"/>
        </w:rPr>
        <w:t>Inštalovať nové malé fotovoltické jednotky na výrobu</w:t>
      </w:r>
      <w:r w:rsidR="00A75B3C" w:rsidRPr="003F23AC">
        <w:rPr>
          <w:rFonts w:cs="Times New Roman"/>
          <w:noProof/>
          <w:lang w:val="sk-SK"/>
        </w:rPr>
        <w:t xml:space="preserve"> a </w:t>
      </w:r>
      <w:r w:rsidRPr="003F23AC">
        <w:rPr>
          <w:rFonts w:cs="Times New Roman"/>
          <w:noProof/>
          <w:lang w:val="sk-SK"/>
        </w:rPr>
        <w:t>spotrebu elektrickej energie na decentralizovanú výrobu</w:t>
      </w:r>
      <w:r w:rsidR="00A75B3C" w:rsidRPr="003F23AC">
        <w:rPr>
          <w:rFonts w:cs="Times New Roman"/>
          <w:noProof/>
          <w:lang w:val="sk-SK"/>
        </w:rPr>
        <w:t xml:space="preserve"> a </w:t>
      </w:r>
      <w:r w:rsidRPr="003F23AC">
        <w:rPr>
          <w:rFonts w:cs="Times New Roman"/>
          <w:noProof/>
          <w:lang w:val="sk-SK"/>
        </w:rPr>
        <w:t>spotrebu</w:t>
      </w:r>
      <w:r w:rsidR="00A75B3C" w:rsidRPr="003F23AC">
        <w:rPr>
          <w:rFonts w:cs="Times New Roman"/>
          <w:noProof/>
          <w:lang w:val="sk-SK"/>
        </w:rPr>
        <w:t xml:space="preserve"> v </w:t>
      </w:r>
      <w:r w:rsidRPr="003F23AC">
        <w:rPr>
          <w:rFonts w:cs="Times New Roman"/>
          <w:noProof/>
          <w:lang w:val="sk-SK"/>
        </w:rPr>
        <w:t>celkovom ekvivalente 11,2 MW.</w:t>
      </w:r>
    </w:p>
    <w:p w14:paraId="091FFD9A" w14:textId="3000E664"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151D3F34"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E00EDD">
          <w:headerReference w:type="even" r:id="rId270"/>
          <w:headerReference w:type="default" r:id="rId271"/>
          <w:footerReference w:type="even" r:id="rId272"/>
          <w:footerReference w:type="default" r:id="rId273"/>
          <w:headerReference w:type="first" r:id="rId274"/>
          <w:footerReference w:type="first" r:id="rId275"/>
          <w:pgSz w:w="11907" w:h="16839"/>
          <w:pgMar w:top="1134" w:right="1134" w:bottom="1134" w:left="1134" w:header="567" w:footer="567" w:gutter="0"/>
          <w:cols w:space="720"/>
          <w:docGrid w:linePitch="360"/>
        </w:sectPr>
      </w:pPr>
    </w:p>
    <w:p w14:paraId="1E0E5F58" w14:textId="70B85659"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N.2.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p w14:paraId="286C8850"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pP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134"/>
        <w:gridCol w:w="1701"/>
        <w:gridCol w:w="1275"/>
        <w:gridCol w:w="993"/>
        <w:gridCol w:w="992"/>
        <w:gridCol w:w="709"/>
        <w:gridCol w:w="788"/>
        <w:gridCol w:w="487"/>
        <w:gridCol w:w="3969"/>
      </w:tblGrid>
      <w:tr w:rsidR="00387C70" w:rsidRPr="003F23AC" w14:paraId="3CFBE898" w14:textId="77777777" w:rsidTr="008E475E">
        <w:trPr>
          <w:trHeight w:val="830"/>
          <w:tblHeader/>
        </w:trPr>
        <w:tc>
          <w:tcPr>
            <w:tcW w:w="1135" w:type="dxa"/>
            <w:vMerge w:val="restart"/>
            <w:shd w:val="clear" w:color="auto" w:fill="BDD6EE"/>
            <w:tcMar>
              <w:left w:w="28" w:type="dxa"/>
              <w:right w:w="28" w:type="dxa"/>
            </w:tcMar>
            <w:vAlign w:val="center"/>
            <w:hideMark/>
          </w:tcPr>
          <w:p w14:paraId="66B63AA1"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76" w:type="dxa"/>
            <w:vMerge w:val="restart"/>
            <w:shd w:val="clear" w:color="auto" w:fill="BDD6EE"/>
            <w:tcMar>
              <w:left w:w="28" w:type="dxa"/>
              <w:right w:w="28" w:type="dxa"/>
            </w:tcMar>
            <w:vAlign w:val="center"/>
            <w:hideMark/>
          </w:tcPr>
          <w:p w14:paraId="77F41CF5"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34" w:type="dxa"/>
            <w:vMerge w:val="restart"/>
            <w:shd w:val="clear" w:color="auto" w:fill="BDD6EE"/>
            <w:tcMar>
              <w:left w:w="28" w:type="dxa"/>
              <w:right w:w="28" w:type="dxa"/>
            </w:tcMar>
            <w:vAlign w:val="center"/>
            <w:hideMark/>
          </w:tcPr>
          <w:p w14:paraId="05EA6259" w14:textId="77777777" w:rsidR="00387C70" w:rsidRPr="003F23AC" w:rsidRDefault="000F5AA4" w:rsidP="003F23AC">
            <w:pPr>
              <w:pStyle w:val="P68B1DB1-Normal6"/>
              <w:spacing w:after="0" w:line="240" w:lineRule="auto"/>
              <w:jc w:val="center"/>
              <w:rPr>
                <w:rFonts w:eastAsia="Times New Roman" w:cs="Times New Roman"/>
                <w:noProof/>
                <w:sz w:val="16"/>
                <w:lang w:val="sk-SK"/>
              </w:rPr>
            </w:pPr>
            <w:r w:rsidRPr="003F23AC">
              <w:rPr>
                <w:rFonts w:cs="Times New Roman"/>
                <w:noProof/>
                <w:lang w:val="sk-SK"/>
              </w:rPr>
              <w:t>Medzník/</w:t>
            </w:r>
          </w:p>
          <w:p w14:paraId="6B07E77A" w14:textId="0BCBAF46" w:rsidR="00387C70" w:rsidRPr="003F23AC" w:rsidRDefault="000F5AA4" w:rsidP="003F23AC">
            <w:pPr>
              <w:pStyle w:val="P68B1DB1-Normal6"/>
              <w:spacing w:after="0" w:line="240" w:lineRule="auto"/>
              <w:jc w:val="center"/>
              <w:rPr>
                <w:rFonts w:eastAsia="Times New Roman" w:cs="Times New Roman"/>
                <w:noProof/>
                <w:sz w:val="16"/>
                <w:lang w:val="sk-SK"/>
              </w:rPr>
            </w:pPr>
            <w:r w:rsidRPr="003F23AC">
              <w:rPr>
                <w:rFonts w:cs="Times New Roman"/>
                <w:noProof/>
                <w:lang w:val="sk-SK"/>
              </w:rPr>
              <w:t>Cieľ</w:t>
            </w:r>
          </w:p>
        </w:tc>
        <w:tc>
          <w:tcPr>
            <w:tcW w:w="1701" w:type="dxa"/>
            <w:vMerge w:val="restart"/>
            <w:shd w:val="clear" w:color="auto" w:fill="BDD6EE"/>
            <w:tcMar>
              <w:left w:w="28" w:type="dxa"/>
              <w:right w:w="28" w:type="dxa"/>
            </w:tcMar>
            <w:vAlign w:val="center"/>
            <w:hideMark/>
          </w:tcPr>
          <w:p w14:paraId="2948128E" w14:textId="77777777" w:rsidR="00387C70" w:rsidRPr="003F23AC" w:rsidRDefault="000F5AA4" w:rsidP="003F23AC">
            <w:pPr>
              <w:pStyle w:val="P68B1DB1-Normal6"/>
              <w:spacing w:after="0" w:line="240" w:lineRule="auto"/>
              <w:jc w:val="center"/>
              <w:rPr>
                <w:rFonts w:eastAsia="Times New Roman" w:cs="Times New Roman"/>
                <w:noProof/>
                <w:sz w:val="16"/>
                <w:lang w:val="sk-SK"/>
              </w:rPr>
            </w:pPr>
            <w:r w:rsidRPr="003F23AC">
              <w:rPr>
                <w:rFonts w:cs="Times New Roman"/>
                <w:noProof/>
                <w:lang w:val="sk-SK"/>
              </w:rPr>
              <w:t>Názov</w:t>
            </w:r>
          </w:p>
        </w:tc>
        <w:tc>
          <w:tcPr>
            <w:tcW w:w="1275" w:type="dxa"/>
            <w:vMerge w:val="restart"/>
            <w:shd w:val="clear" w:color="auto" w:fill="BDD6EE"/>
            <w:tcMar>
              <w:left w:w="28" w:type="dxa"/>
              <w:right w:w="28" w:type="dxa"/>
            </w:tcMar>
            <w:vAlign w:val="center"/>
            <w:hideMark/>
          </w:tcPr>
          <w:p w14:paraId="4CFCA654" w14:textId="77777777" w:rsidR="00387C70" w:rsidRPr="003F23AC" w:rsidRDefault="000F5AA4" w:rsidP="003F23AC">
            <w:pPr>
              <w:pStyle w:val="P68B1DB1-Normal6"/>
              <w:spacing w:after="0" w:line="240" w:lineRule="auto"/>
              <w:jc w:val="center"/>
              <w:rPr>
                <w:rFonts w:eastAsia="Times New Roman" w:cs="Times New Roman"/>
                <w:noProof/>
                <w:sz w:val="16"/>
                <w:lang w:val="sk-SK"/>
              </w:rPr>
            </w:pPr>
            <w:r w:rsidRPr="003F23AC">
              <w:rPr>
                <w:rFonts w:cs="Times New Roman"/>
                <w:noProof/>
                <w:lang w:val="sk-SK"/>
              </w:rPr>
              <w:t>Kvalitatívne ukazovatele (pre míľniky)</w:t>
            </w:r>
          </w:p>
        </w:tc>
        <w:tc>
          <w:tcPr>
            <w:tcW w:w="2694" w:type="dxa"/>
            <w:gridSpan w:val="3"/>
            <w:shd w:val="clear" w:color="auto" w:fill="BDD6EE"/>
            <w:tcMar>
              <w:left w:w="28" w:type="dxa"/>
              <w:right w:w="28" w:type="dxa"/>
            </w:tcMar>
            <w:vAlign w:val="center"/>
            <w:hideMark/>
          </w:tcPr>
          <w:p w14:paraId="1385CF11"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75" w:type="dxa"/>
            <w:gridSpan w:val="2"/>
            <w:shd w:val="clear" w:color="auto" w:fill="BDD6EE"/>
            <w:tcMar>
              <w:left w:w="28" w:type="dxa"/>
              <w:right w:w="28" w:type="dxa"/>
            </w:tcMar>
            <w:vAlign w:val="center"/>
            <w:hideMark/>
          </w:tcPr>
          <w:p w14:paraId="0F657DE5"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3969" w:type="dxa"/>
            <w:vMerge w:val="restart"/>
            <w:shd w:val="clear" w:color="auto" w:fill="BDD6EE"/>
            <w:tcMar>
              <w:left w:w="28" w:type="dxa"/>
              <w:right w:w="28" w:type="dxa"/>
            </w:tcMar>
            <w:vAlign w:val="center"/>
            <w:hideMark/>
          </w:tcPr>
          <w:p w14:paraId="439B6EF1" w14:textId="2E12B66F" w:rsidR="00387C70" w:rsidRPr="003F23AC" w:rsidRDefault="000F5AA4" w:rsidP="003F23AC">
            <w:pPr>
              <w:pStyle w:val="P68B1DB1-Normal6"/>
              <w:spacing w:after="0" w:line="240" w:lineRule="auto"/>
              <w:jc w:val="center"/>
              <w:rPr>
                <w:rFonts w:eastAsia="Times New Roman" w:cs="Times New Roman"/>
                <w:noProof/>
                <w:sz w:val="16"/>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55300FC2" w14:textId="77777777" w:rsidTr="008E475E">
        <w:trPr>
          <w:trHeight w:val="430"/>
          <w:tblHeader/>
        </w:trPr>
        <w:tc>
          <w:tcPr>
            <w:tcW w:w="1135" w:type="dxa"/>
            <w:vMerge/>
            <w:tcMar>
              <w:left w:w="28" w:type="dxa"/>
              <w:right w:w="28" w:type="dxa"/>
            </w:tcMar>
            <w:vAlign w:val="center"/>
            <w:hideMark/>
          </w:tcPr>
          <w:p w14:paraId="2716EF47"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6" w:type="dxa"/>
            <w:vMerge/>
            <w:tcMar>
              <w:left w:w="28" w:type="dxa"/>
              <w:right w:w="28" w:type="dxa"/>
            </w:tcMar>
            <w:vAlign w:val="center"/>
            <w:hideMark/>
          </w:tcPr>
          <w:p w14:paraId="35E64B63" w14:textId="77777777" w:rsidR="00387C70" w:rsidRPr="003F23AC" w:rsidRDefault="00387C70" w:rsidP="003F23AC">
            <w:pPr>
              <w:spacing w:after="0" w:line="240" w:lineRule="auto"/>
              <w:rPr>
                <w:rFonts w:ascii="Times New Roman" w:eastAsia="Times New Roman" w:hAnsi="Times New Roman" w:cs="Times New Roman"/>
                <w:b/>
                <w:noProof/>
                <w:sz w:val="16"/>
                <w:lang w:val="sk-SK"/>
              </w:rPr>
            </w:pPr>
          </w:p>
        </w:tc>
        <w:tc>
          <w:tcPr>
            <w:tcW w:w="1134" w:type="dxa"/>
            <w:vMerge/>
            <w:shd w:val="clear" w:color="auto" w:fill="BDD6EE"/>
            <w:tcMar>
              <w:left w:w="28" w:type="dxa"/>
              <w:right w:w="28" w:type="dxa"/>
            </w:tcMar>
            <w:vAlign w:val="center"/>
            <w:hideMark/>
          </w:tcPr>
          <w:p w14:paraId="5EE6F193" w14:textId="4E289509" w:rsidR="00387C70" w:rsidRPr="003F23AC" w:rsidRDefault="00387C70" w:rsidP="003F23AC">
            <w:pPr>
              <w:spacing w:after="0" w:line="240" w:lineRule="auto"/>
              <w:jc w:val="center"/>
              <w:rPr>
                <w:rFonts w:ascii="Times New Roman" w:eastAsia="Times New Roman" w:hAnsi="Times New Roman" w:cs="Times New Roman"/>
                <w:b/>
                <w:noProof/>
                <w:sz w:val="16"/>
                <w:lang w:val="sk-SK"/>
              </w:rPr>
            </w:pPr>
          </w:p>
        </w:tc>
        <w:tc>
          <w:tcPr>
            <w:tcW w:w="1701" w:type="dxa"/>
            <w:vMerge/>
            <w:tcMar>
              <w:left w:w="28" w:type="dxa"/>
              <w:right w:w="28" w:type="dxa"/>
            </w:tcMar>
            <w:vAlign w:val="center"/>
            <w:hideMark/>
          </w:tcPr>
          <w:p w14:paraId="5CCE81B9" w14:textId="77777777" w:rsidR="00387C70" w:rsidRPr="003F23AC" w:rsidRDefault="00387C70" w:rsidP="003F23AC">
            <w:pPr>
              <w:spacing w:after="0" w:line="240" w:lineRule="auto"/>
              <w:rPr>
                <w:rFonts w:ascii="Times New Roman" w:eastAsia="Times New Roman" w:hAnsi="Times New Roman" w:cs="Times New Roman"/>
                <w:b/>
                <w:noProof/>
                <w:sz w:val="16"/>
                <w:lang w:val="sk-SK"/>
              </w:rPr>
            </w:pPr>
          </w:p>
        </w:tc>
        <w:tc>
          <w:tcPr>
            <w:tcW w:w="1275" w:type="dxa"/>
            <w:vMerge/>
            <w:tcMar>
              <w:left w:w="28" w:type="dxa"/>
              <w:right w:w="28" w:type="dxa"/>
            </w:tcMar>
            <w:vAlign w:val="center"/>
            <w:hideMark/>
          </w:tcPr>
          <w:p w14:paraId="79537091" w14:textId="77777777" w:rsidR="00387C70" w:rsidRPr="003F23AC" w:rsidRDefault="00387C70" w:rsidP="003F23AC">
            <w:pPr>
              <w:spacing w:after="0" w:line="240" w:lineRule="auto"/>
              <w:rPr>
                <w:rFonts w:ascii="Times New Roman" w:eastAsia="Times New Roman" w:hAnsi="Times New Roman" w:cs="Times New Roman"/>
                <w:b/>
                <w:noProof/>
                <w:sz w:val="16"/>
                <w:lang w:val="sk-SK"/>
              </w:rPr>
            </w:pPr>
          </w:p>
        </w:tc>
        <w:tc>
          <w:tcPr>
            <w:tcW w:w="993" w:type="dxa"/>
            <w:shd w:val="clear" w:color="auto" w:fill="BDD6EE"/>
            <w:tcMar>
              <w:left w:w="28" w:type="dxa"/>
              <w:right w:w="28" w:type="dxa"/>
            </w:tcMar>
            <w:vAlign w:val="center"/>
            <w:hideMark/>
          </w:tcPr>
          <w:p w14:paraId="11126D21"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992" w:type="dxa"/>
            <w:shd w:val="clear" w:color="auto" w:fill="BDD6EE"/>
            <w:tcMar>
              <w:left w:w="28" w:type="dxa"/>
              <w:right w:w="28" w:type="dxa"/>
            </w:tcMar>
            <w:vAlign w:val="center"/>
            <w:hideMark/>
          </w:tcPr>
          <w:p w14:paraId="0AF1479C" w14:textId="5661D7EC"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709" w:type="dxa"/>
            <w:shd w:val="clear" w:color="auto" w:fill="BDD6EE"/>
            <w:tcMar>
              <w:left w:w="28" w:type="dxa"/>
              <w:right w:w="28" w:type="dxa"/>
            </w:tcMar>
            <w:vAlign w:val="center"/>
            <w:hideMark/>
          </w:tcPr>
          <w:p w14:paraId="6554DD1F" w14:textId="13365C09"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788" w:type="dxa"/>
            <w:shd w:val="clear" w:color="auto" w:fill="BDD6EE"/>
            <w:tcMar>
              <w:left w:w="28" w:type="dxa"/>
              <w:right w:w="28" w:type="dxa"/>
            </w:tcMar>
            <w:vAlign w:val="center"/>
            <w:hideMark/>
          </w:tcPr>
          <w:p w14:paraId="03B3E9F9" w14:textId="1FA72239"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487" w:type="dxa"/>
            <w:shd w:val="clear" w:color="auto" w:fill="BDD6EE"/>
            <w:tcMar>
              <w:left w:w="28" w:type="dxa"/>
              <w:right w:w="28" w:type="dxa"/>
            </w:tcMar>
            <w:vAlign w:val="center"/>
            <w:hideMark/>
          </w:tcPr>
          <w:p w14:paraId="2823A4AA"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3969" w:type="dxa"/>
            <w:vMerge/>
            <w:tcMar>
              <w:left w:w="28" w:type="dxa"/>
              <w:right w:w="28" w:type="dxa"/>
            </w:tcMar>
            <w:vAlign w:val="center"/>
            <w:hideMark/>
          </w:tcPr>
          <w:p w14:paraId="7A70D1DD" w14:textId="77777777" w:rsidR="00387C70" w:rsidRPr="003F23AC" w:rsidRDefault="00387C70" w:rsidP="003F23AC">
            <w:pPr>
              <w:spacing w:after="0" w:line="240" w:lineRule="auto"/>
              <w:rPr>
                <w:rFonts w:ascii="Times New Roman" w:eastAsia="Times New Roman" w:hAnsi="Times New Roman" w:cs="Times New Roman"/>
                <w:b/>
                <w:noProof/>
                <w:sz w:val="16"/>
                <w:lang w:val="sk-SK"/>
              </w:rPr>
            </w:pPr>
          </w:p>
        </w:tc>
      </w:tr>
      <w:tr w:rsidR="00387C70" w:rsidRPr="003F23AC" w14:paraId="152A9A27" w14:textId="77777777" w:rsidTr="008E475E">
        <w:trPr>
          <w:trHeight w:val="840"/>
        </w:trPr>
        <w:tc>
          <w:tcPr>
            <w:tcW w:w="1135" w:type="dxa"/>
            <w:shd w:val="clear" w:color="auto" w:fill="C4EFCE"/>
            <w:tcMar>
              <w:left w:w="28" w:type="dxa"/>
              <w:right w:w="28" w:type="dxa"/>
            </w:tcMar>
            <w:vAlign w:val="center"/>
            <w:hideMark/>
          </w:tcPr>
          <w:p w14:paraId="2FD964B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14.1</w:t>
            </w:r>
          </w:p>
        </w:tc>
        <w:tc>
          <w:tcPr>
            <w:tcW w:w="1276" w:type="dxa"/>
            <w:shd w:val="clear" w:color="auto" w:fill="C4EFCE"/>
            <w:noWrap/>
            <w:tcMar>
              <w:left w:w="28" w:type="dxa"/>
              <w:right w:w="28" w:type="dxa"/>
            </w:tcMar>
            <w:vAlign w:val="center"/>
            <w:hideMark/>
          </w:tcPr>
          <w:p w14:paraId="41F96EC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TC-C14-r29</w:t>
            </w:r>
          </w:p>
        </w:tc>
        <w:tc>
          <w:tcPr>
            <w:tcW w:w="1134" w:type="dxa"/>
            <w:shd w:val="clear" w:color="auto" w:fill="C4EFCE"/>
            <w:noWrap/>
            <w:tcMar>
              <w:left w:w="28" w:type="dxa"/>
              <w:right w:w="28" w:type="dxa"/>
            </w:tcMar>
            <w:vAlign w:val="center"/>
            <w:hideMark/>
          </w:tcPr>
          <w:p w14:paraId="191BF89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611CEEC8" w14:textId="1BE41E9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národnej prepravnej sieti plynu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národnej distribučnej sieti plynu</w:t>
            </w:r>
          </w:p>
        </w:tc>
        <w:tc>
          <w:tcPr>
            <w:tcW w:w="1275" w:type="dxa"/>
            <w:shd w:val="clear" w:color="auto" w:fill="C4EFCE"/>
            <w:noWrap/>
            <w:tcMar>
              <w:left w:w="28" w:type="dxa"/>
              <w:right w:w="28" w:type="dxa"/>
            </w:tcMar>
            <w:vAlign w:val="center"/>
            <w:hideMark/>
          </w:tcPr>
          <w:p w14:paraId="2E014965" w14:textId="4F8E862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národnej prepravnej sieti plynu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národnej distribučnej sieti plynu</w:t>
            </w:r>
          </w:p>
        </w:tc>
        <w:tc>
          <w:tcPr>
            <w:tcW w:w="993" w:type="dxa"/>
            <w:shd w:val="clear" w:color="auto" w:fill="C4EFCE"/>
            <w:noWrap/>
            <w:tcMar>
              <w:left w:w="28" w:type="dxa"/>
              <w:right w:w="28" w:type="dxa"/>
            </w:tcMar>
            <w:vAlign w:val="center"/>
            <w:hideMark/>
          </w:tcPr>
          <w:p w14:paraId="0269804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246A324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9" w:type="dxa"/>
            <w:shd w:val="clear" w:color="auto" w:fill="C4EFCE"/>
            <w:noWrap/>
            <w:tcMar>
              <w:left w:w="28" w:type="dxa"/>
              <w:right w:w="28" w:type="dxa"/>
            </w:tcMar>
            <w:vAlign w:val="center"/>
            <w:hideMark/>
          </w:tcPr>
          <w:p w14:paraId="1917A08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8" w:type="dxa"/>
            <w:shd w:val="clear" w:color="auto" w:fill="C4EFCE"/>
            <w:noWrap/>
            <w:tcMar>
              <w:left w:w="28" w:type="dxa"/>
              <w:right w:w="28" w:type="dxa"/>
            </w:tcMar>
            <w:vAlign w:val="center"/>
            <w:hideMark/>
          </w:tcPr>
          <w:p w14:paraId="3A75C6D0" w14:textId="6B34F100"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87" w:type="dxa"/>
            <w:shd w:val="clear" w:color="auto" w:fill="C4EFCE"/>
            <w:noWrap/>
            <w:tcMar>
              <w:left w:w="28" w:type="dxa"/>
              <w:right w:w="28" w:type="dxa"/>
            </w:tcMar>
            <w:vAlign w:val="center"/>
            <w:hideMark/>
          </w:tcPr>
          <w:p w14:paraId="5358F1C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3969" w:type="dxa"/>
            <w:shd w:val="clear" w:color="auto" w:fill="C4EFCE"/>
            <w:tcMar>
              <w:left w:w="28" w:type="dxa"/>
              <w:right w:w="28" w:type="dxa"/>
            </w:tcMar>
            <w:vAlign w:val="center"/>
            <w:hideMark/>
          </w:tcPr>
          <w:p w14:paraId="019DAB5D" w14:textId="50F6C4CA"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Nadobudnutie účinnosti zmeneného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doplneného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národnej prepravnej sieti plynu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národnej distribučnej sieti plynu. Zmeny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národnej prepravnej sieti plynu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regulácie národnej distribučnej siete plynu schvaľuje Generálne riaditeľstvo pre energetiku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geológiu</w:t>
            </w:r>
            <w:r w:rsidR="00A75B3C" w:rsidRPr="003F23AC">
              <w:rPr>
                <w:rFonts w:ascii="Times New Roman" w:hAnsi="Times New Roman" w:cs="Times New Roman"/>
                <w:noProof/>
                <w:lang w:val="sk-SK"/>
              </w:rPr>
              <w:t>.</w:t>
            </w:r>
          </w:p>
          <w:p w14:paraId="163F4AF0" w14:textId="3970B0B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Nariadeniam sa umožní stanoviť podmienky pripojenia</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infraštruktúre na prepravu plynu, najmä pokiaľ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vtláčanie plynov obnoviteľného pôvodu vrátane vodíka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ako aj stanoviť minimálne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maximálne percentuálne podiely vstrekovania týchto plynov do sietí. Okrem toho zahŕňajú potrebné revízie technických noriem, ktorými sa zabezpečí kvalita služby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bezpečné používanie týchto infraštruktúr pre všetkých používateľov.</w:t>
            </w:r>
          </w:p>
        </w:tc>
      </w:tr>
      <w:tr w:rsidR="00387C70" w:rsidRPr="003F23AC" w14:paraId="67119968" w14:textId="77777777" w:rsidTr="008E475E">
        <w:trPr>
          <w:trHeight w:val="430"/>
        </w:trPr>
        <w:tc>
          <w:tcPr>
            <w:tcW w:w="1135" w:type="dxa"/>
            <w:shd w:val="clear" w:color="auto" w:fill="C4EFCE"/>
            <w:tcMar>
              <w:left w:w="28" w:type="dxa"/>
              <w:right w:w="28" w:type="dxa"/>
            </w:tcMar>
            <w:vAlign w:val="center"/>
            <w:hideMark/>
          </w:tcPr>
          <w:p w14:paraId="57E1192A"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14.2</w:t>
            </w:r>
          </w:p>
        </w:tc>
        <w:tc>
          <w:tcPr>
            <w:tcW w:w="1276" w:type="dxa"/>
            <w:shd w:val="clear" w:color="auto" w:fill="C4EFCE"/>
            <w:noWrap/>
            <w:tcMar>
              <w:left w:w="28" w:type="dxa"/>
              <w:right w:w="28" w:type="dxa"/>
            </w:tcMar>
            <w:vAlign w:val="center"/>
            <w:hideMark/>
          </w:tcPr>
          <w:p w14:paraId="718F4CD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TC-C14-i01</w:t>
            </w:r>
          </w:p>
        </w:tc>
        <w:tc>
          <w:tcPr>
            <w:tcW w:w="1134" w:type="dxa"/>
            <w:shd w:val="clear" w:color="auto" w:fill="C4EFCE"/>
            <w:noWrap/>
            <w:tcMar>
              <w:left w:w="28" w:type="dxa"/>
              <w:right w:w="28" w:type="dxa"/>
            </w:tcMar>
            <w:vAlign w:val="center"/>
            <w:hideMark/>
          </w:tcPr>
          <w:p w14:paraId="2183426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4398082B" w14:textId="6B65673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Prvá výzva na predkladanie ponúk na projekty výroby plynu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p>
        </w:tc>
        <w:tc>
          <w:tcPr>
            <w:tcW w:w="1275" w:type="dxa"/>
            <w:shd w:val="clear" w:color="auto" w:fill="C4EFCE"/>
            <w:noWrap/>
            <w:tcMar>
              <w:left w:w="28" w:type="dxa"/>
              <w:right w:w="28" w:type="dxa"/>
            </w:tcMar>
            <w:vAlign w:val="center"/>
            <w:hideMark/>
          </w:tcPr>
          <w:p w14:paraId="3A7E38C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Prvá otvorená výzva na predkladanie ponúk</w:t>
            </w:r>
          </w:p>
        </w:tc>
        <w:tc>
          <w:tcPr>
            <w:tcW w:w="993" w:type="dxa"/>
            <w:shd w:val="clear" w:color="auto" w:fill="C4EFCE"/>
            <w:noWrap/>
            <w:tcMar>
              <w:left w:w="28" w:type="dxa"/>
              <w:right w:w="28" w:type="dxa"/>
            </w:tcMar>
            <w:vAlign w:val="center"/>
            <w:hideMark/>
          </w:tcPr>
          <w:p w14:paraId="17551E5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377A70C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9" w:type="dxa"/>
            <w:shd w:val="clear" w:color="auto" w:fill="C4EFCE"/>
            <w:noWrap/>
            <w:tcMar>
              <w:left w:w="28" w:type="dxa"/>
              <w:right w:w="28" w:type="dxa"/>
            </w:tcMar>
            <w:vAlign w:val="center"/>
            <w:hideMark/>
          </w:tcPr>
          <w:p w14:paraId="6F44AB4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8" w:type="dxa"/>
            <w:shd w:val="clear" w:color="auto" w:fill="C4EFCE"/>
            <w:noWrap/>
            <w:tcMar>
              <w:left w:w="28" w:type="dxa"/>
              <w:right w:w="28" w:type="dxa"/>
            </w:tcMar>
            <w:vAlign w:val="center"/>
            <w:hideMark/>
          </w:tcPr>
          <w:p w14:paraId="386C873C" w14:textId="6C660B9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87" w:type="dxa"/>
            <w:shd w:val="clear" w:color="auto" w:fill="C4EFCE"/>
            <w:noWrap/>
            <w:tcMar>
              <w:left w:w="28" w:type="dxa"/>
              <w:right w:w="28" w:type="dxa"/>
            </w:tcMar>
            <w:vAlign w:val="center"/>
            <w:hideMark/>
          </w:tcPr>
          <w:p w14:paraId="368CCFC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3969" w:type="dxa"/>
            <w:shd w:val="clear" w:color="auto" w:fill="C4EFCE"/>
            <w:tcMar>
              <w:left w:w="28" w:type="dxa"/>
              <w:right w:w="28" w:type="dxa"/>
            </w:tcMar>
            <w:vAlign w:val="center"/>
            <w:hideMark/>
          </w:tcPr>
          <w:p w14:paraId="530AF97A" w14:textId="3C8C677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Otvorenie prvej výzvy na výber projektov, ktoré sa majú podporiť na najmenej 88 MW inštalovaného vodíka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plynov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nulovými alebo takmer nulovými emisiami skleníkových plynov počas životného cyklu.</w:t>
            </w:r>
          </w:p>
        </w:tc>
      </w:tr>
      <w:tr w:rsidR="00387C70" w:rsidRPr="003F23AC" w14:paraId="54E877CC" w14:textId="77777777" w:rsidTr="008E475E">
        <w:trPr>
          <w:trHeight w:val="430"/>
        </w:trPr>
        <w:tc>
          <w:tcPr>
            <w:tcW w:w="1135" w:type="dxa"/>
            <w:shd w:val="clear" w:color="auto" w:fill="C4EFCE"/>
            <w:tcMar>
              <w:left w:w="28" w:type="dxa"/>
              <w:right w:w="28" w:type="dxa"/>
            </w:tcMar>
            <w:vAlign w:val="center"/>
            <w:hideMark/>
          </w:tcPr>
          <w:p w14:paraId="29370DB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14.3</w:t>
            </w:r>
          </w:p>
        </w:tc>
        <w:tc>
          <w:tcPr>
            <w:tcW w:w="1276" w:type="dxa"/>
            <w:shd w:val="clear" w:color="auto" w:fill="C4EFCE"/>
            <w:noWrap/>
            <w:tcMar>
              <w:left w:w="28" w:type="dxa"/>
              <w:right w:w="28" w:type="dxa"/>
            </w:tcMar>
            <w:vAlign w:val="center"/>
            <w:hideMark/>
          </w:tcPr>
          <w:p w14:paraId="4014E9C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TC-C14-i01</w:t>
            </w:r>
          </w:p>
        </w:tc>
        <w:tc>
          <w:tcPr>
            <w:tcW w:w="1134" w:type="dxa"/>
            <w:shd w:val="clear" w:color="auto" w:fill="C4EFCE"/>
            <w:noWrap/>
            <w:tcMar>
              <w:left w:w="28" w:type="dxa"/>
              <w:right w:w="28" w:type="dxa"/>
            </w:tcMar>
            <w:vAlign w:val="center"/>
            <w:hideMark/>
          </w:tcPr>
          <w:p w14:paraId="7D599D7B" w14:textId="037DE3F0"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71FB733D" w14:textId="29E83A2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Dodatočná kapacita výroby obnoviteľného vodíka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obnoviteľného plynu</w:t>
            </w:r>
          </w:p>
        </w:tc>
        <w:tc>
          <w:tcPr>
            <w:tcW w:w="1275" w:type="dxa"/>
            <w:shd w:val="clear" w:color="auto" w:fill="C4EFCE"/>
            <w:noWrap/>
            <w:tcMar>
              <w:left w:w="28" w:type="dxa"/>
              <w:right w:w="28" w:type="dxa"/>
            </w:tcMar>
            <w:vAlign w:val="center"/>
            <w:hideMark/>
          </w:tcPr>
          <w:p w14:paraId="5680D93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281A7FD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992" w:type="dxa"/>
            <w:shd w:val="clear" w:color="auto" w:fill="C4EFCE"/>
            <w:noWrap/>
            <w:tcMar>
              <w:left w:w="28" w:type="dxa"/>
              <w:right w:w="28" w:type="dxa"/>
            </w:tcMar>
            <w:vAlign w:val="center"/>
            <w:hideMark/>
          </w:tcPr>
          <w:p w14:paraId="1BA6C83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685C153C" w14:textId="6CF1971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200</w:t>
            </w:r>
          </w:p>
        </w:tc>
        <w:tc>
          <w:tcPr>
            <w:tcW w:w="788" w:type="dxa"/>
            <w:shd w:val="clear" w:color="auto" w:fill="C4EFCE"/>
            <w:noWrap/>
            <w:tcMar>
              <w:left w:w="28" w:type="dxa"/>
              <w:right w:w="28" w:type="dxa"/>
            </w:tcMar>
            <w:vAlign w:val="center"/>
            <w:hideMark/>
          </w:tcPr>
          <w:p w14:paraId="2FA79988" w14:textId="6FBB858C"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87" w:type="dxa"/>
            <w:shd w:val="clear" w:color="auto" w:fill="C4EFCE"/>
            <w:noWrap/>
            <w:tcMar>
              <w:left w:w="28" w:type="dxa"/>
              <w:right w:w="28" w:type="dxa"/>
            </w:tcMar>
            <w:vAlign w:val="center"/>
            <w:hideMark/>
          </w:tcPr>
          <w:p w14:paraId="4BB9BE1D" w14:textId="007A3D2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hideMark/>
          </w:tcPr>
          <w:p w14:paraId="2FBF31DB" w14:textId="43073D4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Dodatočná kapacita výroby vodíka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obnoviteľných plynov inštalovaná</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nulovými alebo takmer nulovými emisiami skleníkových plynov počas životného cyklu. </w:t>
            </w:r>
          </w:p>
        </w:tc>
      </w:tr>
      <w:tr w:rsidR="00387C70" w:rsidRPr="003F23AC" w14:paraId="4E5061F1" w14:textId="77777777" w:rsidTr="008E475E">
        <w:trPr>
          <w:trHeight w:val="473"/>
        </w:trPr>
        <w:tc>
          <w:tcPr>
            <w:tcW w:w="1135" w:type="dxa"/>
            <w:shd w:val="clear" w:color="auto" w:fill="C4EFCE"/>
            <w:tcMar>
              <w:left w:w="28" w:type="dxa"/>
              <w:right w:w="28" w:type="dxa"/>
            </w:tcMar>
            <w:vAlign w:val="center"/>
            <w:hideMark/>
          </w:tcPr>
          <w:p w14:paraId="7548B3C2"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14.4</w:t>
            </w:r>
          </w:p>
        </w:tc>
        <w:tc>
          <w:tcPr>
            <w:tcW w:w="1276" w:type="dxa"/>
            <w:shd w:val="clear" w:color="auto" w:fill="C4EFCE"/>
            <w:noWrap/>
            <w:tcMar>
              <w:left w:w="28" w:type="dxa"/>
              <w:right w:w="28" w:type="dxa"/>
            </w:tcMar>
            <w:vAlign w:val="center"/>
            <w:hideMark/>
          </w:tcPr>
          <w:p w14:paraId="012513D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TC-C14 – i02-RAM</w:t>
            </w:r>
          </w:p>
        </w:tc>
        <w:tc>
          <w:tcPr>
            <w:tcW w:w="1134" w:type="dxa"/>
            <w:shd w:val="clear" w:color="auto" w:fill="C4EFCE"/>
            <w:noWrap/>
            <w:tcMar>
              <w:left w:w="28" w:type="dxa"/>
              <w:right w:w="28" w:type="dxa"/>
            </w:tcMar>
            <w:vAlign w:val="center"/>
            <w:hideMark/>
          </w:tcPr>
          <w:p w14:paraId="0676C40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154BC8E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Inštalácia nového synchrónneho kompenzátora </w:t>
            </w:r>
          </w:p>
        </w:tc>
        <w:tc>
          <w:tcPr>
            <w:tcW w:w="1275" w:type="dxa"/>
            <w:shd w:val="clear" w:color="auto" w:fill="C4EFCE"/>
            <w:noWrap/>
            <w:tcMar>
              <w:left w:w="28" w:type="dxa"/>
              <w:right w:w="28" w:type="dxa"/>
            </w:tcMar>
            <w:vAlign w:val="center"/>
            <w:hideMark/>
          </w:tcPr>
          <w:p w14:paraId="1766B193" w14:textId="6C89AA7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Inštalácia nového synchrónneho kompenzátora</w:t>
            </w:r>
          </w:p>
        </w:tc>
        <w:tc>
          <w:tcPr>
            <w:tcW w:w="993" w:type="dxa"/>
            <w:shd w:val="clear" w:color="auto" w:fill="C4EFCE"/>
            <w:noWrap/>
            <w:tcMar>
              <w:left w:w="28" w:type="dxa"/>
              <w:right w:w="28" w:type="dxa"/>
            </w:tcMar>
            <w:vAlign w:val="center"/>
            <w:hideMark/>
          </w:tcPr>
          <w:p w14:paraId="59B70755"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5DA13D59"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9" w:type="dxa"/>
            <w:shd w:val="clear" w:color="auto" w:fill="C4EFCE"/>
            <w:noWrap/>
            <w:tcMar>
              <w:left w:w="28" w:type="dxa"/>
              <w:right w:w="28" w:type="dxa"/>
            </w:tcMar>
            <w:vAlign w:val="center"/>
            <w:hideMark/>
          </w:tcPr>
          <w:p w14:paraId="0DBB59D9"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8" w:type="dxa"/>
            <w:shd w:val="clear" w:color="auto" w:fill="C4EFCE"/>
            <w:noWrap/>
            <w:tcMar>
              <w:left w:w="28" w:type="dxa"/>
              <w:right w:w="28" w:type="dxa"/>
            </w:tcMar>
            <w:vAlign w:val="center"/>
            <w:hideMark/>
          </w:tcPr>
          <w:p w14:paraId="67729D7D" w14:textId="0BA0B10F"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87" w:type="dxa"/>
            <w:shd w:val="clear" w:color="auto" w:fill="C4EFCE"/>
            <w:noWrap/>
            <w:tcMar>
              <w:left w:w="28" w:type="dxa"/>
              <w:right w:w="28" w:type="dxa"/>
            </w:tcMar>
            <w:vAlign w:val="center"/>
            <w:hideMark/>
          </w:tcPr>
          <w:p w14:paraId="3310C570" w14:textId="785E274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hideMark/>
          </w:tcPr>
          <w:p w14:paraId="25732B49" w14:textId="48D6AF6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inštalácia jedného nového synchrónneho kompenzátora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minimálne 15 MVAr.</w:t>
            </w:r>
          </w:p>
        </w:tc>
      </w:tr>
      <w:tr w:rsidR="00387C70" w:rsidRPr="003F23AC" w14:paraId="22EE209C" w14:textId="77777777" w:rsidTr="008E475E">
        <w:trPr>
          <w:trHeight w:val="1377"/>
        </w:trPr>
        <w:tc>
          <w:tcPr>
            <w:tcW w:w="1135" w:type="dxa"/>
            <w:shd w:val="clear" w:color="auto" w:fill="C4EFCE"/>
            <w:tcMar>
              <w:left w:w="28" w:type="dxa"/>
              <w:right w:w="28" w:type="dxa"/>
            </w:tcMar>
            <w:vAlign w:val="center"/>
            <w:hideMark/>
          </w:tcPr>
          <w:p w14:paraId="7CCA2CE5"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14.5</w:t>
            </w:r>
          </w:p>
        </w:tc>
        <w:tc>
          <w:tcPr>
            <w:tcW w:w="1276" w:type="dxa"/>
            <w:shd w:val="clear" w:color="auto" w:fill="C4EFCE"/>
            <w:noWrap/>
            <w:tcMar>
              <w:left w:w="28" w:type="dxa"/>
              <w:right w:w="28" w:type="dxa"/>
            </w:tcMar>
            <w:vAlign w:val="center"/>
            <w:hideMark/>
          </w:tcPr>
          <w:p w14:paraId="73293EE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TC-C14 – i02-RAM</w:t>
            </w:r>
          </w:p>
        </w:tc>
        <w:tc>
          <w:tcPr>
            <w:tcW w:w="1134" w:type="dxa"/>
            <w:shd w:val="clear" w:color="auto" w:fill="C4EFCE"/>
            <w:noWrap/>
            <w:tcMar>
              <w:left w:w="28" w:type="dxa"/>
              <w:right w:w="28" w:type="dxa"/>
            </w:tcMar>
            <w:vAlign w:val="center"/>
            <w:hideMark/>
          </w:tcPr>
          <w:p w14:paraId="1060267A" w14:textId="3FEE8EE5"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53B0CD1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Dodatočná inštalovaná výrobná kapacita vodnej energie</w:t>
            </w:r>
          </w:p>
        </w:tc>
        <w:tc>
          <w:tcPr>
            <w:tcW w:w="1275" w:type="dxa"/>
            <w:shd w:val="clear" w:color="auto" w:fill="C4EFCE"/>
            <w:noWrap/>
            <w:tcMar>
              <w:left w:w="28" w:type="dxa"/>
              <w:right w:w="28" w:type="dxa"/>
            </w:tcMar>
            <w:vAlign w:val="center"/>
            <w:hideMark/>
          </w:tcPr>
          <w:p w14:paraId="40B8E31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0FECCD3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992" w:type="dxa"/>
            <w:shd w:val="clear" w:color="auto" w:fill="C4EFCE"/>
            <w:noWrap/>
            <w:tcMar>
              <w:left w:w="28" w:type="dxa"/>
              <w:right w:w="28" w:type="dxa"/>
            </w:tcMar>
            <w:vAlign w:val="center"/>
            <w:hideMark/>
          </w:tcPr>
          <w:p w14:paraId="0A8A558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77FF267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w:t>
            </w:r>
          </w:p>
        </w:tc>
        <w:tc>
          <w:tcPr>
            <w:tcW w:w="788" w:type="dxa"/>
            <w:shd w:val="clear" w:color="auto" w:fill="C4EFCE"/>
            <w:noWrap/>
            <w:tcMar>
              <w:left w:w="28" w:type="dxa"/>
              <w:right w:w="28" w:type="dxa"/>
            </w:tcMar>
            <w:vAlign w:val="center"/>
            <w:hideMark/>
          </w:tcPr>
          <w:p w14:paraId="127416C0" w14:textId="2409652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87" w:type="dxa"/>
            <w:shd w:val="clear" w:color="auto" w:fill="C4EFCE"/>
            <w:noWrap/>
            <w:tcMar>
              <w:left w:w="28" w:type="dxa"/>
              <w:right w:w="28" w:type="dxa"/>
            </w:tcMar>
            <w:vAlign w:val="center"/>
            <w:hideMark/>
          </w:tcPr>
          <w:p w14:paraId="0A99841E" w14:textId="28C6202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hideMark/>
          </w:tcPr>
          <w:p w14:paraId="3E6E2780" w14:textId="44546FA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Zvýšenie inštalovaného výkonu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obnovenej vodnej hydroelektrárni Serra. </w:t>
            </w:r>
          </w:p>
        </w:tc>
      </w:tr>
      <w:tr w:rsidR="00387C70" w:rsidRPr="003F23AC" w14:paraId="0D7AA8AD" w14:textId="77777777" w:rsidTr="008E475E">
        <w:trPr>
          <w:trHeight w:val="290"/>
        </w:trPr>
        <w:tc>
          <w:tcPr>
            <w:tcW w:w="1135" w:type="dxa"/>
            <w:shd w:val="clear" w:color="auto" w:fill="C4EFCE"/>
            <w:tcMar>
              <w:left w:w="28" w:type="dxa"/>
              <w:right w:w="28" w:type="dxa"/>
            </w:tcMar>
            <w:vAlign w:val="center"/>
            <w:hideMark/>
          </w:tcPr>
          <w:p w14:paraId="2465C29C"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14.6</w:t>
            </w:r>
          </w:p>
        </w:tc>
        <w:tc>
          <w:tcPr>
            <w:tcW w:w="1276" w:type="dxa"/>
            <w:shd w:val="clear" w:color="auto" w:fill="C4EFCE"/>
            <w:noWrap/>
            <w:tcMar>
              <w:left w:w="28" w:type="dxa"/>
              <w:right w:w="28" w:type="dxa"/>
            </w:tcMar>
            <w:vAlign w:val="center"/>
            <w:hideMark/>
          </w:tcPr>
          <w:p w14:paraId="6EE7AE8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TC-C14 – i02-RAM</w:t>
            </w:r>
          </w:p>
        </w:tc>
        <w:tc>
          <w:tcPr>
            <w:tcW w:w="1134" w:type="dxa"/>
            <w:shd w:val="clear" w:color="auto" w:fill="C4EFCE"/>
            <w:noWrap/>
            <w:tcMar>
              <w:left w:w="28" w:type="dxa"/>
              <w:right w:w="28" w:type="dxa"/>
            </w:tcMar>
            <w:vAlign w:val="center"/>
            <w:hideMark/>
          </w:tcPr>
          <w:p w14:paraId="491EE19C" w14:textId="40C709C8"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40C1E7A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Renovovaná inštalovaná kapacita na výrobu vodnej energie</w:t>
            </w:r>
          </w:p>
        </w:tc>
        <w:tc>
          <w:tcPr>
            <w:tcW w:w="1275" w:type="dxa"/>
            <w:shd w:val="clear" w:color="auto" w:fill="C4EFCE"/>
            <w:noWrap/>
            <w:tcMar>
              <w:left w:w="28" w:type="dxa"/>
              <w:right w:w="28" w:type="dxa"/>
            </w:tcMar>
            <w:vAlign w:val="center"/>
            <w:hideMark/>
          </w:tcPr>
          <w:p w14:paraId="69DFC9A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4948E8E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992" w:type="dxa"/>
            <w:shd w:val="clear" w:color="auto" w:fill="C4EFCE"/>
            <w:noWrap/>
            <w:tcMar>
              <w:left w:w="28" w:type="dxa"/>
              <w:right w:w="28" w:type="dxa"/>
            </w:tcMar>
            <w:vAlign w:val="center"/>
            <w:hideMark/>
          </w:tcPr>
          <w:p w14:paraId="0D1BFE2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05F2BB6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6,2</w:t>
            </w:r>
          </w:p>
        </w:tc>
        <w:tc>
          <w:tcPr>
            <w:tcW w:w="788" w:type="dxa"/>
            <w:shd w:val="clear" w:color="auto" w:fill="C4EFCE"/>
            <w:noWrap/>
            <w:tcMar>
              <w:left w:w="28" w:type="dxa"/>
              <w:right w:w="28" w:type="dxa"/>
            </w:tcMar>
            <w:vAlign w:val="center"/>
            <w:hideMark/>
          </w:tcPr>
          <w:p w14:paraId="4C0CE51E" w14:textId="7D1139D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87" w:type="dxa"/>
            <w:shd w:val="clear" w:color="auto" w:fill="C4EFCE"/>
            <w:noWrap/>
            <w:tcMar>
              <w:left w:w="28" w:type="dxa"/>
              <w:right w:w="28" w:type="dxa"/>
            </w:tcMar>
            <w:vAlign w:val="center"/>
            <w:hideMark/>
          </w:tcPr>
          <w:p w14:paraId="25BE834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hideMark/>
          </w:tcPr>
          <w:p w14:paraId="2F5A60EB"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Úplná renovácia týchto vodných elektrární</w:t>
            </w:r>
            <w:r w:rsidR="00A75B3C" w:rsidRPr="003F23AC">
              <w:rPr>
                <w:rFonts w:ascii="Times New Roman" w:hAnsi="Times New Roman" w:cs="Times New Roman"/>
                <w:noProof/>
                <w:lang w:val="sk-SK"/>
              </w:rPr>
              <w:t>:</w:t>
            </w:r>
          </w:p>
          <w:p w14:paraId="2717AC00" w14:textId="2936F308"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Vodná elektráreň Serra: výmena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modernizácia elektrického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mechanického zariadenia, údržba iba budovy</w:t>
            </w:r>
            <w:r w:rsidR="00A75B3C" w:rsidRPr="003F23AC">
              <w:rPr>
                <w:rFonts w:ascii="Times New Roman" w:hAnsi="Times New Roman" w:cs="Times New Roman"/>
                <w:noProof/>
                <w:lang w:val="sk-SK"/>
              </w:rPr>
              <w:t>.</w:t>
            </w:r>
          </w:p>
          <w:p w14:paraId="18BFB475" w14:textId="3E80C49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Vodná elektráreň Calheta I: výmena väčšiny aktív, najmä dvoch výrobných súprav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inštalovanou kapacitou 0,5 MW</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iných elektrických systémov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výnimkou budovy. Práce zahŕňajú aj obnovu kanálov vedúcich</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elektrárni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celkovej dĺžke približne 13 km.</w:t>
            </w:r>
          </w:p>
        </w:tc>
      </w:tr>
      <w:tr w:rsidR="00387C70" w:rsidRPr="003F23AC" w14:paraId="6E33C52D" w14:textId="77777777" w:rsidTr="008E475E">
        <w:trPr>
          <w:trHeight w:val="290"/>
        </w:trPr>
        <w:tc>
          <w:tcPr>
            <w:tcW w:w="1135" w:type="dxa"/>
            <w:shd w:val="clear" w:color="auto" w:fill="C4EFCE"/>
            <w:tcMar>
              <w:left w:w="28" w:type="dxa"/>
              <w:right w:w="28" w:type="dxa"/>
            </w:tcMar>
            <w:vAlign w:val="center"/>
            <w:hideMark/>
          </w:tcPr>
          <w:p w14:paraId="40BC8F1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14.7</w:t>
            </w:r>
          </w:p>
        </w:tc>
        <w:tc>
          <w:tcPr>
            <w:tcW w:w="1276" w:type="dxa"/>
            <w:shd w:val="clear" w:color="auto" w:fill="C4EFCE"/>
            <w:noWrap/>
            <w:tcMar>
              <w:left w:w="28" w:type="dxa"/>
              <w:right w:w="28" w:type="dxa"/>
            </w:tcMar>
            <w:vAlign w:val="center"/>
            <w:hideMark/>
          </w:tcPr>
          <w:p w14:paraId="1CC9935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TC-C14 – i02-RAM</w:t>
            </w:r>
          </w:p>
        </w:tc>
        <w:tc>
          <w:tcPr>
            <w:tcW w:w="1134" w:type="dxa"/>
            <w:shd w:val="clear" w:color="auto" w:fill="C4EFCE"/>
            <w:noWrap/>
            <w:tcMar>
              <w:left w:w="28" w:type="dxa"/>
              <w:right w:w="28" w:type="dxa"/>
            </w:tcMar>
            <w:vAlign w:val="center"/>
            <w:hideMark/>
          </w:tcPr>
          <w:p w14:paraId="7C251B82" w14:textId="5B0CE610"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369D33F4" w14:textId="18F8C8E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Dodatočná inštalovaná kapacita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batériovom systéme uskladňovania energie</w:t>
            </w:r>
          </w:p>
        </w:tc>
        <w:tc>
          <w:tcPr>
            <w:tcW w:w="1275" w:type="dxa"/>
            <w:shd w:val="clear" w:color="auto" w:fill="C4EFCE"/>
            <w:noWrap/>
            <w:tcMar>
              <w:left w:w="28" w:type="dxa"/>
              <w:right w:w="28" w:type="dxa"/>
            </w:tcMar>
            <w:vAlign w:val="center"/>
            <w:hideMark/>
          </w:tcPr>
          <w:p w14:paraId="47DED68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4AD7FBE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992" w:type="dxa"/>
            <w:shd w:val="clear" w:color="auto" w:fill="C4EFCE"/>
            <w:noWrap/>
            <w:tcMar>
              <w:left w:w="28" w:type="dxa"/>
              <w:right w:w="28" w:type="dxa"/>
            </w:tcMar>
            <w:vAlign w:val="center"/>
            <w:hideMark/>
          </w:tcPr>
          <w:p w14:paraId="5AE80CC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1340420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w:t>
            </w:r>
          </w:p>
        </w:tc>
        <w:tc>
          <w:tcPr>
            <w:tcW w:w="788" w:type="dxa"/>
            <w:shd w:val="clear" w:color="auto" w:fill="C4EFCE"/>
            <w:noWrap/>
            <w:tcMar>
              <w:left w:w="28" w:type="dxa"/>
              <w:right w:w="28" w:type="dxa"/>
            </w:tcMar>
            <w:vAlign w:val="center"/>
            <w:hideMark/>
          </w:tcPr>
          <w:p w14:paraId="23311448" w14:textId="3A3E83B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87" w:type="dxa"/>
            <w:shd w:val="clear" w:color="auto" w:fill="C4EFCE"/>
            <w:noWrap/>
            <w:tcMar>
              <w:left w:w="28" w:type="dxa"/>
              <w:right w:w="28" w:type="dxa"/>
            </w:tcMar>
            <w:vAlign w:val="center"/>
            <w:hideMark/>
          </w:tcPr>
          <w:p w14:paraId="2CE3C18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hideMark/>
          </w:tcPr>
          <w:p w14:paraId="54095896" w14:textId="26DE6D43"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Zvýšenie uskladňovania elektrickej energie pridaním inštalovanej kapacity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batériových systémoch</w:t>
            </w:r>
            <w:r w:rsidR="00A75B3C" w:rsidRPr="003F23AC">
              <w:rPr>
                <w:rFonts w:ascii="Times New Roman" w:hAnsi="Times New Roman" w:cs="Times New Roman"/>
                <w:noProof/>
                <w:lang w:val="sk-SK"/>
              </w:rPr>
              <w:t>.</w:t>
            </w:r>
          </w:p>
          <w:p w14:paraId="388555A7" w14:textId="522E449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Pridaná kapacita je najmenej 21 MW/27 MWh</w:t>
            </w:r>
          </w:p>
        </w:tc>
      </w:tr>
      <w:tr w:rsidR="00387C70" w:rsidRPr="003F23AC" w14:paraId="1948699A" w14:textId="77777777" w:rsidTr="008E475E">
        <w:trPr>
          <w:trHeight w:val="430"/>
        </w:trPr>
        <w:tc>
          <w:tcPr>
            <w:tcW w:w="1135" w:type="dxa"/>
            <w:shd w:val="clear" w:color="auto" w:fill="C4EFCE"/>
            <w:tcMar>
              <w:left w:w="28" w:type="dxa"/>
              <w:right w:w="28" w:type="dxa"/>
            </w:tcMar>
            <w:vAlign w:val="center"/>
            <w:hideMark/>
          </w:tcPr>
          <w:p w14:paraId="2C554E92"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14.8</w:t>
            </w:r>
          </w:p>
        </w:tc>
        <w:tc>
          <w:tcPr>
            <w:tcW w:w="1276" w:type="dxa"/>
            <w:shd w:val="clear" w:color="auto" w:fill="C4EFCE"/>
            <w:noWrap/>
            <w:tcMar>
              <w:left w:w="28" w:type="dxa"/>
              <w:right w:w="28" w:type="dxa"/>
            </w:tcMar>
            <w:vAlign w:val="center"/>
            <w:hideMark/>
          </w:tcPr>
          <w:p w14:paraId="5FB40C1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TC-C14 – i02-RAM</w:t>
            </w:r>
          </w:p>
        </w:tc>
        <w:tc>
          <w:tcPr>
            <w:tcW w:w="1134" w:type="dxa"/>
            <w:shd w:val="clear" w:color="auto" w:fill="C4EFCE"/>
            <w:noWrap/>
            <w:tcMar>
              <w:left w:w="28" w:type="dxa"/>
              <w:right w:w="28" w:type="dxa"/>
            </w:tcMar>
            <w:vAlign w:val="center"/>
            <w:hideMark/>
          </w:tcPr>
          <w:p w14:paraId="194061B1" w14:textId="543CA032"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55F0718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Dodatočná kapacita na integráciu nového inštalovaného výkonu do elektrizačnej sústavy</w:t>
            </w:r>
          </w:p>
        </w:tc>
        <w:tc>
          <w:tcPr>
            <w:tcW w:w="1275" w:type="dxa"/>
            <w:shd w:val="clear" w:color="auto" w:fill="C4EFCE"/>
            <w:noWrap/>
            <w:tcMar>
              <w:left w:w="28" w:type="dxa"/>
              <w:right w:w="28" w:type="dxa"/>
            </w:tcMar>
            <w:vAlign w:val="center"/>
            <w:hideMark/>
          </w:tcPr>
          <w:p w14:paraId="04404B0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318AC5C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992" w:type="dxa"/>
            <w:shd w:val="clear" w:color="auto" w:fill="C4EFCE"/>
            <w:noWrap/>
            <w:tcMar>
              <w:left w:w="28" w:type="dxa"/>
              <w:right w:w="28" w:type="dxa"/>
            </w:tcMar>
            <w:vAlign w:val="center"/>
            <w:hideMark/>
          </w:tcPr>
          <w:p w14:paraId="33D2174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1DD4745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48</w:t>
            </w:r>
          </w:p>
        </w:tc>
        <w:tc>
          <w:tcPr>
            <w:tcW w:w="788" w:type="dxa"/>
            <w:shd w:val="clear" w:color="auto" w:fill="C4EFCE"/>
            <w:noWrap/>
            <w:tcMar>
              <w:left w:w="28" w:type="dxa"/>
              <w:right w:w="28" w:type="dxa"/>
            </w:tcMar>
            <w:vAlign w:val="center"/>
            <w:hideMark/>
          </w:tcPr>
          <w:p w14:paraId="7A7FC3C8" w14:textId="56A9688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87" w:type="dxa"/>
            <w:shd w:val="clear" w:color="auto" w:fill="C4EFCE"/>
            <w:noWrap/>
            <w:tcMar>
              <w:left w:w="28" w:type="dxa"/>
              <w:right w:w="28" w:type="dxa"/>
            </w:tcMar>
            <w:vAlign w:val="center"/>
            <w:hideMark/>
          </w:tcPr>
          <w:p w14:paraId="1286C6D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57880C30" w14:textId="2E8CB2A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Zvýšenie kapacity na integráciu obnoviteľných zdrojov energie do elektrizačnej sústavy ARM. Modernizácia dosahuje 8 MW</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Porte Santo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40 MW na Madeire.</w:t>
            </w:r>
          </w:p>
        </w:tc>
      </w:tr>
      <w:tr w:rsidR="00387C70" w:rsidRPr="003F23AC" w14:paraId="7777E58F" w14:textId="77777777" w:rsidTr="008E475E">
        <w:trPr>
          <w:trHeight w:val="430"/>
        </w:trPr>
        <w:tc>
          <w:tcPr>
            <w:tcW w:w="1135" w:type="dxa"/>
            <w:shd w:val="clear" w:color="auto" w:fill="C4EFCE"/>
            <w:tcMar>
              <w:left w:w="28" w:type="dxa"/>
              <w:right w:w="28" w:type="dxa"/>
            </w:tcMar>
            <w:vAlign w:val="center"/>
            <w:hideMark/>
          </w:tcPr>
          <w:p w14:paraId="0A07FC7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14.9</w:t>
            </w:r>
          </w:p>
        </w:tc>
        <w:tc>
          <w:tcPr>
            <w:tcW w:w="1276" w:type="dxa"/>
            <w:shd w:val="clear" w:color="auto" w:fill="C4EFCE"/>
            <w:noWrap/>
            <w:tcMar>
              <w:left w:w="28" w:type="dxa"/>
              <w:right w:w="28" w:type="dxa"/>
            </w:tcMar>
            <w:vAlign w:val="center"/>
            <w:hideMark/>
          </w:tcPr>
          <w:p w14:paraId="6F6CE13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TC-C14 – i02-RAM</w:t>
            </w:r>
          </w:p>
        </w:tc>
        <w:tc>
          <w:tcPr>
            <w:tcW w:w="1134" w:type="dxa"/>
            <w:shd w:val="clear" w:color="auto" w:fill="C4EFCE"/>
            <w:noWrap/>
            <w:tcMar>
              <w:left w:w="28" w:type="dxa"/>
              <w:right w:w="28" w:type="dxa"/>
            </w:tcMar>
            <w:vAlign w:val="center"/>
            <w:hideMark/>
          </w:tcPr>
          <w:p w14:paraId="3F096E46" w14:textId="3D31C4EA"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67D8452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Inštalácia inteligentných meračov </w:t>
            </w:r>
          </w:p>
        </w:tc>
        <w:tc>
          <w:tcPr>
            <w:tcW w:w="1275" w:type="dxa"/>
            <w:shd w:val="clear" w:color="auto" w:fill="C4EFCE"/>
            <w:noWrap/>
            <w:tcMar>
              <w:left w:w="28" w:type="dxa"/>
              <w:right w:w="28" w:type="dxa"/>
            </w:tcMar>
            <w:vAlign w:val="center"/>
            <w:hideMark/>
          </w:tcPr>
          <w:p w14:paraId="6EE2AFB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097B7CD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6171D01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664A2B0C" w14:textId="53CB6B0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130 000</w:t>
            </w:r>
          </w:p>
        </w:tc>
        <w:tc>
          <w:tcPr>
            <w:tcW w:w="788" w:type="dxa"/>
            <w:shd w:val="clear" w:color="auto" w:fill="C4EFCE"/>
            <w:noWrap/>
            <w:tcMar>
              <w:left w:w="28" w:type="dxa"/>
              <w:right w:w="28" w:type="dxa"/>
            </w:tcMar>
            <w:vAlign w:val="center"/>
            <w:hideMark/>
          </w:tcPr>
          <w:p w14:paraId="466259E1" w14:textId="6DA8A60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87" w:type="dxa"/>
            <w:shd w:val="clear" w:color="auto" w:fill="C4EFCE"/>
            <w:noWrap/>
            <w:tcMar>
              <w:left w:w="28" w:type="dxa"/>
              <w:right w:w="28" w:type="dxa"/>
            </w:tcMar>
            <w:vAlign w:val="center"/>
            <w:hideMark/>
          </w:tcPr>
          <w:p w14:paraId="461EE38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2A0AB2BE" w14:textId="3478C7B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Poskytovanie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inštalácia nových inteligentných meračov (meračov elektrickej energie, ktoré zaznamenávajú informácie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spotrebe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ktoré sú pripojené ku komunikačnej sieti)</w:t>
            </w:r>
          </w:p>
        </w:tc>
      </w:tr>
      <w:tr w:rsidR="00387C70" w:rsidRPr="003F23AC" w14:paraId="085247C8" w14:textId="77777777" w:rsidTr="008E475E">
        <w:trPr>
          <w:trHeight w:val="300"/>
        </w:trPr>
        <w:tc>
          <w:tcPr>
            <w:tcW w:w="1135" w:type="dxa"/>
            <w:shd w:val="clear" w:color="auto" w:fill="C4EFCE"/>
            <w:tcMar>
              <w:left w:w="28" w:type="dxa"/>
              <w:right w:w="28" w:type="dxa"/>
            </w:tcMar>
            <w:vAlign w:val="center"/>
            <w:hideMark/>
          </w:tcPr>
          <w:p w14:paraId="4DAE842D"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14.10</w:t>
            </w:r>
          </w:p>
        </w:tc>
        <w:tc>
          <w:tcPr>
            <w:tcW w:w="1276" w:type="dxa"/>
            <w:shd w:val="clear" w:color="auto" w:fill="C4EFCE"/>
            <w:noWrap/>
            <w:tcMar>
              <w:left w:w="28" w:type="dxa"/>
              <w:right w:w="28" w:type="dxa"/>
            </w:tcMar>
            <w:vAlign w:val="center"/>
            <w:hideMark/>
          </w:tcPr>
          <w:p w14:paraId="3B119B7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TC-C14 – i02-RAM</w:t>
            </w:r>
          </w:p>
        </w:tc>
        <w:tc>
          <w:tcPr>
            <w:tcW w:w="1134" w:type="dxa"/>
            <w:shd w:val="clear" w:color="auto" w:fill="C4EFCE"/>
            <w:noWrap/>
            <w:tcMar>
              <w:left w:w="28" w:type="dxa"/>
              <w:right w:w="28" w:type="dxa"/>
            </w:tcMar>
            <w:vAlign w:val="center"/>
            <w:hideMark/>
          </w:tcPr>
          <w:p w14:paraId="2D8644BA" w14:textId="1CA84D0F"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1307704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Výmena miest pouličného osvetlenia </w:t>
            </w:r>
          </w:p>
        </w:tc>
        <w:tc>
          <w:tcPr>
            <w:tcW w:w="1275" w:type="dxa"/>
            <w:shd w:val="clear" w:color="auto" w:fill="C4EFCE"/>
            <w:noWrap/>
            <w:tcMar>
              <w:left w:w="28" w:type="dxa"/>
              <w:right w:w="28" w:type="dxa"/>
            </w:tcMar>
            <w:vAlign w:val="center"/>
            <w:hideMark/>
          </w:tcPr>
          <w:p w14:paraId="1F6A61E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4F3AB12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19AB4E5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5BE9D87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8 750</w:t>
            </w:r>
          </w:p>
        </w:tc>
        <w:tc>
          <w:tcPr>
            <w:tcW w:w="788" w:type="dxa"/>
            <w:shd w:val="clear" w:color="auto" w:fill="C4EFCE"/>
            <w:noWrap/>
            <w:tcMar>
              <w:left w:w="28" w:type="dxa"/>
              <w:right w:w="28" w:type="dxa"/>
            </w:tcMar>
            <w:vAlign w:val="center"/>
            <w:hideMark/>
          </w:tcPr>
          <w:p w14:paraId="352149A8" w14:textId="1CAAFF7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87" w:type="dxa"/>
            <w:shd w:val="clear" w:color="auto" w:fill="C4EFCE"/>
            <w:noWrap/>
            <w:tcMar>
              <w:left w:w="28" w:type="dxa"/>
              <w:right w:w="28" w:type="dxa"/>
            </w:tcMar>
            <w:vAlign w:val="center"/>
            <w:hideMark/>
          </w:tcPr>
          <w:p w14:paraId="59138D5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5E233918" w14:textId="685169B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Nahradenie siete verejného osvetlenia nízkoenergetickým LED osvetlením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ich systémom riadenia</w:t>
            </w:r>
          </w:p>
        </w:tc>
      </w:tr>
      <w:tr w:rsidR="00387C70" w:rsidRPr="003F23AC" w14:paraId="49C49B34" w14:textId="77777777" w:rsidTr="008E475E">
        <w:trPr>
          <w:trHeight w:val="630"/>
        </w:trPr>
        <w:tc>
          <w:tcPr>
            <w:tcW w:w="1135" w:type="dxa"/>
            <w:shd w:val="clear" w:color="auto" w:fill="C4EFCE"/>
            <w:tcMar>
              <w:left w:w="28" w:type="dxa"/>
              <w:right w:w="28" w:type="dxa"/>
            </w:tcMar>
            <w:vAlign w:val="center"/>
            <w:hideMark/>
          </w:tcPr>
          <w:p w14:paraId="5798730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14.11</w:t>
            </w:r>
          </w:p>
        </w:tc>
        <w:tc>
          <w:tcPr>
            <w:tcW w:w="1276" w:type="dxa"/>
            <w:shd w:val="clear" w:color="auto" w:fill="C4EFCE"/>
            <w:noWrap/>
            <w:tcMar>
              <w:left w:w="28" w:type="dxa"/>
              <w:right w:w="28" w:type="dxa"/>
            </w:tcMar>
            <w:vAlign w:val="center"/>
            <w:hideMark/>
          </w:tcPr>
          <w:p w14:paraId="0E810C2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TC-C14 – i03-RAA</w:t>
            </w:r>
          </w:p>
        </w:tc>
        <w:tc>
          <w:tcPr>
            <w:tcW w:w="1134" w:type="dxa"/>
            <w:shd w:val="clear" w:color="auto" w:fill="C4EFCE"/>
            <w:noWrap/>
            <w:tcMar>
              <w:left w:w="28" w:type="dxa"/>
              <w:right w:w="28" w:type="dxa"/>
            </w:tcMar>
            <w:vAlign w:val="center"/>
            <w:hideMark/>
          </w:tcPr>
          <w:p w14:paraId="07BB7096" w14:textId="5FC643E2"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3CDAE41D" w14:textId="6199C81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Dodatočná</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obnovená inštalovaná geotermálna výrobná kapacita</w:t>
            </w:r>
          </w:p>
        </w:tc>
        <w:tc>
          <w:tcPr>
            <w:tcW w:w="1275" w:type="dxa"/>
            <w:shd w:val="clear" w:color="auto" w:fill="C4EFCE"/>
            <w:noWrap/>
            <w:tcMar>
              <w:left w:w="28" w:type="dxa"/>
              <w:right w:w="28" w:type="dxa"/>
            </w:tcMar>
            <w:vAlign w:val="center"/>
            <w:hideMark/>
          </w:tcPr>
          <w:p w14:paraId="346DFA2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7A22D7A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992" w:type="dxa"/>
            <w:shd w:val="clear" w:color="auto" w:fill="C4EFCE"/>
            <w:noWrap/>
            <w:tcMar>
              <w:left w:w="28" w:type="dxa"/>
              <w:right w:w="28" w:type="dxa"/>
            </w:tcMar>
            <w:vAlign w:val="center"/>
            <w:hideMark/>
          </w:tcPr>
          <w:p w14:paraId="25B7021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78D74A9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w:t>
            </w:r>
          </w:p>
        </w:tc>
        <w:tc>
          <w:tcPr>
            <w:tcW w:w="788" w:type="dxa"/>
            <w:shd w:val="clear" w:color="auto" w:fill="C4EFCE"/>
            <w:noWrap/>
            <w:tcMar>
              <w:left w:w="28" w:type="dxa"/>
              <w:right w:w="28" w:type="dxa"/>
            </w:tcMar>
            <w:vAlign w:val="center"/>
            <w:hideMark/>
          </w:tcPr>
          <w:p w14:paraId="7654C1AA" w14:textId="7490855E"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87" w:type="dxa"/>
            <w:shd w:val="clear" w:color="auto" w:fill="C4EFCE"/>
            <w:noWrap/>
            <w:tcMar>
              <w:left w:w="28" w:type="dxa"/>
              <w:right w:w="28" w:type="dxa"/>
            </w:tcMar>
            <w:vAlign w:val="center"/>
            <w:hideMark/>
          </w:tcPr>
          <w:p w14:paraId="2C969610" w14:textId="294D2D8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hideMark/>
          </w:tcPr>
          <w:p w14:paraId="40223A20" w14:textId="52D5802F"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Zvýšiť kapacitu na výrobu elektrickej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najmä</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geotermálnej energie. Dodatočná kapacita (12 MW) sa inštaluje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geologickom závode Pico Alto</w:t>
            </w:r>
            <w:r w:rsidR="00A75B3C" w:rsidRPr="003F23AC">
              <w:rPr>
                <w:rFonts w:ascii="Times New Roman" w:hAnsi="Times New Roman" w:cs="Times New Roman"/>
                <w:noProof/>
                <w:lang w:val="sk-SK"/>
              </w:rPr>
              <w:t xml:space="preserve"> a v </w:t>
            </w:r>
            <w:r w:rsidRPr="003F23AC">
              <w:rPr>
                <w:rFonts w:ascii="Times New Roman" w:hAnsi="Times New Roman" w:cs="Times New Roman"/>
                <w:noProof/>
                <w:lang w:val="sk-SK"/>
              </w:rPr>
              <w:t>elektrárni Pico Vermelho Geothermal</w:t>
            </w:r>
            <w:r w:rsidR="00A75B3C" w:rsidRPr="003F23AC">
              <w:rPr>
                <w:rFonts w:ascii="Times New Roman" w:hAnsi="Times New Roman" w:cs="Times New Roman"/>
                <w:noProof/>
                <w:lang w:val="sk-SK"/>
              </w:rPr>
              <w:t>.</w:t>
            </w:r>
          </w:p>
          <w:p w14:paraId="2807AEAB" w14:textId="11DE4E9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Renováciou geotermálnej elektrárne Ribeira Grande sa zavedú tri nové geotermálne vrty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existujúce výrobné jednotky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výkonom 2 x 2,5 MW nahradí efektívnejším výrobným zariadením</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výkonom 5 MW.</w:t>
            </w:r>
          </w:p>
        </w:tc>
      </w:tr>
      <w:tr w:rsidR="00387C70" w:rsidRPr="003F23AC" w14:paraId="6EB81417" w14:textId="77777777" w:rsidTr="008E475E">
        <w:trPr>
          <w:trHeight w:val="430"/>
        </w:trPr>
        <w:tc>
          <w:tcPr>
            <w:tcW w:w="1135" w:type="dxa"/>
            <w:shd w:val="clear" w:color="auto" w:fill="C4EFCE"/>
            <w:tcMar>
              <w:left w:w="28" w:type="dxa"/>
              <w:right w:w="28" w:type="dxa"/>
            </w:tcMar>
            <w:vAlign w:val="center"/>
            <w:hideMark/>
          </w:tcPr>
          <w:p w14:paraId="3405F6EB"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14.12</w:t>
            </w:r>
          </w:p>
        </w:tc>
        <w:tc>
          <w:tcPr>
            <w:tcW w:w="1276" w:type="dxa"/>
            <w:shd w:val="clear" w:color="auto" w:fill="C4EFCE"/>
            <w:noWrap/>
            <w:tcMar>
              <w:left w:w="28" w:type="dxa"/>
              <w:right w:w="28" w:type="dxa"/>
            </w:tcMar>
            <w:vAlign w:val="center"/>
            <w:hideMark/>
          </w:tcPr>
          <w:p w14:paraId="63DE582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TC-C14 – i03-RAA</w:t>
            </w:r>
          </w:p>
        </w:tc>
        <w:tc>
          <w:tcPr>
            <w:tcW w:w="1134" w:type="dxa"/>
            <w:shd w:val="clear" w:color="auto" w:fill="C4EFCE"/>
            <w:noWrap/>
            <w:tcMar>
              <w:left w:w="28" w:type="dxa"/>
              <w:right w:w="28" w:type="dxa"/>
            </w:tcMar>
            <w:vAlign w:val="center"/>
            <w:hideMark/>
          </w:tcPr>
          <w:p w14:paraId="63E7E41F" w14:textId="7BA86BDF"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522755F2" w14:textId="1AF59EC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Dodatočná výroba elektrickej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Corvo</w:t>
            </w:r>
          </w:p>
        </w:tc>
        <w:tc>
          <w:tcPr>
            <w:tcW w:w="1275" w:type="dxa"/>
            <w:shd w:val="clear" w:color="auto" w:fill="C4EFCE"/>
            <w:noWrap/>
            <w:tcMar>
              <w:left w:w="28" w:type="dxa"/>
              <w:right w:w="28" w:type="dxa"/>
            </w:tcMar>
            <w:vAlign w:val="center"/>
            <w:hideMark/>
          </w:tcPr>
          <w:p w14:paraId="4A19193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3FE8B62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kW</w:t>
            </w:r>
          </w:p>
        </w:tc>
        <w:tc>
          <w:tcPr>
            <w:tcW w:w="992" w:type="dxa"/>
            <w:shd w:val="clear" w:color="auto" w:fill="C4EFCE"/>
            <w:noWrap/>
            <w:tcMar>
              <w:left w:w="28" w:type="dxa"/>
              <w:right w:w="28" w:type="dxa"/>
            </w:tcMar>
            <w:vAlign w:val="center"/>
            <w:hideMark/>
          </w:tcPr>
          <w:p w14:paraId="5DA012D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60FE94F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850</w:t>
            </w:r>
          </w:p>
        </w:tc>
        <w:tc>
          <w:tcPr>
            <w:tcW w:w="788" w:type="dxa"/>
            <w:shd w:val="clear" w:color="auto" w:fill="C4EFCE"/>
            <w:noWrap/>
            <w:tcMar>
              <w:left w:w="28" w:type="dxa"/>
              <w:right w:w="28" w:type="dxa"/>
            </w:tcMar>
            <w:vAlign w:val="center"/>
            <w:hideMark/>
          </w:tcPr>
          <w:p w14:paraId="21A4EA86" w14:textId="6813252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87" w:type="dxa"/>
            <w:shd w:val="clear" w:color="auto" w:fill="C4EFCE"/>
            <w:noWrap/>
            <w:tcMar>
              <w:left w:w="28" w:type="dxa"/>
              <w:right w:w="28" w:type="dxa"/>
            </w:tcMar>
            <w:vAlign w:val="center"/>
            <w:hideMark/>
          </w:tcPr>
          <w:p w14:paraId="4EC5CBA7" w14:textId="5D6061B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hideMark/>
          </w:tcPr>
          <w:p w14:paraId="1522AF9F" w14:textId="127C230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Zvýšiť inštalovanú kapacitu na výrobu elektrickej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 ostrove Corvo prostredníctvom inštalácie fotovoltického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veterného parku.</w:t>
            </w:r>
          </w:p>
        </w:tc>
      </w:tr>
      <w:tr w:rsidR="00387C70" w:rsidRPr="003F23AC" w14:paraId="4BF28A70" w14:textId="77777777" w:rsidTr="008E475E">
        <w:trPr>
          <w:trHeight w:val="640"/>
        </w:trPr>
        <w:tc>
          <w:tcPr>
            <w:tcW w:w="1135" w:type="dxa"/>
            <w:shd w:val="clear" w:color="auto" w:fill="C4EFCE"/>
            <w:tcMar>
              <w:left w:w="28" w:type="dxa"/>
              <w:right w:w="28" w:type="dxa"/>
            </w:tcMar>
            <w:vAlign w:val="center"/>
            <w:hideMark/>
          </w:tcPr>
          <w:p w14:paraId="26E7B27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14.13</w:t>
            </w:r>
          </w:p>
        </w:tc>
        <w:tc>
          <w:tcPr>
            <w:tcW w:w="1276" w:type="dxa"/>
            <w:shd w:val="clear" w:color="auto" w:fill="C4EFCE"/>
            <w:noWrap/>
            <w:tcMar>
              <w:left w:w="28" w:type="dxa"/>
              <w:right w:w="28" w:type="dxa"/>
            </w:tcMar>
            <w:vAlign w:val="center"/>
            <w:hideMark/>
          </w:tcPr>
          <w:p w14:paraId="21B544B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TC-C14 – i03-RAA</w:t>
            </w:r>
          </w:p>
        </w:tc>
        <w:tc>
          <w:tcPr>
            <w:tcW w:w="1134" w:type="dxa"/>
            <w:shd w:val="clear" w:color="auto" w:fill="C4EFCE"/>
            <w:noWrap/>
            <w:tcMar>
              <w:left w:w="28" w:type="dxa"/>
              <w:right w:w="28" w:type="dxa"/>
            </w:tcMar>
            <w:vAlign w:val="center"/>
            <w:hideMark/>
          </w:tcPr>
          <w:p w14:paraId="421AB62A" w14:textId="21AD3620"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15CB493E" w14:textId="469D3EA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Nové batériové systémy na uskladňovanie energie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systémy energetického manažérstva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ARA</w:t>
            </w:r>
          </w:p>
        </w:tc>
        <w:tc>
          <w:tcPr>
            <w:tcW w:w="1275" w:type="dxa"/>
            <w:shd w:val="clear" w:color="auto" w:fill="C4EFCE"/>
            <w:noWrap/>
            <w:tcMar>
              <w:left w:w="28" w:type="dxa"/>
              <w:right w:w="28" w:type="dxa"/>
            </w:tcMar>
            <w:vAlign w:val="center"/>
            <w:hideMark/>
          </w:tcPr>
          <w:p w14:paraId="32C59D2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622A9B8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992" w:type="dxa"/>
            <w:shd w:val="clear" w:color="auto" w:fill="C4EFCE"/>
            <w:noWrap/>
            <w:tcMar>
              <w:left w:w="28" w:type="dxa"/>
              <w:right w:w="28" w:type="dxa"/>
            </w:tcMar>
            <w:vAlign w:val="center"/>
            <w:hideMark/>
          </w:tcPr>
          <w:p w14:paraId="179DC3B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1A6A215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w:t>
            </w:r>
          </w:p>
        </w:tc>
        <w:tc>
          <w:tcPr>
            <w:tcW w:w="788" w:type="dxa"/>
            <w:shd w:val="clear" w:color="auto" w:fill="C4EFCE"/>
            <w:noWrap/>
            <w:tcMar>
              <w:left w:w="28" w:type="dxa"/>
              <w:right w:w="28" w:type="dxa"/>
            </w:tcMar>
            <w:vAlign w:val="center"/>
            <w:hideMark/>
          </w:tcPr>
          <w:p w14:paraId="748EDD79" w14:textId="2E5D15B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87" w:type="dxa"/>
            <w:shd w:val="clear" w:color="auto" w:fill="C4EFCE"/>
            <w:noWrap/>
            <w:tcMar>
              <w:left w:w="28" w:type="dxa"/>
              <w:right w:w="28" w:type="dxa"/>
            </w:tcMar>
            <w:vAlign w:val="center"/>
            <w:hideMark/>
          </w:tcPr>
          <w:p w14:paraId="27D3725B" w14:textId="243A03A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hideMark/>
          </w:tcPr>
          <w:p w14:paraId="75D6C939" w14:textId="2B491F8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Inštalácia nových batériových systémov na uskladňovanie energie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systémov energetického manažérstva na šiestich ostrovoch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umožniť väčšiu integráciu obnoviteľných zdrojov energie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zároveň zaistiť bezpečnosť dodávok</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kvalitu služieb,</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energetickým rozsahom od 20 MW do 30 MW spolu. ·</w:t>
            </w:r>
          </w:p>
        </w:tc>
      </w:tr>
      <w:tr w:rsidR="00387C70" w:rsidRPr="003F23AC" w14:paraId="1056362A" w14:textId="77777777" w:rsidTr="008E475E">
        <w:trPr>
          <w:trHeight w:val="430"/>
        </w:trPr>
        <w:tc>
          <w:tcPr>
            <w:tcW w:w="1135" w:type="dxa"/>
            <w:shd w:val="clear" w:color="auto" w:fill="C4EFCE"/>
            <w:tcMar>
              <w:left w:w="28" w:type="dxa"/>
              <w:right w:w="28" w:type="dxa"/>
            </w:tcMar>
            <w:vAlign w:val="center"/>
            <w:hideMark/>
          </w:tcPr>
          <w:p w14:paraId="32B5D8E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14.14</w:t>
            </w:r>
          </w:p>
        </w:tc>
        <w:tc>
          <w:tcPr>
            <w:tcW w:w="1276" w:type="dxa"/>
            <w:shd w:val="clear" w:color="auto" w:fill="C4EFCE"/>
            <w:noWrap/>
            <w:tcMar>
              <w:left w:w="28" w:type="dxa"/>
              <w:right w:w="28" w:type="dxa"/>
            </w:tcMar>
            <w:vAlign w:val="center"/>
            <w:hideMark/>
          </w:tcPr>
          <w:p w14:paraId="054F1D8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TC-C14 – i03-RAA</w:t>
            </w:r>
          </w:p>
        </w:tc>
        <w:tc>
          <w:tcPr>
            <w:tcW w:w="1134" w:type="dxa"/>
            <w:shd w:val="clear" w:color="auto" w:fill="C4EFCE"/>
            <w:noWrap/>
            <w:tcMar>
              <w:left w:w="28" w:type="dxa"/>
              <w:right w:w="28" w:type="dxa"/>
            </w:tcMar>
            <w:vAlign w:val="center"/>
            <w:hideMark/>
          </w:tcPr>
          <w:p w14:paraId="472D0821" w14:textId="29DD69AC"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259DC164" w14:textId="73D7000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Inštalácia malých jednotiek fotovoltických zariadení na miestnu výrobu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spotrebu elektrickej energie</w:t>
            </w:r>
          </w:p>
        </w:tc>
        <w:tc>
          <w:tcPr>
            <w:tcW w:w="1275" w:type="dxa"/>
            <w:shd w:val="clear" w:color="auto" w:fill="C4EFCE"/>
            <w:noWrap/>
            <w:tcMar>
              <w:left w:w="28" w:type="dxa"/>
              <w:right w:w="28" w:type="dxa"/>
            </w:tcMar>
            <w:vAlign w:val="center"/>
            <w:hideMark/>
          </w:tcPr>
          <w:p w14:paraId="3010E64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135F208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992" w:type="dxa"/>
            <w:shd w:val="clear" w:color="auto" w:fill="C4EFCE"/>
            <w:noWrap/>
            <w:tcMar>
              <w:left w:w="28" w:type="dxa"/>
              <w:right w:w="28" w:type="dxa"/>
            </w:tcMar>
            <w:vAlign w:val="center"/>
            <w:hideMark/>
          </w:tcPr>
          <w:p w14:paraId="4370137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shd w:val="clear" w:color="auto" w:fill="C4EFCE"/>
            <w:noWrap/>
            <w:tcMar>
              <w:left w:w="28" w:type="dxa"/>
              <w:right w:w="28" w:type="dxa"/>
            </w:tcMar>
            <w:vAlign w:val="center"/>
            <w:hideMark/>
          </w:tcPr>
          <w:p w14:paraId="3DA6B091" w14:textId="1611D81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11,2</w:t>
            </w:r>
          </w:p>
        </w:tc>
        <w:tc>
          <w:tcPr>
            <w:tcW w:w="788" w:type="dxa"/>
            <w:shd w:val="clear" w:color="auto" w:fill="C4EFCE"/>
            <w:noWrap/>
            <w:tcMar>
              <w:left w:w="28" w:type="dxa"/>
              <w:right w:w="28" w:type="dxa"/>
            </w:tcMar>
            <w:vAlign w:val="center"/>
            <w:hideMark/>
          </w:tcPr>
          <w:p w14:paraId="3ED06E56" w14:textId="0AB908E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87" w:type="dxa"/>
            <w:shd w:val="clear" w:color="auto" w:fill="C4EFCE"/>
            <w:noWrap/>
            <w:tcMar>
              <w:left w:w="28" w:type="dxa"/>
              <w:right w:w="28" w:type="dxa"/>
            </w:tcMar>
            <w:vAlign w:val="center"/>
            <w:hideMark/>
          </w:tcPr>
          <w:p w14:paraId="5D25B3E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0A739CE2"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Inštalácia novej inštalovanej kapacity elektrickej energie investovaním do rozptýlených malých fotovoltických zariadení, najmä na vlastnú spotrebu, bez spolufinancovania zo strany príjemcov.</w:t>
            </w:r>
          </w:p>
        </w:tc>
      </w:tr>
    </w:tbl>
    <w:p w14:paraId="5A094B69"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sectPr w:rsidR="00387C70" w:rsidRPr="003F23AC" w:rsidSect="00E00EDD">
          <w:headerReference w:type="even" r:id="rId276"/>
          <w:headerReference w:type="default" r:id="rId277"/>
          <w:footerReference w:type="even" r:id="rId278"/>
          <w:footerReference w:type="default" r:id="rId279"/>
          <w:headerReference w:type="first" r:id="rId280"/>
          <w:footerReference w:type="first" r:id="rId281"/>
          <w:pgSz w:w="16839" w:h="11907" w:orient="landscape"/>
          <w:pgMar w:top="1134" w:right="1134" w:bottom="1134" w:left="1134" w:header="567" w:footer="567" w:gutter="0"/>
          <w:cols w:space="720"/>
          <w:docGrid w:linePitch="360"/>
        </w:sectPr>
      </w:pPr>
    </w:p>
    <w:p w14:paraId="3EAE97C1" w14:textId="77777777" w:rsidR="00A75B3C" w:rsidRPr="003F23AC" w:rsidRDefault="000F5AA4" w:rsidP="003F23AC">
      <w:pPr>
        <w:pStyle w:val="P68B1DB1-Normal3"/>
        <w:spacing w:before="40" w:after="0" w:line="259" w:lineRule="auto"/>
        <w:ind w:left="130" w:firstLine="720"/>
        <w:jc w:val="both"/>
        <w:outlineLvl w:val="1"/>
        <w:rPr>
          <w:rFonts w:cs="Times New Roman"/>
          <w:noProof/>
          <w:lang w:val="sk-SK"/>
        </w:rPr>
      </w:pPr>
      <w:r w:rsidRPr="003F23AC">
        <w:rPr>
          <w:rFonts w:cs="Times New Roman"/>
          <w:smallCaps/>
          <w:noProof/>
          <w:lang w:val="sk-SK"/>
        </w:rPr>
        <w:t>ZLOŽKA</w:t>
      </w:r>
      <w:r w:rsidR="00A75B3C" w:rsidRPr="003F23AC">
        <w:rPr>
          <w:rFonts w:cs="Times New Roman"/>
          <w:smallCaps/>
          <w:noProof/>
          <w:lang w:val="sk-SK"/>
        </w:rPr>
        <w:t xml:space="preserve"> </w:t>
      </w:r>
      <w:r w:rsidRPr="003F23AC">
        <w:rPr>
          <w:rFonts w:cs="Times New Roman"/>
          <w:smallCaps/>
          <w:noProof/>
          <w:lang w:val="sk-SK"/>
        </w:rPr>
        <w:t>1</w:t>
      </w:r>
      <w:r w:rsidRPr="003F23AC">
        <w:rPr>
          <w:rFonts w:cs="Times New Roman"/>
          <w:noProof/>
          <w:lang w:val="sk-SK"/>
        </w:rPr>
        <w:t>5</w:t>
      </w:r>
      <w:r w:rsidRPr="003F23AC">
        <w:rPr>
          <w:rFonts w:cs="Times New Roman"/>
          <w:smallCaps/>
          <w:noProof/>
          <w:lang w:val="sk-SK"/>
        </w:rPr>
        <w:t>:</w:t>
      </w:r>
      <w:r w:rsidRPr="003F23AC">
        <w:rPr>
          <w:rFonts w:cs="Times New Roman"/>
          <w:noProof/>
          <w:lang w:val="sk-SK"/>
        </w:rPr>
        <w:t xml:space="preserve"> Udržateľná mobilita</w:t>
      </w:r>
    </w:p>
    <w:p w14:paraId="36604D95" w14:textId="4CA05A22"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zložka portugalského plánu obnovy</w:t>
      </w:r>
      <w:r w:rsidR="00A75B3C" w:rsidRPr="003F23AC">
        <w:rPr>
          <w:rFonts w:cs="Times New Roman"/>
          <w:noProof/>
          <w:lang w:val="sk-SK"/>
        </w:rPr>
        <w:t xml:space="preserve"> a </w:t>
      </w:r>
      <w:r w:rsidRPr="003F23AC">
        <w:rPr>
          <w:rFonts w:cs="Times New Roman"/>
          <w:noProof/>
          <w:lang w:val="sk-SK"/>
        </w:rPr>
        <w:t>odolnosti rieši niekoľko výziev</w:t>
      </w:r>
      <w:r w:rsidR="00A75B3C" w:rsidRPr="003F23AC">
        <w:rPr>
          <w:rFonts w:cs="Times New Roman"/>
          <w:noProof/>
          <w:lang w:val="sk-SK"/>
        </w:rPr>
        <w:t xml:space="preserve"> v </w:t>
      </w:r>
      <w:r w:rsidRPr="003F23AC">
        <w:rPr>
          <w:rFonts w:cs="Times New Roman"/>
          <w:noProof/>
          <w:lang w:val="sk-SK"/>
        </w:rPr>
        <w:t>odvetví dopravy: potrebu znížiť emisie skleníkových plynov</w:t>
      </w:r>
      <w:r w:rsidR="00A75B3C" w:rsidRPr="003F23AC">
        <w:rPr>
          <w:rFonts w:cs="Times New Roman"/>
          <w:noProof/>
          <w:lang w:val="sk-SK"/>
        </w:rPr>
        <w:t xml:space="preserve"> a </w:t>
      </w:r>
      <w:r w:rsidRPr="003F23AC">
        <w:rPr>
          <w:rFonts w:cs="Times New Roman"/>
          <w:noProof/>
          <w:lang w:val="sk-SK"/>
        </w:rPr>
        <w:t>znečisťujúcich látok, potrebu znížiť závislosť od súkromného automobilu</w:t>
      </w:r>
      <w:r w:rsidR="00A75B3C" w:rsidRPr="003F23AC">
        <w:rPr>
          <w:rFonts w:cs="Times New Roman"/>
          <w:noProof/>
          <w:lang w:val="sk-SK"/>
        </w:rPr>
        <w:t xml:space="preserve"> a </w:t>
      </w:r>
      <w:r w:rsidRPr="003F23AC">
        <w:rPr>
          <w:rFonts w:cs="Times New Roman"/>
          <w:noProof/>
          <w:lang w:val="sk-SK"/>
        </w:rPr>
        <w:t>potrebu zaručiť lepšiu sociálnu súdržnosť</w:t>
      </w:r>
      <w:r w:rsidR="00A75B3C" w:rsidRPr="003F23AC">
        <w:rPr>
          <w:rFonts w:cs="Times New Roman"/>
          <w:noProof/>
          <w:lang w:val="sk-SK"/>
        </w:rPr>
        <w:t xml:space="preserve"> v </w:t>
      </w:r>
      <w:r w:rsidRPr="003F23AC">
        <w:rPr>
          <w:rFonts w:cs="Times New Roman"/>
          <w:noProof/>
          <w:lang w:val="sk-SK"/>
        </w:rPr>
        <w:t>mestských oblastiach.</w:t>
      </w:r>
    </w:p>
    <w:p w14:paraId="44ED1CC2" w14:textId="4AE06B2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zložky je znížiť emisie</w:t>
      </w:r>
      <w:r w:rsidR="00A75B3C" w:rsidRPr="003F23AC">
        <w:rPr>
          <w:rFonts w:cs="Times New Roman"/>
          <w:noProof/>
          <w:lang w:val="sk-SK"/>
        </w:rPr>
        <w:t xml:space="preserve"> a </w:t>
      </w:r>
      <w:r w:rsidRPr="003F23AC">
        <w:rPr>
          <w:rFonts w:cs="Times New Roman"/>
          <w:noProof/>
          <w:lang w:val="sk-SK"/>
        </w:rPr>
        <w:t>zlepšiť verejnú dopravu rozšírením siete, jej sprístupnením</w:t>
      </w:r>
      <w:r w:rsidR="00A75B3C" w:rsidRPr="003F23AC">
        <w:rPr>
          <w:rFonts w:cs="Times New Roman"/>
          <w:noProof/>
          <w:lang w:val="sk-SK"/>
        </w:rPr>
        <w:t xml:space="preserve"> a </w:t>
      </w:r>
      <w:r w:rsidRPr="003F23AC">
        <w:rPr>
          <w:rFonts w:cs="Times New Roman"/>
          <w:noProof/>
          <w:lang w:val="sk-SK"/>
        </w:rPr>
        <w:t>posilnením kapacít plánovania verejnej dopravy. Očakáva sa, že to povedie</w:t>
      </w:r>
      <w:r w:rsidR="00A75B3C" w:rsidRPr="003F23AC">
        <w:rPr>
          <w:rFonts w:cs="Times New Roman"/>
          <w:noProof/>
          <w:lang w:val="sk-SK"/>
        </w:rPr>
        <w:t xml:space="preserve"> k </w:t>
      </w:r>
      <w:r w:rsidRPr="003F23AC">
        <w:rPr>
          <w:rFonts w:cs="Times New Roman"/>
          <w:noProof/>
          <w:lang w:val="sk-SK"/>
        </w:rPr>
        <w:t>väčšiemu počtu používateľov verejnej dopravy, podporí prechod zo súkromných automobilov na verejnú dopravu</w:t>
      </w:r>
      <w:r w:rsidR="00A75B3C" w:rsidRPr="003F23AC">
        <w:rPr>
          <w:rFonts w:cs="Times New Roman"/>
          <w:noProof/>
          <w:lang w:val="sk-SK"/>
        </w:rPr>
        <w:t xml:space="preserve"> a </w:t>
      </w:r>
      <w:r w:rsidRPr="003F23AC">
        <w:rPr>
          <w:rFonts w:cs="Times New Roman"/>
          <w:noProof/>
          <w:lang w:val="sk-SK"/>
        </w:rPr>
        <w:t>podporí lepšie riadenie</w:t>
      </w:r>
      <w:r w:rsidR="00A75B3C" w:rsidRPr="003F23AC">
        <w:rPr>
          <w:rFonts w:cs="Times New Roman"/>
          <w:noProof/>
          <w:lang w:val="sk-SK"/>
        </w:rPr>
        <w:t xml:space="preserve"> a </w:t>
      </w:r>
      <w:r w:rsidRPr="003F23AC">
        <w:rPr>
          <w:rFonts w:cs="Times New Roman"/>
          <w:noProof/>
          <w:lang w:val="sk-SK"/>
        </w:rPr>
        <w:t>plánovanie dopravy. Na tento účel pozostáva táto zložka</w:t>
      </w:r>
      <w:r w:rsidR="00A75B3C" w:rsidRPr="003F23AC">
        <w:rPr>
          <w:rFonts w:cs="Times New Roman"/>
          <w:noProof/>
          <w:lang w:val="sk-SK"/>
        </w:rPr>
        <w:t xml:space="preserve"> z </w:t>
      </w:r>
      <w:r w:rsidRPr="003F23AC">
        <w:rPr>
          <w:rFonts w:cs="Times New Roman"/>
          <w:noProof/>
          <w:lang w:val="sk-SK"/>
        </w:rPr>
        <w:t>reforiem</w:t>
      </w:r>
      <w:r w:rsidR="00A75B3C" w:rsidRPr="003F23AC">
        <w:rPr>
          <w:rFonts w:cs="Times New Roman"/>
          <w:noProof/>
          <w:lang w:val="sk-SK"/>
        </w:rPr>
        <w:t xml:space="preserve"> a </w:t>
      </w:r>
      <w:r w:rsidRPr="003F23AC">
        <w:rPr>
          <w:rFonts w:cs="Times New Roman"/>
          <w:noProof/>
          <w:lang w:val="sk-SK"/>
        </w:rPr>
        <w:t>investícií, ktoré podporujú trvalo udržateľnú verejnú dopravu prostredníctvom rozšírenia metra Lisabonu</w:t>
      </w:r>
      <w:r w:rsidR="00A75B3C" w:rsidRPr="003F23AC">
        <w:rPr>
          <w:rFonts w:cs="Times New Roman"/>
          <w:noProof/>
          <w:lang w:val="sk-SK"/>
        </w:rPr>
        <w:t xml:space="preserve"> a </w:t>
      </w:r>
      <w:r w:rsidRPr="003F23AC">
        <w:rPr>
          <w:rFonts w:cs="Times New Roman"/>
          <w:noProof/>
          <w:lang w:val="sk-SK"/>
        </w:rPr>
        <w:t>Porto, výstavby ľahkého železničného systému</w:t>
      </w:r>
      <w:r w:rsidR="00A75B3C" w:rsidRPr="003F23AC">
        <w:rPr>
          <w:rFonts w:cs="Times New Roman"/>
          <w:noProof/>
          <w:lang w:val="sk-SK"/>
        </w:rPr>
        <w:t xml:space="preserve"> v </w:t>
      </w:r>
      <w:r w:rsidRPr="003F23AC">
        <w:rPr>
          <w:rFonts w:cs="Times New Roman"/>
          <w:noProof/>
          <w:lang w:val="sk-SK"/>
        </w:rPr>
        <w:t>Lisabone, rýchleho autobusového tranzitného systému</w:t>
      </w:r>
      <w:r w:rsidR="00A75B3C" w:rsidRPr="003F23AC">
        <w:rPr>
          <w:rFonts w:cs="Times New Roman"/>
          <w:noProof/>
          <w:lang w:val="sk-SK"/>
        </w:rPr>
        <w:t xml:space="preserve"> v </w:t>
      </w:r>
      <w:r w:rsidRPr="003F23AC">
        <w:rPr>
          <w:rFonts w:cs="Times New Roman"/>
          <w:noProof/>
          <w:lang w:val="sk-SK"/>
        </w:rPr>
        <w:t>Porte</w:t>
      </w:r>
      <w:r w:rsidR="00A75B3C" w:rsidRPr="003F23AC">
        <w:rPr>
          <w:rFonts w:cs="Times New Roman"/>
          <w:noProof/>
          <w:lang w:val="sk-SK"/>
        </w:rPr>
        <w:t xml:space="preserve"> a </w:t>
      </w:r>
      <w:r w:rsidRPr="003F23AC">
        <w:rPr>
          <w:rFonts w:cs="Times New Roman"/>
          <w:noProof/>
          <w:lang w:val="sk-SK"/>
        </w:rPr>
        <w:t>nákupu autobusov</w:t>
      </w:r>
      <w:r w:rsidR="00A75B3C" w:rsidRPr="003F23AC">
        <w:rPr>
          <w:rFonts w:cs="Times New Roman"/>
          <w:noProof/>
          <w:lang w:val="sk-SK"/>
        </w:rPr>
        <w:t xml:space="preserve"> s </w:t>
      </w:r>
      <w:r w:rsidRPr="003F23AC">
        <w:rPr>
          <w:rFonts w:cs="Times New Roman"/>
          <w:noProof/>
          <w:lang w:val="sk-SK"/>
        </w:rPr>
        <w:t>nulovými emisiami vo verejnej doprave</w:t>
      </w:r>
      <w:r w:rsidR="00A75B3C" w:rsidRPr="003F23AC">
        <w:rPr>
          <w:rFonts w:cs="Times New Roman"/>
          <w:noProof/>
          <w:lang w:val="sk-SK"/>
        </w:rPr>
        <w:t>.</w:t>
      </w:r>
    </w:p>
    <w:p w14:paraId="693476C5" w14:textId="6764DC18"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zložka prispieva</w:t>
      </w:r>
      <w:r w:rsidR="00A75B3C" w:rsidRPr="003F23AC">
        <w:rPr>
          <w:rFonts w:cs="Times New Roman"/>
          <w:noProof/>
          <w:lang w:val="sk-SK"/>
        </w:rPr>
        <w:t xml:space="preserve"> k </w:t>
      </w:r>
      <w:r w:rsidRPr="003F23AC">
        <w:rPr>
          <w:rFonts w:cs="Times New Roman"/>
          <w:noProof/>
          <w:lang w:val="sk-SK"/>
        </w:rPr>
        <w:t>plneniu odporúčania pre jednotlivé krajiny</w:t>
      </w:r>
      <w:r w:rsidR="00A75B3C" w:rsidRPr="003F23AC">
        <w:rPr>
          <w:rFonts w:cs="Times New Roman"/>
          <w:noProof/>
          <w:lang w:val="sk-SK"/>
        </w:rPr>
        <w:t xml:space="preserve"> o </w:t>
      </w:r>
      <w:r w:rsidRPr="003F23AC">
        <w:rPr>
          <w:rFonts w:cs="Times New Roman"/>
          <w:noProof/>
          <w:lang w:val="sk-SK"/>
        </w:rPr>
        <w:t>zameraní investícií na zelenú transformáciu (odporúčanie pre jednotlivé krajiny 3 2020).</w:t>
      </w:r>
    </w:p>
    <w:p w14:paraId="1CBD4BA5" w14:textId="6E04D96E"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p>
    <w:p w14:paraId="250BB7E2"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4D9A22C1" w14:textId="2E187957" w:rsidR="00387C70" w:rsidRPr="003F23AC" w:rsidRDefault="000F5AA4" w:rsidP="003F23AC">
      <w:pPr>
        <w:pStyle w:val="P68B1DB1-Normal3"/>
        <w:spacing w:before="40" w:after="0" w:line="259" w:lineRule="auto"/>
        <w:ind w:left="130" w:firstLine="720"/>
        <w:jc w:val="both"/>
        <w:outlineLvl w:val="1"/>
        <w:rPr>
          <w:rFonts w:eastAsiaTheme="minorEastAsia" w:cs="Times New Roman"/>
          <w:i/>
          <w:noProof/>
          <w:lang w:val="sk-SK"/>
        </w:rPr>
      </w:pPr>
      <w:r w:rsidRPr="003F23AC">
        <w:rPr>
          <w:rFonts w:cs="Times New Roman"/>
          <w:noProof/>
          <w:lang w:val="sk-SK"/>
        </w:rPr>
        <w:t xml:space="preserve">O.1. </w:t>
      </w:r>
      <w:r w:rsidRPr="003F23AC">
        <w:rPr>
          <w:rFonts w:cs="Times New Roman"/>
          <w:noProof/>
          <w:lang w:val="sk-SK"/>
        </w:rPr>
        <w:tab/>
        <w:t>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7011FA7E" w14:textId="77777777" w:rsidR="00A75B3C" w:rsidRPr="003F23AC" w:rsidRDefault="000F5AA4" w:rsidP="003F23AC">
      <w:pPr>
        <w:pStyle w:val="P68B1DB1-Normal5"/>
        <w:spacing w:before="240" w:after="0" w:line="259" w:lineRule="auto"/>
        <w:ind w:left="851"/>
        <w:jc w:val="both"/>
        <w:outlineLvl w:val="2"/>
        <w:rPr>
          <w:rFonts w:cs="Times New Roman"/>
          <w:noProof/>
          <w:lang w:val="sk-SK"/>
        </w:rPr>
      </w:pPr>
      <w:r w:rsidRPr="003F23AC">
        <w:rPr>
          <w:rFonts w:cs="Times New Roman"/>
          <w:noProof/>
          <w:lang w:val="sk-SK"/>
        </w:rPr>
        <w:t>Reforma TC-r30: Reforma dopravného ekosystému</w:t>
      </w:r>
    </w:p>
    <w:p w14:paraId="46E820B7" w14:textId="2F7F80A2"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reformy je posilniť orgány verejnej dopravy, ich schopnosti</w:t>
      </w:r>
      <w:r w:rsidR="00A75B3C" w:rsidRPr="003F23AC">
        <w:rPr>
          <w:rFonts w:cs="Times New Roman"/>
          <w:noProof/>
          <w:lang w:val="sk-SK"/>
        </w:rPr>
        <w:t xml:space="preserve"> a </w:t>
      </w:r>
      <w:r w:rsidRPr="003F23AC">
        <w:rPr>
          <w:rFonts w:cs="Times New Roman"/>
          <w:noProof/>
          <w:lang w:val="sk-SK"/>
        </w:rPr>
        <w:t>zručnosti,</w:t>
      </w:r>
      <w:r w:rsidR="00A75B3C" w:rsidRPr="003F23AC">
        <w:rPr>
          <w:rFonts w:cs="Times New Roman"/>
          <w:noProof/>
          <w:lang w:val="sk-SK"/>
        </w:rPr>
        <w:t xml:space="preserve"> a </w:t>
      </w:r>
      <w:r w:rsidRPr="003F23AC">
        <w:rPr>
          <w:rFonts w:cs="Times New Roman"/>
          <w:noProof/>
          <w:lang w:val="sk-SK"/>
        </w:rPr>
        <w:t>tým zvýšiť ich schopnosť lepšie plánovať dopravné systémy, ktoré riadia,</w:t>
      </w:r>
      <w:r w:rsidR="00A75B3C" w:rsidRPr="003F23AC">
        <w:rPr>
          <w:rFonts w:cs="Times New Roman"/>
          <w:noProof/>
          <w:lang w:val="sk-SK"/>
        </w:rPr>
        <w:t xml:space="preserve"> a </w:t>
      </w:r>
      <w:r w:rsidRPr="003F23AC">
        <w:rPr>
          <w:rFonts w:cs="Times New Roman"/>
          <w:noProof/>
          <w:lang w:val="sk-SK"/>
        </w:rPr>
        <w:t>zlepšiť využívanie verejnej dopravy. Podporuje budovanie kapacít orgánov verejnej dopravy okrem iného prostredníctvom podpory nadobúdania nástrojov na plánovanie</w:t>
      </w:r>
      <w:r w:rsidR="00A75B3C" w:rsidRPr="003F23AC">
        <w:rPr>
          <w:rFonts w:cs="Times New Roman"/>
          <w:noProof/>
          <w:lang w:val="sk-SK"/>
        </w:rPr>
        <w:t xml:space="preserve"> a </w:t>
      </w:r>
      <w:r w:rsidRPr="003F23AC">
        <w:rPr>
          <w:rFonts w:cs="Times New Roman"/>
          <w:noProof/>
          <w:lang w:val="sk-SK"/>
        </w:rPr>
        <w:t>riadenie dopravných systémov, nových digitálnych riešení uľahčujúcich využívanie verejnej dopravy</w:t>
      </w:r>
      <w:r w:rsidR="00A75B3C" w:rsidRPr="003F23AC">
        <w:rPr>
          <w:rFonts w:cs="Times New Roman"/>
          <w:noProof/>
          <w:lang w:val="sk-SK"/>
        </w:rPr>
        <w:t xml:space="preserve"> a </w:t>
      </w:r>
      <w:r w:rsidRPr="003F23AC">
        <w:rPr>
          <w:rFonts w:cs="Times New Roman"/>
          <w:noProof/>
          <w:lang w:val="sk-SK"/>
        </w:rPr>
        <w:t>podpory modernizácie systémov predaja cestovných lístkov</w:t>
      </w:r>
      <w:r w:rsidR="00A75B3C" w:rsidRPr="003F23AC">
        <w:rPr>
          <w:rFonts w:cs="Times New Roman"/>
          <w:noProof/>
          <w:lang w:val="sk-SK"/>
        </w:rPr>
        <w:t xml:space="preserve"> a </w:t>
      </w:r>
      <w:r w:rsidRPr="003F23AC">
        <w:rPr>
          <w:rFonts w:cs="Times New Roman"/>
          <w:noProof/>
          <w:lang w:val="sk-SK"/>
        </w:rPr>
        <w:t>monitorovania operácií. Podporuje orgány riadenia dopravy pri príprave, uzatváraní</w:t>
      </w:r>
      <w:r w:rsidR="00A75B3C" w:rsidRPr="003F23AC">
        <w:rPr>
          <w:rFonts w:cs="Times New Roman"/>
          <w:noProof/>
          <w:lang w:val="sk-SK"/>
        </w:rPr>
        <w:t xml:space="preserve"> a </w:t>
      </w:r>
      <w:r w:rsidRPr="003F23AC">
        <w:rPr>
          <w:rFonts w:cs="Times New Roman"/>
          <w:noProof/>
          <w:lang w:val="sk-SK"/>
        </w:rPr>
        <w:t>vykonávaní zmlúv</w:t>
      </w:r>
      <w:r w:rsidR="00A75B3C" w:rsidRPr="003F23AC">
        <w:rPr>
          <w:rFonts w:cs="Times New Roman"/>
          <w:noProof/>
          <w:lang w:val="sk-SK"/>
        </w:rPr>
        <w:t xml:space="preserve"> o </w:t>
      </w:r>
      <w:r w:rsidRPr="003F23AC">
        <w:rPr>
          <w:rFonts w:cs="Times New Roman"/>
          <w:noProof/>
          <w:lang w:val="sk-SK"/>
        </w:rPr>
        <w:t>službách vo verejnom záujme</w:t>
      </w:r>
      <w:r w:rsidR="00A75B3C" w:rsidRPr="003F23AC">
        <w:rPr>
          <w:rFonts w:cs="Times New Roman"/>
          <w:noProof/>
          <w:lang w:val="sk-SK"/>
        </w:rPr>
        <w:t xml:space="preserve"> v </w:t>
      </w:r>
      <w:r w:rsidRPr="003F23AC">
        <w:rPr>
          <w:rFonts w:cs="Times New Roman"/>
          <w:noProof/>
          <w:lang w:val="sk-SK"/>
        </w:rPr>
        <w:t>osobnej doprave vo všetkých metropolitných oblastiach (AM)</w:t>
      </w:r>
      <w:r w:rsidR="00A75B3C" w:rsidRPr="003F23AC">
        <w:rPr>
          <w:rFonts w:cs="Times New Roman"/>
          <w:noProof/>
          <w:lang w:val="sk-SK"/>
        </w:rPr>
        <w:t xml:space="preserve"> a </w:t>
      </w:r>
      <w:r w:rsidRPr="003F23AC">
        <w:rPr>
          <w:rFonts w:cs="Times New Roman"/>
          <w:noProof/>
          <w:lang w:val="sk-SK"/>
        </w:rPr>
        <w:t>medziobecných spoločenstvách (CIM)</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nariadením Európskeho parlamentu</w:t>
      </w:r>
      <w:r w:rsidR="00A75B3C" w:rsidRPr="003F23AC">
        <w:rPr>
          <w:rFonts w:cs="Times New Roman"/>
          <w:noProof/>
          <w:lang w:val="sk-SK"/>
        </w:rPr>
        <w:t xml:space="preserve"> a </w:t>
      </w:r>
      <w:r w:rsidRPr="003F23AC">
        <w:rPr>
          <w:rFonts w:cs="Times New Roman"/>
          <w:noProof/>
          <w:lang w:val="sk-SK"/>
        </w:rPr>
        <w:t xml:space="preserve">Rady (ES) </w:t>
      </w:r>
      <w:r w:rsidR="00A75B3C" w:rsidRPr="003F23AC">
        <w:rPr>
          <w:rFonts w:cs="Times New Roman"/>
          <w:noProof/>
          <w:lang w:val="sk-SK"/>
        </w:rPr>
        <w:t>č. </w:t>
      </w:r>
      <w:r w:rsidRPr="003F23AC">
        <w:rPr>
          <w:rFonts w:cs="Times New Roman"/>
          <w:noProof/>
          <w:lang w:val="sk-SK"/>
        </w:rPr>
        <w:t>1370/2007</w:t>
      </w:r>
      <w:r w:rsidR="00A75B3C" w:rsidRPr="003F23AC">
        <w:rPr>
          <w:rFonts w:cs="Times New Roman"/>
          <w:noProof/>
          <w:lang w:val="sk-SK"/>
        </w:rPr>
        <w:t xml:space="preserve"> z </w:t>
      </w:r>
      <w:r w:rsidRPr="003F23AC">
        <w:rPr>
          <w:rFonts w:cs="Times New Roman"/>
          <w:noProof/>
          <w:lang w:val="sk-SK"/>
        </w:rPr>
        <w:t>23</w:t>
      </w:r>
      <w:r w:rsidR="00A75B3C" w:rsidRPr="003F23AC">
        <w:rPr>
          <w:rFonts w:cs="Times New Roman"/>
          <w:noProof/>
          <w:lang w:val="sk-SK"/>
        </w:rPr>
        <w:t>. októbra</w:t>
      </w:r>
      <w:r w:rsidRPr="003F23AC">
        <w:rPr>
          <w:rFonts w:cs="Times New Roman"/>
          <w:noProof/>
          <w:lang w:val="sk-SK"/>
        </w:rPr>
        <w:t xml:space="preserve"> 2007</w:t>
      </w:r>
      <w:r w:rsidR="00A75B3C" w:rsidRPr="003F23AC">
        <w:rPr>
          <w:rFonts w:cs="Times New Roman"/>
          <w:noProof/>
          <w:lang w:val="sk-SK"/>
        </w:rPr>
        <w:t xml:space="preserve"> o </w:t>
      </w:r>
      <w:r w:rsidRPr="003F23AC">
        <w:rPr>
          <w:rFonts w:cs="Times New Roman"/>
          <w:noProof/>
          <w:lang w:val="sk-SK"/>
        </w:rPr>
        <w:t>službách vo verejnom záujme</w:t>
      </w:r>
      <w:r w:rsidR="00A75B3C" w:rsidRPr="003F23AC">
        <w:rPr>
          <w:rFonts w:cs="Times New Roman"/>
          <w:noProof/>
          <w:lang w:val="sk-SK"/>
        </w:rPr>
        <w:t xml:space="preserve"> v </w:t>
      </w:r>
      <w:r w:rsidRPr="003F23AC">
        <w:rPr>
          <w:rFonts w:cs="Times New Roman"/>
          <w:noProof/>
          <w:lang w:val="sk-SK"/>
        </w:rPr>
        <w:t>železničnej</w:t>
      </w:r>
      <w:r w:rsidR="00A75B3C" w:rsidRPr="003F23AC">
        <w:rPr>
          <w:rFonts w:cs="Times New Roman"/>
          <w:noProof/>
          <w:lang w:val="sk-SK"/>
        </w:rPr>
        <w:t xml:space="preserve"> a </w:t>
      </w:r>
      <w:r w:rsidRPr="003F23AC">
        <w:rPr>
          <w:rFonts w:cs="Times New Roman"/>
          <w:noProof/>
          <w:lang w:val="sk-SK"/>
        </w:rPr>
        <w:t xml:space="preserve">cestnej osobnej doprave, ktorým sa zrušujú nariadenia Rady (EHS) </w:t>
      </w:r>
      <w:r w:rsidR="00A75B3C" w:rsidRPr="003F23AC">
        <w:rPr>
          <w:rFonts w:cs="Times New Roman"/>
          <w:noProof/>
          <w:lang w:val="sk-SK"/>
        </w:rPr>
        <w:t>č. </w:t>
      </w:r>
      <w:r w:rsidRPr="003F23AC">
        <w:rPr>
          <w:rFonts w:cs="Times New Roman"/>
          <w:noProof/>
          <w:lang w:val="sk-SK"/>
        </w:rPr>
        <w:t>1191/69</w:t>
      </w:r>
      <w:r w:rsidR="00A75B3C" w:rsidRPr="003F23AC">
        <w:rPr>
          <w:rFonts w:cs="Times New Roman"/>
          <w:noProof/>
          <w:lang w:val="sk-SK"/>
        </w:rPr>
        <w:t xml:space="preserve"> a </w:t>
      </w:r>
      <w:r w:rsidRPr="003F23AC">
        <w:rPr>
          <w:rFonts w:cs="Times New Roman"/>
          <w:noProof/>
          <w:lang w:val="sk-SK"/>
        </w:rPr>
        <w:t xml:space="preserve">(EHS) </w:t>
      </w:r>
      <w:r w:rsidR="00A75B3C" w:rsidRPr="003F23AC">
        <w:rPr>
          <w:rFonts w:cs="Times New Roman"/>
          <w:noProof/>
          <w:lang w:val="sk-SK"/>
        </w:rPr>
        <w:t>č. </w:t>
      </w:r>
      <w:r w:rsidRPr="003F23AC">
        <w:rPr>
          <w:rFonts w:cs="Times New Roman"/>
          <w:noProof/>
          <w:lang w:val="sk-SK"/>
        </w:rPr>
        <w:t>1107/70. Zlepší podmienky prístupu</w:t>
      </w:r>
      <w:r w:rsidR="00A75B3C" w:rsidRPr="003F23AC">
        <w:rPr>
          <w:rFonts w:cs="Times New Roman"/>
          <w:noProof/>
          <w:lang w:val="sk-SK"/>
        </w:rPr>
        <w:t xml:space="preserve"> k </w:t>
      </w:r>
      <w:r w:rsidRPr="003F23AC">
        <w:rPr>
          <w:rFonts w:cs="Times New Roman"/>
          <w:noProof/>
          <w:lang w:val="sk-SK"/>
        </w:rPr>
        <w:t>verejnej doprave prostredníctvom vykonávania programov na zníženie sadzieb (programa</w:t>
      </w:r>
      <w:r w:rsidRPr="003F23AC">
        <w:rPr>
          <w:rFonts w:cs="Times New Roman"/>
          <w:i/>
          <w:noProof/>
          <w:lang w:val="sk-SK"/>
        </w:rPr>
        <w:t>de Apoio à Redução do Tarifário dos Transportes Públicos</w:t>
      </w:r>
      <w:r w:rsidRPr="003F23AC">
        <w:rPr>
          <w:rFonts w:cs="Times New Roman"/>
          <w:noProof/>
          <w:lang w:val="sk-SK"/>
        </w:rPr>
        <w:t>, PART)</w:t>
      </w:r>
      <w:r w:rsidR="00A75B3C" w:rsidRPr="003F23AC">
        <w:rPr>
          <w:rFonts w:cs="Times New Roman"/>
          <w:noProof/>
          <w:lang w:val="sk-SK"/>
        </w:rPr>
        <w:t xml:space="preserve"> a </w:t>
      </w:r>
      <w:r w:rsidRPr="003F23AC">
        <w:rPr>
          <w:rFonts w:cs="Times New Roman"/>
          <w:noProof/>
          <w:lang w:val="sk-SK"/>
        </w:rPr>
        <w:t>lepších dopravných služieb šetrnejších ku klíme (programa</w:t>
      </w:r>
      <w:r w:rsidRPr="003F23AC">
        <w:rPr>
          <w:rFonts w:cs="Times New Roman"/>
          <w:i/>
          <w:noProof/>
          <w:lang w:val="sk-SK"/>
        </w:rPr>
        <w:t>de Apoio à Densificação e Reforço da Oferta de Transporte Público</w:t>
      </w:r>
      <w:r w:rsidRPr="003F23AC">
        <w:rPr>
          <w:rFonts w:cs="Times New Roman"/>
          <w:noProof/>
          <w:lang w:val="sk-SK"/>
        </w:rPr>
        <w:t>, PROTransP)</w:t>
      </w:r>
      <w:r w:rsidR="00A75B3C" w:rsidRPr="003F23AC">
        <w:rPr>
          <w:rFonts w:cs="Times New Roman"/>
          <w:noProof/>
          <w:lang w:val="sk-SK"/>
        </w:rPr>
        <w:t xml:space="preserve"> a </w:t>
      </w:r>
      <w:r w:rsidRPr="003F23AC">
        <w:rPr>
          <w:rFonts w:cs="Times New Roman"/>
          <w:noProof/>
          <w:lang w:val="sk-SK"/>
        </w:rPr>
        <w:t>vykonávania fiškálnych opatrení</w:t>
      </w:r>
      <w:r w:rsidR="00A75B3C" w:rsidRPr="003F23AC">
        <w:rPr>
          <w:rFonts w:cs="Times New Roman"/>
          <w:noProof/>
          <w:lang w:val="sk-SK"/>
        </w:rPr>
        <w:t xml:space="preserve"> v </w:t>
      </w:r>
      <w:r w:rsidRPr="003F23AC">
        <w:rPr>
          <w:rFonts w:cs="Times New Roman"/>
          <w:noProof/>
          <w:lang w:val="sk-SK"/>
        </w:rPr>
        <w:t>prospech používateľov verejnej dopravy, ako je daňové odpočítanie dane</w:t>
      </w:r>
      <w:r w:rsidR="00A75B3C" w:rsidRPr="003F23AC">
        <w:rPr>
          <w:rFonts w:cs="Times New Roman"/>
          <w:noProof/>
          <w:lang w:val="sk-SK"/>
        </w:rPr>
        <w:t xml:space="preserve"> z </w:t>
      </w:r>
      <w:r w:rsidRPr="003F23AC">
        <w:rPr>
          <w:rFonts w:cs="Times New Roman"/>
          <w:noProof/>
          <w:lang w:val="sk-SK"/>
        </w:rPr>
        <w:t>pridanej hodnoty spojenej</w:t>
      </w:r>
      <w:r w:rsidR="00A75B3C" w:rsidRPr="003F23AC">
        <w:rPr>
          <w:rFonts w:cs="Times New Roman"/>
          <w:noProof/>
          <w:lang w:val="sk-SK"/>
        </w:rPr>
        <w:t xml:space="preserve"> s </w:t>
      </w:r>
      <w:r w:rsidRPr="003F23AC">
        <w:rPr>
          <w:rFonts w:cs="Times New Roman"/>
          <w:noProof/>
          <w:lang w:val="sk-SK"/>
        </w:rPr>
        <w:t>nákupom mesačných cestovných lístkov na verejnú dopravu.</w:t>
      </w:r>
    </w:p>
    <w:p w14:paraId="523BD682" w14:textId="40C1338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reformy sa dokončí do 31</w:t>
      </w:r>
      <w:r w:rsidR="00A75B3C" w:rsidRPr="003F23AC">
        <w:rPr>
          <w:rFonts w:cs="Times New Roman"/>
          <w:noProof/>
          <w:lang w:val="sk-SK"/>
        </w:rPr>
        <w:t>. decembra</w:t>
      </w:r>
      <w:r w:rsidRPr="003F23AC">
        <w:rPr>
          <w:rFonts w:cs="Times New Roman"/>
          <w:noProof/>
          <w:lang w:val="sk-SK"/>
        </w:rPr>
        <w:t xml:space="preserve"> 2023.</w:t>
      </w:r>
    </w:p>
    <w:p w14:paraId="7B4C6A98" w14:textId="77777777" w:rsidR="00A75B3C" w:rsidRPr="003F23AC" w:rsidRDefault="000F5AA4" w:rsidP="003F23AC">
      <w:pPr>
        <w:pStyle w:val="P68B1DB1-Normal5"/>
        <w:widowControl w:val="0"/>
        <w:spacing w:before="240" w:after="0" w:line="259" w:lineRule="auto"/>
        <w:ind w:left="851"/>
        <w:jc w:val="both"/>
        <w:outlineLvl w:val="2"/>
        <w:rPr>
          <w:rFonts w:cs="Times New Roman"/>
          <w:noProof/>
          <w:lang w:val="sk-SK"/>
        </w:rPr>
      </w:pPr>
      <w:r w:rsidRPr="003F23AC">
        <w:rPr>
          <w:rFonts w:cs="Times New Roman"/>
          <w:noProof/>
          <w:lang w:val="sk-SK"/>
        </w:rPr>
        <w:t>Investície TC-C15-i01: Rozšírenie lisabonskej siete metra – červená čiara do Alcântara</w:t>
      </w:r>
    </w:p>
    <w:p w14:paraId="2D0BA654" w14:textId="7CC3B6E5" w:rsidR="00387C70" w:rsidRPr="003F23AC" w:rsidRDefault="000F5AA4" w:rsidP="003F23AC">
      <w:pPr>
        <w:pStyle w:val="P68B1DB1-Normal4"/>
        <w:widowControl w:val="0"/>
        <w:spacing w:before="40" w:after="0" w:line="259" w:lineRule="auto"/>
        <w:jc w:val="both"/>
        <w:rPr>
          <w:rFonts w:eastAsiaTheme="minorEastAsia" w:cs="Times New Roman"/>
          <w:noProof/>
          <w:lang w:val="sk-SK"/>
        </w:rPr>
      </w:pPr>
      <w:r w:rsidRPr="003F23AC">
        <w:rPr>
          <w:rFonts w:cs="Times New Roman"/>
          <w:noProof/>
          <w:lang w:val="sk-SK"/>
        </w:rPr>
        <w:t>Cieľom opatrenia je zvýšiť atraktívnosť verejnej dopravy</w:t>
      </w:r>
      <w:r w:rsidR="00A75B3C" w:rsidRPr="003F23AC">
        <w:rPr>
          <w:rFonts w:cs="Times New Roman"/>
          <w:noProof/>
          <w:lang w:val="sk-SK"/>
        </w:rPr>
        <w:t xml:space="preserve"> v </w:t>
      </w:r>
      <w:r w:rsidRPr="003F23AC">
        <w:rPr>
          <w:rFonts w:cs="Times New Roman"/>
          <w:noProof/>
          <w:lang w:val="sk-SK"/>
        </w:rPr>
        <w:t>Lisabone</w:t>
      </w:r>
      <w:r w:rsidR="00A75B3C" w:rsidRPr="003F23AC">
        <w:rPr>
          <w:rFonts w:cs="Times New Roman"/>
          <w:noProof/>
          <w:lang w:val="sk-SK"/>
        </w:rPr>
        <w:t xml:space="preserve"> a </w:t>
      </w:r>
      <w:r w:rsidRPr="003F23AC">
        <w:rPr>
          <w:rFonts w:cs="Times New Roman"/>
          <w:noProof/>
          <w:lang w:val="sk-SK"/>
        </w:rPr>
        <w:t>prilákať viac užívateľov prostredníctvom rozšírenia siete metra.</w:t>
      </w:r>
    </w:p>
    <w:p w14:paraId="44D90E94" w14:textId="037DC9A1" w:rsidR="00A75B3C" w:rsidRPr="003F23AC" w:rsidRDefault="000F5AA4" w:rsidP="003F23AC">
      <w:pPr>
        <w:pStyle w:val="P68B1DB1-Normal4"/>
        <w:widowControl w:val="0"/>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rozšírenia lisabonskej siete metra do Alcântara, čím sa do siete pridá 3,7 km</w:t>
      </w:r>
      <w:r w:rsidR="00A75B3C" w:rsidRPr="003F23AC">
        <w:rPr>
          <w:rFonts w:cs="Times New Roman"/>
          <w:noProof/>
          <w:lang w:val="sk-SK"/>
        </w:rPr>
        <w:t xml:space="preserve"> a </w:t>
      </w:r>
      <w:r w:rsidRPr="003F23AC">
        <w:rPr>
          <w:rFonts w:cs="Times New Roman"/>
          <w:noProof/>
          <w:lang w:val="sk-SK"/>
        </w:rPr>
        <w:t>štyri stanice. To pretransformuje Alcântara na významné nové dopravné rozhranie, ktoré zabezpečuje prepojenie medzi sieťou metra</w:t>
      </w:r>
      <w:r w:rsidR="00A75B3C" w:rsidRPr="003F23AC">
        <w:rPr>
          <w:rFonts w:cs="Times New Roman"/>
          <w:noProof/>
          <w:lang w:val="sk-SK"/>
        </w:rPr>
        <w:t xml:space="preserve"> a </w:t>
      </w:r>
      <w:r w:rsidRPr="003F23AC">
        <w:rPr>
          <w:rFonts w:cs="Times New Roman"/>
          <w:noProof/>
          <w:lang w:val="sk-SK"/>
        </w:rPr>
        <w:t>prímestskými železničnými službami</w:t>
      </w:r>
      <w:r w:rsidR="00A75B3C" w:rsidRPr="003F23AC">
        <w:rPr>
          <w:rFonts w:cs="Times New Roman"/>
          <w:noProof/>
          <w:lang w:val="sk-SK"/>
        </w:rPr>
        <w:t>.</w:t>
      </w:r>
    </w:p>
    <w:p w14:paraId="0994D2CA" w14:textId="6A2E27A1" w:rsidR="00387C70" w:rsidRPr="003F23AC" w:rsidRDefault="000F5AA4" w:rsidP="003F23AC">
      <w:pPr>
        <w:pStyle w:val="P68B1DB1-Normal4"/>
        <w:widowControl w:val="0"/>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2D6741A9"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TC-C15 – i02: Rozšírenie siete Porto Metro – Casa da Música-Santo Ovídio</w:t>
      </w:r>
    </w:p>
    <w:p w14:paraId="6D4EC5A9" w14:textId="35533C98"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opatrenia je zvýšiť atraktívnosť verejnej dopravy</w:t>
      </w:r>
      <w:r w:rsidR="00A75B3C" w:rsidRPr="003F23AC">
        <w:rPr>
          <w:rFonts w:cs="Times New Roman"/>
          <w:noProof/>
          <w:lang w:val="sk-SK"/>
        </w:rPr>
        <w:t xml:space="preserve"> v </w:t>
      </w:r>
      <w:r w:rsidRPr="003F23AC">
        <w:rPr>
          <w:rFonts w:cs="Times New Roman"/>
          <w:noProof/>
          <w:lang w:val="sk-SK"/>
        </w:rPr>
        <w:t>Porte</w:t>
      </w:r>
      <w:r w:rsidR="00A75B3C" w:rsidRPr="003F23AC">
        <w:rPr>
          <w:rFonts w:cs="Times New Roman"/>
          <w:noProof/>
          <w:lang w:val="sk-SK"/>
        </w:rPr>
        <w:t xml:space="preserve"> a </w:t>
      </w:r>
      <w:r w:rsidRPr="003F23AC">
        <w:rPr>
          <w:rFonts w:cs="Times New Roman"/>
          <w:noProof/>
          <w:lang w:val="sk-SK"/>
        </w:rPr>
        <w:t>prilákať viac používateľov. Jeho cieľom je rozšíriť územné pokrytie siete metra</w:t>
      </w:r>
      <w:r w:rsidR="00A75B3C" w:rsidRPr="003F23AC">
        <w:rPr>
          <w:rFonts w:cs="Times New Roman"/>
          <w:noProof/>
          <w:lang w:val="sk-SK"/>
        </w:rPr>
        <w:t xml:space="preserve"> a </w:t>
      </w:r>
      <w:r w:rsidRPr="003F23AC">
        <w:rPr>
          <w:rFonts w:cs="Times New Roman"/>
          <w:noProof/>
          <w:lang w:val="sk-SK"/>
        </w:rPr>
        <w:t>riešiť problémy preťaženia osi Porto – Vila Nova de Gaia.</w:t>
      </w:r>
    </w:p>
    <w:p w14:paraId="6792ED08" w14:textId="529BB78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rozšírenia siete metra</w:t>
      </w:r>
      <w:r w:rsidR="00A75B3C" w:rsidRPr="003F23AC">
        <w:rPr>
          <w:rFonts w:cs="Times New Roman"/>
          <w:noProof/>
          <w:lang w:val="sk-SK"/>
        </w:rPr>
        <w:t xml:space="preserve"> v </w:t>
      </w:r>
      <w:r w:rsidRPr="003F23AC">
        <w:rPr>
          <w:rFonts w:cs="Times New Roman"/>
          <w:noProof/>
          <w:lang w:val="sk-SK"/>
        </w:rPr>
        <w:t>Porte vybudovaním novej dvojkoľajnej trate 6,74 km</w:t>
      </w:r>
      <w:r w:rsidR="00A75B3C" w:rsidRPr="003F23AC">
        <w:rPr>
          <w:rFonts w:cs="Times New Roman"/>
          <w:noProof/>
          <w:lang w:val="sk-SK"/>
        </w:rPr>
        <w:t xml:space="preserve"> s </w:t>
      </w:r>
      <w:r w:rsidRPr="003F23AC">
        <w:rPr>
          <w:rFonts w:cs="Times New Roman"/>
          <w:noProof/>
          <w:lang w:val="sk-SK"/>
        </w:rPr>
        <w:t>8 novými stanicami medzi Boavista/Casa da Música</w:t>
      </w:r>
      <w:r w:rsidR="00A75B3C" w:rsidRPr="003F23AC">
        <w:rPr>
          <w:rFonts w:cs="Times New Roman"/>
          <w:noProof/>
          <w:lang w:val="sk-SK"/>
        </w:rPr>
        <w:t xml:space="preserve"> v </w:t>
      </w:r>
      <w:r w:rsidRPr="003F23AC">
        <w:rPr>
          <w:rFonts w:cs="Times New Roman"/>
          <w:noProof/>
          <w:lang w:val="sk-SK"/>
        </w:rPr>
        <w:t>Porte</w:t>
      </w:r>
      <w:r w:rsidR="00A75B3C" w:rsidRPr="003F23AC">
        <w:rPr>
          <w:rFonts w:cs="Times New Roman"/>
          <w:noProof/>
          <w:lang w:val="sk-SK"/>
        </w:rPr>
        <w:t xml:space="preserve"> a </w:t>
      </w:r>
      <w:r w:rsidRPr="003F23AC">
        <w:rPr>
          <w:rFonts w:cs="Times New Roman"/>
          <w:noProof/>
          <w:lang w:val="sk-SK"/>
        </w:rPr>
        <w:t>novou stanicou, ktorá sa má vybudovať</w:t>
      </w:r>
      <w:r w:rsidR="00A75B3C" w:rsidRPr="003F23AC">
        <w:rPr>
          <w:rFonts w:cs="Times New Roman"/>
          <w:noProof/>
          <w:lang w:val="sk-SK"/>
        </w:rPr>
        <w:t xml:space="preserve"> v </w:t>
      </w:r>
      <w:r w:rsidRPr="003F23AC">
        <w:rPr>
          <w:rFonts w:cs="Times New Roman"/>
          <w:noProof/>
          <w:lang w:val="sk-SK"/>
        </w:rPr>
        <w:t>Santo Ovídio (rozhranie</w:t>
      </w:r>
      <w:r w:rsidR="00A75B3C" w:rsidRPr="003F23AC">
        <w:rPr>
          <w:rFonts w:cs="Times New Roman"/>
          <w:noProof/>
          <w:lang w:val="sk-SK"/>
        </w:rPr>
        <w:t xml:space="preserve"> s </w:t>
      </w:r>
      <w:r w:rsidRPr="003F23AC">
        <w:rPr>
          <w:rFonts w:cs="Times New Roman"/>
          <w:noProof/>
          <w:lang w:val="sk-SK"/>
        </w:rPr>
        <w:t>traťou Amarela) vo Vila Nova de Gaia</w:t>
      </w:r>
      <w:r w:rsidR="00A75B3C" w:rsidRPr="003F23AC">
        <w:rPr>
          <w:rFonts w:cs="Times New Roman"/>
          <w:noProof/>
          <w:lang w:val="sk-SK"/>
        </w:rPr>
        <w:t>.</w:t>
      </w:r>
    </w:p>
    <w:p w14:paraId="1BFC66BB" w14:textId="0385A153"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16D8FB1F" w14:textId="77777777" w:rsidR="00A75B3C" w:rsidRPr="003F23AC" w:rsidRDefault="000F5AA4" w:rsidP="003F23AC">
      <w:pPr>
        <w:pStyle w:val="P68B1DB1-Normal5"/>
        <w:spacing w:before="240" w:after="0" w:line="259" w:lineRule="auto"/>
        <w:ind w:left="851"/>
        <w:jc w:val="both"/>
        <w:outlineLvl w:val="2"/>
        <w:rPr>
          <w:rFonts w:cs="Times New Roman"/>
          <w:noProof/>
          <w:lang w:val="sk-SK"/>
        </w:rPr>
      </w:pPr>
      <w:r w:rsidRPr="003F23AC">
        <w:rPr>
          <w:rFonts w:cs="Times New Roman"/>
          <w:noProof/>
          <w:lang w:val="sk-SK"/>
        </w:rPr>
        <w:t>Investície TC-C15 – i04: Autobus Rýchly tranzit Boavista – Império</w:t>
      </w:r>
    </w:p>
    <w:p w14:paraId="28F2A1EA" w14:textId="3DA24FB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opatrenia je zvýšiť atraktívnosť verejnej dopravy</w:t>
      </w:r>
      <w:r w:rsidR="00A75B3C" w:rsidRPr="003F23AC">
        <w:rPr>
          <w:rFonts w:cs="Times New Roman"/>
          <w:noProof/>
          <w:lang w:val="sk-SK"/>
        </w:rPr>
        <w:t xml:space="preserve"> v </w:t>
      </w:r>
      <w:r w:rsidRPr="003F23AC">
        <w:rPr>
          <w:rFonts w:cs="Times New Roman"/>
          <w:noProof/>
          <w:lang w:val="sk-SK"/>
        </w:rPr>
        <w:t>Porte</w:t>
      </w:r>
      <w:r w:rsidR="00A75B3C" w:rsidRPr="003F23AC">
        <w:rPr>
          <w:rFonts w:cs="Times New Roman"/>
          <w:noProof/>
          <w:lang w:val="sk-SK"/>
        </w:rPr>
        <w:t xml:space="preserve"> a </w:t>
      </w:r>
      <w:r w:rsidRPr="003F23AC">
        <w:rPr>
          <w:rFonts w:cs="Times New Roman"/>
          <w:noProof/>
          <w:lang w:val="sk-SK"/>
        </w:rPr>
        <w:t>prilákať viac používateľov. Jeho cieľom je znížiť emisie skleníkových plynov</w:t>
      </w:r>
      <w:r w:rsidR="00A75B3C" w:rsidRPr="003F23AC">
        <w:rPr>
          <w:rFonts w:cs="Times New Roman"/>
          <w:noProof/>
          <w:lang w:val="sk-SK"/>
        </w:rPr>
        <w:t xml:space="preserve"> a </w:t>
      </w:r>
      <w:r w:rsidRPr="003F23AC">
        <w:rPr>
          <w:rFonts w:cs="Times New Roman"/>
          <w:noProof/>
          <w:lang w:val="sk-SK"/>
        </w:rPr>
        <w:t>znečisťujúcich látok</w:t>
      </w:r>
      <w:r w:rsidR="00A75B3C" w:rsidRPr="003F23AC">
        <w:rPr>
          <w:rFonts w:cs="Times New Roman"/>
          <w:noProof/>
          <w:lang w:val="sk-SK"/>
        </w:rPr>
        <w:t xml:space="preserve"> a </w:t>
      </w:r>
      <w:r w:rsidRPr="003F23AC">
        <w:rPr>
          <w:rFonts w:cs="Times New Roman"/>
          <w:noProof/>
          <w:lang w:val="sk-SK"/>
        </w:rPr>
        <w:t>podporiť prechod</w:t>
      </w:r>
      <w:r w:rsidR="00A75B3C" w:rsidRPr="003F23AC">
        <w:rPr>
          <w:rFonts w:cs="Times New Roman"/>
          <w:noProof/>
          <w:lang w:val="sk-SK"/>
        </w:rPr>
        <w:t xml:space="preserve"> z </w:t>
      </w:r>
      <w:r w:rsidRPr="003F23AC">
        <w:rPr>
          <w:rFonts w:cs="Times New Roman"/>
          <w:noProof/>
          <w:lang w:val="sk-SK"/>
        </w:rPr>
        <w:t>ciest na iné druhy dopravy</w:t>
      </w:r>
      <w:r w:rsidR="00A75B3C" w:rsidRPr="003F23AC">
        <w:rPr>
          <w:rFonts w:cs="Times New Roman"/>
          <w:noProof/>
          <w:lang w:val="sk-SK"/>
        </w:rPr>
        <w:t>.</w:t>
      </w:r>
    </w:p>
    <w:p w14:paraId="7CFF94E6" w14:textId="26DD90B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investícia pozostáva</w:t>
      </w:r>
      <w:r w:rsidR="00A75B3C" w:rsidRPr="003F23AC">
        <w:rPr>
          <w:rFonts w:cs="Times New Roman"/>
          <w:noProof/>
          <w:lang w:val="sk-SK"/>
        </w:rPr>
        <w:t xml:space="preserve"> z </w:t>
      </w:r>
      <w:r w:rsidRPr="003F23AC">
        <w:rPr>
          <w:rFonts w:cs="Times New Roman"/>
          <w:noProof/>
          <w:lang w:val="sk-SK"/>
        </w:rPr>
        <w:t>vytvorenia nového systému rýchleho tranzitu Bus (lane, ktoré sú určené predovšetkým pre autobusy)</w:t>
      </w:r>
      <w:r w:rsidR="00A75B3C" w:rsidRPr="003F23AC">
        <w:rPr>
          <w:rFonts w:cs="Times New Roman"/>
          <w:noProof/>
          <w:lang w:val="sk-SK"/>
        </w:rPr>
        <w:t xml:space="preserve"> s </w:t>
      </w:r>
      <w:r w:rsidRPr="003F23AC">
        <w:rPr>
          <w:rFonts w:cs="Times New Roman"/>
          <w:noProof/>
          <w:lang w:val="sk-SK"/>
        </w:rPr>
        <w:t>dĺžkou 3,8 km</w:t>
      </w:r>
      <w:r w:rsidR="00A75B3C" w:rsidRPr="003F23AC">
        <w:rPr>
          <w:rFonts w:cs="Times New Roman"/>
          <w:noProof/>
          <w:lang w:val="sk-SK"/>
        </w:rPr>
        <w:t xml:space="preserve"> a </w:t>
      </w:r>
      <w:r w:rsidRPr="003F23AC">
        <w:rPr>
          <w:rFonts w:cs="Times New Roman"/>
          <w:noProof/>
          <w:lang w:val="sk-SK"/>
        </w:rPr>
        <w:t>7 staníc medzi mestami Praça do Império</w:t>
      </w:r>
      <w:r w:rsidR="00A75B3C" w:rsidRPr="003F23AC">
        <w:rPr>
          <w:rFonts w:cs="Times New Roman"/>
          <w:noProof/>
          <w:lang w:val="sk-SK"/>
        </w:rPr>
        <w:t xml:space="preserve"> a </w:t>
      </w:r>
      <w:r w:rsidRPr="003F23AC">
        <w:rPr>
          <w:rFonts w:cs="Times New Roman"/>
          <w:noProof/>
          <w:lang w:val="sk-SK"/>
        </w:rPr>
        <w:t>Praça Mouzinho de Albuquerque</w:t>
      </w:r>
      <w:r w:rsidR="00A75B3C" w:rsidRPr="003F23AC">
        <w:rPr>
          <w:rFonts w:cs="Times New Roman"/>
          <w:noProof/>
          <w:lang w:val="sk-SK"/>
        </w:rPr>
        <w:t xml:space="preserve"> v </w:t>
      </w:r>
      <w:r w:rsidRPr="003F23AC">
        <w:rPr>
          <w:rFonts w:cs="Times New Roman"/>
          <w:noProof/>
          <w:lang w:val="sk-SK"/>
        </w:rPr>
        <w:t>Porte, ktorý zabezpečí spojenie so sieťou metra Porto. Rýchly tranzitný systém Bus musí byť prevádzkovaný autobusmi</w:t>
      </w:r>
      <w:r w:rsidR="00A75B3C" w:rsidRPr="003F23AC">
        <w:rPr>
          <w:rFonts w:cs="Times New Roman"/>
          <w:noProof/>
          <w:lang w:val="sk-SK"/>
        </w:rPr>
        <w:t xml:space="preserve"> s </w:t>
      </w:r>
      <w:r w:rsidRPr="003F23AC">
        <w:rPr>
          <w:rFonts w:cs="Times New Roman"/>
          <w:noProof/>
          <w:lang w:val="sk-SK"/>
        </w:rPr>
        <w:t>nulovými emisiami (elektrický alebo vodíkový)</w:t>
      </w:r>
      <w:r w:rsidR="00A75B3C" w:rsidRPr="003F23AC">
        <w:rPr>
          <w:rFonts w:cs="Times New Roman"/>
          <w:noProof/>
          <w:lang w:val="sk-SK"/>
        </w:rPr>
        <w:t>.</w:t>
      </w:r>
    </w:p>
    <w:p w14:paraId="552F28A8" w14:textId="51225EC6"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Realizácia investície sa dokončí do 30</w:t>
      </w:r>
      <w:r w:rsidR="00A75B3C" w:rsidRPr="003F23AC">
        <w:rPr>
          <w:rFonts w:cs="Times New Roman"/>
          <w:noProof/>
          <w:lang w:val="sk-SK"/>
        </w:rPr>
        <w:t>. septembra</w:t>
      </w:r>
      <w:r w:rsidRPr="003F23AC">
        <w:rPr>
          <w:rFonts w:cs="Times New Roman"/>
          <w:noProof/>
          <w:lang w:val="sk-SK"/>
        </w:rPr>
        <w:t xml:space="preserve"> 2024.</w:t>
      </w:r>
    </w:p>
    <w:p w14:paraId="0D379072"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TC-C15 – i05: Dekarbonizácia verejnej dopravy</w:t>
      </w:r>
    </w:p>
    <w:p w14:paraId="4896CC80" w14:textId="5F40F20A"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opatrenia je obnoviť</w:t>
      </w:r>
      <w:r w:rsidR="00A75B3C" w:rsidRPr="003F23AC">
        <w:rPr>
          <w:rFonts w:cs="Times New Roman"/>
          <w:noProof/>
          <w:lang w:val="sk-SK"/>
        </w:rPr>
        <w:t xml:space="preserve"> a </w:t>
      </w:r>
      <w:r w:rsidRPr="003F23AC">
        <w:rPr>
          <w:rFonts w:cs="Times New Roman"/>
          <w:noProof/>
          <w:lang w:val="sk-SK"/>
        </w:rPr>
        <w:t>dekarbonizovať vozový park verejnej dopravy</w:t>
      </w:r>
      <w:r w:rsidR="00A75B3C" w:rsidRPr="003F23AC">
        <w:rPr>
          <w:rFonts w:cs="Times New Roman"/>
          <w:noProof/>
          <w:lang w:val="sk-SK"/>
        </w:rPr>
        <w:t xml:space="preserve"> v </w:t>
      </w:r>
      <w:r w:rsidRPr="003F23AC">
        <w:rPr>
          <w:rFonts w:cs="Times New Roman"/>
          <w:noProof/>
          <w:lang w:val="sk-SK"/>
        </w:rPr>
        <w:t>Portugalsku poskytovaním autobusov</w:t>
      </w:r>
      <w:r w:rsidR="00A75B3C" w:rsidRPr="003F23AC">
        <w:rPr>
          <w:rFonts w:cs="Times New Roman"/>
          <w:noProof/>
          <w:lang w:val="sk-SK"/>
        </w:rPr>
        <w:t xml:space="preserve"> s </w:t>
      </w:r>
      <w:r w:rsidRPr="003F23AC">
        <w:rPr>
          <w:rFonts w:cs="Times New Roman"/>
          <w:noProof/>
          <w:lang w:val="sk-SK"/>
        </w:rPr>
        <w:t>nulovými emisiami</w:t>
      </w:r>
      <w:r w:rsidR="00A75B3C" w:rsidRPr="003F23AC">
        <w:rPr>
          <w:rFonts w:cs="Times New Roman"/>
          <w:noProof/>
          <w:lang w:val="sk-SK"/>
        </w:rPr>
        <w:t>.</w:t>
      </w:r>
    </w:p>
    <w:p w14:paraId="3B8D8AB2" w14:textId="10C92CFF"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finančnej podpory na nákup 145 autobusov</w:t>
      </w:r>
      <w:r w:rsidR="00A75B3C" w:rsidRPr="003F23AC">
        <w:rPr>
          <w:rFonts w:cs="Times New Roman"/>
          <w:noProof/>
          <w:lang w:val="sk-SK"/>
        </w:rPr>
        <w:t xml:space="preserve"> s </w:t>
      </w:r>
      <w:r w:rsidRPr="003F23AC">
        <w:rPr>
          <w:rFonts w:cs="Times New Roman"/>
          <w:noProof/>
          <w:lang w:val="sk-SK"/>
        </w:rPr>
        <w:t>nulovými emisiami (elektrický alebo vodíkový) pre verejnú dopravu</w:t>
      </w:r>
      <w:r w:rsidR="00A75B3C" w:rsidRPr="003F23AC">
        <w:rPr>
          <w:rFonts w:cs="Times New Roman"/>
          <w:noProof/>
          <w:lang w:val="sk-SK"/>
        </w:rPr>
        <w:t xml:space="preserve"> a </w:t>
      </w:r>
      <w:r w:rsidRPr="003F23AC">
        <w:rPr>
          <w:rFonts w:cs="Times New Roman"/>
          <w:noProof/>
          <w:lang w:val="sk-SK"/>
        </w:rPr>
        <w:t>nabíjaciu infraštruktúru na ich prevádzku. Podpora sa poskytuje vo forme nenávratného grantu rozdielu medzi obstarávacími nákladmi na autobus</w:t>
      </w:r>
      <w:r w:rsidR="00A75B3C" w:rsidRPr="003F23AC">
        <w:rPr>
          <w:rFonts w:cs="Times New Roman"/>
          <w:noProof/>
          <w:lang w:val="sk-SK"/>
        </w:rPr>
        <w:t xml:space="preserve"> s </w:t>
      </w:r>
      <w:r w:rsidRPr="003F23AC">
        <w:rPr>
          <w:rFonts w:cs="Times New Roman"/>
          <w:noProof/>
          <w:lang w:val="sk-SK"/>
        </w:rPr>
        <w:t>nulovými emisiami (elektrický alebo vodíkový) autobus</w:t>
      </w:r>
      <w:r w:rsidR="00A75B3C" w:rsidRPr="003F23AC">
        <w:rPr>
          <w:rFonts w:cs="Times New Roman"/>
          <w:noProof/>
          <w:lang w:val="sk-SK"/>
        </w:rPr>
        <w:t xml:space="preserve"> a </w:t>
      </w:r>
      <w:r w:rsidRPr="003F23AC">
        <w:rPr>
          <w:rFonts w:cs="Times New Roman"/>
          <w:noProof/>
          <w:lang w:val="sk-SK"/>
        </w:rPr>
        <w:t>naftový ekvivalent vozidla (EURO VI). Autobusy sa používajú na poskytovanie služieb vo verejnom záujme</w:t>
      </w:r>
      <w:r w:rsidR="00A75B3C" w:rsidRPr="003F23AC">
        <w:rPr>
          <w:rFonts w:cs="Times New Roman"/>
          <w:noProof/>
          <w:lang w:val="sk-SK"/>
        </w:rPr>
        <w:t xml:space="preserve"> v </w:t>
      </w:r>
      <w:r w:rsidRPr="003F23AC">
        <w:rPr>
          <w:rFonts w:cs="Times New Roman"/>
          <w:noProof/>
          <w:lang w:val="sk-SK"/>
        </w:rPr>
        <w:t>osobnej doprave</w:t>
      </w:r>
      <w:r w:rsidR="00A75B3C" w:rsidRPr="003F23AC">
        <w:rPr>
          <w:rFonts w:cs="Times New Roman"/>
          <w:noProof/>
          <w:lang w:val="sk-SK"/>
        </w:rPr>
        <w:t xml:space="preserve"> v </w:t>
      </w:r>
      <w:r w:rsidRPr="003F23AC">
        <w:rPr>
          <w:rFonts w:cs="Times New Roman"/>
          <w:noProof/>
          <w:lang w:val="sk-SK"/>
        </w:rPr>
        <w:t>rámci zmlúv</w:t>
      </w:r>
      <w:r w:rsidR="00A75B3C" w:rsidRPr="003F23AC">
        <w:rPr>
          <w:rFonts w:cs="Times New Roman"/>
          <w:noProof/>
          <w:lang w:val="sk-SK"/>
        </w:rPr>
        <w:t xml:space="preserve"> o </w:t>
      </w:r>
      <w:r w:rsidRPr="003F23AC">
        <w:rPr>
          <w:rFonts w:cs="Times New Roman"/>
          <w:noProof/>
          <w:lang w:val="sk-SK"/>
        </w:rPr>
        <w:t>službách vo verejnom záujme</w:t>
      </w:r>
      <w:r w:rsidR="00A75B3C" w:rsidRPr="003F23AC">
        <w:rPr>
          <w:rFonts w:cs="Times New Roman"/>
          <w:noProof/>
          <w:lang w:val="sk-SK"/>
        </w:rPr>
        <w:t xml:space="preserve"> v </w:t>
      </w:r>
      <w:r w:rsidRPr="003F23AC">
        <w:rPr>
          <w:rFonts w:cs="Times New Roman"/>
          <w:noProof/>
          <w:lang w:val="sk-SK"/>
        </w:rPr>
        <w:t>metropolitných oblastiach Lisabon</w:t>
      </w:r>
      <w:r w:rsidR="00A75B3C" w:rsidRPr="003F23AC">
        <w:rPr>
          <w:rFonts w:cs="Times New Roman"/>
          <w:noProof/>
          <w:lang w:val="sk-SK"/>
        </w:rPr>
        <w:t xml:space="preserve"> a </w:t>
      </w:r>
      <w:r w:rsidRPr="003F23AC">
        <w:rPr>
          <w:rFonts w:cs="Times New Roman"/>
          <w:noProof/>
          <w:lang w:val="sk-SK"/>
        </w:rPr>
        <w:t>Porto</w:t>
      </w:r>
      <w:r w:rsidR="00A75B3C" w:rsidRPr="003F23AC">
        <w:rPr>
          <w:rFonts w:cs="Times New Roman"/>
          <w:noProof/>
          <w:lang w:val="sk-SK"/>
        </w:rPr>
        <w:t>.</w:t>
      </w:r>
    </w:p>
    <w:p w14:paraId="30E9508A" w14:textId="7ECF66E9"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tejto investície sa dokončí do 31</w:t>
      </w:r>
      <w:r w:rsidR="00A75B3C" w:rsidRPr="003F23AC">
        <w:rPr>
          <w:rFonts w:cs="Times New Roman"/>
          <w:noProof/>
          <w:lang w:val="sk-SK"/>
        </w:rPr>
        <w:t>. decembra</w:t>
      </w:r>
      <w:r w:rsidRPr="003F23AC">
        <w:rPr>
          <w:rFonts w:cs="Times New Roman"/>
          <w:noProof/>
          <w:lang w:val="sk-SK"/>
        </w:rPr>
        <w:t xml:space="preserve"> 2023.</w:t>
      </w:r>
    </w:p>
    <w:p w14:paraId="3EA4262B" w14:textId="17791992"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bookmarkStart w:id="28" w:name="_Toc137472463"/>
      <w:r w:rsidRPr="003F23AC">
        <w:rPr>
          <w:rFonts w:cs="Times New Roman"/>
          <w:noProof/>
          <w:lang w:val="sk-SK"/>
        </w:rPr>
        <w:t>Investície TC-C15 – i06: Digitalizácia železničnej dopravy</w:t>
      </w:r>
      <w:bookmarkEnd w:id="28"/>
    </w:p>
    <w:p w14:paraId="3A592227" w14:textId="044F5619"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zosúladiť severnú trať národnej železničnej siete (RFN)</w:t>
      </w:r>
      <w:r w:rsidR="00A75B3C" w:rsidRPr="003F23AC">
        <w:rPr>
          <w:rFonts w:cs="Times New Roman"/>
          <w:noProof/>
          <w:lang w:val="sk-SK"/>
        </w:rPr>
        <w:t xml:space="preserve"> s </w:t>
      </w:r>
      <w:r w:rsidRPr="003F23AC">
        <w:rPr>
          <w:rFonts w:cs="Times New Roman"/>
          <w:noProof/>
          <w:lang w:val="sk-SK"/>
        </w:rPr>
        <w:t>novou vysokorýchlostnou železničnou traťou (LAV) prostredníctvom výmeny elektronických signalizačných systémov. Očakáva sa, že sa tým zlepší interoperabilita RFN</w:t>
      </w:r>
      <w:r w:rsidR="00A75B3C" w:rsidRPr="003F23AC">
        <w:rPr>
          <w:rFonts w:cs="Times New Roman"/>
          <w:noProof/>
          <w:lang w:val="sk-SK"/>
        </w:rPr>
        <w:t xml:space="preserve"> s </w:t>
      </w:r>
      <w:r w:rsidRPr="003F23AC">
        <w:rPr>
          <w:rFonts w:cs="Times New Roman"/>
          <w:noProof/>
          <w:lang w:val="sk-SK"/>
        </w:rPr>
        <w:t>jednotným európskym železničným priestorom.</w:t>
      </w:r>
    </w:p>
    <w:p w14:paraId="0880068A" w14:textId="11ECC186"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investícia pozostáva</w:t>
      </w:r>
      <w:r w:rsidR="00A75B3C" w:rsidRPr="003F23AC">
        <w:rPr>
          <w:rFonts w:cs="Times New Roman"/>
          <w:noProof/>
          <w:lang w:val="sk-SK"/>
        </w:rPr>
        <w:t xml:space="preserve"> z </w:t>
      </w:r>
      <w:r w:rsidRPr="003F23AC">
        <w:rPr>
          <w:rFonts w:cs="Times New Roman"/>
          <w:noProof/>
          <w:lang w:val="sk-SK"/>
        </w:rPr>
        <w:t>výmeny elektronických signalizačných systémov na staniciach Campolide-Cintura, Oriente, Alverca</w:t>
      </w:r>
      <w:r w:rsidR="00A75B3C" w:rsidRPr="003F23AC">
        <w:rPr>
          <w:rFonts w:cs="Times New Roman"/>
          <w:noProof/>
          <w:lang w:val="sk-SK"/>
        </w:rPr>
        <w:t xml:space="preserve"> a </w:t>
      </w:r>
      <w:r w:rsidRPr="003F23AC">
        <w:rPr>
          <w:rFonts w:cs="Times New Roman"/>
          <w:noProof/>
          <w:lang w:val="sk-SK"/>
        </w:rPr>
        <w:t>Azambuja, ktoré pokrývajú 20 km železničných tratí</w:t>
      </w:r>
      <w:r w:rsidR="00A75B3C" w:rsidRPr="003F23AC">
        <w:rPr>
          <w:rFonts w:cs="Times New Roman"/>
          <w:noProof/>
          <w:lang w:val="sk-SK"/>
        </w:rPr>
        <w:t xml:space="preserve"> v </w:t>
      </w:r>
      <w:r w:rsidRPr="003F23AC">
        <w:rPr>
          <w:rFonts w:cs="Times New Roman"/>
          <w:noProof/>
          <w:lang w:val="sk-SK"/>
        </w:rPr>
        <w:t>metropolitnej oblasti Lisabonu.</w:t>
      </w:r>
    </w:p>
    <w:p w14:paraId="3287A3D7" w14:textId="36D9EDD6"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39B0B8B1"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62B6A681" w14:textId="65744CBC"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E00EDD">
          <w:headerReference w:type="even" r:id="rId282"/>
          <w:headerReference w:type="default" r:id="rId283"/>
          <w:footerReference w:type="even" r:id="rId284"/>
          <w:footerReference w:type="default" r:id="rId285"/>
          <w:headerReference w:type="first" r:id="rId286"/>
          <w:footerReference w:type="first" r:id="rId287"/>
          <w:pgSz w:w="11907" w:h="16839"/>
          <w:pgMar w:top="1134" w:right="1134" w:bottom="1134" w:left="1134" w:header="567" w:footer="567" w:gutter="0"/>
          <w:cols w:space="720"/>
          <w:docGrid w:linePitch="360"/>
        </w:sectPr>
      </w:pPr>
    </w:p>
    <w:p w14:paraId="141E7B95" w14:textId="7A185E52"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 xml:space="preserve">O.2. </w:t>
      </w:r>
      <w:r w:rsidRPr="003F23AC">
        <w:rPr>
          <w:rFonts w:cs="Times New Roman"/>
          <w:noProof/>
          <w:lang w:val="sk-SK"/>
        </w:rPr>
        <w:tab/>
        <w:t>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p w14:paraId="7077B900"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15027" w:type="dxa"/>
        <w:tblInd w:w="-176" w:type="dxa"/>
        <w:tblLayout w:type="fixed"/>
        <w:tblLook w:val="04A0" w:firstRow="1" w:lastRow="0" w:firstColumn="1" w:lastColumn="0" w:noHBand="0" w:noVBand="1"/>
      </w:tblPr>
      <w:tblGrid>
        <w:gridCol w:w="1135"/>
        <w:gridCol w:w="1276"/>
        <w:gridCol w:w="1134"/>
        <w:gridCol w:w="1701"/>
        <w:gridCol w:w="1417"/>
        <w:gridCol w:w="993"/>
        <w:gridCol w:w="992"/>
        <w:gridCol w:w="709"/>
        <w:gridCol w:w="800"/>
        <w:gridCol w:w="475"/>
        <w:gridCol w:w="4395"/>
      </w:tblGrid>
      <w:tr w:rsidR="00387C70" w:rsidRPr="003F23AC" w14:paraId="7CC6D94E" w14:textId="77777777" w:rsidTr="008E475E">
        <w:trPr>
          <w:trHeight w:val="910"/>
          <w:tblHeader/>
        </w:trPr>
        <w:tc>
          <w:tcPr>
            <w:tcW w:w="1135" w:type="dxa"/>
            <w:vMerge w:val="restart"/>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3C0125D8"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1315983A"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3E7DAADC" w14:textId="22191D45"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76107FD4"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7204D3E9"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694" w:type="dxa"/>
            <w:gridSpan w:val="3"/>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3E42811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185E208D"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6E137D9D" w14:textId="1E238FBB"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68581FC3" w14:textId="77777777" w:rsidTr="008E475E">
        <w:trPr>
          <w:trHeight w:val="470"/>
          <w:tblHeader/>
        </w:trPr>
        <w:tc>
          <w:tcPr>
            <w:tcW w:w="113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38B8D7A"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BBF832C"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180096" w14:textId="61D5DCDC"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70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CDB268C"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417" w:type="dxa"/>
            <w:vMerge/>
            <w:tcBorders>
              <w:top w:val="single" w:sz="4" w:space="0" w:color="auto"/>
              <w:left w:val="single" w:sz="4" w:space="0" w:color="auto"/>
            </w:tcBorders>
            <w:tcMar>
              <w:left w:w="28" w:type="dxa"/>
              <w:right w:w="28" w:type="dxa"/>
            </w:tcMar>
            <w:vAlign w:val="center"/>
            <w:hideMark/>
          </w:tcPr>
          <w:p w14:paraId="2E62C192"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993" w:type="dxa"/>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1DA8C97F"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992" w:type="dxa"/>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6F46BD3D" w14:textId="1B522398"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709" w:type="dxa"/>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07D6BE88" w14:textId="623E36B1"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800" w:type="dxa"/>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54581423" w14:textId="367287D0"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475" w:type="dxa"/>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52096D69"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4395" w:type="dxa"/>
            <w:vMerge/>
            <w:tcBorders>
              <w:top w:val="single" w:sz="4" w:space="0" w:color="auto"/>
              <w:bottom w:val="single" w:sz="4" w:space="0" w:color="auto"/>
              <w:right w:val="single" w:sz="4" w:space="0" w:color="auto"/>
            </w:tcBorders>
            <w:tcMar>
              <w:left w:w="28" w:type="dxa"/>
              <w:right w:w="28" w:type="dxa"/>
            </w:tcMar>
            <w:vAlign w:val="center"/>
            <w:hideMark/>
          </w:tcPr>
          <w:p w14:paraId="4EB74829"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50AD3AE2" w14:textId="77777777" w:rsidTr="008E475E">
        <w:trPr>
          <w:trHeight w:val="850"/>
        </w:trPr>
        <w:tc>
          <w:tcPr>
            <w:tcW w:w="113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17C77800" w14:textId="5F17094A"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15.1</w:t>
            </w:r>
          </w:p>
        </w:tc>
        <w:tc>
          <w:tcPr>
            <w:tcW w:w="1276"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5A534AA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TC-C15-i01</w:t>
            </w:r>
          </w:p>
        </w:tc>
        <w:tc>
          <w:tcPr>
            <w:tcW w:w="1134"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4863BA6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34F354DE" w14:textId="28A43DF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rozšírení lisabonskej siete Metro</w:t>
            </w:r>
          </w:p>
        </w:tc>
        <w:tc>
          <w:tcPr>
            <w:tcW w:w="141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60B92C0" w14:textId="2452372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rozšírení lisabonskej siete Metro</w:t>
            </w:r>
          </w:p>
        </w:tc>
        <w:tc>
          <w:tcPr>
            <w:tcW w:w="993"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3509C23E"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526D8CFA"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9"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4FC64576"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00"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04639643" w14:textId="0345EF8F"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75"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B884C5F" w14:textId="48A8EC3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39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36E6D604" w14:textId="2400BA1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realizácii projektu medzi verejnými orgánmi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dodávateľom vybraným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rámci postupu verejného obstarávania. Účelom zmluvy je rozšírenie lisabonskej siete Metro (Red Line to Alcântara). </w:t>
            </w:r>
          </w:p>
        </w:tc>
      </w:tr>
      <w:tr w:rsidR="00387C70" w:rsidRPr="003F23AC" w14:paraId="40BA7885" w14:textId="77777777" w:rsidTr="008E475E">
        <w:trPr>
          <w:trHeight w:val="1480"/>
        </w:trPr>
        <w:tc>
          <w:tcPr>
            <w:tcW w:w="113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20B8CB5E" w14:textId="0618E02F"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15.2</w:t>
            </w:r>
          </w:p>
        </w:tc>
        <w:tc>
          <w:tcPr>
            <w:tcW w:w="1276"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6C5E91C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TC-C15-i01</w:t>
            </w:r>
          </w:p>
        </w:tc>
        <w:tc>
          <w:tcPr>
            <w:tcW w:w="1134"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030AE40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53DA6929" w14:textId="307F4ED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pokroku pri rozširovaní lisabonskej siete metra </w:t>
            </w:r>
          </w:p>
        </w:tc>
        <w:tc>
          <w:tcPr>
            <w:tcW w:w="141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D011F76" w14:textId="543CD8C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pokroku,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ktorej sa uvádza, že práce napredujú podľa harmonogramu</w:t>
            </w:r>
          </w:p>
        </w:tc>
        <w:tc>
          <w:tcPr>
            <w:tcW w:w="993"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2F20F35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1E244C04"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9"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184EF25"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00"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13D75967" w14:textId="5727FA8F"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75"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478D7ABE" w14:textId="1166CC7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39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19AA98F4" w14:textId="089BF9A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Rozvoj prác na rozšírení lisabonskej siete Metro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dodržiavanie harmonogramu ich realizácie sa bude merať pravidelnými správami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pokroku počas vykonávania prác. Zahŕňa posúdenie vývoja prác podľa plánovaného harmonogramu vrátane identifikácie už dokončených činností, určenia činností, ktoré sa majú vykonať,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analýzu rizík navrhovaných termínov realizácie,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potreby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plánom na zmiernenie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nepredvídané udalosti, aby sa zabezpečilo, že zmluva bude dokončená</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navrhovaných lehotách. Míľnik je splnený, ak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správe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pokroku uvádza, že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čase míľnika práce napredujú podľa harmonogramu.</w:t>
            </w:r>
          </w:p>
        </w:tc>
      </w:tr>
      <w:tr w:rsidR="00387C70" w:rsidRPr="003F23AC" w14:paraId="21365F71" w14:textId="77777777" w:rsidTr="008E475E">
        <w:trPr>
          <w:trHeight w:val="640"/>
        </w:trPr>
        <w:tc>
          <w:tcPr>
            <w:tcW w:w="113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4CAE62C7"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15.3</w:t>
            </w:r>
          </w:p>
        </w:tc>
        <w:tc>
          <w:tcPr>
            <w:tcW w:w="1276"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59104BA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TC-C15-i01</w:t>
            </w:r>
          </w:p>
        </w:tc>
        <w:tc>
          <w:tcPr>
            <w:tcW w:w="1134"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61340E74" w14:textId="5EE20279"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251B537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rozšírenia lisabonskej siete Metro</w:t>
            </w:r>
          </w:p>
        </w:tc>
        <w:tc>
          <w:tcPr>
            <w:tcW w:w="141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245E5945"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52937FC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Km</w:t>
            </w:r>
          </w:p>
        </w:tc>
        <w:tc>
          <w:tcPr>
            <w:tcW w:w="992"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F99318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330F0CF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3,7</w:t>
            </w:r>
          </w:p>
        </w:tc>
        <w:tc>
          <w:tcPr>
            <w:tcW w:w="800"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63726894" w14:textId="78AA28B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75"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3722DCB8" w14:textId="2F31A42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9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4F7A4859" w14:textId="3B7E975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Dĺžka stavebných prác dokončených na rozšírenie lisabonskej siete Metro (3,3 km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tuneli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0,4 km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viadukte) rozšírením červenej línie do Alcântara. Rozšírená trať metra je pripravená na okamžitú prevádzku plánovaných dopravných služieb.</w:t>
            </w:r>
          </w:p>
        </w:tc>
      </w:tr>
      <w:tr w:rsidR="00387C70" w:rsidRPr="003F23AC" w14:paraId="0A9DA7D4" w14:textId="77777777" w:rsidTr="008E475E">
        <w:trPr>
          <w:trHeight w:val="850"/>
        </w:trPr>
        <w:tc>
          <w:tcPr>
            <w:tcW w:w="113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3DF8351D"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15.4</w:t>
            </w:r>
          </w:p>
        </w:tc>
        <w:tc>
          <w:tcPr>
            <w:tcW w:w="1276"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61A62D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TC-C15-i02</w:t>
            </w:r>
          </w:p>
        </w:tc>
        <w:tc>
          <w:tcPr>
            <w:tcW w:w="1134"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6D4DB82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599D997C" w14:textId="313D208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rozšírení siete Porto Metro</w:t>
            </w:r>
          </w:p>
        </w:tc>
        <w:tc>
          <w:tcPr>
            <w:tcW w:w="141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0E161F9D" w14:textId="0764A3D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rozšírení siete Porto Metro</w:t>
            </w:r>
          </w:p>
        </w:tc>
        <w:tc>
          <w:tcPr>
            <w:tcW w:w="993"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01C77D4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w:t>
            </w:r>
          </w:p>
        </w:tc>
        <w:tc>
          <w:tcPr>
            <w:tcW w:w="992"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5D1E3CA6"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9"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6C09920F"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00"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46352D8E" w14:textId="0E570DA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75"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01216DD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39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7A7F8EFE" w14:textId="4F1A6F9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realizácii projektu medzi verejnými orgánmi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dodávateľom vybraným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rámci postupu verejného obstarávania. Účelom zmluvy je rozšírenie siete Porto Metro (Casa da Música-Santo Ovídio). </w:t>
            </w:r>
          </w:p>
        </w:tc>
      </w:tr>
      <w:tr w:rsidR="00387C70" w:rsidRPr="003F23AC" w14:paraId="46A67267" w14:textId="77777777" w:rsidTr="008E475E">
        <w:trPr>
          <w:trHeight w:val="1480"/>
        </w:trPr>
        <w:tc>
          <w:tcPr>
            <w:tcW w:w="113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5D3C3147" w14:textId="45F98DA8"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15.5</w:t>
            </w:r>
          </w:p>
        </w:tc>
        <w:tc>
          <w:tcPr>
            <w:tcW w:w="1276"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693B52A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TC-C15-i02</w:t>
            </w:r>
          </w:p>
        </w:tc>
        <w:tc>
          <w:tcPr>
            <w:tcW w:w="1134"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23DE8CB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2BC8025F" w14:textId="615DF9D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pokroku pri rozširovaní siete Porto Metro</w:t>
            </w:r>
          </w:p>
        </w:tc>
        <w:tc>
          <w:tcPr>
            <w:tcW w:w="141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330FC676" w14:textId="0F48B1F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pokroku,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ktorej sa uvádza, že práce napredujú podľa harmonogramu</w:t>
            </w:r>
          </w:p>
        </w:tc>
        <w:tc>
          <w:tcPr>
            <w:tcW w:w="993"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F3D6F6F"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2E8FBF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9"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6F1742AA"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00"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6A657169" w14:textId="56C3607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75"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50BCBA8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39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734C069C" w14:textId="60887E2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Vývoj prác na rozšírení siete Porto Metro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dodržiavanie harmonogramu ich realizácie sa meria pravidelnými správami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pokroku počas vykonávania prác. Zahŕňa posúdenie vývoja prác podľa plánovaného harmonogramu vrátane identifikácie už dokončených činností, určenia činností, ktoré sa majú vykonať,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analýzu rizík navrhovaných termínov realizácie,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potreby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plánom na zmiernenie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nepredvídané udalosti, aby sa zabezpečilo, že zmluva bude dokončená</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navrhovaných lehotách. Míľnik je splnený, ak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správe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pokroku uvádza, že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čase míľnika práce napredujú podľa harmonogramu.</w:t>
            </w:r>
          </w:p>
        </w:tc>
      </w:tr>
      <w:tr w:rsidR="00387C70" w:rsidRPr="003F23AC" w14:paraId="69619D3F" w14:textId="77777777" w:rsidTr="008E475E">
        <w:trPr>
          <w:trHeight w:val="640"/>
        </w:trPr>
        <w:tc>
          <w:tcPr>
            <w:tcW w:w="113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7A7FAA4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15.6</w:t>
            </w:r>
          </w:p>
        </w:tc>
        <w:tc>
          <w:tcPr>
            <w:tcW w:w="1276"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0EB3CC2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TC-C15-i02</w:t>
            </w:r>
          </w:p>
        </w:tc>
        <w:tc>
          <w:tcPr>
            <w:tcW w:w="1134"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22AC62F7" w14:textId="678805AF"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4A5D734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rozšírenia siete Porto Metro</w:t>
            </w:r>
          </w:p>
        </w:tc>
        <w:tc>
          <w:tcPr>
            <w:tcW w:w="141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E1D1514"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3CBEA4B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Km</w:t>
            </w:r>
          </w:p>
        </w:tc>
        <w:tc>
          <w:tcPr>
            <w:tcW w:w="992"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8C2C5E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632EB6D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6,7</w:t>
            </w:r>
          </w:p>
        </w:tc>
        <w:tc>
          <w:tcPr>
            <w:tcW w:w="800"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1229F9A8" w14:textId="3EDA4D2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75"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6F5B4C70" w14:textId="54A1DD9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9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1C905D8D" w14:textId="4287263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Dĺžka stavebných prác dokončených na rozšírenie siete Porto Metro vybudovaním novej trate medzi Casa da Música (Porto)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Santo Ovídio (Vila Nova de Gaia). Nová linka metra je pripravená na okamžitú prevádzku plánovaných dopravných služieb. </w:t>
            </w:r>
          </w:p>
        </w:tc>
      </w:tr>
      <w:tr w:rsidR="00387C70" w:rsidRPr="003F23AC" w14:paraId="79B5E05D" w14:textId="77777777" w:rsidTr="008E475E">
        <w:trPr>
          <w:trHeight w:val="2398"/>
        </w:trPr>
        <w:tc>
          <w:tcPr>
            <w:tcW w:w="113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192A7FBF"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15.10</w:t>
            </w:r>
          </w:p>
        </w:tc>
        <w:tc>
          <w:tcPr>
            <w:tcW w:w="1276"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0E7379D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TC-C15 – i04</w:t>
            </w:r>
          </w:p>
        </w:tc>
        <w:tc>
          <w:tcPr>
            <w:tcW w:w="1134"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F15CA1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01F72C9A" w14:textId="4F78B66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výstavbe rýchlej tranzitnej linky Bus medzi Praça do Império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Praça Albuquerque Mouzinho</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Porte</w:t>
            </w:r>
          </w:p>
        </w:tc>
        <w:tc>
          <w:tcPr>
            <w:tcW w:w="141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0276CBD1" w14:textId="764995C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výstavbe rýchlej autobusovej tranzitnej linky medzi Praça do Império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Praça Albuquerque Mouzinho</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Porte</w:t>
            </w:r>
          </w:p>
        </w:tc>
        <w:tc>
          <w:tcPr>
            <w:tcW w:w="993"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2275C96D"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1BBD236D"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9"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4204CDB6"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00"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4D549309" w14:textId="0471B3D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75"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4099AAE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39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623DD8DF" w14:textId="382D20F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realizácii projektu medzi verejnými orgánmi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dodávateľom vybraným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postupu verejného obstarávania. Účelom zmluvy je výstavba rýchleho tranzitného vedenia Bus spájajúceho Praça do Império</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Praçou Albuquerque Mouzinho</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Porte. </w:t>
            </w:r>
          </w:p>
        </w:tc>
      </w:tr>
      <w:tr w:rsidR="00387C70" w:rsidRPr="003F23AC" w14:paraId="7ADF5EB7" w14:textId="77777777" w:rsidTr="008E475E">
        <w:trPr>
          <w:trHeight w:val="640"/>
        </w:trPr>
        <w:tc>
          <w:tcPr>
            <w:tcW w:w="113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516D4B91"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15.11</w:t>
            </w:r>
          </w:p>
        </w:tc>
        <w:tc>
          <w:tcPr>
            <w:tcW w:w="1276"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68F8D63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TC-C15 – i04</w:t>
            </w:r>
          </w:p>
        </w:tc>
        <w:tc>
          <w:tcPr>
            <w:tcW w:w="1134"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2D3EBBF9" w14:textId="39DEF72A"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5ABDF794" w14:textId="5DB2710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Výstavba rýchlej tranzitnej linky Bus medzi Praça do Império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Praça Albuquerque Mouzinho</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Porte</w:t>
            </w:r>
          </w:p>
        </w:tc>
        <w:tc>
          <w:tcPr>
            <w:tcW w:w="141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44CFC47A"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1B162B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Km</w:t>
            </w:r>
          </w:p>
        </w:tc>
        <w:tc>
          <w:tcPr>
            <w:tcW w:w="992"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3D261ED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A79F5D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3,8</w:t>
            </w:r>
          </w:p>
        </w:tc>
        <w:tc>
          <w:tcPr>
            <w:tcW w:w="800"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33D95435" w14:textId="59C6D5B6"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75"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33804F18" w14:textId="2A33460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39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5C671D64" w14:textId="63F3BCF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Dĺžka dokončených stavebných prác na rýchlom tranzitnom trati autobusu spájajúcej Praça do Império</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Praçou Albuquerque Mouzinho</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Porte. Nová rýchla autobusová tranzitná linka je pripravená na okamžitú prevádzku plánovaných dopravných služieb. </w:t>
            </w:r>
          </w:p>
        </w:tc>
      </w:tr>
      <w:tr w:rsidR="00387C70" w:rsidRPr="003F23AC" w14:paraId="167AB6D9" w14:textId="77777777" w:rsidTr="008E475E">
        <w:trPr>
          <w:trHeight w:val="1871"/>
        </w:trPr>
        <w:tc>
          <w:tcPr>
            <w:tcW w:w="113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66418711"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15.12</w:t>
            </w:r>
          </w:p>
        </w:tc>
        <w:tc>
          <w:tcPr>
            <w:tcW w:w="1276"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AE7894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TC-C15 – i05</w:t>
            </w:r>
          </w:p>
        </w:tc>
        <w:tc>
          <w:tcPr>
            <w:tcW w:w="1134"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1F8ACE3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2B1641BE" w14:textId="7ADDD03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Zmluva podpísaná na nákup ekologických autobusov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dekarbonizácie verejnej dopravy</w:t>
            </w:r>
          </w:p>
        </w:tc>
        <w:tc>
          <w:tcPr>
            <w:tcW w:w="141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0FE4D21F" w14:textId="03A393A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Zmluva podpísaná na nákup 145 ekologických autobusov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dekarbonizácie verejnej dopravy</w:t>
            </w:r>
          </w:p>
        </w:tc>
        <w:tc>
          <w:tcPr>
            <w:tcW w:w="993"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585D964C"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195BD3CE"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9"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2D9326A"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00"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11700FA3" w14:textId="251576A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75"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13148EE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39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tcPr>
          <w:p w14:paraId="16BAC741" w14:textId="74001E8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 medzi prijímateľmi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riadiacim orgánom na základe verejnej súťaže,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ktorej sa stanovuje záväzok kúpiť nové autobusy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nulovými emisiami (elektrické alebo vodíkové).</w:t>
            </w:r>
          </w:p>
        </w:tc>
      </w:tr>
      <w:tr w:rsidR="00387C70" w:rsidRPr="003F23AC" w14:paraId="48039201" w14:textId="77777777" w:rsidTr="008E475E">
        <w:trPr>
          <w:trHeight w:val="510"/>
        </w:trPr>
        <w:tc>
          <w:tcPr>
            <w:tcW w:w="113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7CC5591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15.13</w:t>
            </w:r>
          </w:p>
        </w:tc>
        <w:tc>
          <w:tcPr>
            <w:tcW w:w="1276"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39F7419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TC-C15 – i05</w:t>
            </w:r>
          </w:p>
        </w:tc>
        <w:tc>
          <w:tcPr>
            <w:tcW w:w="1134"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5D9BF1EE" w14:textId="1F833E85"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429D1A84" w14:textId="62D394C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Nákup nových autobusov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nulovými emisiami (elektrických alebo vodíkových) používaných vo verejnej doprave</w:t>
            </w:r>
          </w:p>
        </w:tc>
        <w:tc>
          <w:tcPr>
            <w:tcW w:w="141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200F18BD"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E34DBE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4CE4430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6BECE40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145</w:t>
            </w:r>
          </w:p>
        </w:tc>
        <w:tc>
          <w:tcPr>
            <w:tcW w:w="800"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9F48AA6" w14:textId="789951BC"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75"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357805C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39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58838148" w14:textId="101B60CE" w:rsidR="00387C70" w:rsidRPr="003F23AC" w:rsidRDefault="000F5AA4" w:rsidP="003F23AC">
            <w:pPr>
              <w:pStyle w:val="P68B1DB1-Normal9"/>
              <w:spacing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Počet nových autobusov</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nulovými emisiami (elektrický alebo vodíkový) zakúpených</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prevádzkovaných</w:t>
            </w:r>
            <w:r w:rsidRPr="003F23AC">
              <w:rPr>
                <w:rFonts w:ascii="Times New Roman" w:hAnsi="Times New Roman" w:cs="Times New Roman"/>
                <w:noProof/>
                <w:lang w:val="sk-SK"/>
              </w:rPr>
              <w:t xml:space="preserve"> </w:t>
            </w:r>
            <w:r w:rsidRPr="003F23AC">
              <w:rPr>
                <w:rFonts w:ascii="Times New Roman" w:hAnsi="Times New Roman" w:cs="Times New Roman"/>
                <w:noProof/>
                <w:sz w:val="16"/>
                <w:lang w:val="sk-SK"/>
              </w:rPr>
              <w:t>na poskytovanie služieb verejnej osobnej dopravy</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Lisabone</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metropolitných oblastiach Porto.</w:t>
            </w:r>
          </w:p>
        </w:tc>
      </w:tr>
      <w:tr w:rsidR="00387C70" w:rsidRPr="003F23AC" w14:paraId="14807BD7" w14:textId="77777777" w:rsidTr="008E475E">
        <w:trPr>
          <w:trHeight w:val="430"/>
        </w:trPr>
        <w:tc>
          <w:tcPr>
            <w:tcW w:w="113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4C050AF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15.14</w:t>
            </w:r>
          </w:p>
        </w:tc>
        <w:tc>
          <w:tcPr>
            <w:tcW w:w="1276"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7881FD4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TC-C15-r30</w:t>
            </w:r>
          </w:p>
        </w:tc>
        <w:tc>
          <w:tcPr>
            <w:tcW w:w="1134"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2DDE169C" w14:textId="379450AE"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3C1630B8" w14:textId="70BD0D4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Podpísané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službách vo verejnom záujme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osobnej doprave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metropolitných oblastiach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medziobecných spoločenstvách</w:t>
            </w:r>
          </w:p>
        </w:tc>
        <w:tc>
          <w:tcPr>
            <w:tcW w:w="141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3A57D8B6"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57219E1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3FBB191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07BDA84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23</w:t>
            </w:r>
          </w:p>
        </w:tc>
        <w:tc>
          <w:tcPr>
            <w:tcW w:w="800"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11ED4C04" w14:textId="66D8C91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75"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hideMark/>
          </w:tcPr>
          <w:p w14:paraId="5789ECF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39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hideMark/>
          </w:tcPr>
          <w:p w14:paraId="6154FD26" w14:textId="304B6F2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orgánov zodpovedných za riadenie dopravy so zmluvami podpísanými pre všetky služby vo verejnom záujme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železničnej, cestnej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vnútrozemskej vodnej doprave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nariadením (ES)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 xml:space="preserve">1370/2007. </w:t>
            </w:r>
          </w:p>
        </w:tc>
      </w:tr>
      <w:tr w:rsidR="00387C70" w:rsidRPr="003F23AC" w14:paraId="47CBDF40" w14:textId="77777777" w:rsidTr="008E475E">
        <w:trPr>
          <w:trHeight w:val="430"/>
        </w:trPr>
        <w:tc>
          <w:tcPr>
            <w:tcW w:w="113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tcPr>
          <w:p w14:paraId="09369F6D" w14:textId="4F312845"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15.15</w:t>
            </w:r>
          </w:p>
        </w:tc>
        <w:tc>
          <w:tcPr>
            <w:tcW w:w="1276"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0F8ECE66" w14:textId="2BE2CDE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TC-C15 – i06</w:t>
            </w:r>
          </w:p>
        </w:tc>
        <w:tc>
          <w:tcPr>
            <w:tcW w:w="1134"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7490E290" w14:textId="4326EEA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7550A166" w14:textId="610B219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Podpis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elektronických signalizačných systémoch</w:t>
            </w:r>
          </w:p>
        </w:tc>
        <w:tc>
          <w:tcPr>
            <w:tcW w:w="141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314CC642" w14:textId="6BAFC38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Podpis zmluvy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uverejnenie na osobitnom portáli</w:t>
            </w:r>
          </w:p>
        </w:tc>
        <w:tc>
          <w:tcPr>
            <w:tcW w:w="993"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695EA3B9"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6EBBD090"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9"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363D14C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00"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605308DB" w14:textId="1F4D180E"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75"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6C87AF58" w14:textId="3B2C4F4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39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tcPr>
          <w:p w14:paraId="2C5EB17D" w14:textId="24150BA7" w:rsidR="00387C70" w:rsidRPr="003F23AC" w:rsidRDefault="000F5AA4" w:rsidP="003F23AC">
            <w:pPr>
              <w:pStyle w:val="P68B1DB1-Normal12"/>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realizácii projektu na výmenu elektronických signalizačných systémov medzi verejnými orgánmi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dodávateľom. </w:t>
            </w:r>
          </w:p>
        </w:tc>
      </w:tr>
      <w:tr w:rsidR="00387C70" w:rsidRPr="003F23AC" w14:paraId="4095FC09" w14:textId="77777777" w:rsidTr="008E475E">
        <w:trPr>
          <w:trHeight w:val="430"/>
        </w:trPr>
        <w:tc>
          <w:tcPr>
            <w:tcW w:w="113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tcPr>
          <w:p w14:paraId="309B65D6" w14:textId="131135B8"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15.16</w:t>
            </w:r>
          </w:p>
        </w:tc>
        <w:tc>
          <w:tcPr>
            <w:tcW w:w="1276"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549E8EF1" w14:textId="16469D3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TC-C15 – i06</w:t>
            </w:r>
          </w:p>
        </w:tc>
        <w:tc>
          <w:tcPr>
            <w:tcW w:w="1134"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61DEA956" w14:textId="101AA1F6"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361336C3" w14:textId="562FB6D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Železničné trate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elektronickými signalizačnými systémami nahradené</w:t>
            </w:r>
          </w:p>
        </w:tc>
        <w:tc>
          <w:tcPr>
            <w:tcW w:w="141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1A28AD9C"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2598FA30" w14:textId="2E1AC04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km</w:t>
            </w:r>
          </w:p>
        </w:tc>
        <w:tc>
          <w:tcPr>
            <w:tcW w:w="992"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78C2C5F8" w14:textId="534EC87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6331C6AF" w14:textId="106C8BC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w:t>
            </w:r>
          </w:p>
        </w:tc>
        <w:tc>
          <w:tcPr>
            <w:tcW w:w="800"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07A010B4" w14:textId="0A91FB60"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75"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22AD76CD" w14:textId="1D2C02A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9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tcPr>
          <w:p w14:paraId="73B34CCB" w14:textId="7E51487A"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Dĺžka železničných tratí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novými elektronickými signalizačnými systémami nainštalovanými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metropolitnej oblasti Lisabonu.</w:t>
            </w:r>
          </w:p>
        </w:tc>
      </w:tr>
    </w:tbl>
    <w:p w14:paraId="11A8F5DB" w14:textId="6735A646"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E00EDD">
          <w:headerReference w:type="even" r:id="rId288"/>
          <w:headerReference w:type="default" r:id="rId289"/>
          <w:footerReference w:type="even" r:id="rId290"/>
          <w:footerReference w:type="default" r:id="rId291"/>
          <w:headerReference w:type="first" r:id="rId292"/>
          <w:footerReference w:type="first" r:id="rId293"/>
          <w:pgSz w:w="16839" w:h="11907" w:orient="landscape"/>
          <w:pgMar w:top="1134" w:right="1134" w:bottom="1134" w:left="1134" w:header="567" w:footer="567" w:gutter="0"/>
          <w:cols w:space="720"/>
          <w:docGrid w:linePitch="360"/>
        </w:sectPr>
      </w:pPr>
    </w:p>
    <w:p w14:paraId="510498C1"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pPr>
    </w:p>
    <w:p w14:paraId="6F3C01E3" w14:textId="4260980D"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O.3.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úverového financovania</w:t>
      </w:r>
    </w:p>
    <w:p w14:paraId="1B24E4D5" w14:textId="77777777" w:rsidR="00A75B3C" w:rsidRPr="003F23AC" w:rsidRDefault="000F5AA4" w:rsidP="003F23AC">
      <w:pPr>
        <w:pStyle w:val="P68B1DB1-Normal5"/>
        <w:spacing w:before="240" w:after="0" w:line="259" w:lineRule="auto"/>
        <w:ind w:left="851"/>
        <w:jc w:val="both"/>
        <w:outlineLvl w:val="2"/>
        <w:rPr>
          <w:rFonts w:cs="Times New Roman"/>
          <w:noProof/>
          <w:lang w:val="sk-SK"/>
        </w:rPr>
      </w:pPr>
      <w:r w:rsidRPr="003F23AC">
        <w:rPr>
          <w:rFonts w:cs="Times New Roman"/>
          <w:noProof/>
          <w:lang w:val="sk-SK"/>
        </w:rPr>
        <w:t>Investície TC-C15 – i03: Tranzit Odivelas ľahkej železničnej dopravy – Loures</w:t>
      </w:r>
    </w:p>
    <w:p w14:paraId="27A3BE80" w14:textId="6CA543BF"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opatrenia je zvýšiť atraktívnosť verejnej dopravy</w:t>
      </w:r>
      <w:r w:rsidR="00A75B3C" w:rsidRPr="003F23AC">
        <w:rPr>
          <w:rFonts w:cs="Times New Roman"/>
          <w:noProof/>
          <w:lang w:val="sk-SK"/>
        </w:rPr>
        <w:t xml:space="preserve"> v </w:t>
      </w:r>
      <w:r w:rsidRPr="003F23AC">
        <w:rPr>
          <w:rFonts w:cs="Times New Roman"/>
          <w:noProof/>
          <w:lang w:val="sk-SK"/>
        </w:rPr>
        <w:t>Lisabone</w:t>
      </w:r>
      <w:r w:rsidR="00A75B3C" w:rsidRPr="003F23AC">
        <w:rPr>
          <w:rFonts w:cs="Times New Roman"/>
          <w:noProof/>
          <w:lang w:val="sk-SK"/>
        </w:rPr>
        <w:t xml:space="preserve"> a </w:t>
      </w:r>
      <w:r w:rsidRPr="003F23AC">
        <w:rPr>
          <w:rFonts w:cs="Times New Roman"/>
          <w:noProof/>
          <w:lang w:val="sk-SK"/>
        </w:rPr>
        <w:t>prilákať viac užívateľov.</w:t>
      </w:r>
      <w:r w:rsidR="00A75B3C" w:rsidRPr="003F23AC">
        <w:rPr>
          <w:rFonts w:cs="Times New Roman"/>
          <w:noProof/>
          <w:lang w:val="sk-SK"/>
        </w:rPr>
        <w:t xml:space="preserve"> V </w:t>
      </w:r>
      <w:r w:rsidRPr="003F23AC">
        <w:rPr>
          <w:rFonts w:cs="Times New Roman"/>
          <w:noProof/>
          <w:lang w:val="sk-SK"/>
        </w:rPr>
        <w:t>súčasnosti prevláda súkromná cestná doprava medzi ostrovmi Loures</w:t>
      </w:r>
      <w:r w:rsidR="00A75B3C" w:rsidRPr="003F23AC">
        <w:rPr>
          <w:rFonts w:cs="Times New Roman"/>
          <w:noProof/>
          <w:lang w:val="sk-SK"/>
        </w:rPr>
        <w:t xml:space="preserve"> a </w:t>
      </w:r>
      <w:r w:rsidRPr="003F23AC">
        <w:rPr>
          <w:rFonts w:cs="Times New Roman"/>
          <w:noProof/>
          <w:lang w:val="sk-SK"/>
        </w:rPr>
        <w:t>Lisabonom, čo spôsobuje značné emisie skleníkových plynov</w:t>
      </w:r>
      <w:r w:rsidR="00A75B3C" w:rsidRPr="003F23AC">
        <w:rPr>
          <w:rFonts w:cs="Times New Roman"/>
          <w:noProof/>
          <w:lang w:val="sk-SK"/>
        </w:rPr>
        <w:t xml:space="preserve"> a </w:t>
      </w:r>
      <w:r w:rsidRPr="003F23AC">
        <w:rPr>
          <w:rFonts w:cs="Times New Roman"/>
          <w:noProof/>
          <w:lang w:val="sk-SK"/>
        </w:rPr>
        <w:t>znečisťujúcich látok</w:t>
      </w:r>
      <w:r w:rsidR="00A75B3C" w:rsidRPr="003F23AC">
        <w:rPr>
          <w:rFonts w:cs="Times New Roman"/>
          <w:noProof/>
          <w:lang w:val="sk-SK"/>
        </w:rPr>
        <w:t xml:space="preserve"> a </w:t>
      </w:r>
      <w:r w:rsidRPr="003F23AC">
        <w:rPr>
          <w:rFonts w:cs="Times New Roman"/>
          <w:noProof/>
          <w:lang w:val="sk-SK"/>
        </w:rPr>
        <w:t>problémy</w:t>
      </w:r>
      <w:r w:rsidR="00A75B3C" w:rsidRPr="003F23AC">
        <w:rPr>
          <w:rFonts w:cs="Times New Roman"/>
          <w:noProof/>
          <w:lang w:val="sk-SK"/>
        </w:rPr>
        <w:t xml:space="preserve"> s </w:t>
      </w:r>
      <w:r w:rsidRPr="003F23AC">
        <w:rPr>
          <w:rFonts w:cs="Times New Roman"/>
          <w:noProof/>
          <w:lang w:val="sk-SK"/>
        </w:rPr>
        <w:t>preťažením. Cieľom opatrenia je podnietiť prechod</w:t>
      </w:r>
      <w:r w:rsidR="00A75B3C" w:rsidRPr="003F23AC">
        <w:rPr>
          <w:rFonts w:cs="Times New Roman"/>
          <w:noProof/>
          <w:lang w:val="sk-SK"/>
        </w:rPr>
        <w:t xml:space="preserve"> z </w:t>
      </w:r>
      <w:r w:rsidRPr="003F23AC">
        <w:rPr>
          <w:rFonts w:cs="Times New Roman"/>
          <w:noProof/>
          <w:lang w:val="sk-SK"/>
        </w:rPr>
        <w:t>individuálnej cestnej dopravy na verejnú dopravu.</w:t>
      </w:r>
    </w:p>
    <w:p w14:paraId="369ECDD8" w14:textId="786EBB1D"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výstavby 11,5 km dlhého tranzitného systému ľahkých železníc, ktorý prepojí obec Loures so sieťou metra</w:t>
      </w:r>
      <w:r w:rsidR="00A75B3C" w:rsidRPr="003F23AC">
        <w:rPr>
          <w:rFonts w:cs="Times New Roman"/>
          <w:noProof/>
          <w:lang w:val="sk-SK"/>
        </w:rPr>
        <w:t xml:space="preserve"> v </w:t>
      </w:r>
      <w:r w:rsidRPr="003F23AC">
        <w:rPr>
          <w:rFonts w:cs="Times New Roman"/>
          <w:noProof/>
          <w:lang w:val="sk-SK"/>
        </w:rPr>
        <w:t>Lisabone</w:t>
      </w:r>
      <w:r w:rsidR="00A75B3C" w:rsidRPr="003F23AC">
        <w:rPr>
          <w:rFonts w:cs="Times New Roman"/>
          <w:noProof/>
          <w:lang w:val="sk-SK"/>
        </w:rPr>
        <w:t>.</w:t>
      </w:r>
    </w:p>
    <w:p w14:paraId="5F1D6AF1" w14:textId="0D8CFCF5" w:rsidR="00387C70" w:rsidRPr="003F23AC" w:rsidRDefault="000F5AA4" w:rsidP="003F23AC">
      <w:pPr>
        <w:pStyle w:val="P68B1DB1-Normal4"/>
        <w:spacing w:before="40" w:after="0" w:line="259" w:lineRule="auto"/>
        <w:ind w:left="130" w:firstLine="720"/>
        <w:jc w:val="both"/>
        <w:outlineLvl w:val="1"/>
        <w:rPr>
          <w:rFonts w:eastAsiaTheme="minorEastAsia" w:cs="Times New Roman"/>
          <w:b/>
          <w:noProof/>
          <w:u w:val="single"/>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575ACA3D"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pPr>
    </w:p>
    <w:p w14:paraId="64CAD46C"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sectPr w:rsidR="00387C70" w:rsidRPr="003F23AC" w:rsidSect="00E00EDD">
          <w:headerReference w:type="even" r:id="rId294"/>
          <w:headerReference w:type="default" r:id="rId295"/>
          <w:footerReference w:type="even" r:id="rId296"/>
          <w:footerReference w:type="default" r:id="rId297"/>
          <w:headerReference w:type="first" r:id="rId298"/>
          <w:footerReference w:type="first" r:id="rId299"/>
          <w:pgSz w:w="11907" w:h="16839"/>
          <w:pgMar w:top="1134" w:right="1134" w:bottom="1134" w:left="1134" w:header="567" w:footer="567" w:gutter="0"/>
          <w:cols w:space="720"/>
          <w:docGrid w:linePitch="360"/>
        </w:sectPr>
      </w:pPr>
    </w:p>
    <w:p w14:paraId="03D3A8DE"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pPr>
    </w:p>
    <w:p w14:paraId="302B669C" w14:textId="07894335"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O.4.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w:t>
      </w:r>
      <w:r w:rsidR="00A75B3C" w:rsidRPr="003F23AC">
        <w:rPr>
          <w:rFonts w:cs="Times New Roman"/>
          <w:noProof/>
          <w:lang w:val="sk-SK"/>
        </w:rPr>
        <w:t xml:space="preserve"> v </w:t>
      </w:r>
      <w:r w:rsidRPr="003F23AC">
        <w:rPr>
          <w:rFonts w:cs="Times New Roman"/>
          <w:noProof/>
          <w:lang w:val="sk-SK"/>
        </w:rPr>
        <w:t>súvislosti</w:t>
      </w:r>
      <w:r w:rsidR="00A75B3C" w:rsidRPr="003F23AC">
        <w:rPr>
          <w:rFonts w:cs="Times New Roman"/>
          <w:noProof/>
          <w:lang w:val="sk-SK"/>
        </w:rPr>
        <w:t xml:space="preserve"> s </w:t>
      </w:r>
      <w:r w:rsidRPr="003F23AC">
        <w:rPr>
          <w:rFonts w:cs="Times New Roman"/>
          <w:noProof/>
          <w:lang w:val="sk-SK"/>
        </w:rPr>
        <w:t>úverom</w:t>
      </w:r>
    </w:p>
    <w:p w14:paraId="635759ED"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15027" w:type="dxa"/>
        <w:tblInd w:w="-176" w:type="dxa"/>
        <w:tblLayout w:type="fixed"/>
        <w:tblLook w:val="04A0" w:firstRow="1" w:lastRow="0" w:firstColumn="1" w:lastColumn="0" w:noHBand="0" w:noVBand="1"/>
      </w:tblPr>
      <w:tblGrid>
        <w:gridCol w:w="1135"/>
        <w:gridCol w:w="1276"/>
        <w:gridCol w:w="1134"/>
        <w:gridCol w:w="1701"/>
        <w:gridCol w:w="1417"/>
        <w:gridCol w:w="993"/>
        <w:gridCol w:w="992"/>
        <w:gridCol w:w="709"/>
        <w:gridCol w:w="567"/>
        <w:gridCol w:w="708"/>
        <w:gridCol w:w="4395"/>
      </w:tblGrid>
      <w:tr w:rsidR="00387C70" w:rsidRPr="003F23AC" w14:paraId="2F97F8D0" w14:textId="77777777" w:rsidTr="008E475E">
        <w:trPr>
          <w:trHeight w:val="910"/>
          <w:tblHeader/>
        </w:trPr>
        <w:tc>
          <w:tcPr>
            <w:tcW w:w="1135" w:type="dxa"/>
            <w:vMerge w:val="restart"/>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2921D3C2"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11C57A38"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5FEE676C"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58027319"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71067041"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694" w:type="dxa"/>
            <w:gridSpan w:val="3"/>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1F0D5637"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5DB14555"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74BDC769" w14:textId="7034901D"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6A79B943" w14:textId="77777777" w:rsidTr="008E475E">
        <w:trPr>
          <w:trHeight w:val="470"/>
          <w:tblHeader/>
        </w:trPr>
        <w:tc>
          <w:tcPr>
            <w:tcW w:w="113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4310C2A"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8ACA7D6"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34"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2AF8AE5" w14:textId="77777777"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701"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37037FB"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417" w:type="dxa"/>
            <w:vMerge/>
            <w:tcBorders>
              <w:top w:val="single" w:sz="4" w:space="0" w:color="auto"/>
              <w:left w:val="single" w:sz="4" w:space="0" w:color="auto"/>
            </w:tcBorders>
            <w:tcMar>
              <w:left w:w="28" w:type="dxa"/>
              <w:right w:w="28" w:type="dxa"/>
            </w:tcMar>
            <w:vAlign w:val="center"/>
            <w:hideMark/>
          </w:tcPr>
          <w:p w14:paraId="532041EB"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993" w:type="dxa"/>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178DB4E2"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992" w:type="dxa"/>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3260F3C8" w14:textId="71E286A9"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709" w:type="dxa"/>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4C75038A" w14:textId="2F8F4C20"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567" w:type="dxa"/>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4015B4B4" w14:textId="0AD940CC"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708" w:type="dxa"/>
            <w:tcBorders>
              <w:top w:val="single" w:sz="4" w:space="0" w:color="auto"/>
              <w:left w:val="single" w:sz="4" w:space="0" w:color="auto"/>
              <w:bottom w:val="single" w:sz="4" w:space="0" w:color="auto"/>
              <w:right w:val="single" w:sz="4" w:space="0" w:color="auto"/>
            </w:tcBorders>
            <w:shd w:val="clear" w:color="auto" w:fill="BDD6EE"/>
            <w:tcMar>
              <w:left w:w="28" w:type="dxa"/>
              <w:right w:w="28" w:type="dxa"/>
            </w:tcMar>
            <w:vAlign w:val="center"/>
            <w:hideMark/>
          </w:tcPr>
          <w:p w14:paraId="1BC222A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4395" w:type="dxa"/>
            <w:vMerge/>
            <w:tcBorders>
              <w:top w:val="single" w:sz="4" w:space="0" w:color="auto"/>
              <w:bottom w:val="single" w:sz="4" w:space="0" w:color="auto"/>
              <w:right w:val="single" w:sz="4" w:space="0" w:color="auto"/>
            </w:tcBorders>
            <w:tcMar>
              <w:left w:w="28" w:type="dxa"/>
              <w:right w:w="28" w:type="dxa"/>
            </w:tcMar>
            <w:vAlign w:val="center"/>
            <w:hideMark/>
          </w:tcPr>
          <w:p w14:paraId="01B727AD"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4EBA1B8E" w14:textId="77777777" w:rsidTr="008E475E">
        <w:trPr>
          <w:trHeight w:val="850"/>
          <w:tblHeader/>
        </w:trPr>
        <w:tc>
          <w:tcPr>
            <w:tcW w:w="113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tcPr>
          <w:p w14:paraId="17430DD4" w14:textId="3D8F77CB"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15.7</w:t>
            </w:r>
          </w:p>
        </w:tc>
        <w:tc>
          <w:tcPr>
            <w:tcW w:w="1276"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02763EAF" w14:textId="43F37C9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TC-C15-i03</w:t>
            </w:r>
          </w:p>
        </w:tc>
        <w:tc>
          <w:tcPr>
            <w:tcW w:w="1134"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0D4F69B0" w14:textId="6F00730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3A963B90" w14:textId="571BDA7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výstavbe tranzitnej trate pre ľahké železnice medzi Odivelasom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Loures</w:t>
            </w:r>
          </w:p>
        </w:tc>
        <w:tc>
          <w:tcPr>
            <w:tcW w:w="141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3077DDBE" w14:textId="039F110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výstavbe tranzitnej trate pre ľahké železnice medzi Odivelasom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Loures</w:t>
            </w:r>
          </w:p>
        </w:tc>
        <w:tc>
          <w:tcPr>
            <w:tcW w:w="993"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018295CC"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09B96970"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9"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290E954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56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2F8099FF" w14:textId="4606E5CE"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708"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73A09061" w14:textId="0BCE345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39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tcPr>
          <w:p w14:paraId="71CFDF65" w14:textId="24159F7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realizácii projektu medzi verejnými orgánmi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dodávateľom vybraným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postupu verejného obstarávania. Účelom zmluvy je výstavba tranzitnej trate pre ľahké železnice medzi Odivelasom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Louresom. </w:t>
            </w:r>
          </w:p>
        </w:tc>
      </w:tr>
      <w:tr w:rsidR="00387C70" w:rsidRPr="003F23AC" w14:paraId="2C0CA749" w14:textId="77777777" w:rsidTr="008E475E">
        <w:trPr>
          <w:trHeight w:val="2527"/>
          <w:tblHeader/>
        </w:trPr>
        <w:tc>
          <w:tcPr>
            <w:tcW w:w="113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tcPr>
          <w:p w14:paraId="54BFE5C9" w14:textId="29341BA1"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15.8</w:t>
            </w:r>
          </w:p>
        </w:tc>
        <w:tc>
          <w:tcPr>
            <w:tcW w:w="1276"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60DF29A2" w14:textId="4F14BD5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TC-C15-i03</w:t>
            </w:r>
          </w:p>
        </w:tc>
        <w:tc>
          <w:tcPr>
            <w:tcW w:w="1134"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6C4D0EFB" w14:textId="69B081E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634498EF" w14:textId="4A197D8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pokroku pri výstavbe tranzitnej trate pre ľahké železnice medzi Odivelasom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Loures</w:t>
            </w:r>
          </w:p>
        </w:tc>
        <w:tc>
          <w:tcPr>
            <w:tcW w:w="141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59ABFC70" w14:textId="1AB4E57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pokroku,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ktorej sa uvádza, že práce napredujú podľa harmonogramu</w:t>
            </w:r>
          </w:p>
        </w:tc>
        <w:tc>
          <w:tcPr>
            <w:tcW w:w="993"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360038F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419550BD"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9"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18473EAD"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56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003C286D" w14:textId="18A89BB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708"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1EE78C35" w14:textId="00B9F42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9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tcPr>
          <w:p w14:paraId="33FA7FFC" w14:textId="5AC89EE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Vývoj prác na výstavbe tranzitnej trate pre ľahké železnice medzi Odivelasom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Loures</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dodržiavanie harmonogramu ich realizácie sa meria pravidelnými správami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pokroku počas vykonávania prác. Zahŕňa posúdenie vývoja prác podľa plánovaného harmonogramu vrátane identifikácie už dokončených činností, určenia činností, ktoré sa majú vykonať,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analýzu rizík navrhovaných termínov realizácie,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potreby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plánom na zmiernenie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nepredvídané udalosti, aby sa zabezpečilo, že zmluva bude dokončená</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navrhovaných lehotách. Míľnik je splnený, ak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správe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pokroku uvádza, že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čase míľnika práce napredujú podľa harmonogramu.</w:t>
            </w:r>
          </w:p>
        </w:tc>
      </w:tr>
      <w:tr w:rsidR="00387C70" w:rsidRPr="003F23AC" w14:paraId="5ACB540A" w14:textId="77777777" w:rsidTr="008E475E">
        <w:trPr>
          <w:trHeight w:val="640"/>
          <w:tblHeader/>
        </w:trPr>
        <w:tc>
          <w:tcPr>
            <w:tcW w:w="113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tcPr>
          <w:p w14:paraId="7C7A72F5" w14:textId="276CF2CE"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15.9</w:t>
            </w:r>
          </w:p>
        </w:tc>
        <w:tc>
          <w:tcPr>
            <w:tcW w:w="1276"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0099203D" w14:textId="19AB8DF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TC-C15-i03</w:t>
            </w:r>
          </w:p>
        </w:tc>
        <w:tc>
          <w:tcPr>
            <w:tcW w:w="1134"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0D7661C3" w14:textId="44B8849D"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11911FA7" w14:textId="4110395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Dokončená výstavba tranzitnej trate pre ľahké železnice medzi Odivelasom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Louresom</w:t>
            </w:r>
          </w:p>
        </w:tc>
        <w:tc>
          <w:tcPr>
            <w:tcW w:w="141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07781649"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24FBAABA" w14:textId="0FEF190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Km</w:t>
            </w:r>
          </w:p>
        </w:tc>
        <w:tc>
          <w:tcPr>
            <w:tcW w:w="992"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65D1663D" w14:textId="629F871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9"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2D4C315A" w14:textId="78D81EC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11.5</w:t>
            </w:r>
          </w:p>
        </w:tc>
        <w:tc>
          <w:tcPr>
            <w:tcW w:w="567"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5F0E1D2A" w14:textId="70CF46DC"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708" w:type="dxa"/>
            <w:tcBorders>
              <w:top w:val="single" w:sz="4" w:space="0" w:color="auto"/>
              <w:left w:val="single" w:sz="4" w:space="0" w:color="auto"/>
              <w:bottom w:val="single" w:sz="4" w:space="0" w:color="auto"/>
              <w:right w:val="single" w:sz="4" w:space="0" w:color="auto"/>
            </w:tcBorders>
            <w:shd w:val="clear" w:color="auto" w:fill="C4EFCE"/>
            <w:noWrap/>
            <w:tcMar>
              <w:left w:w="28" w:type="dxa"/>
              <w:right w:w="28" w:type="dxa"/>
            </w:tcMar>
            <w:vAlign w:val="center"/>
          </w:tcPr>
          <w:p w14:paraId="3B81BB6F" w14:textId="2BF6C0A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95" w:type="dxa"/>
            <w:tcBorders>
              <w:top w:val="single" w:sz="4" w:space="0" w:color="auto"/>
              <w:left w:val="single" w:sz="4" w:space="0" w:color="auto"/>
              <w:bottom w:val="single" w:sz="4" w:space="0" w:color="auto"/>
              <w:right w:val="single" w:sz="4" w:space="0" w:color="auto"/>
            </w:tcBorders>
            <w:shd w:val="clear" w:color="auto" w:fill="C4EFCE"/>
            <w:tcMar>
              <w:left w:w="28" w:type="dxa"/>
              <w:right w:w="28" w:type="dxa"/>
            </w:tcMar>
            <w:vAlign w:val="center"/>
          </w:tcPr>
          <w:p w14:paraId="7B006FBB" w14:textId="12E77CD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Dĺžka stavebných prác dokončených pre ľahkú železničnú tranzitnú trať na spojenie Loures so sieťou Lisabon Metro</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Odivelase. Nová ľahká železničná tranzitná trať je pripravená na okamžitú prevádzku plánovaných dopravných služieb. </w:t>
            </w:r>
          </w:p>
        </w:tc>
      </w:tr>
    </w:tbl>
    <w:p w14:paraId="0B3D7BA5"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pPr>
    </w:p>
    <w:p w14:paraId="5D80F2C0"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pPr>
    </w:p>
    <w:p w14:paraId="13B5D196"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sectPr w:rsidR="00387C70" w:rsidRPr="003F23AC" w:rsidSect="003311E3">
          <w:headerReference w:type="even" r:id="rId300"/>
          <w:headerReference w:type="default" r:id="rId301"/>
          <w:footerReference w:type="even" r:id="rId302"/>
          <w:footerReference w:type="default" r:id="rId303"/>
          <w:headerReference w:type="first" r:id="rId304"/>
          <w:footerReference w:type="first" r:id="rId305"/>
          <w:pgSz w:w="16839" w:h="11907" w:orient="landscape"/>
          <w:pgMar w:top="1134" w:right="1134" w:bottom="1134" w:left="1134" w:header="567" w:footer="567" w:gutter="0"/>
          <w:cols w:space="720"/>
          <w:docGrid w:linePitch="360"/>
        </w:sectPr>
      </w:pPr>
    </w:p>
    <w:p w14:paraId="19EC9F83" w14:textId="1B8178D1"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ZLOŽKA 16: Podniky 4.0</w:t>
      </w:r>
    </w:p>
    <w:p w14:paraId="3BAD704A" w14:textId="015927BC"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zložka rieši výzvy súvisiace</w:t>
      </w:r>
      <w:r w:rsidR="00A75B3C" w:rsidRPr="003F23AC">
        <w:rPr>
          <w:rFonts w:cs="Times New Roman"/>
          <w:noProof/>
          <w:lang w:val="sk-SK"/>
        </w:rPr>
        <w:t xml:space="preserve"> s </w:t>
      </w:r>
      <w:r w:rsidRPr="003F23AC">
        <w:rPr>
          <w:rFonts w:cs="Times New Roman"/>
          <w:noProof/>
          <w:lang w:val="sk-SK"/>
        </w:rPr>
        <w:t>nízkou digitalizáciou podnikov. Podľa výsledkov indexu digitálnej ekonomiky</w:t>
      </w:r>
      <w:r w:rsidR="00A75B3C" w:rsidRPr="003F23AC">
        <w:rPr>
          <w:rFonts w:cs="Times New Roman"/>
          <w:noProof/>
          <w:lang w:val="sk-SK"/>
        </w:rPr>
        <w:t xml:space="preserve"> a </w:t>
      </w:r>
      <w:r w:rsidRPr="003F23AC">
        <w:rPr>
          <w:rFonts w:cs="Times New Roman"/>
          <w:noProof/>
          <w:lang w:val="sk-SK"/>
        </w:rPr>
        <w:t>spoločnosti (DESI 2020) sa Portugalsko umiestnilo na 19. mieste</w:t>
      </w:r>
      <w:r w:rsidR="008E475E">
        <w:rPr>
          <w:rFonts w:cs="Times New Roman"/>
          <w:noProof/>
          <w:lang w:val="sk-SK"/>
        </w:rPr>
        <w:t xml:space="preserve"> </w:t>
      </w:r>
      <w:r w:rsidRPr="008E475E">
        <w:rPr>
          <w:noProof/>
          <w:lang w:val="sk-SK"/>
        </w:rPr>
        <w:t xml:space="preserve">v </w:t>
      </w:r>
      <w:r w:rsidRPr="003F23AC">
        <w:rPr>
          <w:rFonts w:cs="Times New Roman"/>
          <w:noProof/>
          <w:lang w:val="sk-SK"/>
        </w:rPr>
        <w:t>EÚ</w:t>
      </w:r>
      <w:r w:rsidR="00A75B3C" w:rsidRPr="003F23AC">
        <w:rPr>
          <w:rFonts w:cs="Times New Roman"/>
          <w:noProof/>
          <w:lang w:val="sk-SK"/>
        </w:rPr>
        <w:t xml:space="preserve"> a </w:t>
      </w:r>
      <w:r w:rsidRPr="003F23AC">
        <w:rPr>
          <w:rFonts w:cs="Times New Roman"/>
          <w:noProof/>
          <w:lang w:val="sk-SK"/>
        </w:rPr>
        <w:t>pod priemerom EÚ. Najzraniteľnejšou dimenziou</w:t>
      </w:r>
      <w:r w:rsidR="00A75B3C" w:rsidRPr="003F23AC">
        <w:rPr>
          <w:rFonts w:cs="Times New Roman"/>
          <w:noProof/>
          <w:lang w:val="sk-SK"/>
        </w:rPr>
        <w:t xml:space="preserve"> v </w:t>
      </w:r>
      <w:r w:rsidRPr="003F23AC">
        <w:rPr>
          <w:rFonts w:cs="Times New Roman"/>
          <w:noProof/>
          <w:lang w:val="sk-SK"/>
        </w:rPr>
        <w:t>prípade Portugalska sú „ľudský kapitál“</w:t>
      </w:r>
      <w:r w:rsidR="00A75B3C" w:rsidRPr="003F23AC">
        <w:rPr>
          <w:rFonts w:cs="Times New Roman"/>
          <w:noProof/>
          <w:lang w:val="sk-SK"/>
        </w:rPr>
        <w:t xml:space="preserve"> a </w:t>
      </w:r>
      <w:r w:rsidRPr="003F23AC">
        <w:rPr>
          <w:rFonts w:cs="Times New Roman"/>
          <w:noProof/>
          <w:lang w:val="sk-SK"/>
        </w:rPr>
        <w:t>„využívanie internetových služieb“</w:t>
      </w:r>
      <w:r w:rsidR="00A75B3C" w:rsidRPr="003F23AC">
        <w:rPr>
          <w:rFonts w:cs="Times New Roman"/>
          <w:noProof/>
          <w:lang w:val="sk-SK"/>
        </w:rPr>
        <w:t xml:space="preserve"> a </w:t>
      </w:r>
      <w:r w:rsidRPr="003F23AC">
        <w:rPr>
          <w:rFonts w:cs="Times New Roman"/>
          <w:noProof/>
          <w:lang w:val="sk-SK"/>
        </w:rPr>
        <w:t>určitý rozmer „integrácie digitálnych technológií“, ktoré odrážajú obmedzenia digitálnej kapacity</w:t>
      </w:r>
      <w:r w:rsidR="00A75B3C" w:rsidRPr="003F23AC">
        <w:rPr>
          <w:rFonts w:cs="Times New Roman"/>
          <w:noProof/>
          <w:lang w:val="sk-SK"/>
        </w:rPr>
        <w:t xml:space="preserve"> a </w:t>
      </w:r>
      <w:r w:rsidRPr="003F23AC">
        <w:rPr>
          <w:rFonts w:cs="Times New Roman"/>
          <w:noProof/>
          <w:lang w:val="sk-SK"/>
        </w:rPr>
        <w:t>výkonnosti spoločností</w:t>
      </w:r>
      <w:r w:rsidR="00A75B3C" w:rsidRPr="003F23AC">
        <w:rPr>
          <w:rFonts w:cs="Times New Roman"/>
          <w:noProof/>
          <w:lang w:val="sk-SK"/>
        </w:rPr>
        <w:t>.</w:t>
      </w:r>
    </w:p>
    <w:p w14:paraId="72BA11C3" w14:textId="6816ADB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zložky je zamerať sa na podnikateľský sektor, najmä na MSP</w:t>
      </w:r>
      <w:r w:rsidR="00A75B3C" w:rsidRPr="003F23AC">
        <w:rPr>
          <w:rFonts w:cs="Times New Roman"/>
          <w:noProof/>
          <w:lang w:val="sk-SK"/>
        </w:rPr>
        <w:t xml:space="preserve"> a </w:t>
      </w:r>
      <w:r w:rsidRPr="003F23AC">
        <w:rPr>
          <w:rFonts w:cs="Times New Roman"/>
          <w:noProof/>
          <w:lang w:val="sk-SK"/>
        </w:rPr>
        <w:t>ich zamestnancov,</w:t>
      </w:r>
      <w:r w:rsidR="00A75B3C" w:rsidRPr="003F23AC">
        <w:rPr>
          <w:rFonts w:cs="Times New Roman"/>
          <w:noProof/>
          <w:lang w:val="sk-SK"/>
        </w:rPr>
        <w:t xml:space="preserve"> s </w:t>
      </w:r>
      <w:r w:rsidRPr="003F23AC">
        <w:rPr>
          <w:rFonts w:cs="Times New Roman"/>
          <w:noProof/>
          <w:lang w:val="sk-SK"/>
        </w:rPr>
        <w:t>investíciami na urýchlenie digitálnej transformácie doplneným posilnením digitálnych zručností zamestnanej pracovnej sily. Investície predpokladajú tieto opatrenia:</w:t>
      </w:r>
    </w:p>
    <w:p w14:paraId="674866B7" w14:textId="02DE0254" w:rsidR="00387C70" w:rsidRPr="003F23AC" w:rsidRDefault="000F5AA4" w:rsidP="003F23AC">
      <w:pPr>
        <w:pStyle w:val="P68B1DB1-Normal4"/>
        <w:numPr>
          <w:ilvl w:val="0"/>
          <w:numId w:val="32"/>
        </w:numPr>
        <w:spacing w:before="40" w:after="160" w:line="259" w:lineRule="auto"/>
        <w:contextualSpacing/>
        <w:jc w:val="both"/>
        <w:rPr>
          <w:rFonts w:eastAsiaTheme="minorEastAsia" w:cs="Times New Roman"/>
          <w:noProof/>
          <w:lang w:val="sk-SK"/>
        </w:rPr>
      </w:pPr>
      <w:r w:rsidRPr="003F23AC">
        <w:rPr>
          <w:rFonts w:cs="Times New Roman"/>
          <w:noProof/>
          <w:lang w:val="sk-SK"/>
        </w:rPr>
        <w:t>Posilnenie digitálnych zručností zamestnancov</w:t>
      </w:r>
      <w:r w:rsidR="00A75B3C" w:rsidRPr="003F23AC">
        <w:rPr>
          <w:rFonts w:cs="Times New Roman"/>
          <w:noProof/>
          <w:lang w:val="sk-SK"/>
        </w:rPr>
        <w:t xml:space="preserve"> a </w:t>
      </w:r>
      <w:r w:rsidRPr="003F23AC">
        <w:rPr>
          <w:rFonts w:cs="Times New Roman"/>
          <w:noProof/>
          <w:lang w:val="sk-SK"/>
        </w:rPr>
        <w:t>obyvateľstva</w:t>
      </w:r>
      <w:r w:rsidR="00A75B3C" w:rsidRPr="003F23AC">
        <w:rPr>
          <w:rFonts w:cs="Times New Roman"/>
          <w:noProof/>
          <w:lang w:val="sk-SK"/>
        </w:rPr>
        <w:t xml:space="preserve"> v </w:t>
      </w:r>
      <w:r w:rsidRPr="003F23AC">
        <w:rPr>
          <w:rFonts w:cs="Times New Roman"/>
          <w:noProof/>
          <w:lang w:val="sk-SK"/>
        </w:rPr>
        <w:t>produktívnom veku;</w:t>
      </w:r>
    </w:p>
    <w:p w14:paraId="5F996481" w14:textId="5A38967D" w:rsidR="00387C70" w:rsidRPr="003F23AC" w:rsidRDefault="000F5AA4" w:rsidP="003F23AC">
      <w:pPr>
        <w:pStyle w:val="P68B1DB1-Normal4"/>
        <w:numPr>
          <w:ilvl w:val="0"/>
          <w:numId w:val="32"/>
        </w:numPr>
        <w:spacing w:before="40" w:after="160" w:line="259" w:lineRule="auto"/>
        <w:contextualSpacing/>
        <w:jc w:val="both"/>
        <w:rPr>
          <w:rFonts w:eastAsiaTheme="minorEastAsia" w:cs="Times New Roman"/>
          <w:noProof/>
          <w:lang w:val="sk-SK"/>
        </w:rPr>
      </w:pPr>
      <w:r w:rsidRPr="003F23AC">
        <w:rPr>
          <w:rFonts w:cs="Times New Roman"/>
          <w:noProof/>
          <w:lang w:val="sk-SK"/>
        </w:rPr>
        <w:t>Modernizácia obchodného modelu spoločností, ako aj ich výrobných procesov vrátane digitalizácie pracovných postupov, ako je podnikové riadenie, inovačné výrobky</w:t>
      </w:r>
      <w:r w:rsidR="00A75B3C" w:rsidRPr="003F23AC">
        <w:rPr>
          <w:rFonts w:cs="Times New Roman"/>
          <w:noProof/>
          <w:lang w:val="sk-SK"/>
        </w:rPr>
        <w:t xml:space="preserve"> a </w:t>
      </w:r>
      <w:r w:rsidRPr="003F23AC">
        <w:rPr>
          <w:rFonts w:cs="Times New Roman"/>
          <w:noProof/>
          <w:lang w:val="sk-SK"/>
        </w:rPr>
        <w:t>fakturácia;</w:t>
      </w:r>
    </w:p>
    <w:p w14:paraId="1AB18387" w14:textId="2FFE2BB6" w:rsidR="00387C70" w:rsidRPr="003F23AC" w:rsidRDefault="000F5AA4" w:rsidP="003F23AC">
      <w:pPr>
        <w:pStyle w:val="P68B1DB1-Normal4"/>
        <w:numPr>
          <w:ilvl w:val="0"/>
          <w:numId w:val="32"/>
        </w:numPr>
        <w:spacing w:before="40" w:after="160" w:line="259" w:lineRule="auto"/>
        <w:contextualSpacing/>
        <w:jc w:val="both"/>
        <w:rPr>
          <w:rFonts w:eastAsiaTheme="minorEastAsia" w:cs="Times New Roman"/>
          <w:noProof/>
          <w:lang w:val="sk-SK"/>
        </w:rPr>
      </w:pPr>
      <w:r w:rsidRPr="003F23AC">
        <w:rPr>
          <w:rFonts w:cs="Times New Roman"/>
          <w:noProof/>
          <w:lang w:val="sk-SK"/>
        </w:rPr>
        <w:t>Vytvorenie nových digitálnych marketingových kanálov pre produkty</w:t>
      </w:r>
      <w:r w:rsidR="00A75B3C" w:rsidRPr="003F23AC">
        <w:rPr>
          <w:rFonts w:cs="Times New Roman"/>
          <w:noProof/>
          <w:lang w:val="sk-SK"/>
        </w:rPr>
        <w:t xml:space="preserve"> a </w:t>
      </w:r>
      <w:r w:rsidRPr="003F23AC">
        <w:rPr>
          <w:rFonts w:cs="Times New Roman"/>
          <w:noProof/>
          <w:lang w:val="sk-SK"/>
        </w:rPr>
        <w:t>služby;</w:t>
      </w:r>
    </w:p>
    <w:p w14:paraId="270FA3A4" w14:textId="43F3F50F" w:rsidR="00387C70" w:rsidRPr="003F23AC" w:rsidRDefault="000F5AA4" w:rsidP="003F23AC">
      <w:pPr>
        <w:pStyle w:val="P68B1DB1-Normal4"/>
        <w:numPr>
          <w:ilvl w:val="0"/>
          <w:numId w:val="32"/>
        </w:numPr>
        <w:spacing w:before="40" w:after="160" w:line="259" w:lineRule="auto"/>
        <w:contextualSpacing/>
        <w:jc w:val="both"/>
        <w:rPr>
          <w:rFonts w:eastAsiaTheme="minorEastAsia" w:cs="Times New Roman"/>
          <w:noProof/>
          <w:lang w:val="sk-SK"/>
        </w:rPr>
      </w:pPr>
      <w:r w:rsidRPr="003F23AC">
        <w:rPr>
          <w:rFonts w:cs="Times New Roman"/>
          <w:noProof/>
          <w:lang w:val="sk-SK"/>
        </w:rPr>
        <w:t>Inovácie</w:t>
      </w:r>
      <w:r w:rsidR="00A75B3C" w:rsidRPr="003F23AC">
        <w:rPr>
          <w:rFonts w:cs="Times New Roman"/>
          <w:noProof/>
          <w:lang w:val="sk-SK"/>
        </w:rPr>
        <w:t xml:space="preserve"> a </w:t>
      </w:r>
      <w:r w:rsidRPr="003F23AC">
        <w:rPr>
          <w:rFonts w:cs="Times New Roman"/>
          <w:noProof/>
          <w:lang w:val="sk-SK"/>
        </w:rPr>
        <w:t>začlenenie pokročilých digitálnych technológií do obchodného modelu firiem;</w:t>
      </w:r>
      <w:r w:rsidR="00A75B3C" w:rsidRPr="003F23AC">
        <w:rPr>
          <w:rFonts w:cs="Times New Roman"/>
          <w:noProof/>
          <w:lang w:val="sk-SK"/>
        </w:rPr>
        <w:t xml:space="preserve"> a </w:t>
      </w:r>
      <w:r w:rsidRPr="003F23AC">
        <w:rPr>
          <w:rFonts w:cs="Times New Roman"/>
          <w:noProof/>
          <w:lang w:val="sk-SK"/>
        </w:rPr>
        <w:t>zároveň</w:t>
      </w:r>
    </w:p>
    <w:p w14:paraId="1E059D00" w14:textId="77777777" w:rsidR="00387C70" w:rsidRPr="003F23AC" w:rsidRDefault="000F5AA4" w:rsidP="003F23AC">
      <w:pPr>
        <w:pStyle w:val="P68B1DB1-Normal4"/>
        <w:numPr>
          <w:ilvl w:val="0"/>
          <w:numId w:val="32"/>
        </w:numPr>
        <w:spacing w:before="40" w:after="160" w:line="259" w:lineRule="auto"/>
        <w:contextualSpacing/>
        <w:jc w:val="both"/>
        <w:rPr>
          <w:rFonts w:eastAsiaTheme="minorEastAsia" w:cs="Times New Roman"/>
          <w:noProof/>
          <w:lang w:val="sk-SK"/>
        </w:rPr>
      </w:pPr>
      <w:r w:rsidRPr="003F23AC">
        <w:rPr>
          <w:rFonts w:cs="Times New Roman"/>
          <w:noProof/>
          <w:lang w:val="sk-SK"/>
        </w:rPr>
        <w:t>Podpora digitálneho podnikania.</w:t>
      </w:r>
    </w:p>
    <w:p w14:paraId="5864DB58" w14:textId="50650B38" w:rsidR="00387C70" w:rsidRPr="003F23AC" w:rsidRDefault="000F5AA4" w:rsidP="003F23AC">
      <w:pPr>
        <w:pStyle w:val="P68B1DB1-Normal4"/>
        <w:spacing w:after="0" w:line="240" w:lineRule="auto"/>
        <w:ind w:left="60"/>
        <w:jc w:val="both"/>
        <w:textAlignment w:val="baseline"/>
        <w:rPr>
          <w:rFonts w:eastAsiaTheme="minorEastAsia" w:cs="Times New Roman"/>
          <w:noProof/>
          <w:lang w:val="sk-SK"/>
        </w:rPr>
      </w:pPr>
      <w:r w:rsidRPr="003F23AC">
        <w:rPr>
          <w:rFonts w:cs="Times New Roman"/>
          <w:noProof/>
          <w:lang w:val="sk-SK"/>
        </w:rPr>
        <w:t>Táto zložka podporuje riešenie odporúčaní pre jednotlivé krajiny týkajúcich sa podpory využívania digitálnych technológií, zabezpečenia rovnakého prístupu ku kvalitnému vzdelávaniu</w:t>
      </w:r>
      <w:r w:rsidR="00A75B3C" w:rsidRPr="003F23AC">
        <w:rPr>
          <w:rFonts w:cs="Times New Roman"/>
          <w:noProof/>
          <w:lang w:val="sk-SK"/>
        </w:rPr>
        <w:t xml:space="preserve"> a </w:t>
      </w:r>
      <w:r w:rsidRPr="003F23AC">
        <w:rPr>
          <w:rFonts w:cs="Times New Roman"/>
          <w:noProof/>
          <w:lang w:val="sk-SK"/>
        </w:rPr>
        <w:t>odbornej príprave, zvýšenia konkurencieschopnosti podnikov</w:t>
      </w:r>
      <w:r w:rsidR="00A75B3C" w:rsidRPr="003F23AC">
        <w:rPr>
          <w:rFonts w:cs="Times New Roman"/>
          <w:noProof/>
          <w:lang w:val="sk-SK"/>
        </w:rPr>
        <w:t xml:space="preserve"> a </w:t>
      </w:r>
      <w:r w:rsidRPr="003F23AC">
        <w:rPr>
          <w:rFonts w:cs="Times New Roman"/>
          <w:noProof/>
          <w:lang w:val="sk-SK"/>
        </w:rPr>
        <w:t>podpory zamestnanosti</w:t>
      </w:r>
      <w:r w:rsidR="00A75B3C" w:rsidRPr="003F23AC">
        <w:rPr>
          <w:rFonts w:cs="Times New Roman"/>
          <w:noProof/>
          <w:lang w:val="sk-SK"/>
        </w:rPr>
        <w:t xml:space="preserve"> a </w:t>
      </w:r>
      <w:r w:rsidRPr="003F23AC">
        <w:rPr>
          <w:rFonts w:cs="Times New Roman"/>
          <w:noProof/>
          <w:lang w:val="sk-SK"/>
        </w:rPr>
        <w:t>uprednostňovania opatrení na zachovanie pracovných miest (odporúčanie pre jednotlivé krajiny 2 2020).</w:t>
      </w:r>
      <w:r w:rsidR="00A75B3C" w:rsidRPr="003F23AC">
        <w:rPr>
          <w:rFonts w:cs="Times New Roman"/>
          <w:noProof/>
          <w:lang w:val="sk-SK"/>
        </w:rPr>
        <w:t xml:space="preserve"> V </w:t>
      </w:r>
      <w:r w:rsidRPr="003F23AC">
        <w:rPr>
          <w:rFonts w:cs="Times New Roman"/>
          <w:noProof/>
          <w:lang w:val="sk-SK"/>
        </w:rPr>
        <w:t>rámci zložky sa podporuje aj riešenie odporúčaní pre jednotlivé krajiny</w:t>
      </w:r>
      <w:r w:rsidR="00A75B3C" w:rsidRPr="003F23AC">
        <w:rPr>
          <w:rFonts w:cs="Times New Roman"/>
          <w:noProof/>
          <w:lang w:val="sk-SK"/>
        </w:rPr>
        <w:t xml:space="preserve"> s </w:t>
      </w:r>
      <w:r w:rsidRPr="003F23AC">
        <w:rPr>
          <w:rFonts w:cs="Times New Roman"/>
          <w:noProof/>
          <w:lang w:val="sk-SK"/>
        </w:rPr>
        <w:t>cieľom zlepšiť úroveň zručností obyvateľstva, najmä ich digitálnu gramotnosť,</w:t>
      </w:r>
      <w:r w:rsidR="00A75B3C" w:rsidRPr="003F23AC">
        <w:rPr>
          <w:rFonts w:cs="Times New Roman"/>
          <w:noProof/>
          <w:lang w:val="sk-SK"/>
        </w:rPr>
        <w:t xml:space="preserve"> a </w:t>
      </w:r>
      <w:r w:rsidRPr="003F23AC">
        <w:rPr>
          <w:rFonts w:cs="Times New Roman"/>
          <w:noProof/>
          <w:lang w:val="sk-SK"/>
        </w:rPr>
        <w:t>to aj tým, že sa vzdelávanie dospelých stane relevantnejším pre potreby trhu práce (odporúčanie pre jednotlivé krajiny 2 2019)</w:t>
      </w:r>
      <w:r w:rsidR="00A75B3C" w:rsidRPr="003F23AC">
        <w:rPr>
          <w:rFonts w:cs="Times New Roman"/>
          <w:noProof/>
          <w:lang w:val="sk-SK"/>
        </w:rPr>
        <w:t xml:space="preserve"> a </w:t>
      </w:r>
      <w:r w:rsidRPr="003F23AC">
        <w:rPr>
          <w:rFonts w:cs="Times New Roman"/>
          <w:noProof/>
          <w:lang w:val="sk-SK"/>
        </w:rPr>
        <w:t>zamerať investície na digitálnu transformáciu (odporúčanie 3 2020 pre jednotlivé krajiny).</w:t>
      </w:r>
    </w:p>
    <w:p w14:paraId="767774F7" w14:textId="09E39E2D" w:rsidR="00A75B3C" w:rsidRPr="003F23AC" w:rsidRDefault="000F5AA4" w:rsidP="003F23AC">
      <w:pPr>
        <w:pStyle w:val="P68B1DB1-Normal4"/>
        <w:spacing w:before="40" w:after="0" w:line="259" w:lineRule="auto"/>
        <w:ind w:left="130" w:firstLine="720"/>
        <w:jc w:val="both"/>
        <w:outlineLvl w:val="1"/>
        <w:rPr>
          <w:rFonts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r w:rsidR="00A75B3C" w:rsidRPr="003F23AC">
        <w:rPr>
          <w:rFonts w:cs="Times New Roman"/>
          <w:noProof/>
          <w:lang w:val="sk-SK"/>
        </w:rPr>
        <w:t>.</w:t>
      </w:r>
    </w:p>
    <w:p w14:paraId="166B059E" w14:textId="07B99AE2"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noProof/>
          <w:sz w:val="24"/>
          <w:lang w:val="sk-SK"/>
        </w:rPr>
      </w:pPr>
    </w:p>
    <w:p w14:paraId="22C34D86" w14:textId="060C0392"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P.1.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3981E054"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Reforma TD-r31: Digitálna transformácia podnikateľského prostredia</w:t>
      </w:r>
    </w:p>
    <w:p w14:paraId="25987779" w14:textId="2288063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opatrenia je posilniť rast podnikateľského prostredia, aby bolo digitálne konkurencieschopnejšie</w:t>
      </w:r>
      <w:r w:rsidR="00A75B3C" w:rsidRPr="003F23AC">
        <w:rPr>
          <w:rFonts w:cs="Times New Roman"/>
          <w:noProof/>
          <w:lang w:val="sk-SK"/>
        </w:rPr>
        <w:t xml:space="preserve"> a </w:t>
      </w:r>
      <w:r w:rsidRPr="003F23AC">
        <w:rPr>
          <w:rFonts w:cs="Times New Roman"/>
          <w:noProof/>
          <w:lang w:val="sk-SK"/>
        </w:rPr>
        <w:t>odolnejšie</w:t>
      </w:r>
      <w:r w:rsidR="00A75B3C" w:rsidRPr="003F23AC">
        <w:rPr>
          <w:rFonts w:cs="Times New Roman"/>
          <w:noProof/>
          <w:lang w:val="sk-SK"/>
        </w:rPr>
        <w:t xml:space="preserve"> v </w:t>
      </w:r>
      <w:r w:rsidRPr="003F23AC">
        <w:rPr>
          <w:rFonts w:cs="Times New Roman"/>
          <w:noProof/>
          <w:lang w:val="sk-SK"/>
        </w:rPr>
        <w:t>súčasnom globálnom hospodárskom</w:t>
      </w:r>
      <w:r w:rsidR="00A75B3C" w:rsidRPr="003F23AC">
        <w:rPr>
          <w:rFonts w:cs="Times New Roman"/>
          <w:noProof/>
          <w:lang w:val="sk-SK"/>
        </w:rPr>
        <w:t xml:space="preserve"> a </w:t>
      </w:r>
      <w:r w:rsidRPr="003F23AC">
        <w:rPr>
          <w:rFonts w:cs="Times New Roman"/>
          <w:noProof/>
          <w:lang w:val="sk-SK"/>
        </w:rPr>
        <w:t>sociálnom kontexte. Táto reforma je súčasťou širšieho akčného plánu digitálnej transformácie, ktorý Portugalsko prijalo</w:t>
      </w:r>
      <w:r w:rsidR="00A75B3C" w:rsidRPr="003F23AC">
        <w:rPr>
          <w:rFonts w:cs="Times New Roman"/>
          <w:noProof/>
          <w:lang w:val="sk-SK"/>
        </w:rPr>
        <w:t xml:space="preserve"> v </w:t>
      </w:r>
      <w:r w:rsidRPr="003F23AC">
        <w:rPr>
          <w:rFonts w:cs="Times New Roman"/>
          <w:noProof/>
          <w:lang w:val="sk-SK"/>
        </w:rPr>
        <w:t>apríli 2020</w:t>
      </w:r>
      <w:r w:rsidR="00A75B3C" w:rsidRPr="003F23AC">
        <w:rPr>
          <w:rFonts w:cs="Times New Roman"/>
          <w:noProof/>
          <w:lang w:val="sk-SK"/>
        </w:rPr>
        <w:t>.</w:t>
      </w:r>
    </w:p>
    <w:p w14:paraId="5F93CFCB" w14:textId="7C7D79F9"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Reforma pozostáva</w:t>
      </w:r>
      <w:r w:rsidR="00A75B3C" w:rsidRPr="003F23AC">
        <w:rPr>
          <w:rFonts w:cs="Times New Roman"/>
          <w:noProof/>
          <w:lang w:val="sk-SK"/>
        </w:rPr>
        <w:t xml:space="preserve"> z </w:t>
      </w:r>
      <w:r w:rsidRPr="003F23AC">
        <w:rPr>
          <w:rFonts w:cs="Times New Roman"/>
          <w:noProof/>
          <w:lang w:val="sk-SK"/>
        </w:rPr>
        <w:t>týchto prvkov:</w:t>
      </w:r>
    </w:p>
    <w:p w14:paraId="449795BB" w14:textId="211D1C72" w:rsidR="00387C70" w:rsidRPr="003F23AC" w:rsidRDefault="000F5AA4" w:rsidP="003F23AC">
      <w:pPr>
        <w:pStyle w:val="P68B1DB1-Normal4"/>
        <w:numPr>
          <w:ilvl w:val="0"/>
          <w:numId w:val="32"/>
        </w:numPr>
        <w:spacing w:before="40" w:after="160" w:line="259" w:lineRule="auto"/>
        <w:ind w:left="714" w:hanging="357"/>
        <w:contextualSpacing/>
        <w:jc w:val="both"/>
        <w:rPr>
          <w:rFonts w:eastAsiaTheme="minorEastAsia" w:cs="Times New Roman"/>
          <w:noProof/>
          <w:lang w:val="sk-SK"/>
        </w:rPr>
      </w:pPr>
      <w:r w:rsidRPr="003F23AC">
        <w:rPr>
          <w:rFonts w:cs="Times New Roman"/>
          <w:noProof/>
          <w:lang w:val="sk-SK"/>
        </w:rPr>
        <w:t>Preskúmanie formatívneho obsahu zahrnutého do národného kvalifikačného katalógu, ktorý sa osobitne týka digitálnych zručností na použitie</w:t>
      </w:r>
      <w:r w:rsidR="00A75B3C" w:rsidRPr="003F23AC">
        <w:rPr>
          <w:rFonts w:cs="Times New Roman"/>
          <w:noProof/>
          <w:lang w:val="sk-SK"/>
        </w:rPr>
        <w:t xml:space="preserve"> v </w:t>
      </w:r>
      <w:r w:rsidRPr="003F23AC">
        <w:rPr>
          <w:rFonts w:cs="Times New Roman"/>
          <w:noProof/>
          <w:lang w:val="sk-SK"/>
        </w:rPr>
        <w:t>profesionálnom kontexte. Toto obnovenie je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najnovším technologickým vývojom</w:t>
      </w:r>
      <w:r w:rsidR="00A75B3C" w:rsidRPr="003F23AC">
        <w:rPr>
          <w:rFonts w:cs="Times New Roman"/>
          <w:noProof/>
          <w:lang w:val="sk-SK"/>
        </w:rPr>
        <w:t xml:space="preserve"> a </w:t>
      </w:r>
      <w:r w:rsidRPr="003F23AC">
        <w:rPr>
          <w:rFonts w:cs="Times New Roman"/>
          <w:noProof/>
          <w:lang w:val="sk-SK"/>
        </w:rPr>
        <w:t>najnaliehavejšími potrebami spoločností</w:t>
      </w:r>
      <w:r w:rsidR="00A75B3C" w:rsidRPr="003F23AC">
        <w:rPr>
          <w:rFonts w:cs="Times New Roman"/>
          <w:noProof/>
          <w:lang w:val="sk-SK"/>
        </w:rPr>
        <w:t xml:space="preserve"> v </w:t>
      </w:r>
      <w:r w:rsidRPr="003F23AC">
        <w:rPr>
          <w:rFonts w:cs="Times New Roman"/>
          <w:noProof/>
          <w:lang w:val="sk-SK"/>
        </w:rPr>
        <w:t>rôznych hospodárskych odvetviach. Na tento účel sa od roku 2021 môžu sprístupniť nové spôsoby odbornej prípravy</w:t>
      </w:r>
      <w:r w:rsidR="00A75B3C" w:rsidRPr="003F23AC">
        <w:rPr>
          <w:rFonts w:cs="Times New Roman"/>
          <w:noProof/>
          <w:lang w:val="sk-SK"/>
        </w:rPr>
        <w:t xml:space="preserve"> a </w:t>
      </w:r>
      <w:r w:rsidRPr="003F23AC">
        <w:rPr>
          <w:rFonts w:cs="Times New Roman"/>
          <w:noProof/>
          <w:lang w:val="sk-SK"/>
        </w:rPr>
        <w:t>krátky kurz odbornej prípravy.</w:t>
      </w:r>
    </w:p>
    <w:p w14:paraId="065811DC" w14:textId="774FF2CE" w:rsidR="00387C70" w:rsidRPr="003F23AC" w:rsidRDefault="000F5AA4" w:rsidP="003F23AC">
      <w:pPr>
        <w:pStyle w:val="P68B1DB1-Normal4"/>
        <w:numPr>
          <w:ilvl w:val="0"/>
          <w:numId w:val="32"/>
        </w:numPr>
        <w:spacing w:before="40" w:after="160" w:line="259" w:lineRule="auto"/>
        <w:ind w:left="714" w:hanging="357"/>
        <w:contextualSpacing/>
        <w:jc w:val="both"/>
        <w:rPr>
          <w:rFonts w:eastAsiaTheme="minorEastAsia" w:cs="Times New Roman"/>
          <w:noProof/>
          <w:lang w:val="sk-SK"/>
        </w:rPr>
      </w:pPr>
      <w:r w:rsidRPr="003F23AC">
        <w:rPr>
          <w:rFonts w:cs="Times New Roman"/>
          <w:noProof/>
          <w:lang w:val="sk-SK"/>
        </w:rPr>
        <w:t>Vytvorenie právneho</w:t>
      </w:r>
      <w:r w:rsidR="00A75B3C" w:rsidRPr="003F23AC">
        <w:rPr>
          <w:rFonts w:cs="Times New Roman"/>
          <w:noProof/>
          <w:lang w:val="sk-SK"/>
        </w:rPr>
        <w:t xml:space="preserve"> a </w:t>
      </w:r>
      <w:r w:rsidRPr="003F23AC">
        <w:rPr>
          <w:rFonts w:cs="Times New Roman"/>
          <w:noProof/>
          <w:lang w:val="sk-SK"/>
        </w:rPr>
        <w:t>regulačného rámca potrebného na vytvorenie digitálnych pečatí</w:t>
      </w:r>
      <w:r w:rsidR="00A75B3C" w:rsidRPr="003F23AC">
        <w:rPr>
          <w:rFonts w:cs="Times New Roman"/>
          <w:noProof/>
          <w:lang w:val="sk-SK"/>
        </w:rPr>
        <w:t xml:space="preserve"> v </w:t>
      </w:r>
      <w:r w:rsidRPr="003F23AC">
        <w:rPr>
          <w:rFonts w:cs="Times New Roman"/>
          <w:noProof/>
          <w:lang w:val="sk-SK"/>
        </w:rPr>
        <w:t>oblastiach kybernetickej bezpečnosti, súkromia, udržateľnosti</w:t>
      </w:r>
      <w:r w:rsidR="00A75B3C" w:rsidRPr="003F23AC">
        <w:rPr>
          <w:rFonts w:cs="Times New Roman"/>
          <w:noProof/>
          <w:lang w:val="sk-SK"/>
        </w:rPr>
        <w:t xml:space="preserve"> a </w:t>
      </w:r>
      <w:r w:rsidRPr="003F23AC">
        <w:rPr>
          <w:rFonts w:cs="Times New Roman"/>
          <w:noProof/>
          <w:lang w:val="sk-SK"/>
        </w:rPr>
        <w:t>použiteľnosti. Tento rámec</w:t>
      </w:r>
      <w:r w:rsidR="00A75B3C" w:rsidRPr="003F23AC">
        <w:rPr>
          <w:rFonts w:cs="Times New Roman"/>
          <w:noProof/>
          <w:lang w:val="sk-SK"/>
        </w:rPr>
        <w:t xml:space="preserve"> a </w:t>
      </w:r>
      <w:r w:rsidRPr="003F23AC">
        <w:rPr>
          <w:rFonts w:cs="Times New Roman"/>
          <w:noProof/>
          <w:lang w:val="sk-SK"/>
        </w:rPr>
        <w:t>podpora digitálnej dôvery sú predpokladom realizácie investícií do digitálnych pečatí plánovaných</w:t>
      </w:r>
      <w:r w:rsidR="00A75B3C" w:rsidRPr="003F23AC">
        <w:rPr>
          <w:rFonts w:cs="Times New Roman"/>
          <w:noProof/>
          <w:lang w:val="sk-SK"/>
        </w:rPr>
        <w:t xml:space="preserve"> v </w:t>
      </w:r>
      <w:r w:rsidRPr="003F23AC">
        <w:rPr>
          <w:rFonts w:cs="Times New Roman"/>
          <w:noProof/>
          <w:lang w:val="sk-SK"/>
        </w:rPr>
        <w:t>tejto zložke.</w:t>
      </w:r>
    </w:p>
    <w:p w14:paraId="6C19A376" w14:textId="34D88A75"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tejto reformy sa dokončí do 31</w:t>
      </w:r>
      <w:r w:rsidR="00A75B3C" w:rsidRPr="003F23AC">
        <w:rPr>
          <w:rFonts w:cs="Times New Roman"/>
          <w:noProof/>
          <w:lang w:val="sk-SK"/>
        </w:rPr>
        <w:t>. marca</w:t>
      </w:r>
      <w:r w:rsidRPr="003F23AC">
        <w:rPr>
          <w:rFonts w:cs="Times New Roman"/>
          <w:noProof/>
          <w:lang w:val="sk-SK"/>
        </w:rPr>
        <w:t xml:space="preserve"> 2022</w:t>
      </w:r>
      <w:r w:rsidR="00A75B3C" w:rsidRPr="003F23AC">
        <w:rPr>
          <w:rFonts w:cs="Times New Roman"/>
          <w:noProof/>
          <w:lang w:val="sk-SK"/>
        </w:rPr>
        <w:t>.</w:t>
      </w:r>
    </w:p>
    <w:p w14:paraId="71EFA567" w14:textId="6AF0A71C"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TD-C16-i01: Posilnenie postavenia podnikov</w:t>
      </w:r>
      <w:r w:rsidR="00A75B3C" w:rsidRPr="003F23AC">
        <w:rPr>
          <w:rFonts w:cs="Times New Roman"/>
          <w:noProof/>
          <w:lang w:val="sk-SK"/>
        </w:rPr>
        <w:t xml:space="preserve"> v </w:t>
      </w:r>
      <w:r w:rsidRPr="003F23AC">
        <w:rPr>
          <w:rFonts w:cs="Times New Roman"/>
          <w:noProof/>
          <w:lang w:val="sk-SK"/>
        </w:rPr>
        <w:t>digitálnej oblasti</w:t>
      </w:r>
    </w:p>
    <w:p w14:paraId="11A95DC7" w14:textId="0956C7A6"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opatrenia je zvýšiť digitálne zručnosti obyvateľstva</w:t>
      </w:r>
      <w:r w:rsidR="00A75B3C" w:rsidRPr="003F23AC">
        <w:rPr>
          <w:rFonts w:cs="Times New Roman"/>
          <w:noProof/>
          <w:lang w:val="sk-SK"/>
        </w:rPr>
        <w:t xml:space="preserve"> v </w:t>
      </w:r>
      <w:r w:rsidRPr="003F23AC">
        <w:rPr>
          <w:rFonts w:cs="Times New Roman"/>
          <w:noProof/>
          <w:lang w:val="sk-SK"/>
        </w:rPr>
        <w:t>produktívnom veku vrátane zamestnancov</w:t>
      </w:r>
      <w:r w:rsidR="00A75B3C" w:rsidRPr="003F23AC">
        <w:rPr>
          <w:rFonts w:cs="Times New Roman"/>
          <w:noProof/>
          <w:lang w:val="sk-SK"/>
        </w:rPr>
        <w:t xml:space="preserve"> a </w:t>
      </w:r>
      <w:r w:rsidRPr="003F23AC">
        <w:rPr>
          <w:rFonts w:cs="Times New Roman"/>
          <w:noProof/>
          <w:lang w:val="sk-SK"/>
        </w:rPr>
        <w:t>manažérov</w:t>
      </w:r>
      <w:r w:rsidR="00A75B3C" w:rsidRPr="003F23AC">
        <w:rPr>
          <w:rFonts w:cs="Times New Roman"/>
          <w:noProof/>
          <w:lang w:val="sk-SK"/>
        </w:rPr>
        <w:t xml:space="preserve"> s </w:t>
      </w:r>
      <w:r w:rsidRPr="003F23AC">
        <w:rPr>
          <w:rFonts w:cs="Times New Roman"/>
          <w:noProof/>
          <w:lang w:val="sk-SK"/>
        </w:rPr>
        <w:t>osobitným zameraním na podniky</w:t>
      </w:r>
      <w:r w:rsidR="00A75B3C" w:rsidRPr="003F23AC">
        <w:rPr>
          <w:rFonts w:cs="Times New Roman"/>
          <w:noProof/>
          <w:lang w:val="sk-SK"/>
        </w:rPr>
        <w:t xml:space="preserve"> v </w:t>
      </w:r>
      <w:r w:rsidRPr="003F23AC">
        <w:rPr>
          <w:rFonts w:cs="Times New Roman"/>
          <w:noProof/>
          <w:lang w:val="sk-SK"/>
        </w:rPr>
        <w:t>odvetviach priemyslu, obchodu, služieb, cestovného ruchu</w:t>
      </w:r>
      <w:r w:rsidR="00A75B3C" w:rsidRPr="003F23AC">
        <w:rPr>
          <w:rFonts w:cs="Times New Roman"/>
          <w:noProof/>
          <w:lang w:val="sk-SK"/>
        </w:rPr>
        <w:t xml:space="preserve"> a </w:t>
      </w:r>
      <w:r w:rsidRPr="003F23AC">
        <w:rPr>
          <w:rFonts w:cs="Times New Roman"/>
          <w:noProof/>
          <w:lang w:val="sk-SK"/>
        </w:rPr>
        <w:t>poľnohospodárstva</w:t>
      </w:r>
      <w:r w:rsidR="00A75B3C" w:rsidRPr="003F23AC">
        <w:rPr>
          <w:rFonts w:cs="Times New Roman"/>
          <w:noProof/>
          <w:lang w:val="sk-SK"/>
        </w:rPr>
        <w:t xml:space="preserve"> s </w:t>
      </w:r>
      <w:r w:rsidRPr="003F23AC">
        <w:rPr>
          <w:rFonts w:cs="Times New Roman"/>
          <w:noProof/>
          <w:lang w:val="sk-SK"/>
        </w:rPr>
        <w:t>cieľom zvýšiť počet digitálne kvalifikovaných pracovníkov</w:t>
      </w:r>
      <w:r w:rsidR="00A75B3C" w:rsidRPr="003F23AC">
        <w:rPr>
          <w:rFonts w:cs="Times New Roman"/>
          <w:noProof/>
          <w:lang w:val="sk-SK"/>
        </w:rPr>
        <w:t xml:space="preserve"> a </w:t>
      </w:r>
      <w:r w:rsidRPr="003F23AC">
        <w:rPr>
          <w:rFonts w:cs="Times New Roman"/>
          <w:noProof/>
          <w:lang w:val="sk-SK"/>
        </w:rPr>
        <w:t>zlepšiť konkurencieschopnosť</w:t>
      </w:r>
      <w:r w:rsidR="00A75B3C" w:rsidRPr="003F23AC">
        <w:rPr>
          <w:rFonts w:cs="Times New Roman"/>
          <w:noProof/>
          <w:lang w:val="sk-SK"/>
        </w:rPr>
        <w:t xml:space="preserve"> a </w:t>
      </w:r>
      <w:r w:rsidRPr="003F23AC">
        <w:rPr>
          <w:rFonts w:cs="Times New Roman"/>
          <w:noProof/>
          <w:lang w:val="sk-SK"/>
        </w:rPr>
        <w:t>odolnosť podnikov, čím sa prispeje aj</w:t>
      </w:r>
      <w:r w:rsidR="00A75B3C" w:rsidRPr="003F23AC">
        <w:rPr>
          <w:rFonts w:cs="Times New Roman"/>
          <w:noProof/>
          <w:lang w:val="sk-SK"/>
        </w:rPr>
        <w:t xml:space="preserve"> k </w:t>
      </w:r>
      <w:r w:rsidRPr="003F23AC">
        <w:rPr>
          <w:rFonts w:cs="Times New Roman"/>
          <w:noProof/>
          <w:lang w:val="sk-SK"/>
        </w:rPr>
        <w:t>zachovaniu</w:t>
      </w:r>
      <w:r w:rsidR="00A75B3C" w:rsidRPr="003F23AC">
        <w:rPr>
          <w:rFonts w:cs="Times New Roman"/>
          <w:noProof/>
          <w:lang w:val="sk-SK"/>
        </w:rPr>
        <w:t xml:space="preserve"> a </w:t>
      </w:r>
      <w:r w:rsidRPr="003F23AC">
        <w:rPr>
          <w:rFonts w:cs="Times New Roman"/>
          <w:noProof/>
          <w:lang w:val="sk-SK"/>
        </w:rPr>
        <w:t>vytváraniu pracovných miest. Tieto investície pomôžu zvýšiť počet kvalifikovaných pracovných miest</w:t>
      </w:r>
      <w:r w:rsidR="00A75B3C" w:rsidRPr="003F23AC">
        <w:rPr>
          <w:rFonts w:cs="Times New Roman"/>
          <w:noProof/>
          <w:lang w:val="sk-SK"/>
        </w:rPr>
        <w:t xml:space="preserve"> v </w:t>
      </w:r>
      <w:r w:rsidRPr="003F23AC">
        <w:rPr>
          <w:rFonts w:cs="Times New Roman"/>
          <w:noProof/>
          <w:lang w:val="sk-SK"/>
        </w:rPr>
        <w:t>existujúcich spoločnostiach</w:t>
      </w:r>
      <w:r w:rsidR="00A75B3C" w:rsidRPr="003F23AC">
        <w:rPr>
          <w:rFonts w:cs="Times New Roman"/>
          <w:noProof/>
          <w:lang w:val="sk-SK"/>
        </w:rPr>
        <w:t xml:space="preserve"> a </w:t>
      </w:r>
      <w:r w:rsidRPr="003F23AC">
        <w:rPr>
          <w:rFonts w:cs="Times New Roman"/>
          <w:noProof/>
          <w:lang w:val="sk-SK"/>
        </w:rPr>
        <w:t>podporiť vytváranie nových podnikov.</w:t>
      </w:r>
    </w:p>
    <w:p w14:paraId="297F4A6D" w14:textId="36147EE1"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dvoch vzájomne prepojených programov odbornej prípravy, ktoré sa vytvoria</w:t>
      </w:r>
      <w:r w:rsidR="00A75B3C" w:rsidRPr="003F23AC">
        <w:rPr>
          <w:rFonts w:cs="Times New Roman"/>
          <w:noProof/>
          <w:lang w:val="sk-SK"/>
        </w:rPr>
        <w:t xml:space="preserve"> s </w:t>
      </w:r>
      <w:r w:rsidRPr="003F23AC">
        <w:rPr>
          <w:rFonts w:cs="Times New Roman"/>
          <w:noProof/>
          <w:lang w:val="sk-SK"/>
        </w:rPr>
        <w:t>cieľom riešiť nedostatky</w:t>
      </w:r>
      <w:r w:rsidR="00A75B3C" w:rsidRPr="003F23AC">
        <w:rPr>
          <w:rFonts w:cs="Times New Roman"/>
          <w:noProof/>
          <w:lang w:val="sk-SK"/>
        </w:rPr>
        <w:t xml:space="preserve"> v </w:t>
      </w:r>
      <w:r w:rsidRPr="003F23AC">
        <w:rPr>
          <w:rFonts w:cs="Times New Roman"/>
          <w:noProof/>
          <w:lang w:val="sk-SK"/>
        </w:rPr>
        <w:t>digitálnych zručnostiach pracovníkov (zamestnancov</w:t>
      </w:r>
      <w:r w:rsidR="00A75B3C" w:rsidRPr="003F23AC">
        <w:rPr>
          <w:rFonts w:cs="Times New Roman"/>
          <w:noProof/>
          <w:lang w:val="sk-SK"/>
        </w:rPr>
        <w:t xml:space="preserve"> a </w:t>
      </w:r>
      <w:r w:rsidRPr="003F23AC">
        <w:rPr>
          <w:rFonts w:cs="Times New Roman"/>
          <w:noProof/>
          <w:lang w:val="sk-SK"/>
        </w:rPr>
        <w:t>manažérov)</w:t>
      </w:r>
      <w:r w:rsidR="00A75B3C" w:rsidRPr="003F23AC">
        <w:rPr>
          <w:rFonts w:cs="Times New Roman"/>
          <w:noProof/>
          <w:lang w:val="sk-SK"/>
        </w:rPr>
        <w:t xml:space="preserve"> a </w:t>
      </w:r>
      <w:r w:rsidRPr="003F23AC">
        <w:rPr>
          <w:rFonts w:cs="Times New Roman"/>
          <w:noProof/>
          <w:lang w:val="sk-SK"/>
        </w:rPr>
        <w:t>podnikov. Očakáva sa, že investície ovplyvnia nové politiky</w:t>
      </w:r>
      <w:r w:rsidR="00A75B3C" w:rsidRPr="003F23AC">
        <w:rPr>
          <w:rFonts w:cs="Times New Roman"/>
          <w:noProof/>
          <w:lang w:val="sk-SK"/>
        </w:rPr>
        <w:t xml:space="preserve"> a </w:t>
      </w:r>
      <w:r w:rsidRPr="003F23AC">
        <w:rPr>
          <w:rFonts w:cs="Times New Roman"/>
          <w:noProof/>
          <w:lang w:val="sk-SK"/>
        </w:rPr>
        <w:t>prispejú</w:t>
      </w:r>
      <w:r w:rsidR="00A75B3C" w:rsidRPr="003F23AC">
        <w:rPr>
          <w:rFonts w:cs="Times New Roman"/>
          <w:noProof/>
          <w:lang w:val="sk-SK"/>
        </w:rPr>
        <w:t xml:space="preserve"> k </w:t>
      </w:r>
      <w:r w:rsidRPr="003F23AC">
        <w:rPr>
          <w:rFonts w:cs="Times New Roman"/>
          <w:noProof/>
          <w:lang w:val="sk-SK"/>
        </w:rPr>
        <w:t>rozvoju celoživotných odborných zručností</w:t>
      </w:r>
      <w:r w:rsidR="00A75B3C" w:rsidRPr="003F23AC">
        <w:rPr>
          <w:rFonts w:cs="Times New Roman"/>
          <w:noProof/>
          <w:lang w:val="sk-SK"/>
        </w:rPr>
        <w:t xml:space="preserve"> a </w:t>
      </w:r>
      <w:r w:rsidRPr="003F23AC">
        <w:rPr>
          <w:rFonts w:cs="Times New Roman"/>
          <w:noProof/>
          <w:lang w:val="sk-SK"/>
        </w:rPr>
        <w:t>postupov odbornej prípravy. Očakáva sa tiež, že investícia zlepší schopnosť spoločností čeliť výzvam</w:t>
      </w:r>
      <w:r w:rsidR="00A75B3C" w:rsidRPr="003F23AC">
        <w:rPr>
          <w:rFonts w:cs="Times New Roman"/>
          <w:noProof/>
          <w:lang w:val="sk-SK"/>
        </w:rPr>
        <w:t xml:space="preserve"> a </w:t>
      </w:r>
      <w:r w:rsidRPr="003F23AC">
        <w:rPr>
          <w:rFonts w:cs="Times New Roman"/>
          <w:noProof/>
          <w:lang w:val="sk-SK"/>
        </w:rPr>
        <w:t>využívať príležitosti, ktoré prináša technológia. Týmito dvoma opatreniami sú:</w:t>
      </w:r>
    </w:p>
    <w:p w14:paraId="1356F4BE" w14:textId="51255A6A" w:rsidR="00387C70" w:rsidRPr="003F23AC" w:rsidRDefault="000F5AA4" w:rsidP="003F23AC">
      <w:pPr>
        <w:pStyle w:val="P68B1DB1-Normal4"/>
        <w:numPr>
          <w:ilvl w:val="0"/>
          <w:numId w:val="48"/>
        </w:numPr>
        <w:spacing w:before="40" w:after="160" w:line="259" w:lineRule="auto"/>
        <w:contextualSpacing/>
        <w:jc w:val="both"/>
        <w:rPr>
          <w:rFonts w:eastAsiaTheme="minorEastAsia" w:cs="Times New Roman"/>
          <w:noProof/>
          <w:lang w:val="sk-SK"/>
        </w:rPr>
      </w:pPr>
      <w:r w:rsidRPr="003F23AC">
        <w:rPr>
          <w:rFonts w:cs="Times New Roman"/>
          <w:noProof/>
          <w:lang w:val="sk-SK"/>
        </w:rPr>
        <w:t>Akadémia Portugal Digital:</w:t>
      </w:r>
      <w:r w:rsidR="00A75B3C" w:rsidRPr="003F23AC">
        <w:rPr>
          <w:rFonts w:cs="Times New Roman"/>
          <w:noProof/>
          <w:lang w:val="sk-SK"/>
        </w:rPr>
        <w:t xml:space="preserve"> k </w:t>
      </w:r>
      <w:r w:rsidRPr="003F23AC">
        <w:rPr>
          <w:rFonts w:cs="Times New Roman"/>
          <w:noProof/>
          <w:lang w:val="sk-SK"/>
        </w:rPr>
        <w:t>dispozícii pre celú populáciu</w:t>
      </w:r>
      <w:r w:rsidR="00A75B3C" w:rsidRPr="003F23AC">
        <w:rPr>
          <w:rFonts w:cs="Times New Roman"/>
          <w:noProof/>
          <w:lang w:val="sk-SK"/>
        </w:rPr>
        <w:t xml:space="preserve"> v </w:t>
      </w:r>
      <w:r w:rsidRPr="003F23AC">
        <w:rPr>
          <w:rFonts w:cs="Times New Roman"/>
          <w:noProof/>
          <w:lang w:val="sk-SK"/>
        </w:rPr>
        <w:t>produktívnom veku</w:t>
      </w:r>
      <w:r w:rsidR="00A75B3C" w:rsidRPr="003F23AC">
        <w:rPr>
          <w:rFonts w:cs="Times New Roman"/>
          <w:noProof/>
          <w:lang w:val="sk-SK"/>
        </w:rPr>
        <w:t xml:space="preserve"> s </w:t>
      </w:r>
      <w:r w:rsidRPr="003F23AC">
        <w:rPr>
          <w:rFonts w:cs="Times New Roman"/>
          <w:noProof/>
          <w:lang w:val="sk-SK"/>
        </w:rPr>
        <w:t>cieľom dosiahnuť 500000 diagnostikovaných digitálnych zručností</w:t>
      </w:r>
      <w:r w:rsidR="00A75B3C" w:rsidRPr="003F23AC">
        <w:rPr>
          <w:rFonts w:cs="Times New Roman"/>
          <w:noProof/>
          <w:lang w:val="sk-SK"/>
        </w:rPr>
        <w:t xml:space="preserve"> a </w:t>
      </w:r>
      <w:r w:rsidRPr="003F23AC">
        <w:rPr>
          <w:rFonts w:cs="Times New Roman"/>
          <w:noProof/>
          <w:lang w:val="sk-SK"/>
        </w:rPr>
        <w:t>125000 účastníkov online, zmiešaných</w:t>
      </w:r>
      <w:r w:rsidR="00A75B3C" w:rsidRPr="003F23AC">
        <w:rPr>
          <w:rFonts w:cs="Times New Roman"/>
          <w:noProof/>
          <w:lang w:val="sk-SK"/>
        </w:rPr>
        <w:t xml:space="preserve"> a </w:t>
      </w:r>
      <w:r w:rsidRPr="003F23AC">
        <w:rPr>
          <w:rFonts w:cs="Times New Roman"/>
          <w:noProof/>
          <w:lang w:val="sk-SK"/>
        </w:rPr>
        <w:t>tvár</w:t>
      </w:r>
      <w:r w:rsidR="00A75B3C" w:rsidRPr="003F23AC">
        <w:rPr>
          <w:rFonts w:cs="Times New Roman"/>
          <w:noProof/>
          <w:lang w:val="sk-SK"/>
        </w:rPr>
        <w:t xml:space="preserve"> s </w:t>
      </w:r>
      <w:r w:rsidRPr="003F23AC">
        <w:rPr>
          <w:rFonts w:cs="Times New Roman"/>
          <w:noProof/>
          <w:lang w:val="sk-SK"/>
        </w:rPr>
        <w:t>odbornou prípravou</w:t>
      </w:r>
      <w:r w:rsidR="00A75B3C" w:rsidRPr="003F23AC">
        <w:rPr>
          <w:rFonts w:cs="Times New Roman"/>
          <w:noProof/>
          <w:lang w:val="sk-SK"/>
        </w:rPr>
        <w:t xml:space="preserve"> v </w:t>
      </w:r>
      <w:r w:rsidRPr="003F23AC">
        <w:rPr>
          <w:rFonts w:cs="Times New Roman"/>
          <w:noProof/>
          <w:lang w:val="sk-SK"/>
        </w:rPr>
        <w:t>oblasti digitálnych zručností. To zahŕňa aj vytvorenie 50 ad hoc MOOC, ktoré sa sprístupnia na online platforme.</w:t>
      </w:r>
    </w:p>
    <w:p w14:paraId="09F7D8E5" w14:textId="590E1AD9" w:rsidR="00387C70" w:rsidRPr="003F23AC" w:rsidRDefault="000F5AA4" w:rsidP="003F23AC">
      <w:pPr>
        <w:pStyle w:val="P68B1DB1-Normal4"/>
        <w:numPr>
          <w:ilvl w:val="0"/>
          <w:numId w:val="48"/>
        </w:numPr>
        <w:spacing w:before="40" w:after="160" w:line="259" w:lineRule="auto"/>
        <w:contextualSpacing/>
        <w:jc w:val="both"/>
        <w:rPr>
          <w:rFonts w:eastAsiaTheme="minorEastAsia" w:cs="Times New Roman"/>
          <w:noProof/>
          <w:lang w:val="sk-SK"/>
        </w:rPr>
      </w:pPr>
      <w:r w:rsidRPr="003F23AC">
        <w:rPr>
          <w:rFonts w:cs="Times New Roman"/>
          <w:noProof/>
          <w:lang w:val="sk-SK"/>
        </w:rPr>
        <w:t>Zamestnanosť + digitálna ekonomika 2025: cieľom je ponúknuť 200000 účastníkom hlbšiu online, osobnú alebo zmiešanú odbornú prípravu</w:t>
      </w:r>
      <w:r w:rsidR="00A75B3C" w:rsidRPr="003F23AC">
        <w:rPr>
          <w:rFonts w:cs="Times New Roman"/>
          <w:noProof/>
          <w:lang w:val="sk-SK"/>
        </w:rPr>
        <w:t xml:space="preserve"> v </w:t>
      </w:r>
      <w:r w:rsidRPr="003F23AC">
        <w:rPr>
          <w:rFonts w:cs="Times New Roman"/>
          <w:noProof/>
          <w:lang w:val="sk-SK"/>
        </w:rPr>
        <w:t>oblasti digitálnych zručností</w:t>
      </w:r>
    </w:p>
    <w:p w14:paraId="044881B1" w14:textId="47F1434E"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Realizácia investície sa dokončí do 31</w:t>
      </w:r>
      <w:r w:rsidR="00A75B3C" w:rsidRPr="003F23AC">
        <w:rPr>
          <w:rFonts w:cs="Times New Roman"/>
          <w:noProof/>
          <w:lang w:val="sk-SK"/>
        </w:rPr>
        <w:t>. septembra</w:t>
      </w:r>
      <w:r w:rsidRPr="003F23AC">
        <w:rPr>
          <w:rFonts w:cs="Times New Roman"/>
          <w:noProof/>
          <w:lang w:val="sk-SK"/>
        </w:rPr>
        <w:t xml:space="preserve"> 2025.</w:t>
      </w:r>
    </w:p>
    <w:p w14:paraId="6CA41520"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TD-C16 – i02: Digitálna transformácia podnikov</w:t>
      </w:r>
    </w:p>
    <w:p w14:paraId="6A1D9AF2" w14:textId="523476C9"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opatrenia je prispieť</w:t>
      </w:r>
      <w:r w:rsidR="00A75B3C" w:rsidRPr="003F23AC">
        <w:rPr>
          <w:rFonts w:cs="Times New Roman"/>
          <w:noProof/>
          <w:lang w:val="sk-SK"/>
        </w:rPr>
        <w:t xml:space="preserve"> k </w:t>
      </w:r>
      <w:r w:rsidRPr="003F23AC">
        <w:rPr>
          <w:rFonts w:cs="Times New Roman"/>
          <w:noProof/>
          <w:lang w:val="sk-SK"/>
        </w:rPr>
        <w:t>transformácii obchodných modelov portugalských MSP</w:t>
      </w:r>
      <w:r w:rsidR="00A75B3C" w:rsidRPr="003F23AC">
        <w:rPr>
          <w:rFonts w:cs="Times New Roman"/>
          <w:noProof/>
          <w:lang w:val="sk-SK"/>
        </w:rPr>
        <w:t xml:space="preserve"> a k </w:t>
      </w:r>
      <w:r w:rsidRPr="003F23AC">
        <w:rPr>
          <w:rFonts w:cs="Times New Roman"/>
          <w:noProof/>
          <w:lang w:val="sk-SK"/>
        </w:rPr>
        <w:t>ich digitalizácii. Je to obzvlášť dôležité vzhľadom na skutočnosť, že</w:t>
      </w:r>
      <w:r w:rsidR="00A75B3C" w:rsidRPr="003F23AC">
        <w:rPr>
          <w:rFonts w:cs="Times New Roman"/>
          <w:noProof/>
          <w:lang w:val="sk-SK"/>
        </w:rPr>
        <w:t xml:space="preserve"> v </w:t>
      </w:r>
      <w:r w:rsidRPr="003F23AC">
        <w:rPr>
          <w:rFonts w:cs="Times New Roman"/>
          <w:noProof/>
          <w:lang w:val="sk-SK"/>
        </w:rPr>
        <w:t>portugalskom hospodárstve dominujú najmä mikropodniky, ktoré sú menej digitálne aktívne ako väčšie spoločnosti. Zapojením MSP do digitalizácie podnikov je teda cieľom investície transformovať obchodný model portugalského hospodárstva</w:t>
      </w:r>
      <w:r w:rsidR="00A75B3C" w:rsidRPr="003F23AC">
        <w:rPr>
          <w:rFonts w:cs="Times New Roman"/>
          <w:noProof/>
          <w:lang w:val="sk-SK"/>
        </w:rPr>
        <w:t xml:space="preserve"> a </w:t>
      </w:r>
      <w:r w:rsidRPr="003F23AC">
        <w:rPr>
          <w:rFonts w:cs="Times New Roman"/>
          <w:noProof/>
          <w:lang w:val="sk-SK"/>
        </w:rPr>
        <w:t>prispieť</w:t>
      </w:r>
      <w:r w:rsidR="00A75B3C" w:rsidRPr="003F23AC">
        <w:rPr>
          <w:rFonts w:cs="Times New Roman"/>
          <w:noProof/>
          <w:lang w:val="sk-SK"/>
        </w:rPr>
        <w:t xml:space="preserve"> k </w:t>
      </w:r>
      <w:r w:rsidRPr="003F23AC">
        <w:rPr>
          <w:rFonts w:cs="Times New Roman"/>
          <w:noProof/>
          <w:lang w:val="sk-SK"/>
        </w:rPr>
        <w:t>väčšej konkurencieschopnosti</w:t>
      </w:r>
      <w:r w:rsidR="00A75B3C" w:rsidRPr="003F23AC">
        <w:rPr>
          <w:rFonts w:cs="Times New Roman"/>
          <w:noProof/>
          <w:lang w:val="sk-SK"/>
        </w:rPr>
        <w:t xml:space="preserve"> a </w:t>
      </w:r>
      <w:r w:rsidRPr="003F23AC">
        <w:rPr>
          <w:rFonts w:cs="Times New Roman"/>
          <w:noProof/>
          <w:lang w:val="sk-SK"/>
        </w:rPr>
        <w:t>odolnosti</w:t>
      </w:r>
      <w:r w:rsidR="00A75B3C" w:rsidRPr="003F23AC">
        <w:rPr>
          <w:rFonts w:cs="Times New Roman"/>
          <w:noProof/>
          <w:lang w:val="sk-SK"/>
        </w:rPr>
        <w:t>.</w:t>
      </w:r>
    </w:p>
    <w:p w14:paraId="2EE74087" w14:textId="2EA0CE78"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Investície pozostávajú zo štyroch skupín akcií:</w:t>
      </w:r>
    </w:p>
    <w:p w14:paraId="78A34119" w14:textId="2A1408BE" w:rsidR="00387C70" w:rsidRPr="003F23AC" w:rsidRDefault="000F5AA4" w:rsidP="003F23AC">
      <w:pPr>
        <w:pStyle w:val="P68B1DB1-Normal4"/>
        <w:numPr>
          <w:ilvl w:val="0"/>
          <w:numId w:val="33"/>
        </w:numPr>
        <w:spacing w:before="40" w:after="160" w:line="259" w:lineRule="auto"/>
        <w:contextualSpacing/>
        <w:jc w:val="both"/>
        <w:rPr>
          <w:rFonts w:eastAsiaTheme="minorEastAsia" w:cs="Times New Roman"/>
          <w:noProof/>
          <w:lang w:val="sk-SK"/>
        </w:rPr>
      </w:pPr>
      <w:r w:rsidRPr="003F23AC">
        <w:rPr>
          <w:rFonts w:cs="Times New Roman"/>
          <w:noProof/>
          <w:lang w:val="sk-SK"/>
        </w:rPr>
        <w:t>„Národná sieť testovacích staníc“: cieľom vytvorenia vnútroštátnej siete testovacích staníc bolo vytvoriť podmienky pre podniky na vývoj</w:t>
      </w:r>
      <w:r w:rsidR="00A75B3C" w:rsidRPr="003F23AC">
        <w:rPr>
          <w:rFonts w:cs="Times New Roman"/>
          <w:noProof/>
          <w:lang w:val="sk-SK"/>
        </w:rPr>
        <w:t xml:space="preserve"> a </w:t>
      </w:r>
      <w:r w:rsidRPr="003F23AC">
        <w:rPr>
          <w:rFonts w:cs="Times New Roman"/>
          <w:noProof/>
          <w:lang w:val="sk-SK"/>
        </w:rPr>
        <w:t>testovanie nových produktov</w:t>
      </w:r>
      <w:r w:rsidR="00A75B3C" w:rsidRPr="003F23AC">
        <w:rPr>
          <w:rFonts w:cs="Times New Roman"/>
          <w:noProof/>
          <w:lang w:val="sk-SK"/>
        </w:rPr>
        <w:t xml:space="preserve"> a </w:t>
      </w:r>
      <w:r w:rsidRPr="003F23AC">
        <w:rPr>
          <w:rFonts w:cs="Times New Roman"/>
          <w:noProof/>
          <w:lang w:val="sk-SK"/>
        </w:rPr>
        <w:t>služieb</w:t>
      </w:r>
      <w:r w:rsidR="00A75B3C" w:rsidRPr="003F23AC">
        <w:rPr>
          <w:rFonts w:cs="Times New Roman"/>
          <w:noProof/>
          <w:lang w:val="sk-SK"/>
        </w:rPr>
        <w:t xml:space="preserve"> a </w:t>
      </w:r>
      <w:r w:rsidRPr="003F23AC">
        <w:rPr>
          <w:rFonts w:cs="Times New Roman"/>
          <w:noProof/>
          <w:lang w:val="sk-SK"/>
        </w:rPr>
        <w:t>urýchlenie procesu digitálnej transformácie,</w:t>
      </w:r>
      <w:r w:rsidR="00A75B3C" w:rsidRPr="003F23AC">
        <w:rPr>
          <w:rFonts w:cs="Times New Roman"/>
          <w:noProof/>
          <w:lang w:val="sk-SK"/>
        </w:rPr>
        <w:t xml:space="preserve"> a </w:t>
      </w:r>
      <w:r w:rsidRPr="003F23AC">
        <w:rPr>
          <w:rFonts w:cs="Times New Roman"/>
          <w:noProof/>
          <w:lang w:val="sk-SK"/>
        </w:rPr>
        <w:t>to buď prostredníctvom fyzického vybavenia</w:t>
      </w:r>
      <w:r w:rsidR="00A75B3C" w:rsidRPr="003F23AC">
        <w:rPr>
          <w:rFonts w:cs="Times New Roman"/>
          <w:noProof/>
          <w:lang w:val="sk-SK"/>
        </w:rPr>
        <w:t xml:space="preserve"> a </w:t>
      </w:r>
      <w:r w:rsidRPr="003F23AC">
        <w:rPr>
          <w:rFonts w:cs="Times New Roman"/>
          <w:noProof/>
          <w:lang w:val="sk-SK"/>
        </w:rPr>
        <w:t>vybavenia na testovanie infraštruktúry, alebo virtuálnych/digitálnych simulátorov. Cieľom je vytvoriť 30 infraštruktúr testovacieho zariadenia</w:t>
      </w:r>
      <w:r w:rsidR="00A75B3C" w:rsidRPr="003F23AC">
        <w:rPr>
          <w:rFonts w:cs="Times New Roman"/>
          <w:noProof/>
          <w:lang w:val="sk-SK"/>
        </w:rPr>
        <w:t xml:space="preserve"> a </w:t>
      </w:r>
      <w:r w:rsidRPr="003F23AC">
        <w:rPr>
          <w:rFonts w:cs="Times New Roman"/>
          <w:noProof/>
          <w:lang w:val="sk-SK"/>
        </w:rPr>
        <w:t>testovať aspoň 3000 pilotných produktov alebo služieb.</w:t>
      </w:r>
    </w:p>
    <w:p w14:paraId="2A0555EB" w14:textId="6A365D9B" w:rsidR="00387C70" w:rsidRPr="003F23AC" w:rsidRDefault="000F5AA4" w:rsidP="003F23AC">
      <w:pPr>
        <w:pStyle w:val="P68B1DB1-Normal4"/>
        <w:numPr>
          <w:ilvl w:val="0"/>
          <w:numId w:val="33"/>
        </w:numPr>
        <w:spacing w:before="40" w:after="160" w:line="259" w:lineRule="auto"/>
        <w:contextualSpacing/>
        <w:jc w:val="both"/>
        <w:rPr>
          <w:rFonts w:eastAsiaTheme="minorEastAsia" w:cs="Times New Roman"/>
          <w:noProof/>
          <w:lang w:val="sk-SK"/>
        </w:rPr>
      </w:pPr>
      <w:r w:rsidRPr="003F23AC">
        <w:rPr>
          <w:rFonts w:cs="Times New Roman"/>
          <w:noProof/>
          <w:lang w:val="sk-SK"/>
        </w:rPr>
        <w:t>Digitálny obchod: program digitalizácie MSP so zameraním na mikropodniky</w:t>
      </w:r>
      <w:r w:rsidR="00A75B3C" w:rsidRPr="003F23AC">
        <w:rPr>
          <w:rFonts w:cs="Times New Roman"/>
          <w:noProof/>
          <w:lang w:val="sk-SK"/>
        </w:rPr>
        <w:t xml:space="preserve"> v </w:t>
      </w:r>
      <w:r w:rsidRPr="003F23AC">
        <w:rPr>
          <w:rFonts w:cs="Times New Roman"/>
          <w:noProof/>
          <w:lang w:val="sk-SK"/>
        </w:rPr>
        <w:t>komerčnom sektore</w:t>
      </w:r>
      <w:r w:rsidR="00A75B3C" w:rsidRPr="003F23AC">
        <w:rPr>
          <w:rFonts w:cs="Times New Roman"/>
          <w:noProof/>
          <w:lang w:val="sk-SK"/>
        </w:rPr>
        <w:t xml:space="preserve"> s </w:t>
      </w:r>
      <w:r w:rsidRPr="003F23AC">
        <w:rPr>
          <w:rFonts w:cs="Times New Roman"/>
          <w:noProof/>
          <w:lang w:val="sk-SK"/>
        </w:rPr>
        <w:t>cieľom aktivovať ich digitálne obchodné kanály, začleniť technológie do obchodných modelov</w:t>
      </w:r>
      <w:r w:rsidR="00A75B3C" w:rsidRPr="003F23AC">
        <w:rPr>
          <w:rFonts w:cs="Times New Roman"/>
          <w:noProof/>
          <w:lang w:val="sk-SK"/>
        </w:rPr>
        <w:t xml:space="preserve"> a </w:t>
      </w:r>
      <w:r w:rsidRPr="003F23AC">
        <w:rPr>
          <w:rFonts w:cs="Times New Roman"/>
          <w:noProof/>
          <w:lang w:val="sk-SK"/>
        </w:rPr>
        <w:t>dematerializovať procesy so zákazníkmi</w:t>
      </w:r>
      <w:r w:rsidR="00A75B3C" w:rsidRPr="003F23AC">
        <w:rPr>
          <w:rFonts w:cs="Times New Roman"/>
          <w:noProof/>
          <w:lang w:val="sk-SK"/>
        </w:rPr>
        <w:t xml:space="preserve"> a </w:t>
      </w:r>
      <w:r w:rsidRPr="003F23AC">
        <w:rPr>
          <w:rFonts w:cs="Times New Roman"/>
          <w:noProof/>
          <w:lang w:val="sk-SK"/>
        </w:rPr>
        <w:t>dodávateľmi prostredníctvom využívania informačných</w:t>
      </w:r>
      <w:r w:rsidR="00A75B3C" w:rsidRPr="003F23AC">
        <w:rPr>
          <w:rFonts w:cs="Times New Roman"/>
          <w:noProof/>
          <w:lang w:val="sk-SK"/>
        </w:rPr>
        <w:t xml:space="preserve"> a </w:t>
      </w:r>
      <w:r w:rsidRPr="003F23AC">
        <w:rPr>
          <w:rFonts w:cs="Times New Roman"/>
          <w:noProof/>
          <w:lang w:val="sk-SK"/>
        </w:rPr>
        <w:t>komunikačných technológií. Pozostáva</w:t>
      </w:r>
      <w:r w:rsidR="00A75B3C" w:rsidRPr="003F23AC">
        <w:rPr>
          <w:rFonts w:cs="Times New Roman"/>
          <w:noProof/>
          <w:lang w:val="sk-SK"/>
        </w:rPr>
        <w:t xml:space="preserve"> z </w:t>
      </w:r>
      <w:r w:rsidRPr="003F23AC">
        <w:rPr>
          <w:rFonts w:cs="Times New Roman"/>
          <w:noProof/>
          <w:lang w:val="sk-SK"/>
        </w:rPr>
        <w:t>troch projektov: I) „urýchľovače digitálneho obchodu“ vytvorením 25 miestnych, regionálnych alebo odvetvových akcelerátorov (subjektov, ktoré poskytujú koučing, mentorstvo, finančnú podporu pre začínajúce podniky</w:t>
      </w:r>
      <w:r w:rsidR="00A75B3C" w:rsidRPr="003F23AC">
        <w:rPr>
          <w:rFonts w:cs="Times New Roman"/>
          <w:noProof/>
          <w:lang w:val="sk-SK"/>
        </w:rPr>
        <w:t xml:space="preserve"> a </w:t>
      </w:r>
      <w:r w:rsidRPr="003F23AC">
        <w:rPr>
          <w:rFonts w:cs="Times New Roman"/>
          <w:noProof/>
          <w:lang w:val="sk-SK"/>
        </w:rPr>
        <w:t>MSP</w:t>
      </w:r>
      <w:r w:rsidR="00A75B3C" w:rsidRPr="003F23AC">
        <w:rPr>
          <w:rFonts w:cs="Times New Roman"/>
          <w:noProof/>
          <w:lang w:val="sk-SK"/>
        </w:rPr>
        <w:t xml:space="preserve"> s </w:t>
      </w:r>
      <w:r w:rsidRPr="003F23AC">
        <w:rPr>
          <w:rFonts w:cs="Times New Roman"/>
          <w:noProof/>
          <w:lang w:val="sk-SK"/>
        </w:rPr>
        <w:t>cieľom pomôcť im rásť)</w:t>
      </w:r>
      <w:r w:rsidR="00A75B3C" w:rsidRPr="003F23AC">
        <w:rPr>
          <w:rFonts w:cs="Times New Roman"/>
          <w:noProof/>
          <w:lang w:val="sk-SK"/>
        </w:rPr>
        <w:t xml:space="preserve"> a </w:t>
      </w:r>
      <w:r w:rsidRPr="003F23AC">
        <w:rPr>
          <w:rFonts w:cs="Times New Roman"/>
          <w:noProof/>
          <w:lang w:val="sk-SK"/>
        </w:rPr>
        <w:t>systému finančných stimulov na digitalizáciu obchodných modelov MSP (so zameraním na 25000 MSP); II) „susedstvá digitálneho obchodu“, ktoré podporujú digitalizáciu (s miestnym elektronickým obchodom</w:t>
      </w:r>
      <w:r w:rsidR="00A75B3C" w:rsidRPr="003F23AC">
        <w:rPr>
          <w:rFonts w:cs="Times New Roman"/>
          <w:noProof/>
          <w:lang w:val="sk-SK"/>
        </w:rPr>
        <w:t xml:space="preserve"> a </w:t>
      </w:r>
      <w:r w:rsidRPr="003F23AC">
        <w:rPr>
          <w:rFonts w:cs="Times New Roman"/>
          <w:noProof/>
          <w:lang w:val="sk-SK"/>
        </w:rPr>
        <w:t>doručovacími platformami) 75 nákupných oblastí nachádzajúcich sa</w:t>
      </w:r>
      <w:r w:rsidR="00A75B3C" w:rsidRPr="003F23AC">
        <w:rPr>
          <w:rFonts w:cs="Times New Roman"/>
          <w:noProof/>
          <w:lang w:val="sk-SK"/>
        </w:rPr>
        <w:t xml:space="preserve"> v </w:t>
      </w:r>
      <w:r w:rsidRPr="003F23AC">
        <w:rPr>
          <w:rFonts w:cs="Times New Roman"/>
          <w:noProof/>
          <w:lang w:val="sk-SK"/>
        </w:rPr>
        <w:t>mestských centrách, prímestských alebo vidieckych oblastiach</w:t>
      </w:r>
      <w:r w:rsidR="00A75B3C" w:rsidRPr="003F23AC">
        <w:rPr>
          <w:rFonts w:cs="Times New Roman"/>
          <w:noProof/>
          <w:lang w:val="sk-SK"/>
        </w:rPr>
        <w:t xml:space="preserve"> s </w:t>
      </w:r>
      <w:r w:rsidRPr="003F23AC">
        <w:rPr>
          <w:rFonts w:cs="Times New Roman"/>
          <w:noProof/>
          <w:lang w:val="sk-SK"/>
        </w:rPr>
        <w:t>cieľom posilniť tieto oblasti</w:t>
      </w:r>
      <w:r w:rsidR="00A75B3C" w:rsidRPr="003F23AC">
        <w:rPr>
          <w:rFonts w:cs="Times New Roman"/>
          <w:noProof/>
          <w:lang w:val="sk-SK"/>
        </w:rPr>
        <w:t xml:space="preserve"> a </w:t>
      </w:r>
      <w:r w:rsidRPr="003F23AC">
        <w:rPr>
          <w:rFonts w:cs="Times New Roman"/>
          <w:noProof/>
          <w:lang w:val="sk-SK"/>
        </w:rPr>
        <w:t>podporiť územnú súdržnosť</w:t>
      </w:r>
      <w:r w:rsidR="00A75B3C" w:rsidRPr="003F23AC">
        <w:rPr>
          <w:rFonts w:cs="Times New Roman"/>
          <w:noProof/>
          <w:lang w:val="sk-SK"/>
        </w:rPr>
        <w:t xml:space="preserve"> a </w:t>
      </w:r>
      <w:r w:rsidRPr="003F23AC">
        <w:rPr>
          <w:rFonts w:cs="Times New Roman"/>
          <w:noProof/>
          <w:lang w:val="sk-SK"/>
        </w:rPr>
        <w:t>miestne hospodárstvo; III) „Internationalizácia prostredníctvom elektronického obchodu“</w:t>
      </w:r>
      <w:r w:rsidR="00A75B3C" w:rsidRPr="003F23AC">
        <w:rPr>
          <w:rFonts w:cs="Times New Roman"/>
          <w:noProof/>
          <w:lang w:val="sk-SK"/>
        </w:rPr>
        <w:t xml:space="preserve"> s </w:t>
      </w:r>
      <w:r w:rsidRPr="003F23AC">
        <w:rPr>
          <w:rFonts w:cs="Times New Roman"/>
          <w:noProof/>
          <w:lang w:val="sk-SK"/>
        </w:rPr>
        <w:t>cieľom pomôcť podnikom rozvíjať nové predajné kanály</w:t>
      </w:r>
      <w:r w:rsidR="00A75B3C" w:rsidRPr="003F23AC">
        <w:rPr>
          <w:rFonts w:cs="Times New Roman"/>
          <w:noProof/>
          <w:lang w:val="sk-SK"/>
        </w:rPr>
        <w:t xml:space="preserve"> v </w:t>
      </w:r>
      <w:r w:rsidRPr="003F23AC">
        <w:rPr>
          <w:rFonts w:cs="Times New Roman"/>
          <w:noProof/>
          <w:lang w:val="sk-SK"/>
        </w:rPr>
        <w:t>zahraničí prostredníctvom online predaja.</w:t>
      </w:r>
    </w:p>
    <w:p w14:paraId="5CFF1A14" w14:textId="77777777" w:rsidR="00A75B3C" w:rsidRPr="003F23AC" w:rsidRDefault="000F5AA4" w:rsidP="003F23AC">
      <w:pPr>
        <w:pStyle w:val="P68B1DB1-Normal4"/>
        <w:numPr>
          <w:ilvl w:val="0"/>
          <w:numId w:val="33"/>
        </w:numPr>
        <w:spacing w:before="40" w:after="160" w:line="259" w:lineRule="auto"/>
        <w:contextualSpacing/>
        <w:jc w:val="both"/>
        <w:rPr>
          <w:rFonts w:cs="Times New Roman"/>
          <w:noProof/>
          <w:lang w:val="sk-SK"/>
        </w:rPr>
      </w:pPr>
      <w:r w:rsidRPr="003F23AC">
        <w:rPr>
          <w:rFonts w:cs="Times New Roman"/>
          <w:noProof/>
          <w:lang w:val="sk-SK"/>
        </w:rPr>
        <w:t>Podpora digitálnej transformácie obchodných modelov: Koučing 4.0, program na podporu podnikov pri zavádzaní pokročilých digitálnych technológií</w:t>
      </w:r>
      <w:r w:rsidR="00A75B3C" w:rsidRPr="003F23AC">
        <w:rPr>
          <w:rFonts w:cs="Times New Roman"/>
          <w:noProof/>
          <w:lang w:val="sk-SK"/>
        </w:rPr>
        <w:t>.</w:t>
      </w:r>
    </w:p>
    <w:p w14:paraId="73477E39" w14:textId="22C256F0" w:rsidR="00387C70" w:rsidRPr="003F23AC" w:rsidRDefault="000F5AA4" w:rsidP="003F23AC">
      <w:pPr>
        <w:pStyle w:val="P68B1DB1-Normal4"/>
        <w:numPr>
          <w:ilvl w:val="0"/>
          <w:numId w:val="33"/>
        </w:numPr>
        <w:spacing w:before="40" w:after="160" w:line="259" w:lineRule="auto"/>
        <w:contextualSpacing/>
        <w:jc w:val="both"/>
        <w:rPr>
          <w:rFonts w:eastAsiaTheme="minorEastAsia" w:cs="Times New Roman"/>
          <w:noProof/>
          <w:lang w:val="sk-SK"/>
        </w:rPr>
      </w:pPr>
      <w:r w:rsidRPr="003F23AC">
        <w:rPr>
          <w:rFonts w:cs="Times New Roman"/>
          <w:noProof/>
          <w:lang w:val="sk-SK"/>
        </w:rPr>
        <w:t>Podnikanie:</w:t>
      </w:r>
      <w:r w:rsidR="00A75B3C" w:rsidRPr="003F23AC">
        <w:rPr>
          <w:rFonts w:cs="Times New Roman"/>
          <w:noProof/>
          <w:lang w:val="sk-SK"/>
        </w:rPr>
        <w:t xml:space="preserve"> s </w:t>
      </w:r>
      <w:r w:rsidRPr="003F23AC">
        <w:rPr>
          <w:rFonts w:cs="Times New Roman"/>
          <w:noProof/>
          <w:lang w:val="sk-SK"/>
        </w:rPr>
        <w:t>opatreniami, ako je i) „Poukaz pre začínajúce podniky – nové ekologické</w:t>
      </w:r>
      <w:r w:rsidR="00A75B3C" w:rsidRPr="003F23AC">
        <w:rPr>
          <w:rFonts w:cs="Times New Roman"/>
          <w:noProof/>
          <w:lang w:val="sk-SK"/>
        </w:rPr>
        <w:t xml:space="preserve"> a </w:t>
      </w:r>
      <w:r w:rsidRPr="003F23AC">
        <w:rPr>
          <w:rFonts w:cs="Times New Roman"/>
          <w:noProof/>
          <w:lang w:val="sk-SK"/>
        </w:rPr>
        <w:t>digitálne výrobky“, program poukazov zameraný na podporu startupov, ktoré chcú rozvíjať digitálne</w:t>
      </w:r>
      <w:r w:rsidR="00A75B3C" w:rsidRPr="003F23AC">
        <w:rPr>
          <w:rFonts w:cs="Times New Roman"/>
          <w:noProof/>
          <w:lang w:val="sk-SK"/>
        </w:rPr>
        <w:t xml:space="preserve"> a </w:t>
      </w:r>
      <w:r w:rsidRPr="003F23AC">
        <w:rPr>
          <w:rFonts w:cs="Times New Roman"/>
          <w:noProof/>
          <w:lang w:val="sk-SK"/>
        </w:rPr>
        <w:t>ekologické obchodné modely; II) „Posilnenie národnej štruktúry podnikania – startup Portugal“ investíciami do mapovania prostredia pre začínajúce podniky</w:t>
      </w:r>
      <w:r w:rsidR="00A75B3C" w:rsidRPr="003F23AC">
        <w:rPr>
          <w:rFonts w:cs="Times New Roman"/>
          <w:noProof/>
          <w:lang w:val="sk-SK"/>
        </w:rPr>
        <w:t xml:space="preserve"> s </w:t>
      </w:r>
      <w:r w:rsidRPr="003F23AC">
        <w:rPr>
          <w:rFonts w:cs="Times New Roman"/>
          <w:noProof/>
          <w:lang w:val="sk-SK"/>
        </w:rPr>
        <w:t>cieľom identifikovať výzvy</w:t>
      </w:r>
      <w:r w:rsidR="00A75B3C" w:rsidRPr="003F23AC">
        <w:rPr>
          <w:rFonts w:cs="Times New Roman"/>
          <w:noProof/>
          <w:lang w:val="sk-SK"/>
        </w:rPr>
        <w:t xml:space="preserve"> a </w:t>
      </w:r>
      <w:r w:rsidRPr="003F23AC">
        <w:rPr>
          <w:rFonts w:cs="Times New Roman"/>
          <w:noProof/>
          <w:lang w:val="sk-SK"/>
        </w:rPr>
        <w:t>riešenia spojené</w:t>
      </w:r>
      <w:r w:rsidR="00A75B3C" w:rsidRPr="003F23AC">
        <w:rPr>
          <w:rFonts w:cs="Times New Roman"/>
          <w:noProof/>
          <w:lang w:val="sk-SK"/>
        </w:rPr>
        <w:t xml:space="preserve"> s </w:t>
      </w:r>
      <w:r w:rsidRPr="003F23AC">
        <w:rPr>
          <w:rFonts w:cs="Times New Roman"/>
          <w:noProof/>
          <w:lang w:val="sk-SK"/>
        </w:rPr>
        <w:t>programom podnikania</w:t>
      </w:r>
      <w:r w:rsidR="00A75B3C" w:rsidRPr="003F23AC">
        <w:rPr>
          <w:rFonts w:cs="Times New Roman"/>
          <w:noProof/>
          <w:lang w:val="sk-SK"/>
        </w:rPr>
        <w:t xml:space="preserve"> a </w:t>
      </w:r>
      <w:r w:rsidRPr="003F23AC">
        <w:rPr>
          <w:rFonts w:cs="Times New Roman"/>
          <w:noProof/>
          <w:lang w:val="sk-SK"/>
        </w:rPr>
        <w:t>vykonávaním príslušných akčných plánov;</w:t>
      </w:r>
      <w:r w:rsidR="00A75B3C" w:rsidRPr="003F23AC">
        <w:rPr>
          <w:rFonts w:cs="Times New Roman"/>
          <w:noProof/>
          <w:lang w:val="sk-SK"/>
        </w:rPr>
        <w:t xml:space="preserve"> a </w:t>
      </w:r>
      <w:r w:rsidRPr="003F23AC">
        <w:rPr>
          <w:rFonts w:cs="Times New Roman"/>
          <w:noProof/>
          <w:lang w:val="sk-SK"/>
        </w:rPr>
        <w:t>iii) „Poukážky na zavedenie inkubátorov/akcelerátorov“ na podporu inkubátorov</w:t>
      </w:r>
      <w:r w:rsidR="00A75B3C" w:rsidRPr="003F23AC">
        <w:rPr>
          <w:rFonts w:cs="Times New Roman"/>
          <w:noProof/>
          <w:lang w:val="sk-SK"/>
        </w:rPr>
        <w:t xml:space="preserve"> a </w:t>
      </w:r>
      <w:r w:rsidRPr="003F23AC">
        <w:rPr>
          <w:rFonts w:cs="Times New Roman"/>
          <w:noProof/>
          <w:lang w:val="sk-SK"/>
        </w:rPr>
        <w:t>akcelerátorov pri ich vývoji vrátane zavádzania nových digitálnych technológií, zlepšenie zdrojov, ktoré majú</w:t>
      </w:r>
      <w:r w:rsidR="00A75B3C" w:rsidRPr="003F23AC">
        <w:rPr>
          <w:rFonts w:cs="Times New Roman"/>
          <w:noProof/>
          <w:lang w:val="sk-SK"/>
        </w:rPr>
        <w:t xml:space="preserve"> k </w:t>
      </w:r>
      <w:r w:rsidRPr="003F23AC">
        <w:rPr>
          <w:rFonts w:cs="Times New Roman"/>
          <w:noProof/>
          <w:lang w:val="sk-SK"/>
        </w:rPr>
        <w:t>dispozícii,</w:t>
      </w:r>
      <w:r w:rsidR="00A75B3C" w:rsidRPr="003F23AC">
        <w:rPr>
          <w:rFonts w:cs="Times New Roman"/>
          <w:noProof/>
          <w:lang w:val="sk-SK"/>
        </w:rPr>
        <w:t xml:space="preserve"> a </w:t>
      </w:r>
      <w:r w:rsidRPr="003F23AC">
        <w:rPr>
          <w:rFonts w:cs="Times New Roman"/>
          <w:noProof/>
          <w:lang w:val="sk-SK"/>
        </w:rPr>
        <w:t>na posilnenie ich znalostí</w:t>
      </w:r>
      <w:r w:rsidR="00A75B3C" w:rsidRPr="003F23AC">
        <w:rPr>
          <w:rFonts w:cs="Times New Roman"/>
          <w:noProof/>
          <w:lang w:val="sk-SK"/>
        </w:rPr>
        <w:t xml:space="preserve"> a </w:t>
      </w:r>
      <w:r w:rsidRPr="003F23AC">
        <w:rPr>
          <w:rFonts w:cs="Times New Roman"/>
          <w:noProof/>
          <w:lang w:val="sk-SK"/>
        </w:rPr>
        <w:t>schopností</w:t>
      </w:r>
      <w:r w:rsidR="00A75B3C" w:rsidRPr="003F23AC">
        <w:rPr>
          <w:rFonts w:cs="Times New Roman"/>
          <w:noProof/>
          <w:lang w:val="sk-SK"/>
        </w:rPr>
        <w:t xml:space="preserve"> s </w:t>
      </w:r>
      <w:r w:rsidRPr="003F23AC">
        <w:rPr>
          <w:rFonts w:cs="Times New Roman"/>
          <w:noProof/>
          <w:lang w:val="sk-SK"/>
        </w:rPr>
        <w:t>cieľom podporiť startupy</w:t>
      </w:r>
      <w:r w:rsidR="00A75B3C" w:rsidRPr="003F23AC">
        <w:rPr>
          <w:rFonts w:cs="Times New Roman"/>
          <w:noProof/>
          <w:lang w:val="sk-SK"/>
        </w:rPr>
        <w:t xml:space="preserve"> s </w:t>
      </w:r>
      <w:r w:rsidRPr="003F23AC">
        <w:rPr>
          <w:rFonts w:cs="Times New Roman"/>
          <w:noProof/>
          <w:lang w:val="sk-SK"/>
        </w:rPr>
        <w:t>digitálnymi obchodnými modelmi.</w:t>
      </w:r>
    </w:p>
    <w:p w14:paraId="18C24393" w14:textId="5AB8B245"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Pokiaľ ide</w:t>
      </w:r>
      <w:r w:rsidR="00A75B3C" w:rsidRPr="003F23AC">
        <w:rPr>
          <w:rFonts w:cs="Times New Roman"/>
          <w:noProof/>
          <w:lang w:val="sk-SK"/>
        </w:rPr>
        <w:t xml:space="preserve"> o </w:t>
      </w:r>
      <w:r w:rsidRPr="003F23AC">
        <w:rPr>
          <w:rFonts w:cs="Times New Roman"/>
          <w:noProof/>
          <w:lang w:val="sk-SK"/>
        </w:rPr>
        <w:t>finančné nástroje,</w:t>
      </w:r>
      <w:r w:rsidR="00A75B3C" w:rsidRPr="003F23AC">
        <w:rPr>
          <w:rFonts w:cs="Times New Roman"/>
          <w:noProof/>
          <w:lang w:val="sk-SK"/>
        </w:rPr>
        <w:t xml:space="preserve"> v </w:t>
      </w:r>
      <w:r w:rsidRPr="003F23AC">
        <w:rPr>
          <w:rFonts w:cs="Times New Roman"/>
          <w:noProof/>
          <w:lang w:val="sk-SK"/>
        </w:rPr>
        <w:t>rámci opatrenia „urýchľovače digitálneho obchodu“, ktorým sa poskytuje finančná podpora</w:t>
      </w:r>
      <w:r w:rsidR="00A75B3C" w:rsidRPr="003F23AC">
        <w:rPr>
          <w:rFonts w:cs="Times New Roman"/>
          <w:noProof/>
          <w:lang w:val="sk-SK"/>
        </w:rPr>
        <w:t xml:space="preserve"> a </w:t>
      </w:r>
      <w:r w:rsidRPr="003F23AC">
        <w:rPr>
          <w:rFonts w:cs="Times New Roman"/>
          <w:noProof/>
          <w:lang w:val="sk-SK"/>
        </w:rPr>
        <w:t>finančné stimuly,</w:t>
      </w:r>
      <w:r w:rsidR="00A75B3C" w:rsidRPr="003F23AC">
        <w:rPr>
          <w:rFonts w:cs="Times New Roman"/>
          <w:noProof/>
          <w:lang w:val="sk-SK"/>
        </w:rPr>
        <w:t xml:space="preserve"> s </w:t>
      </w:r>
      <w:r w:rsidRPr="003F23AC">
        <w:rPr>
          <w:rFonts w:cs="Times New Roman"/>
          <w:noProof/>
          <w:lang w:val="sk-SK"/>
        </w:rPr>
        <w:t>cieľom zabezpečiť, aby opatrenie bolo</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„výrazne nenarušiť“ (2021/C58/01), sa</w:t>
      </w:r>
      <w:r w:rsidR="00A75B3C" w:rsidRPr="003F23AC">
        <w:rPr>
          <w:rFonts w:cs="Times New Roman"/>
          <w:noProof/>
          <w:lang w:val="sk-SK"/>
        </w:rPr>
        <w:t xml:space="preserve"> v </w:t>
      </w:r>
      <w:r w:rsidRPr="003F23AC">
        <w:rPr>
          <w:rFonts w:cs="Times New Roman"/>
          <w:noProof/>
          <w:lang w:val="sk-SK"/>
        </w:rPr>
        <w:t>právnej dohode medzi portugalskými orgánmi</w:t>
      </w:r>
      <w:r w:rsidR="00A75B3C" w:rsidRPr="003F23AC">
        <w:rPr>
          <w:rFonts w:cs="Times New Roman"/>
          <w:noProof/>
          <w:lang w:val="sk-SK"/>
        </w:rPr>
        <w:t xml:space="preserve"> a </w:t>
      </w:r>
      <w:r w:rsidRPr="003F23AC">
        <w:rPr>
          <w:rFonts w:cs="Times New Roman"/>
          <w:noProof/>
          <w:lang w:val="sk-SK"/>
        </w:rPr>
        <w:t>povereným subjektom alebo finančným sprostredkovateľom zodpovedným za finančný nástroj</w:t>
      </w:r>
      <w:r w:rsidR="00A75B3C" w:rsidRPr="003F23AC">
        <w:rPr>
          <w:rFonts w:cs="Times New Roman"/>
          <w:noProof/>
          <w:lang w:val="sk-SK"/>
        </w:rPr>
        <w:t xml:space="preserve"> a </w:t>
      </w:r>
      <w:r w:rsidRPr="003F23AC">
        <w:rPr>
          <w:rFonts w:cs="Times New Roman"/>
          <w:noProof/>
          <w:lang w:val="sk-SK"/>
        </w:rPr>
        <w:t>následnou investičnou politikou finančného nástroja:</w:t>
      </w:r>
    </w:p>
    <w:p w14:paraId="6FA72369" w14:textId="4A1831B5" w:rsidR="00387C70" w:rsidRPr="003F23AC" w:rsidRDefault="000F5AA4" w:rsidP="003F23AC">
      <w:pPr>
        <w:pStyle w:val="P68B1DB1-Normal4"/>
        <w:numPr>
          <w:ilvl w:val="0"/>
          <w:numId w:val="33"/>
        </w:numPr>
        <w:spacing w:before="40" w:after="160" w:line="259" w:lineRule="auto"/>
        <w:contextualSpacing/>
        <w:jc w:val="both"/>
        <w:rPr>
          <w:rFonts w:eastAsiaTheme="minorEastAsia" w:cs="Times New Roman"/>
          <w:noProof/>
          <w:lang w:val="sk-SK"/>
        </w:rPr>
      </w:pPr>
      <w:r w:rsidRPr="003F23AC">
        <w:rPr>
          <w:rFonts w:cs="Times New Roman"/>
          <w:noProof/>
          <w:lang w:val="sk-SK"/>
        </w:rPr>
        <w:t>požadovať uplatňovanie technických usmernení Komisie</w:t>
      </w:r>
      <w:r w:rsidR="00A75B3C" w:rsidRPr="003F23AC">
        <w:rPr>
          <w:rFonts w:cs="Times New Roman"/>
          <w:noProof/>
          <w:lang w:val="sk-SK"/>
        </w:rPr>
        <w:t xml:space="preserve"> o </w:t>
      </w:r>
      <w:r w:rsidRPr="003F23AC">
        <w:rPr>
          <w:rFonts w:cs="Times New Roman"/>
          <w:noProof/>
          <w:lang w:val="sk-SK"/>
        </w:rPr>
        <w:t>overovaní udržateľnosti pre Fond InvestEU;</w:t>
      </w:r>
      <w:r w:rsidR="00A75B3C" w:rsidRPr="003F23AC">
        <w:rPr>
          <w:rFonts w:cs="Times New Roman"/>
          <w:noProof/>
          <w:lang w:val="sk-SK"/>
        </w:rPr>
        <w:t xml:space="preserve"> a </w:t>
      </w:r>
      <w:r w:rsidRPr="003F23AC">
        <w:rPr>
          <w:rFonts w:cs="Times New Roman"/>
          <w:noProof/>
          <w:lang w:val="sk-SK"/>
        </w:rPr>
        <w:t>zároveň</w:t>
      </w:r>
    </w:p>
    <w:p w14:paraId="7A065825" w14:textId="436BB4E5" w:rsidR="00387C70" w:rsidRPr="003F23AC" w:rsidRDefault="000F5AA4" w:rsidP="003F23AC">
      <w:pPr>
        <w:pStyle w:val="P68B1DB1-Normal4"/>
        <w:numPr>
          <w:ilvl w:val="0"/>
          <w:numId w:val="33"/>
        </w:numPr>
        <w:spacing w:before="40" w:after="160" w:line="259" w:lineRule="auto"/>
        <w:contextualSpacing/>
        <w:jc w:val="both"/>
        <w:rPr>
          <w:rFonts w:eastAsiaTheme="minorEastAsia" w:cs="Times New Roman"/>
          <w:noProof/>
          <w:lang w:val="sk-SK"/>
        </w:rPr>
      </w:pPr>
      <w:r w:rsidRPr="003F23AC">
        <w:rPr>
          <w:rFonts w:cs="Times New Roman"/>
          <w:noProof/>
          <w:lang w:val="sk-SK"/>
        </w:rPr>
        <w:t>vylúčiť</w:t>
      </w:r>
      <w:r w:rsidR="00A75B3C" w:rsidRPr="003F23AC">
        <w:rPr>
          <w:rFonts w:cs="Times New Roman"/>
          <w:noProof/>
          <w:lang w:val="sk-SK"/>
        </w:rPr>
        <w:t xml:space="preserve"> z </w:t>
      </w:r>
      <w:r w:rsidRPr="003F23AC">
        <w:rPr>
          <w:rFonts w:cs="Times New Roman"/>
          <w:noProof/>
          <w:lang w:val="sk-SK"/>
        </w:rPr>
        <w:t>oprávnenosti tento zoznam činností</w:t>
      </w:r>
      <w:r w:rsidR="00A75B3C" w:rsidRPr="003F23AC">
        <w:rPr>
          <w:rFonts w:cs="Times New Roman"/>
          <w:noProof/>
          <w:lang w:val="sk-SK"/>
        </w:rPr>
        <w:t xml:space="preserve"> a </w:t>
      </w:r>
      <w:r w:rsidRPr="003F23AC">
        <w:rPr>
          <w:rFonts w:cs="Times New Roman"/>
          <w:noProof/>
          <w:lang w:val="sk-SK"/>
        </w:rPr>
        <w:t>aktív: činnosti</w:t>
      </w:r>
      <w:r w:rsidR="00A75B3C" w:rsidRPr="003F23AC">
        <w:rPr>
          <w:rFonts w:cs="Times New Roman"/>
          <w:noProof/>
          <w:lang w:val="sk-SK"/>
        </w:rPr>
        <w:t xml:space="preserve"> a </w:t>
      </w:r>
      <w:r w:rsidRPr="003F23AC">
        <w:rPr>
          <w:rFonts w:cs="Times New Roman"/>
          <w:noProof/>
          <w:lang w:val="sk-SK"/>
        </w:rPr>
        <w:t>aktíva súvisiace</w:t>
      </w:r>
      <w:r w:rsidR="00A75B3C" w:rsidRPr="003F23AC">
        <w:rPr>
          <w:rFonts w:cs="Times New Roman"/>
          <w:noProof/>
          <w:lang w:val="sk-SK"/>
        </w:rPr>
        <w:t xml:space="preserve"> s </w:t>
      </w:r>
      <w:r w:rsidRPr="003F23AC">
        <w:rPr>
          <w:rFonts w:cs="Times New Roman"/>
          <w:noProof/>
          <w:lang w:val="sk-SK"/>
        </w:rPr>
        <w:t>fosílnymi palivami vrátane následného použitia</w:t>
      </w:r>
      <w:r w:rsidRPr="003F23AC">
        <w:rPr>
          <w:rFonts w:cs="Times New Roman"/>
          <w:noProof/>
          <w:lang w:val="sk-SK"/>
        </w:rPr>
        <w:footnoteReference w:id="52"/>
      </w:r>
      <w:r w:rsidRPr="003F23AC">
        <w:rPr>
          <w:rFonts w:cs="Times New Roman"/>
          <w:noProof/>
          <w:lang w:val="sk-SK"/>
        </w:rPr>
        <w:t>; II) činnosti</w:t>
      </w:r>
      <w:r w:rsidR="00A75B3C" w:rsidRPr="003F23AC">
        <w:rPr>
          <w:rFonts w:cs="Times New Roman"/>
          <w:noProof/>
          <w:lang w:val="sk-SK"/>
        </w:rPr>
        <w:t xml:space="preserve"> a </w:t>
      </w:r>
      <w:r w:rsidRPr="003F23AC">
        <w:rPr>
          <w:rFonts w:cs="Times New Roman"/>
          <w:noProof/>
          <w:lang w:val="sk-SK"/>
        </w:rPr>
        <w:t>aktíva</w:t>
      </w:r>
      <w:r w:rsidR="00A75B3C" w:rsidRPr="003F23AC">
        <w:rPr>
          <w:rFonts w:cs="Times New Roman"/>
          <w:noProof/>
          <w:lang w:val="sk-SK"/>
        </w:rPr>
        <w:t xml:space="preserve"> v </w:t>
      </w:r>
      <w:r w:rsidRPr="003F23AC">
        <w:rPr>
          <w:rFonts w:cs="Times New Roman"/>
          <w:noProof/>
          <w:lang w:val="sk-SK"/>
        </w:rPr>
        <w:t>rámci systému EÚ na obchodovanie</w:t>
      </w:r>
      <w:r w:rsidR="00A75B3C" w:rsidRPr="003F23AC">
        <w:rPr>
          <w:rFonts w:cs="Times New Roman"/>
          <w:noProof/>
          <w:lang w:val="sk-SK"/>
        </w:rPr>
        <w:t xml:space="preserve"> s </w:t>
      </w:r>
      <w:r w:rsidRPr="003F23AC">
        <w:rPr>
          <w:rFonts w:cs="Times New Roman"/>
          <w:noProof/>
          <w:lang w:val="sk-SK"/>
        </w:rPr>
        <w:t>emisiami (ETS), ktorými sa dosahujú predpokladané emisie skleníkových plynov, ktoré nie sú nižšie ako príslušné referenčné hodnoty</w:t>
      </w:r>
      <w:r w:rsidRPr="003F23AC">
        <w:rPr>
          <w:rFonts w:cs="Times New Roman"/>
          <w:noProof/>
          <w:lang w:val="sk-SK"/>
        </w:rPr>
        <w:footnoteReference w:id="53"/>
      </w:r>
      <w:r w:rsidRPr="003F23AC">
        <w:rPr>
          <w:rFonts w:cs="Times New Roman"/>
          <w:noProof/>
          <w:lang w:val="sk-SK"/>
        </w:rPr>
        <w:t>; III) činnosti</w:t>
      </w:r>
      <w:r w:rsidR="00A75B3C" w:rsidRPr="003F23AC">
        <w:rPr>
          <w:rFonts w:cs="Times New Roman"/>
          <w:noProof/>
          <w:lang w:val="sk-SK"/>
        </w:rPr>
        <w:t xml:space="preserve"> a </w:t>
      </w:r>
      <w:r w:rsidRPr="003F23AC">
        <w:rPr>
          <w:rFonts w:cs="Times New Roman"/>
          <w:noProof/>
          <w:lang w:val="sk-SK"/>
        </w:rPr>
        <w:t>aktíva týkajúce sa skládok odpadu, spaľovní</w:t>
      </w:r>
      <w:r w:rsidRPr="003F23AC">
        <w:rPr>
          <w:rFonts w:cs="Times New Roman"/>
          <w:noProof/>
          <w:lang w:val="sk-SK"/>
        </w:rPr>
        <w:footnoteReference w:id="54"/>
      </w:r>
      <w:r w:rsidR="00A75B3C" w:rsidRPr="003F23AC">
        <w:rPr>
          <w:rFonts w:cs="Times New Roman"/>
          <w:noProof/>
          <w:lang w:val="sk-SK"/>
        </w:rPr>
        <w:t xml:space="preserve"> a </w:t>
      </w:r>
      <w:r w:rsidRPr="003F23AC">
        <w:rPr>
          <w:rFonts w:cs="Times New Roman"/>
          <w:noProof/>
          <w:lang w:val="sk-SK"/>
        </w:rPr>
        <w:t>mechanických biologických čistiarní</w:t>
      </w:r>
      <w:r w:rsidRPr="003F23AC">
        <w:rPr>
          <w:rFonts w:cs="Times New Roman"/>
          <w:noProof/>
          <w:lang w:val="sk-SK"/>
        </w:rPr>
        <w:footnoteReference w:id="55"/>
      </w:r>
      <w:r w:rsidRPr="003F23AC">
        <w:rPr>
          <w:rFonts w:cs="Times New Roman"/>
          <w:noProof/>
          <w:lang w:val="sk-SK"/>
        </w:rPr>
        <w:t>;</w:t>
      </w:r>
      <w:r w:rsidR="00A75B3C" w:rsidRPr="003F23AC">
        <w:rPr>
          <w:rFonts w:cs="Times New Roman"/>
          <w:noProof/>
          <w:lang w:val="sk-SK"/>
        </w:rPr>
        <w:t xml:space="preserve"> a </w:t>
      </w:r>
      <w:r w:rsidRPr="003F23AC">
        <w:rPr>
          <w:rFonts w:cs="Times New Roman"/>
          <w:noProof/>
          <w:lang w:val="sk-SK"/>
        </w:rPr>
        <w:t>iv) činnosti</w:t>
      </w:r>
      <w:r w:rsidR="00A75B3C" w:rsidRPr="003F23AC">
        <w:rPr>
          <w:rFonts w:cs="Times New Roman"/>
          <w:noProof/>
          <w:lang w:val="sk-SK"/>
        </w:rPr>
        <w:t xml:space="preserve"> a </w:t>
      </w:r>
      <w:r w:rsidRPr="003F23AC">
        <w:rPr>
          <w:rFonts w:cs="Times New Roman"/>
          <w:noProof/>
          <w:lang w:val="sk-SK"/>
        </w:rPr>
        <w:t>aktíva, pri ktorých môže dlhodobé zneškodňovanie odpadu poškodiť životné prostredie;</w:t>
      </w:r>
      <w:r w:rsidR="00A75B3C" w:rsidRPr="003F23AC">
        <w:rPr>
          <w:rFonts w:cs="Times New Roman"/>
          <w:noProof/>
          <w:lang w:val="sk-SK"/>
        </w:rPr>
        <w:t xml:space="preserve"> a </w:t>
      </w:r>
      <w:r w:rsidRPr="003F23AC">
        <w:rPr>
          <w:rFonts w:cs="Times New Roman"/>
          <w:noProof/>
          <w:lang w:val="sk-SK"/>
        </w:rPr>
        <w:t>zároveň</w:t>
      </w:r>
    </w:p>
    <w:p w14:paraId="6BD38B90" w14:textId="38ED6FC3" w:rsidR="00387C70" w:rsidRPr="003F23AC" w:rsidRDefault="000F5AA4" w:rsidP="003F23AC">
      <w:pPr>
        <w:pStyle w:val="P68B1DB1-Normal4"/>
        <w:numPr>
          <w:ilvl w:val="0"/>
          <w:numId w:val="33"/>
        </w:numPr>
        <w:spacing w:before="40" w:after="160" w:line="259" w:lineRule="auto"/>
        <w:contextualSpacing/>
        <w:jc w:val="both"/>
        <w:rPr>
          <w:rFonts w:eastAsiaTheme="minorEastAsia" w:cs="Times New Roman"/>
          <w:noProof/>
          <w:lang w:val="sk-SK"/>
        </w:rPr>
      </w:pPr>
      <w:r w:rsidRPr="003F23AC">
        <w:rPr>
          <w:rFonts w:cs="Times New Roman"/>
          <w:noProof/>
          <w:lang w:val="sk-SK"/>
        </w:rPr>
        <w:t>požadovať overenie právneho súladu projektov</w:t>
      </w:r>
      <w:r w:rsidR="00A75B3C" w:rsidRPr="003F23AC">
        <w:rPr>
          <w:rFonts w:cs="Times New Roman"/>
          <w:noProof/>
          <w:lang w:val="sk-SK"/>
        </w:rPr>
        <w:t xml:space="preserve"> s </w:t>
      </w:r>
      <w:r w:rsidRPr="003F23AC">
        <w:rPr>
          <w:rFonts w:cs="Times New Roman"/>
          <w:noProof/>
          <w:lang w:val="sk-SK"/>
        </w:rPr>
        <w:t>príslušnými právnymi predpismi EÚ</w:t>
      </w:r>
      <w:r w:rsidR="00A75B3C" w:rsidRPr="003F23AC">
        <w:rPr>
          <w:rFonts w:cs="Times New Roman"/>
          <w:noProof/>
          <w:lang w:val="sk-SK"/>
        </w:rPr>
        <w:t xml:space="preserve"> a </w:t>
      </w:r>
      <w:r w:rsidRPr="003F23AC">
        <w:rPr>
          <w:rFonts w:cs="Times New Roman"/>
          <w:noProof/>
          <w:lang w:val="sk-SK"/>
        </w:rPr>
        <w:t>vnútroštátnymi právnymi predpismi</w:t>
      </w:r>
      <w:r w:rsidR="00A75B3C" w:rsidRPr="003F23AC">
        <w:rPr>
          <w:rFonts w:cs="Times New Roman"/>
          <w:noProof/>
          <w:lang w:val="sk-SK"/>
        </w:rPr>
        <w:t xml:space="preserve"> v </w:t>
      </w:r>
      <w:r w:rsidRPr="003F23AC">
        <w:rPr>
          <w:rFonts w:cs="Times New Roman"/>
          <w:noProof/>
          <w:lang w:val="sk-SK"/>
        </w:rPr>
        <w:t>oblasti životného prostredia povereným subjektom/finančným sprostredkovateľom</w:t>
      </w:r>
      <w:r w:rsidR="00A75B3C" w:rsidRPr="003F23AC">
        <w:rPr>
          <w:rFonts w:cs="Times New Roman"/>
          <w:noProof/>
          <w:lang w:val="sk-SK"/>
        </w:rPr>
        <w:t xml:space="preserve"> v </w:t>
      </w:r>
      <w:r w:rsidRPr="003F23AC">
        <w:rPr>
          <w:rFonts w:cs="Times New Roman"/>
          <w:noProof/>
          <w:lang w:val="sk-SK"/>
        </w:rPr>
        <w:t>prípade všetkých transakcií vrátane transakcií oslobodených od overovania udržateľnosti.</w:t>
      </w:r>
    </w:p>
    <w:p w14:paraId="2D9DFB3D" w14:textId="7541F04F" w:rsidR="00387C70" w:rsidRPr="003F23AC" w:rsidRDefault="000F5AA4" w:rsidP="003F23AC">
      <w:pPr>
        <w:pStyle w:val="P68B1DB1-Normal4"/>
        <w:spacing w:before="40" w:after="0" w:line="259" w:lineRule="auto"/>
        <w:jc w:val="both"/>
        <w:rPr>
          <w:rFonts w:eastAsiaTheme="minorEastAsia" w:cs="Times New Roman"/>
          <w:noProof/>
          <w:highlight w:val="green"/>
          <w:lang w:val="sk-SK"/>
        </w:rPr>
      </w:pPr>
      <w:r w:rsidRPr="003F23AC">
        <w:rPr>
          <w:rFonts w:cs="Times New Roman"/>
          <w:noProof/>
          <w:lang w:val="sk-SK"/>
        </w:rPr>
        <w:t>V prípade ponúk</w:t>
      </w:r>
      <w:r w:rsidR="00A75B3C" w:rsidRPr="003F23AC">
        <w:rPr>
          <w:rFonts w:cs="Times New Roman"/>
          <w:noProof/>
          <w:lang w:val="sk-SK"/>
        </w:rPr>
        <w:t xml:space="preserve"> s </w:t>
      </w:r>
      <w:r w:rsidRPr="003F23AC">
        <w:rPr>
          <w:rFonts w:cs="Times New Roman"/>
          <w:noProof/>
          <w:lang w:val="sk-SK"/>
        </w:rPr>
        <w:t>cieľom zabezpečiť, aby opatrenie bolo</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„výrazne nenarušiť“ (2021/C58/01), kritériá oprávnenosti uvedené</w:t>
      </w:r>
      <w:r w:rsidR="00A75B3C" w:rsidRPr="003F23AC">
        <w:rPr>
          <w:rFonts w:cs="Times New Roman"/>
          <w:noProof/>
          <w:lang w:val="sk-SK"/>
        </w:rPr>
        <w:t xml:space="preserve"> v </w:t>
      </w:r>
      <w:r w:rsidRPr="003F23AC">
        <w:rPr>
          <w:rFonts w:cs="Times New Roman"/>
          <w:noProof/>
          <w:lang w:val="sk-SK"/>
        </w:rPr>
        <w:t>referenčnom rámci pre nadchádzajúce výzvy na predkladanie projektov nezahŕňajú tento zoznam činností: I) činnosti súvisiace</w:t>
      </w:r>
      <w:r w:rsidR="00A75B3C" w:rsidRPr="003F23AC">
        <w:rPr>
          <w:rFonts w:cs="Times New Roman"/>
          <w:noProof/>
          <w:lang w:val="sk-SK"/>
        </w:rPr>
        <w:t xml:space="preserve"> s </w:t>
      </w:r>
      <w:r w:rsidRPr="003F23AC">
        <w:rPr>
          <w:rFonts w:cs="Times New Roman"/>
          <w:noProof/>
          <w:lang w:val="sk-SK"/>
        </w:rPr>
        <w:t>fosílnymi palivami vrátane následného použitia</w:t>
      </w:r>
      <w:r w:rsidRPr="003F23AC">
        <w:rPr>
          <w:rFonts w:cs="Times New Roman"/>
          <w:noProof/>
          <w:lang w:val="sk-SK"/>
        </w:rPr>
        <w:footnoteReference w:id="56"/>
      </w:r>
      <w:r w:rsidRPr="003F23AC">
        <w:rPr>
          <w:rFonts w:cs="Times New Roman"/>
          <w:noProof/>
          <w:lang w:val="sk-SK"/>
        </w:rPr>
        <w:t>; II) činnosti</w:t>
      </w:r>
      <w:r w:rsidR="00A75B3C" w:rsidRPr="003F23AC">
        <w:rPr>
          <w:rFonts w:cs="Times New Roman"/>
          <w:noProof/>
          <w:lang w:val="sk-SK"/>
        </w:rPr>
        <w:t xml:space="preserve"> v </w:t>
      </w:r>
      <w:r w:rsidRPr="003F23AC">
        <w:rPr>
          <w:rFonts w:cs="Times New Roman"/>
          <w:noProof/>
          <w:lang w:val="sk-SK"/>
        </w:rPr>
        <w:t>rámci systému EÚ na obchodovanie</w:t>
      </w:r>
      <w:r w:rsidR="00A75B3C" w:rsidRPr="003F23AC">
        <w:rPr>
          <w:rFonts w:cs="Times New Roman"/>
          <w:noProof/>
          <w:lang w:val="sk-SK"/>
        </w:rPr>
        <w:t xml:space="preserve"> s </w:t>
      </w:r>
      <w:r w:rsidRPr="003F23AC">
        <w:rPr>
          <w:rFonts w:cs="Times New Roman"/>
          <w:noProof/>
          <w:lang w:val="sk-SK"/>
        </w:rPr>
        <w:t>emisiami (ETS), ktorými sa dosahujú predpokladané emisie skleníkových plynov, ktoré nie sú nižšie ako príslušné referenčné hodnoty</w:t>
      </w:r>
      <w:r w:rsidRPr="003F23AC">
        <w:rPr>
          <w:rFonts w:cs="Times New Roman"/>
          <w:noProof/>
          <w:lang w:val="sk-SK"/>
        </w:rPr>
        <w:footnoteReference w:id="57"/>
      </w:r>
      <w:r w:rsidRPr="003F23AC">
        <w:rPr>
          <w:rFonts w:cs="Times New Roman"/>
          <w:noProof/>
          <w:lang w:val="sk-SK"/>
        </w:rPr>
        <w:t>; III) činnosti týkajúce sa skládok odpadu, spaľovní</w:t>
      </w:r>
      <w:r w:rsidRPr="003F23AC">
        <w:rPr>
          <w:rFonts w:cs="Times New Roman"/>
          <w:noProof/>
          <w:lang w:val="sk-SK"/>
        </w:rPr>
        <w:footnoteReference w:id="58"/>
      </w:r>
      <w:r w:rsidR="00A75B3C" w:rsidRPr="003F23AC">
        <w:rPr>
          <w:rFonts w:cs="Times New Roman"/>
          <w:noProof/>
          <w:lang w:val="sk-SK"/>
        </w:rPr>
        <w:t xml:space="preserve"> a </w:t>
      </w:r>
      <w:r w:rsidRPr="003F23AC">
        <w:rPr>
          <w:rFonts w:cs="Times New Roman"/>
          <w:noProof/>
          <w:lang w:val="sk-SK"/>
        </w:rPr>
        <w:t>mechanických biologických čistiarní</w:t>
      </w:r>
      <w:r w:rsidRPr="003F23AC">
        <w:rPr>
          <w:rFonts w:cs="Times New Roman"/>
          <w:noProof/>
          <w:lang w:val="sk-SK"/>
        </w:rPr>
        <w:footnoteReference w:id="59"/>
      </w:r>
      <w:r w:rsidRPr="003F23AC">
        <w:rPr>
          <w:rFonts w:cs="Times New Roman"/>
          <w:noProof/>
          <w:lang w:val="sk-SK"/>
        </w:rPr>
        <w:t>;</w:t>
      </w:r>
      <w:r w:rsidR="00A75B3C" w:rsidRPr="003F23AC">
        <w:rPr>
          <w:rFonts w:cs="Times New Roman"/>
          <w:noProof/>
          <w:lang w:val="sk-SK"/>
        </w:rPr>
        <w:t xml:space="preserve"> a </w:t>
      </w:r>
      <w:r w:rsidRPr="003F23AC">
        <w:rPr>
          <w:rFonts w:cs="Times New Roman"/>
          <w:noProof/>
          <w:lang w:val="sk-SK"/>
        </w:rPr>
        <w:t>iv) činnosti, pri ktorých môže dlhodobé zneškodňovanie odpadu poškodiť životné prostredie.</w:t>
      </w:r>
      <w:r w:rsidR="00A75B3C" w:rsidRPr="003F23AC">
        <w:rPr>
          <w:rFonts w:cs="Times New Roman"/>
          <w:noProof/>
          <w:lang w:val="sk-SK"/>
        </w:rPr>
        <w:t xml:space="preserve"> V </w:t>
      </w:r>
      <w:r w:rsidRPr="003F23AC">
        <w:rPr>
          <w:rFonts w:cs="Times New Roman"/>
          <w:noProof/>
          <w:lang w:val="sk-SK"/>
        </w:rPr>
        <w:t>referenčnom rámci sa okrem toho vyžaduje, aby sa mohli vybrať len činnosti, ktoré sú</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príslušnými právnymi predpismi EÚ</w:t>
      </w:r>
      <w:r w:rsidR="00A75B3C" w:rsidRPr="003F23AC">
        <w:rPr>
          <w:rFonts w:cs="Times New Roman"/>
          <w:noProof/>
          <w:lang w:val="sk-SK"/>
        </w:rPr>
        <w:t xml:space="preserve"> a </w:t>
      </w:r>
      <w:r w:rsidRPr="003F23AC">
        <w:rPr>
          <w:rFonts w:cs="Times New Roman"/>
          <w:noProof/>
          <w:lang w:val="sk-SK"/>
        </w:rPr>
        <w:t>vnútroštátnymi právnymi predpismi</w:t>
      </w:r>
      <w:r w:rsidR="00A75B3C" w:rsidRPr="003F23AC">
        <w:rPr>
          <w:rFonts w:cs="Times New Roman"/>
          <w:noProof/>
          <w:lang w:val="sk-SK"/>
        </w:rPr>
        <w:t xml:space="preserve"> v </w:t>
      </w:r>
      <w:r w:rsidRPr="003F23AC">
        <w:rPr>
          <w:rFonts w:cs="Times New Roman"/>
          <w:noProof/>
          <w:lang w:val="sk-SK"/>
        </w:rPr>
        <w:t>oblasti životného prostredia.</w:t>
      </w:r>
    </w:p>
    <w:p w14:paraId="5BF7FFC2" w14:textId="3201CEA1"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Realizácia investície sa dokončí do 31</w:t>
      </w:r>
      <w:r w:rsidR="00A75B3C" w:rsidRPr="003F23AC">
        <w:rPr>
          <w:rFonts w:cs="Times New Roman"/>
          <w:noProof/>
          <w:lang w:val="sk-SK"/>
        </w:rPr>
        <w:t>. septembra</w:t>
      </w:r>
      <w:r w:rsidRPr="003F23AC">
        <w:rPr>
          <w:rFonts w:cs="Times New Roman"/>
          <w:noProof/>
          <w:lang w:val="sk-SK"/>
        </w:rPr>
        <w:t xml:space="preserve"> 2025.</w:t>
      </w:r>
    </w:p>
    <w:p w14:paraId="541BAAE3"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TD-C16 – i03: katalyzátor digitálnej transformácie podnikov</w:t>
      </w:r>
    </w:p>
    <w:p w14:paraId="4477B881" w14:textId="49A5FDEC"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opatrenia je prispieť</w:t>
      </w:r>
      <w:r w:rsidR="00A75B3C" w:rsidRPr="003F23AC">
        <w:rPr>
          <w:rFonts w:cs="Times New Roman"/>
          <w:noProof/>
          <w:lang w:val="sk-SK"/>
        </w:rPr>
        <w:t xml:space="preserve"> k </w:t>
      </w:r>
      <w:r w:rsidRPr="003F23AC">
        <w:rPr>
          <w:rFonts w:cs="Times New Roman"/>
          <w:noProof/>
          <w:lang w:val="sk-SK"/>
        </w:rPr>
        <w:t>digitálnej</w:t>
      </w:r>
      <w:r w:rsidR="00A75B3C" w:rsidRPr="003F23AC">
        <w:rPr>
          <w:rFonts w:cs="Times New Roman"/>
          <w:noProof/>
          <w:lang w:val="sk-SK"/>
        </w:rPr>
        <w:t xml:space="preserve"> a </w:t>
      </w:r>
      <w:r w:rsidRPr="003F23AC">
        <w:rPr>
          <w:rFonts w:cs="Times New Roman"/>
          <w:noProof/>
          <w:lang w:val="sk-SK"/>
        </w:rPr>
        <w:t>environmentálnej transformácii spoločnosti</w:t>
      </w:r>
      <w:r w:rsidR="00A75B3C" w:rsidRPr="003F23AC">
        <w:rPr>
          <w:rFonts w:cs="Times New Roman"/>
          <w:noProof/>
          <w:lang w:val="sk-SK"/>
        </w:rPr>
        <w:t xml:space="preserve"> a </w:t>
      </w:r>
      <w:r w:rsidRPr="003F23AC">
        <w:rPr>
          <w:rFonts w:cs="Times New Roman"/>
          <w:noProof/>
          <w:lang w:val="sk-SK"/>
        </w:rPr>
        <w:t>podnikov.</w:t>
      </w:r>
    </w:p>
    <w:p w14:paraId="3FEE183C" w14:textId="0DD16406"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týchto troch akcií:</w:t>
      </w:r>
    </w:p>
    <w:p w14:paraId="2C249ACD" w14:textId="00968CD7" w:rsidR="00387C70" w:rsidRPr="003F23AC" w:rsidRDefault="000F5AA4" w:rsidP="003F23AC">
      <w:pPr>
        <w:pStyle w:val="P68B1DB1-Normal4"/>
        <w:numPr>
          <w:ilvl w:val="0"/>
          <w:numId w:val="34"/>
        </w:numPr>
        <w:spacing w:before="40" w:after="160" w:line="259" w:lineRule="auto"/>
        <w:contextualSpacing/>
        <w:jc w:val="both"/>
        <w:rPr>
          <w:rFonts w:eastAsiaTheme="minorEastAsia" w:cs="Times New Roman"/>
          <w:noProof/>
          <w:lang w:val="sk-SK"/>
        </w:rPr>
      </w:pPr>
      <w:r w:rsidRPr="003F23AC">
        <w:rPr>
          <w:rFonts w:cs="Times New Roman"/>
          <w:noProof/>
          <w:lang w:val="sk-SK"/>
        </w:rPr>
        <w:t>„Dematerializácia fakturácie“</w:t>
      </w:r>
      <w:r w:rsidR="00A75B3C" w:rsidRPr="003F23AC">
        <w:rPr>
          <w:rFonts w:cs="Times New Roman"/>
          <w:noProof/>
          <w:lang w:val="sk-SK"/>
        </w:rPr>
        <w:t xml:space="preserve"> s </w:t>
      </w:r>
      <w:r w:rsidRPr="003F23AC">
        <w:rPr>
          <w:rFonts w:cs="Times New Roman"/>
          <w:noProof/>
          <w:lang w:val="sk-SK"/>
        </w:rPr>
        <w:t>projektom zameraným na zníženie používania papiera prostredníctvom platformy na zasielanie digitálnej faktúry;</w:t>
      </w:r>
    </w:p>
    <w:p w14:paraId="13537E9F" w14:textId="30F413DE" w:rsidR="00387C70" w:rsidRPr="003F23AC" w:rsidRDefault="000F5AA4" w:rsidP="003F23AC">
      <w:pPr>
        <w:pStyle w:val="P68B1DB1-Normal4"/>
        <w:numPr>
          <w:ilvl w:val="0"/>
          <w:numId w:val="34"/>
        </w:numPr>
        <w:spacing w:before="40" w:after="160" w:line="259" w:lineRule="auto"/>
        <w:contextualSpacing/>
        <w:jc w:val="both"/>
        <w:rPr>
          <w:rFonts w:eastAsiaTheme="minorEastAsia" w:cs="Times New Roman"/>
          <w:noProof/>
          <w:lang w:val="sk-SK"/>
        </w:rPr>
      </w:pPr>
      <w:r w:rsidRPr="003F23AC">
        <w:rPr>
          <w:rFonts w:cs="Times New Roman"/>
          <w:noProof/>
          <w:lang w:val="sk-SK"/>
        </w:rPr>
        <w:t>„Kybernetická bezpečnosť, súkromie, použiteľnosť</w:t>
      </w:r>
      <w:r w:rsidR="00A75B3C" w:rsidRPr="003F23AC">
        <w:rPr>
          <w:rFonts w:cs="Times New Roman"/>
          <w:noProof/>
          <w:lang w:val="sk-SK"/>
        </w:rPr>
        <w:t xml:space="preserve"> a </w:t>
      </w:r>
      <w:r w:rsidRPr="003F23AC">
        <w:rPr>
          <w:rFonts w:cs="Times New Roman"/>
          <w:noProof/>
          <w:lang w:val="sk-SK"/>
        </w:rPr>
        <w:t>udržateľnosť certifikačných známok“ – investícia do: vytvorenie štyroch nových pečatí kybernetickej bezpečnosti, súkromia, použiteľnosti</w:t>
      </w:r>
      <w:r w:rsidR="00A75B3C" w:rsidRPr="003F23AC">
        <w:rPr>
          <w:rFonts w:cs="Times New Roman"/>
          <w:noProof/>
          <w:lang w:val="sk-SK"/>
        </w:rPr>
        <w:t xml:space="preserve"> a </w:t>
      </w:r>
      <w:r w:rsidRPr="003F23AC">
        <w:rPr>
          <w:rFonts w:cs="Times New Roman"/>
          <w:noProof/>
          <w:lang w:val="sk-SK"/>
        </w:rPr>
        <w:t>udržateľnosti; zriadenie platforiem, ktoré podporujú komunikáciu medzi všetkými partnermi</w:t>
      </w:r>
      <w:r w:rsidR="00A75B3C" w:rsidRPr="003F23AC">
        <w:rPr>
          <w:rFonts w:cs="Times New Roman"/>
          <w:noProof/>
          <w:lang w:val="sk-SK"/>
        </w:rPr>
        <w:t xml:space="preserve"> a </w:t>
      </w:r>
      <w:r w:rsidRPr="003F23AC">
        <w:rPr>
          <w:rFonts w:cs="Times New Roman"/>
          <w:noProof/>
          <w:lang w:val="sk-SK"/>
        </w:rPr>
        <w:t>subjektmi zapojenými do procesu (ako aj vytváranie procesných údajov relevantných pre monitorovanie programu); kampaň na šírenie iniciatívy</w:t>
      </w:r>
      <w:r w:rsidR="00A75B3C" w:rsidRPr="003F23AC">
        <w:rPr>
          <w:rFonts w:cs="Times New Roman"/>
          <w:noProof/>
          <w:lang w:val="sk-SK"/>
        </w:rPr>
        <w:t xml:space="preserve"> a </w:t>
      </w:r>
      <w:r w:rsidRPr="003F23AC">
        <w:rPr>
          <w:rFonts w:cs="Times New Roman"/>
          <w:noProof/>
          <w:lang w:val="sk-SK"/>
        </w:rPr>
        <w:t>posilnenie postavenia orgánov posudzovania zhody alebo subjektov technického posudzovania, ktoré podporujú certifikačné pečate</w:t>
      </w:r>
      <w:r w:rsidR="00A75B3C" w:rsidRPr="003F23AC">
        <w:rPr>
          <w:rFonts w:cs="Times New Roman"/>
          <w:noProof/>
          <w:lang w:val="sk-SK"/>
        </w:rPr>
        <w:t xml:space="preserve"> v </w:t>
      </w:r>
      <w:r w:rsidRPr="003F23AC">
        <w:rPr>
          <w:rFonts w:cs="Times New Roman"/>
          <w:noProof/>
          <w:lang w:val="sk-SK"/>
        </w:rPr>
        <w:t>týchto oblastiach;</w:t>
      </w:r>
      <w:r w:rsidR="00A75B3C" w:rsidRPr="003F23AC">
        <w:rPr>
          <w:rFonts w:cs="Times New Roman"/>
          <w:noProof/>
          <w:lang w:val="sk-SK"/>
        </w:rPr>
        <w:t xml:space="preserve"> a </w:t>
      </w:r>
      <w:r w:rsidRPr="003F23AC">
        <w:rPr>
          <w:rFonts w:cs="Times New Roman"/>
          <w:noProof/>
          <w:lang w:val="sk-SK"/>
        </w:rPr>
        <w:t>zároveň</w:t>
      </w:r>
    </w:p>
    <w:p w14:paraId="052D4C91" w14:textId="43ABDB53" w:rsidR="00387C70" w:rsidRPr="003F23AC" w:rsidRDefault="000F5AA4" w:rsidP="003F23AC">
      <w:pPr>
        <w:pStyle w:val="P68B1DB1-Normal4"/>
        <w:numPr>
          <w:ilvl w:val="0"/>
          <w:numId w:val="34"/>
        </w:numPr>
        <w:spacing w:before="40" w:after="160" w:line="259" w:lineRule="auto"/>
        <w:contextualSpacing/>
        <w:jc w:val="both"/>
        <w:rPr>
          <w:rFonts w:eastAsiaTheme="minorEastAsia" w:cs="Times New Roman"/>
          <w:noProof/>
          <w:lang w:val="sk-SK"/>
        </w:rPr>
      </w:pPr>
      <w:r w:rsidRPr="003F23AC">
        <w:rPr>
          <w:rFonts w:cs="Times New Roman"/>
          <w:noProof/>
          <w:lang w:val="sk-SK"/>
        </w:rPr>
        <w:t>„Centrá digitálnych inovácií“: služba na podporu spoločností</w:t>
      </w:r>
      <w:r w:rsidR="00A75B3C" w:rsidRPr="003F23AC">
        <w:rPr>
          <w:rFonts w:cs="Times New Roman"/>
          <w:noProof/>
          <w:lang w:val="sk-SK"/>
        </w:rPr>
        <w:t xml:space="preserve"> a </w:t>
      </w:r>
      <w:r w:rsidRPr="003F23AC">
        <w:rPr>
          <w:rFonts w:cs="Times New Roman"/>
          <w:noProof/>
          <w:lang w:val="sk-SK"/>
        </w:rPr>
        <w:t>subjektov verejnej správy, aby sa stali konkurencieschopnejšími</w:t>
      </w:r>
      <w:r w:rsidR="00A75B3C" w:rsidRPr="003F23AC">
        <w:rPr>
          <w:rFonts w:cs="Times New Roman"/>
          <w:noProof/>
          <w:lang w:val="sk-SK"/>
        </w:rPr>
        <w:t xml:space="preserve"> v </w:t>
      </w:r>
      <w:r w:rsidRPr="003F23AC">
        <w:rPr>
          <w:rFonts w:cs="Times New Roman"/>
          <w:noProof/>
          <w:lang w:val="sk-SK"/>
        </w:rPr>
        <w:t>digitálnej sfére</w:t>
      </w:r>
      <w:r w:rsidR="00A75B3C" w:rsidRPr="003F23AC">
        <w:rPr>
          <w:rFonts w:cs="Times New Roman"/>
          <w:noProof/>
          <w:lang w:val="sk-SK"/>
        </w:rPr>
        <w:t xml:space="preserve"> s </w:t>
      </w:r>
      <w:r w:rsidRPr="003F23AC">
        <w:rPr>
          <w:rFonts w:cs="Times New Roman"/>
          <w:noProof/>
          <w:lang w:val="sk-SK"/>
        </w:rPr>
        <w:t>cieľom zlepšiť ich výrobné procesy prostredníctvom automatizácie alebo zavádzania prelomových technológií. Táto investícia posilní</w:t>
      </w:r>
      <w:r w:rsidR="00A75B3C" w:rsidRPr="003F23AC">
        <w:rPr>
          <w:rFonts w:cs="Times New Roman"/>
          <w:noProof/>
          <w:lang w:val="sk-SK"/>
        </w:rPr>
        <w:t xml:space="preserve"> a </w:t>
      </w:r>
      <w:r w:rsidRPr="003F23AC">
        <w:rPr>
          <w:rFonts w:cs="Times New Roman"/>
          <w:noProof/>
          <w:lang w:val="sk-SK"/>
        </w:rPr>
        <w:t>doplní sieť, ktorá sa už vyvíja</w:t>
      </w:r>
      <w:r w:rsidR="00A75B3C" w:rsidRPr="003F23AC">
        <w:rPr>
          <w:rFonts w:cs="Times New Roman"/>
          <w:noProof/>
          <w:lang w:val="sk-SK"/>
        </w:rPr>
        <w:t xml:space="preserve"> v </w:t>
      </w:r>
      <w:r w:rsidRPr="003F23AC">
        <w:rPr>
          <w:rFonts w:cs="Times New Roman"/>
          <w:noProof/>
          <w:lang w:val="sk-SK"/>
        </w:rPr>
        <w:t>rámci programu Digitálna Európa,</w:t>
      </w:r>
      <w:r w:rsidR="00A75B3C" w:rsidRPr="003F23AC">
        <w:rPr>
          <w:rFonts w:cs="Times New Roman"/>
          <w:noProof/>
          <w:lang w:val="sk-SK"/>
        </w:rPr>
        <w:t xml:space="preserve"> s </w:t>
      </w:r>
      <w:r w:rsidRPr="003F23AC">
        <w:rPr>
          <w:rFonts w:cs="Times New Roman"/>
          <w:noProof/>
          <w:lang w:val="sk-SK"/>
        </w:rPr>
        <w:t>cieľom dosiahnuť celkovo 16 centier digitálnych inovácií zriadených</w:t>
      </w:r>
      <w:r w:rsidR="00A75B3C" w:rsidRPr="003F23AC">
        <w:rPr>
          <w:rFonts w:cs="Times New Roman"/>
          <w:noProof/>
          <w:lang w:val="sk-SK"/>
        </w:rPr>
        <w:t xml:space="preserve"> v </w:t>
      </w:r>
      <w:r w:rsidRPr="003F23AC">
        <w:rPr>
          <w:rFonts w:cs="Times New Roman"/>
          <w:noProof/>
          <w:lang w:val="sk-SK"/>
        </w:rPr>
        <w:t>Portugalsku.</w:t>
      </w:r>
    </w:p>
    <w:p w14:paraId="35DF0FFF" w14:textId="5A0BD920"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V prípade verejných súťaží týkajúcich sa zriadenia centier digitálnych inovácií</w:t>
      </w:r>
      <w:r w:rsidR="00A75B3C" w:rsidRPr="003F23AC">
        <w:rPr>
          <w:rFonts w:cs="Times New Roman"/>
          <w:noProof/>
          <w:lang w:val="sk-SK"/>
        </w:rPr>
        <w:t xml:space="preserve"> a </w:t>
      </w:r>
      <w:r w:rsidRPr="003F23AC">
        <w:rPr>
          <w:rFonts w:cs="Times New Roman"/>
          <w:noProof/>
          <w:lang w:val="sk-SK"/>
        </w:rPr>
        <w:t>výberu prijímateľov podporovaných centrami digitálnych inovácií</w:t>
      </w:r>
      <w:r w:rsidR="00A75B3C" w:rsidRPr="003F23AC">
        <w:rPr>
          <w:rFonts w:cs="Times New Roman"/>
          <w:noProof/>
          <w:lang w:val="sk-SK"/>
        </w:rPr>
        <w:t xml:space="preserve"> s </w:t>
      </w:r>
      <w:r w:rsidRPr="003F23AC">
        <w:rPr>
          <w:rFonts w:cs="Times New Roman"/>
          <w:noProof/>
          <w:lang w:val="sk-SK"/>
        </w:rPr>
        <w:t>cieľom zabezpečiť, aby opatrenie bolo</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„výrazne nenarušiť“ (2021/C58/01), kritériá oprávnenosti obsiahnuté</w:t>
      </w:r>
      <w:r w:rsidR="00A75B3C" w:rsidRPr="003F23AC">
        <w:rPr>
          <w:rFonts w:cs="Times New Roman"/>
          <w:noProof/>
          <w:lang w:val="sk-SK"/>
        </w:rPr>
        <w:t xml:space="preserve"> v </w:t>
      </w:r>
      <w:r w:rsidRPr="003F23AC">
        <w:rPr>
          <w:rFonts w:cs="Times New Roman"/>
          <w:noProof/>
          <w:lang w:val="sk-SK"/>
        </w:rPr>
        <w:t>referenčnom rámci pre nadchádzajúce výzvy na predkladanie projektov vylučujú tento zoznam činností: I) činnosti súvisiace</w:t>
      </w:r>
      <w:r w:rsidR="00A75B3C" w:rsidRPr="003F23AC">
        <w:rPr>
          <w:rFonts w:cs="Times New Roman"/>
          <w:noProof/>
          <w:lang w:val="sk-SK"/>
        </w:rPr>
        <w:t xml:space="preserve"> s </w:t>
      </w:r>
      <w:r w:rsidRPr="003F23AC">
        <w:rPr>
          <w:rFonts w:cs="Times New Roman"/>
          <w:noProof/>
          <w:lang w:val="sk-SK"/>
        </w:rPr>
        <w:t>fosílnymi palivami vrátane následného použitia</w:t>
      </w:r>
      <w:r w:rsidRPr="003F23AC">
        <w:rPr>
          <w:rFonts w:cs="Times New Roman"/>
          <w:noProof/>
          <w:lang w:val="sk-SK"/>
        </w:rPr>
        <w:footnoteReference w:id="60"/>
      </w:r>
      <w:r w:rsidRPr="003F23AC">
        <w:rPr>
          <w:rFonts w:cs="Times New Roman"/>
          <w:noProof/>
          <w:lang w:val="sk-SK"/>
        </w:rPr>
        <w:t>; II) činnosti</w:t>
      </w:r>
      <w:r w:rsidR="00A75B3C" w:rsidRPr="003F23AC">
        <w:rPr>
          <w:rFonts w:cs="Times New Roman"/>
          <w:noProof/>
          <w:lang w:val="sk-SK"/>
        </w:rPr>
        <w:t xml:space="preserve"> v </w:t>
      </w:r>
      <w:r w:rsidRPr="003F23AC">
        <w:rPr>
          <w:rFonts w:cs="Times New Roman"/>
          <w:noProof/>
          <w:lang w:val="sk-SK"/>
        </w:rPr>
        <w:t>rámci systému EÚ na obchodovanie</w:t>
      </w:r>
      <w:r w:rsidR="00A75B3C" w:rsidRPr="003F23AC">
        <w:rPr>
          <w:rFonts w:cs="Times New Roman"/>
          <w:noProof/>
          <w:lang w:val="sk-SK"/>
        </w:rPr>
        <w:t xml:space="preserve"> s </w:t>
      </w:r>
      <w:r w:rsidRPr="003F23AC">
        <w:rPr>
          <w:rFonts w:cs="Times New Roman"/>
          <w:noProof/>
          <w:lang w:val="sk-SK"/>
        </w:rPr>
        <w:t>emisiami (ETS), ktorými sa dosahujú predpokladané emisie skleníkových plynov, ktoré nie sú nižšie ako príslušné referenčné hodnoty</w:t>
      </w:r>
      <w:r w:rsidRPr="003F23AC">
        <w:rPr>
          <w:rFonts w:cs="Times New Roman"/>
          <w:noProof/>
          <w:lang w:val="sk-SK"/>
        </w:rPr>
        <w:footnoteReference w:id="61"/>
      </w:r>
      <w:r w:rsidRPr="003F23AC">
        <w:rPr>
          <w:rFonts w:cs="Times New Roman"/>
          <w:noProof/>
          <w:lang w:val="sk-SK"/>
        </w:rPr>
        <w:t>; III) činnosti týkajúce sa skládok odpadu, spaľovní</w:t>
      </w:r>
      <w:r w:rsidRPr="003F23AC">
        <w:rPr>
          <w:rFonts w:cs="Times New Roman"/>
          <w:noProof/>
          <w:lang w:val="sk-SK"/>
        </w:rPr>
        <w:footnoteReference w:id="62"/>
      </w:r>
      <w:r w:rsidR="00A75B3C" w:rsidRPr="003F23AC">
        <w:rPr>
          <w:rFonts w:cs="Times New Roman"/>
          <w:noProof/>
          <w:lang w:val="sk-SK"/>
        </w:rPr>
        <w:t xml:space="preserve"> a </w:t>
      </w:r>
      <w:r w:rsidRPr="003F23AC">
        <w:rPr>
          <w:rFonts w:cs="Times New Roman"/>
          <w:noProof/>
          <w:lang w:val="sk-SK"/>
        </w:rPr>
        <w:t>mechanických biologických čistiarní</w:t>
      </w:r>
      <w:r w:rsidRPr="003F23AC">
        <w:rPr>
          <w:rFonts w:cs="Times New Roman"/>
          <w:noProof/>
          <w:lang w:val="sk-SK"/>
        </w:rPr>
        <w:footnoteReference w:id="63"/>
      </w:r>
      <w:r w:rsidRPr="003F23AC">
        <w:rPr>
          <w:rFonts w:cs="Times New Roman"/>
          <w:noProof/>
          <w:lang w:val="sk-SK"/>
        </w:rPr>
        <w:t>;</w:t>
      </w:r>
      <w:r w:rsidR="00A75B3C" w:rsidRPr="003F23AC">
        <w:rPr>
          <w:rFonts w:cs="Times New Roman"/>
          <w:noProof/>
          <w:lang w:val="sk-SK"/>
        </w:rPr>
        <w:t xml:space="preserve"> a </w:t>
      </w:r>
      <w:r w:rsidRPr="003F23AC">
        <w:rPr>
          <w:rFonts w:cs="Times New Roman"/>
          <w:noProof/>
          <w:lang w:val="sk-SK"/>
        </w:rPr>
        <w:t>iv) činnosti, pri ktorých môže dlhodobé zneškodňovanie odpadu poškodiť životné prostredie.</w:t>
      </w:r>
      <w:r w:rsidR="00A75B3C" w:rsidRPr="003F23AC">
        <w:rPr>
          <w:rFonts w:cs="Times New Roman"/>
          <w:noProof/>
          <w:lang w:val="sk-SK"/>
        </w:rPr>
        <w:t xml:space="preserve"> V </w:t>
      </w:r>
      <w:r w:rsidRPr="003F23AC">
        <w:rPr>
          <w:rFonts w:cs="Times New Roman"/>
          <w:noProof/>
          <w:lang w:val="sk-SK"/>
        </w:rPr>
        <w:t>referenčnom rámci sa okrem toho vyžaduje, aby sa mohli vybrať len činnosti, ktoré sú</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príslušnými právnymi predpismi EÚ</w:t>
      </w:r>
      <w:r w:rsidR="00A75B3C" w:rsidRPr="003F23AC">
        <w:rPr>
          <w:rFonts w:cs="Times New Roman"/>
          <w:noProof/>
          <w:lang w:val="sk-SK"/>
        </w:rPr>
        <w:t xml:space="preserve"> a </w:t>
      </w:r>
      <w:r w:rsidRPr="003F23AC">
        <w:rPr>
          <w:rFonts w:cs="Times New Roman"/>
          <w:noProof/>
          <w:lang w:val="sk-SK"/>
        </w:rPr>
        <w:t>vnútroštátnymi právnymi predpismi</w:t>
      </w:r>
      <w:r w:rsidR="00A75B3C" w:rsidRPr="003F23AC">
        <w:rPr>
          <w:rFonts w:cs="Times New Roman"/>
          <w:noProof/>
          <w:lang w:val="sk-SK"/>
        </w:rPr>
        <w:t xml:space="preserve"> v </w:t>
      </w:r>
      <w:r w:rsidRPr="003F23AC">
        <w:rPr>
          <w:rFonts w:cs="Times New Roman"/>
          <w:noProof/>
          <w:lang w:val="sk-SK"/>
        </w:rPr>
        <w:t>oblasti životného prostredia.</w:t>
      </w:r>
    </w:p>
    <w:p w14:paraId="0B19FF08" w14:textId="566F0099"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5085FC73" w14:textId="1BD6ADCA"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 xml:space="preserve">Investície TD-C16 – i04: </w:t>
      </w:r>
      <w:bookmarkStart w:id="29" w:name="_Toc137472467"/>
      <w:r w:rsidRPr="003F23AC">
        <w:rPr>
          <w:rFonts w:cs="Times New Roman"/>
          <w:noProof/>
          <w:lang w:val="sk-SK"/>
        </w:rPr>
        <w:t>Priemysel 4.0</w:t>
      </w:r>
      <w:bookmarkEnd w:id="29"/>
    </w:p>
    <w:p w14:paraId="0DADD825" w14:textId="628904A5" w:rsidR="00A75B3C" w:rsidRPr="003F23AC" w:rsidRDefault="000F5AA4" w:rsidP="003F23AC">
      <w:pPr>
        <w:pStyle w:val="P68B1DB1-Normal4"/>
        <w:spacing w:after="0"/>
        <w:jc w:val="both"/>
        <w:rPr>
          <w:rFonts w:cs="Times New Roman"/>
          <w:noProof/>
          <w:lang w:val="sk-SK"/>
        </w:rPr>
      </w:pPr>
      <w:r w:rsidRPr="003F23AC">
        <w:rPr>
          <w:rFonts w:cs="Times New Roman"/>
          <w:noProof/>
          <w:lang w:val="sk-SK"/>
        </w:rPr>
        <w:t>Cieľom opatrení je podporiť priemyselný výskum, experimentálny vývoj, organizačné projekty</w:t>
      </w:r>
      <w:r w:rsidR="00A75B3C" w:rsidRPr="003F23AC">
        <w:rPr>
          <w:rFonts w:cs="Times New Roman"/>
          <w:noProof/>
          <w:lang w:val="sk-SK"/>
        </w:rPr>
        <w:t xml:space="preserve"> a </w:t>
      </w:r>
      <w:r w:rsidRPr="003F23AC">
        <w:rPr>
          <w:rFonts w:cs="Times New Roman"/>
          <w:noProof/>
          <w:lang w:val="sk-SK"/>
        </w:rPr>
        <w:t>projekty</w:t>
      </w:r>
      <w:r w:rsidR="00A75B3C" w:rsidRPr="003F23AC">
        <w:rPr>
          <w:rFonts w:cs="Times New Roman"/>
          <w:noProof/>
          <w:lang w:val="sk-SK"/>
        </w:rPr>
        <w:t xml:space="preserve"> v </w:t>
      </w:r>
      <w:r w:rsidRPr="003F23AC">
        <w:rPr>
          <w:rFonts w:cs="Times New Roman"/>
          <w:noProof/>
          <w:lang w:val="sk-SK"/>
        </w:rPr>
        <w:t>oblasti inovácie procesov, podporiť digitálnu transformáciu spoločností</w:t>
      </w:r>
      <w:r w:rsidR="00A75B3C" w:rsidRPr="003F23AC">
        <w:rPr>
          <w:rFonts w:cs="Times New Roman"/>
          <w:noProof/>
          <w:lang w:val="sk-SK"/>
        </w:rPr>
        <w:t xml:space="preserve"> a v </w:t>
      </w:r>
      <w:r w:rsidRPr="003F23AC">
        <w:rPr>
          <w:rFonts w:cs="Times New Roman"/>
          <w:noProof/>
          <w:lang w:val="sk-SK"/>
        </w:rPr>
        <w:t>dôsledku toho zlepšiť ich environmentálnu udržateľnosť</w:t>
      </w:r>
      <w:r w:rsidR="00A75B3C" w:rsidRPr="003F23AC">
        <w:rPr>
          <w:rFonts w:cs="Times New Roman"/>
          <w:noProof/>
          <w:lang w:val="sk-SK"/>
        </w:rPr>
        <w:t>.</w:t>
      </w:r>
    </w:p>
    <w:p w14:paraId="16CD80C9" w14:textId="01BD040D" w:rsidR="00387C70" w:rsidRPr="003F23AC" w:rsidRDefault="000F5AA4" w:rsidP="003F23AC">
      <w:pPr>
        <w:pStyle w:val="P68B1DB1-Normal4"/>
        <w:spacing w:after="0"/>
        <w:jc w:val="both"/>
        <w:rPr>
          <w:rFonts w:cs="Times New Roman"/>
          <w:noProof/>
          <w:lang w:val="sk-SK"/>
        </w:rPr>
      </w:pPr>
      <w:r w:rsidRPr="003F23AC">
        <w:rPr>
          <w:rFonts w:cs="Times New Roman"/>
          <w:noProof/>
          <w:lang w:val="sk-SK"/>
        </w:rPr>
        <w:t>Týmto opatrením sa podporí 200 investičných projektov, ktoré patria aspoň do jednej</w:t>
      </w:r>
      <w:r w:rsidR="00A75B3C" w:rsidRPr="003F23AC">
        <w:rPr>
          <w:rFonts w:cs="Times New Roman"/>
          <w:noProof/>
          <w:lang w:val="sk-SK"/>
        </w:rPr>
        <w:t xml:space="preserve"> z </w:t>
      </w:r>
      <w:r w:rsidRPr="003F23AC">
        <w:rPr>
          <w:rFonts w:cs="Times New Roman"/>
          <w:noProof/>
          <w:lang w:val="sk-SK"/>
        </w:rPr>
        <w:t>týchto oblastí činnosti:</w:t>
      </w:r>
    </w:p>
    <w:p w14:paraId="64D25EDB" w14:textId="3C441E78" w:rsidR="00387C70" w:rsidRPr="003F23AC" w:rsidRDefault="000F5AA4" w:rsidP="003F23AC">
      <w:pPr>
        <w:pStyle w:val="P68B1DB1-Normal4"/>
        <w:spacing w:after="0"/>
        <w:ind w:left="720"/>
        <w:jc w:val="both"/>
        <w:rPr>
          <w:rFonts w:cs="Times New Roman"/>
          <w:noProof/>
          <w:lang w:val="sk-SK"/>
        </w:rPr>
      </w:pPr>
      <w:r w:rsidRPr="003F23AC">
        <w:rPr>
          <w:rFonts w:cs="Times New Roman"/>
          <w:noProof/>
          <w:lang w:val="sk-SK"/>
        </w:rPr>
        <w:t>1.</w:t>
      </w:r>
      <w:r w:rsidRPr="003F23AC">
        <w:rPr>
          <w:rFonts w:cs="Times New Roman"/>
          <w:noProof/>
          <w:lang w:val="sk-SK"/>
        </w:rPr>
        <w:tab/>
        <w:t>Digitálna transformácia prevádzkových procesov vrátane riadenia</w:t>
      </w:r>
      <w:r w:rsidR="00A75B3C" w:rsidRPr="003F23AC">
        <w:rPr>
          <w:rFonts w:cs="Times New Roman"/>
          <w:noProof/>
          <w:lang w:val="sk-SK"/>
        </w:rPr>
        <w:t xml:space="preserve"> a </w:t>
      </w:r>
      <w:r w:rsidRPr="003F23AC">
        <w:rPr>
          <w:rFonts w:cs="Times New Roman"/>
          <w:noProof/>
          <w:lang w:val="sk-SK"/>
        </w:rPr>
        <w:t>plánovania výroby</w:t>
      </w:r>
      <w:r w:rsidR="00A75B3C" w:rsidRPr="003F23AC">
        <w:rPr>
          <w:rFonts w:cs="Times New Roman"/>
          <w:noProof/>
          <w:lang w:val="sk-SK"/>
        </w:rPr>
        <w:t xml:space="preserve"> a </w:t>
      </w:r>
      <w:r w:rsidRPr="003F23AC">
        <w:rPr>
          <w:rFonts w:cs="Times New Roman"/>
          <w:noProof/>
          <w:lang w:val="sk-SK"/>
        </w:rPr>
        <w:t>logistiky.</w:t>
      </w:r>
    </w:p>
    <w:p w14:paraId="758DEE78" w14:textId="07CF74A5" w:rsidR="00387C70" w:rsidRPr="003F23AC" w:rsidRDefault="000F5AA4" w:rsidP="003F23AC">
      <w:pPr>
        <w:pStyle w:val="P68B1DB1-Normal4"/>
        <w:spacing w:after="0"/>
        <w:ind w:left="720"/>
        <w:jc w:val="both"/>
        <w:rPr>
          <w:rFonts w:cs="Times New Roman"/>
          <w:noProof/>
          <w:lang w:val="sk-SK"/>
        </w:rPr>
      </w:pPr>
      <w:r w:rsidRPr="003F23AC">
        <w:rPr>
          <w:rFonts w:cs="Times New Roman"/>
          <w:noProof/>
          <w:lang w:val="sk-SK"/>
        </w:rPr>
        <w:t>2.</w:t>
      </w:r>
      <w:r w:rsidRPr="003F23AC">
        <w:rPr>
          <w:rFonts w:cs="Times New Roman"/>
          <w:noProof/>
          <w:lang w:val="sk-SK"/>
        </w:rPr>
        <w:tab/>
        <w:t>Riešenia pre pokročilé uchovávanie, správu</w:t>
      </w:r>
      <w:r w:rsidR="00A75B3C" w:rsidRPr="003F23AC">
        <w:rPr>
          <w:rFonts w:cs="Times New Roman"/>
          <w:noProof/>
          <w:lang w:val="sk-SK"/>
        </w:rPr>
        <w:t xml:space="preserve"> a </w:t>
      </w:r>
      <w:r w:rsidRPr="003F23AC">
        <w:rPr>
          <w:rFonts w:cs="Times New Roman"/>
          <w:noProof/>
          <w:lang w:val="sk-SK"/>
        </w:rPr>
        <w:t>spracovanie údajov.</w:t>
      </w:r>
    </w:p>
    <w:p w14:paraId="6102558C" w14:textId="77777777" w:rsidR="00387C70" w:rsidRPr="003F23AC" w:rsidRDefault="000F5AA4" w:rsidP="003F23AC">
      <w:pPr>
        <w:pStyle w:val="P68B1DB1-Normal4"/>
        <w:spacing w:after="0"/>
        <w:ind w:left="720"/>
        <w:jc w:val="both"/>
        <w:rPr>
          <w:rFonts w:cs="Times New Roman"/>
          <w:noProof/>
          <w:lang w:val="sk-SK"/>
        </w:rPr>
      </w:pPr>
      <w:r w:rsidRPr="003F23AC">
        <w:rPr>
          <w:rFonts w:cs="Times New Roman"/>
          <w:noProof/>
          <w:lang w:val="sk-SK"/>
        </w:rPr>
        <w:t>3.</w:t>
      </w:r>
      <w:r w:rsidRPr="003F23AC">
        <w:rPr>
          <w:rFonts w:cs="Times New Roman"/>
          <w:noProof/>
          <w:lang w:val="sk-SK"/>
        </w:rPr>
        <w:tab/>
        <w:t>Riešenia umelej inteligencie uplatňované na výrobný proces.</w:t>
      </w:r>
    </w:p>
    <w:p w14:paraId="3198C1B0" w14:textId="13750162" w:rsidR="00387C70" w:rsidRPr="003F23AC" w:rsidRDefault="000F5AA4" w:rsidP="003F23AC">
      <w:pPr>
        <w:spacing w:after="0"/>
        <w:ind w:left="720"/>
        <w:jc w:val="both"/>
        <w:rPr>
          <w:rFonts w:ascii="Times New Roman" w:hAnsi="Times New Roman" w:cs="Times New Roman"/>
          <w:noProof/>
          <w:sz w:val="24"/>
          <w:lang w:val="sk-SK"/>
        </w:rPr>
      </w:pPr>
      <w:r w:rsidRPr="003F23AC">
        <w:rPr>
          <w:rFonts w:ascii="Times New Roman" w:hAnsi="Times New Roman" w:cs="Times New Roman"/>
          <w:noProof/>
          <w:sz w:val="24"/>
          <w:lang w:val="sk-SK"/>
        </w:rPr>
        <w:t>4.</w:t>
      </w:r>
      <w:r w:rsidRPr="003F23AC">
        <w:rPr>
          <w:rFonts w:ascii="Times New Roman" w:hAnsi="Times New Roman" w:cs="Times New Roman"/>
          <w:noProof/>
          <w:lang w:val="sk-SK"/>
        </w:rPr>
        <w:tab/>
      </w:r>
      <w:r w:rsidRPr="003F23AC">
        <w:rPr>
          <w:rFonts w:ascii="Times New Roman" w:hAnsi="Times New Roman" w:cs="Times New Roman"/>
          <w:noProof/>
          <w:sz w:val="24"/>
          <w:lang w:val="sk-SK"/>
        </w:rPr>
        <w:t>Digitálne zobrazenia</w:t>
      </w:r>
      <w:r w:rsidR="00A75B3C" w:rsidRPr="003F23AC">
        <w:rPr>
          <w:rFonts w:ascii="Times New Roman" w:hAnsi="Times New Roman" w:cs="Times New Roman"/>
          <w:noProof/>
          <w:sz w:val="24"/>
          <w:lang w:val="sk-SK"/>
        </w:rPr>
        <w:t xml:space="preserve"> a </w:t>
      </w:r>
      <w:r w:rsidRPr="003F23AC">
        <w:rPr>
          <w:rFonts w:ascii="Times New Roman" w:hAnsi="Times New Roman" w:cs="Times New Roman"/>
          <w:noProof/>
          <w:sz w:val="24"/>
          <w:lang w:val="sk-SK"/>
        </w:rPr>
        <w:t>virtuálne modelovanie (digitálne dvojčatá), simulácia</w:t>
      </w:r>
      <w:r w:rsidR="00A75B3C" w:rsidRPr="003F23AC">
        <w:rPr>
          <w:rFonts w:ascii="Times New Roman" w:hAnsi="Times New Roman" w:cs="Times New Roman"/>
          <w:noProof/>
          <w:sz w:val="24"/>
          <w:lang w:val="sk-SK"/>
        </w:rPr>
        <w:t xml:space="preserve"> a </w:t>
      </w:r>
      <w:r w:rsidRPr="003F23AC">
        <w:rPr>
          <w:rFonts w:ascii="Times New Roman" w:hAnsi="Times New Roman" w:cs="Times New Roman"/>
          <w:noProof/>
          <w:sz w:val="24"/>
          <w:lang w:val="sk-SK"/>
        </w:rPr>
        <w:t>priemyselné modelovanie.</w:t>
      </w:r>
    </w:p>
    <w:p w14:paraId="4C4B5102" w14:textId="6FC7C8F9" w:rsidR="00387C70" w:rsidRPr="003F23AC" w:rsidRDefault="000F5AA4" w:rsidP="003F23AC">
      <w:pPr>
        <w:pStyle w:val="P68B1DB1-Normal4"/>
        <w:spacing w:after="0"/>
        <w:ind w:left="720"/>
        <w:jc w:val="both"/>
        <w:rPr>
          <w:rFonts w:cs="Times New Roman"/>
          <w:noProof/>
          <w:lang w:val="sk-SK"/>
        </w:rPr>
      </w:pPr>
      <w:r w:rsidRPr="003F23AC">
        <w:rPr>
          <w:rFonts w:cs="Times New Roman"/>
          <w:noProof/>
          <w:lang w:val="sk-SK"/>
        </w:rPr>
        <w:t>5.</w:t>
      </w:r>
      <w:r w:rsidRPr="003F23AC">
        <w:rPr>
          <w:rFonts w:cs="Times New Roman"/>
          <w:noProof/>
          <w:lang w:val="sk-SK"/>
        </w:rPr>
        <w:tab/>
        <w:t>Náčrt</w:t>
      </w:r>
      <w:r w:rsidR="00A75B3C" w:rsidRPr="003F23AC">
        <w:rPr>
          <w:rFonts w:cs="Times New Roman"/>
          <w:noProof/>
          <w:lang w:val="sk-SK"/>
        </w:rPr>
        <w:t xml:space="preserve"> a </w:t>
      </w:r>
      <w:r w:rsidRPr="003F23AC">
        <w:rPr>
          <w:rFonts w:cs="Times New Roman"/>
          <w:noProof/>
          <w:lang w:val="sk-SK"/>
        </w:rPr>
        <w:t>aditívna výroba.</w:t>
      </w:r>
    </w:p>
    <w:p w14:paraId="006F8BED" w14:textId="6DA36ACB" w:rsidR="00387C70" w:rsidRPr="003F23AC" w:rsidRDefault="000F5AA4" w:rsidP="003F23AC">
      <w:pPr>
        <w:pStyle w:val="P68B1DB1-Normal4"/>
        <w:spacing w:after="0"/>
        <w:ind w:left="720"/>
        <w:jc w:val="both"/>
        <w:rPr>
          <w:rFonts w:cs="Times New Roman"/>
          <w:noProof/>
          <w:lang w:val="sk-SK"/>
        </w:rPr>
      </w:pPr>
      <w:r w:rsidRPr="003F23AC">
        <w:rPr>
          <w:rFonts w:cs="Times New Roman"/>
          <w:noProof/>
          <w:lang w:val="sk-SK"/>
        </w:rPr>
        <w:t>6.</w:t>
      </w:r>
      <w:r w:rsidRPr="003F23AC">
        <w:rPr>
          <w:rFonts w:cs="Times New Roman"/>
          <w:noProof/>
          <w:lang w:val="sk-SK"/>
        </w:rPr>
        <w:tab/>
        <w:t>Projekty rozšírenej reality, virtuálna realita</w:t>
      </w:r>
      <w:r w:rsidR="00A75B3C" w:rsidRPr="003F23AC">
        <w:rPr>
          <w:rFonts w:cs="Times New Roman"/>
          <w:noProof/>
          <w:lang w:val="sk-SK"/>
        </w:rPr>
        <w:t xml:space="preserve"> a </w:t>
      </w:r>
      <w:r w:rsidRPr="003F23AC">
        <w:rPr>
          <w:rFonts w:cs="Times New Roman"/>
          <w:noProof/>
          <w:lang w:val="sk-SK"/>
        </w:rPr>
        <w:t>umelá vízia uplatňované na procesy.</w:t>
      </w:r>
    </w:p>
    <w:p w14:paraId="5257C08A" w14:textId="3A4A0D8B" w:rsidR="00387C70" w:rsidRPr="003F23AC" w:rsidRDefault="000F5AA4" w:rsidP="003F23AC">
      <w:pPr>
        <w:pStyle w:val="P68B1DB1-Normal4"/>
        <w:spacing w:after="0"/>
        <w:ind w:left="720"/>
        <w:jc w:val="both"/>
        <w:rPr>
          <w:rFonts w:cs="Times New Roman"/>
          <w:noProof/>
          <w:lang w:val="sk-SK"/>
        </w:rPr>
      </w:pPr>
      <w:r w:rsidRPr="003F23AC">
        <w:rPr>
          <w:rFonts w:cs="Times New Roman"/>
          <w:noProof/>
          <w:lang w:val="sk-SK"/>
        </w:rPr>
        <w:t>7.</w:t>
      </w:r>
      <w:r w:rsidRPr="003F23AC">
        <w:rPr>
          <w:rFonts w:cs="Times New Roman"/>
          <w:noProof/>
          <w:lang w:val="sk-SK"/>
        </w:rPr>
        <w:tab/>
        <w:t>Kolaboratívna</w:t>
      </w:r>
      <w:r w:rsidR="00A75B3C" w:rsidRPr="003F23AC">
        <w:rPr>
          <w:rFonts w:cs="Times New Roman"/>
          <w:noProof/>
          <w:lang w:val="sk-SK"/>
        </w:rPr>
        <w:t xml:space="preserve"> a </w:t>
      </w:r>
      <w:r w:rsidRPr="003F23AC">
        <w:rPr>
          <w:rFonts w:cs="Times New Roman"/>
          <w:noProof/>
          <w:lang w:val="sk-SK"/>
        </w:rPr>
        <w:t>kognitívna robotika, rozhranie človek – stroj, kyberneticko-fyzikálne systémy.</w:t>
      </w:r>
    </w:p>
    <w:p w14:paraId="0B8245E1" w14:textId="20D6FC64" w:rsidR="00387C70" w:rsidRPr="003F23AC" w:rsidRDefault="000F5AA4" w:rsidP="003F23AC">
      <w:pPr>
        <w:spacing w:after="0"/>
        <w:ind w:left="720"/>
        <w:jc w:val="both"/>
        <w:rPr>
          <w:rFonts w:ascii="Times New Roman" w:hAnsi="Times New Roman" w:cs="Times New Roman"/>
          <w:noProof/>
          <w:sz w:val="24"/>
          <w:lang w:val="sk-SK"/>
        </w:rPr>
      </w:pPr>
      <w:r w:rsidRPr="003F23AC">
        <w:rPr>
          <w:rFonts w:ascii="Times New Roman" w:hAnsi="Times New Roman" w:cs="Times New Roman"/>
          <w:noProof/>
          <w:sz w:val="24"/>
          <w:lang w:val="sk-SK"/>
        </w:rPr>
        <w:t>8.</w:t>
      </w:r>
      <w:r w:rsidRPr="003F23AC">
        <w:rPr>
          <w:rFonts w:ascii="Times New Roman" w:hAnsi="Times New Roman" w:cs="Times New Roman"/>
          <w:noProof/>
          <w:lang w:val="sk-SK"/>
        </w:rPr>
        <w:tab/>
      </w:r>
      <w:r w:rsidRPr="003F23AC">
        <w:rPr>
          <w:rFonts w:ascii="Times New Roman" w:hAnsi="Times New Roman" w:cs="Times New Roman"/>
          <w:noProof/>
          <w:sz w:val="24"/>
          <w:lang w:val="sk-SK"/>
        </w:rPr>
        <w:t>Senzory</w:t>
      </w:r>
      <w:r w:rsidR="00A75B3C" w:rsidRPr="003F23AC">
        <w:rPr>
          <w:rFonts w:ascii="Times New Roman" w:hAnsi="Times New Roman" w:cs="Times New Roman"/>
          <w:noProof/>
          <w:sz w:val="24"/>
          <w:lang w:val="sk-SK"/>
        </w:rPr>
        <w:t xml:space="preserve"> a </w:t>
      </w:r>
      <w:r w:rsidRPr="003F23AC">
        <w:rPr>
          <w:rFonts w:ascii="Times New Roman" w:hAnsi="Times New Roman" w:cs="Times New Roman"/>
          <w:noProof/>
          <w:sz w:val="24"/>
          <w:lang w:val="sk-SK"/>
        </w:rPr>
        <w:t>vyspelá elektronika, internet vecí, cloudové</w:t>
      </w:r>
      <w:r w:rsidR="00A75B3C" w:rsidRPr="003F23AC">
        <w:rPr>
          <w:rFonts w:ascii="Times New Roman" w:hAnsi="Times New Roman" w:cs="Times New Roman"/>
          <w:noProof/>
          <w:sz w:val="24"/>
          <w:lang w:val="sk-SK"/>
        </w:rPr>
        <w:t xml:space="preserve"> a </w:t>
      </w:r>
      <w:r w:rsidRPr="003F23AC">
        <w:rPr>
          <w:rFonts w:ascii="Times New Roman" w:hAnsi="Times New Roman" w:cs="Times New Roman"/>
          <w:noProof/>
          <w:sz w:val="24"/>
          <w:lang w:val="sk-SK"/>
        </w:rPr>
        <w:t>edgeové riešenia.</w:t>
      </w:r>
    </w:p>
    <w:p w14:paraId="1FBF7C37" w14:textId="1A1C852F" w:rsidR="00387C70" w:rsidRPr="003F23AC" w:rsidRDefault="000F5AA4" w:rsidP="003F23AC">
      <w:pPr>
        <w:pStyle w:val="P68B1DB1-Normal4"/>
        <w:spacing w:after="0"/>
        <w:ind w:left="720"/>
        <w:jc w:val="both"/>
        <w:rPr>
          <w:rFonts w:cs="Times New Roman"/>
          <w:noProof/>
          <w:lang w:val="sk-SK"/>
        </w:rPr>
      </w:pPr>
      <w:r w:rsidRPr="003F23AC">
        <w:rPr>
          <w:rFonts w:cs="Times New Roman"/>
          <w:noProof/>
          <w:lang w:val="sk-SK"/>
        </w:rPr>
        <w:t>9.</w:t>
      </w:r>
      <w:r w:rsidRPr="003F23AC">
        <w:rPr>
          <w:rFonts w:cs="Times New Roman"/>
          <w:noProof/>
          <w:lang w:val="sk-SK"/>
        </w:rPr>
        <w:tab/>
        <w:t>Sieťové, komunikačné</w:t>
      </w:r>
      <w:r w:rsidR="00A75B3C" w:rsidRPr="003F23AC">
        <w:rPr>
          <w:rFonts w:cs="Times New Roman"/>
          <w:noProof/>
          <w:lang w:val="sk-SK"/>
        </w:rPr>
        <w:t xml:space="preserve"> a </w:t>
      </w:r>
      <w:r w:rsidRPr="003F23AC">
        <w:rPr>
          <w:rFonts w:cs="Times New Roman"/>
          <w:noProof/>
          <w:lang w:val="sk-SK"/>
        </w:rPr>
        <w:t>vyspelé počítačové infraštruktúry súvisiace</w:t>
      </w:r>
      <w:r w:rsidR="00A75B3C" w:rsidRPr="003F23AC">
        <w:rPr>
          <w:rFonts w:cs="Times New Roman"/>
          <w:noProof/>
          <w:lang w:val="sk-SK"/>
        </w:rPr>
        <w:t xml:space="preserve"> s </w:t>
      </w:r>
      <w:r w:rsidRPr="003F23AC">
        <w:rPr>
          <w:rFonts w:cs="Times New Roman"/>
          <w:noProof/>
          <w:lang w:val="sk-SK"/>
        </w:rPr>
        <w:t>procesmi.</w:t>
      </w:r>
    </w:p>
    <w:p w14:paraId="100D1BA8" w14:textId="77777777" w:rsidR="00387C70" w:rsidRPr="003F23AC" w:rsidRDefault="000F5AA4" w:rsidP="003F23AC">
      <w:pPr>
        <w:pStyle w:val="P68B1DB1-Normal4"/>
        <w:spacing w:after="0"/>
        <w:ind w:left="720"/>
        <w:jc w:val="both"/>
        <w:rPr>
          <w:rFonts w:cs="Times New Roman"/>
          <w:noProof/>
          <w:lang w:val="sk-SK"/>
        </w:rPr>
      </w:pPr>
      <w:r w:rsidRPr="003F23AC">
        <w:rPr>
          <w:rFonts w:cs="Times New Roman"/>
          <w:noProof/>
          <w:lang w:val="sk-SK"/>
        </w:rPr>
        <w:t>10.</w:t>
      </w:r>
      <w:r w:rsidRPr="003F23AC">
        <w:rPr>
          <w:rFonts w:cs="Times New Roman"/>
          <w:noProof/>
          <w:lang w:val="sk-SK"/>
        </w:rPr>
        <w:tab/>
        <w:t>Inovačný softvér, interoperabilita systémov.</w:t>
      </w:r>
    </w:p>
    <w:p w14:paraId="61EAAF0E" w14:textId="744FC9B8" w:rsidR="00387C70" w:rsidRPr="003F23AC" w:rsidRDefault="000F5AA4" w:rsidP="003F23AC">
      <w:pPr>
        <w:pStyle w:val="P68B1DB1-Normal4"/>
        <w:spacing w:after="0"/>
        <w:jc w:val="both"/>
        <w:rPr>
          <w:rFonts w:cs="Times New Roman"/>
          <w:noProof/>
          <w:lang w:val="sk-SK"/>
        </w:rPr>
      </w:pPr>
      <w:r w:rsidRPr="003F23AC">
        <w:rPr>
          <w:rFonts w:cs="Times New Roman"/>
          <w:noProof/>
          <w:lang w:val="sk-SK"/>
        </w:rPr>
        <w:t>V prípade ponúk</w:t>
      </w:r>
      <w:r w:rsidR="00A75B3C" w:rsidRPr="003F23AC">
        <w:rPr>
          <w:rFonts w:cs="Times New Roman"/>
          <w:noProof/>
          <w:lang w:val="sk-SK"/>
        </w:rPr>
        <w:t xml:space="preserve"> s </w:t>
      </w:r>
      <w:r w:rsidRPr="003F23AC">
        <w:rPr>
          <w:rFonts w:cs="Times New Roman"/>
          <w:noProof/>
          <w:lang w:val="sk-SK"/>
        </w:rPr>
        <w:t>cieľom zabezpečiť, aby opatrenie bolo</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„výrazne nenarušiť“ (2021/C58/01), kritériá oprávnenosti uvedené</w:t>
      </w:r>
      <w:r w:rsidR="00A75B3C" w:rsidRPr="003F23AC">
        <w:rPr>
          <w:rFonts w:cs="Times New Roman"/>
          <w:noProof/>
          <w:lang w:val="sk-SK"/>
        </w:rPr>
        <w:t xml:space="preserve"> v </w:t>
      </w:r>
      <w:r w:rsidRPr="003F23AC">
        <w:rPr>
          <w:rFonts w:cs="Times New Roman"/>
          <w:noProof/>
          <w:lang w:val="sk-SK"/>
        </w:rPr>
        <w:t>referenčnom rámci pre nadchádzajúce výzvy na predkladanie projektov nezahŕňajú tento zoznam činností: I) činnosti súvisiace</w:t>
      </w:r>
      <w:r w:rsidR="00A75B3C" w:rsidRPr="003F23AC">
        <w:rPr>
          <w:rFonts w:cs="Times New Roman"/>
          <w:noProof/>
          <w:lang w:val="sk-SK"/>
        </w:rPr>
        <w:t xml:space="preserve"> s </w:t>
      </w:r>
      <w:r w:rsidRPr="003F23AC">
        <w:rPr>
          <w:rFonts w:cs="Times New Roman"/>
          <w:noProof/>
          <w:lang w:val="sk-SK"/>
        </w:rPr>
        <w:t>fosílnymi palivami vrátane následného použitia</w:t>
      </w:r>
      <w:r w:rsidRPr="003F23AC">
        <w:rPr>
          <w:rFonts w:cs="Times New Roman"/>
          <w:noProof/>
          <w:lang w:val="sk-SK"/>
        </w:rPr>
        <w:footnoteReference w:id="64"/>
      </w:r>
      <w:r w:rsidRPr="003F23AC">
        <w:rPr>
          <w:rFonts w:cs="Times New Roman"/>
          <w:noProof/>
          <w:lang w:val="sk-SK"/>
        </w:rPr>
        <w:t>; II) činnosti</w:t>
      </w:r>
      <w:r w:rsidR="00A75B3C" w:rsidRPr="003F23AC">
        <w:rPr>
          <w:rFonts w:cs="Times New Roman"/>
          <w:noProof/>
          <w:lang w:val="sk-SK"/>
        </w:rPr>
        <w:t xml:space="preserve"> v </w:t>
      </w:r>
      <w:r w:rsidRPr="003F23AC">
        <w:rPr>
          <w:rFonts w:cs="Times New Roman"/>
          <w:noProof/>
          <w:lang w:val="sk-SK"/>
        </w:rPr>
        <w:t>rámci systému EÚ na obchodovanie</w:t>
      </w:r>
      <w:r w:rsidR="00A75B3C" w:rsidRPr="003F23AC">
        <w:rPr>
          <w:rFonts w:cs="Times New Roman"/>
          <w:noProof/>
          <w:lang w:val="sk-SK"/>
        </w:rPr>
        <w:t xml:space="preserve"> s </w:t>
      </w:r>
      <w:r w:rsidRPr="003F23AC">
        <w:rPr>
          <w:rFonts w:cs="Times New Roman"/>
          <w:noProof/>
          <w:lang w:val="sk-SK"/>
        </w:rPr>
        <w:t>emisiami (ETS), ktorými sa dosahujú predpokladané emisie skleníkových plynov, ktoré nie sú nižšie ako príslušné referenčné hodnoty</w:t>
      </w:r>
      <w:r w:rsidRPr="003F23AC">
        <w:rPr>
          <w:rFonts w:cs="Times New Roman"/>
          <w:noProof/>
          <w:lang w:val="sk-SK"/>
        </w:rPr>
        <w:footnoteReference w:id="65"/>
      </w:r>
      <w:r w:rsidRPr="003F23AC">
        <w:rPr>
          <w:rFonts w:cs="Times New Roman"/>
          <w:noProof/>
          <w:lang w:val="sk-SK"/>
        </w:rPr>
        <w:t>; III) činnosti týkajúce sa skládok odpadu, spaľovní</w:t>
      </w:r>
      <w:r w:rsidRPr="003F23AC">
        <w:rPr>
          <w:rFonts w:cs="Times New Roman"/>
          <w:noProof/>
          <w:lang w:val="sk-SK"/>
        </w:rPr>
        <w:footnoteReference w:id="66"/>
      </w:r>
      <w:r w:rsidR="00A75B3C" w:rsidRPr="003F23AC">
        <w:rPr>
          <w:rFonts w:cs="Times New Roman"/>
          <w:noProof/>
          <w:lang w:val="sk-SK"/>
        </w:rPr>
        <w:t xml:space="preserve"> a </w:t>
      </w:r>
      <w:r w:rsidRPr="003F23AC">
        <w:rPr>
          <w:rFonts w:cs="Times New Roman"/>
          <w:noProof/>
          <w:lang w:val="sk-SK"/>
        </w:rPr>
        <w:t>mechanických biologických čistiarní</w:t>
      </w:r>
      <w:r w:rsidRPr="003F23AC">
        <w:rPr>
          <w:rFonts w:cs="Times New Roman"/>
          <w:noProof/>
          <w:lang w:val="sk-SK"/>
        </w:rPr>
        <w:footnoteReference w:id="67"/>
      </w:r>
      <w:r w:rsidRPr="003F23AC">
        <w:rPr>
          <w:rFonts w:cs="Times New Roman"/>
          <w:noProof/>
          <w:lang w:val="sk-SK"/>
        </w:rPr>
        <w:t>.</w:t>
      </w:r>
      <w:r w:rsidR="00A75B3C" w:rsidRPr="003F23AC">
        <w:rPr>
          <w:rFonts w:cs="Times New Roman"/>
          <w:noProof/>
          <w:lang w:val="sk-SK"/>
        </w:rPr>
        <w:t xml:space="preserve"> V </w:t>
      </w:r>
      <w:r w:rsidRPr="003F23AC">
        <w:rPr>
          <w:rFonts w:cs="Times New Roman"/>
          <w:noProof/>
          <w:lang w:val="sk-SK"/>
        </w:rPr>
        <w:t>referenčnom rámci sa okrem toho vyžaduje, aby sa mohli vybrať len činnosti, ktoré sú</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príslušnými právnymi predpismi EÚ</w:t>
      </w:r>
      <w:r w:rsidR="00A75B3C" w:rsidRPr="003F23AC">
        <w:rPr>
          <w:rFonts w:cs="Times New Roman"/>
          <w:noProof/>
          <w:lang w:val="sk-SK"/>
        </w:rPr>
        <w:t xml:space="preserve"> a </w:t>
      </w:r>
      <w:r w:rsidRPr="003F23AC">
        <w:rPr>
          <w:rFonts w:cs="Times New Roman"/>
          <w:noProof/>
          <w:lang w:val="sk-SK"/>
        </w:rPr>
        <w:t>vnútroštátnymi právnymi predpismi</w:t>
      </w:r>
      <w:r w:rsidR="00A75B3C" w:rsidRPr="003F23AC">
        <w:rPr>
          <w:rFonts w:cs="Times New Roman"/>
          <w:noProof/>
          <w:lang w:val="sk-SK"/>
        </w:rPr>
        <w:t xml:space="preserve"> v </w:t>
      </w:r>
      <w:r w:rsidRPr="003F23AC">
        <w:rPr>
          <w:rFonts w:cs="Times New Roman"/>
          <w:noProof/>
          <w:lang w:val="sk-SK"/>
        </w:rPr>
        <w:t>oblasti životného prostredia.</w:t>
      </w:r>
    </w:p>
    <w:p w14:paraId="6102D899" w14:textId="1B2E5979" w:rsidR="00387C70" w:rsidRPr="003F23AC" w:rsidRDefault="000F5AA4" w:rsidP="003F23AC">
      <w:pPr>
        <w:pStyle w:val="P68B1DB1-Normal4"/>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0DED3033" w14:textId="304E8E9B" w:rsidR="00387C70" w:rsidRPr="003F23AC" w:rsidRDefault="000F5AA4" w:rsidP="003F23AC">
      <w:pPr>
        <w:pStyle w:val="P68B1DB1-Heading214"/>
        <w:keepNext w:val="0"/>
        <w:spacing w:before="240"/>
        <w:rPr>
          <w:noProof/>
          <w:lang w:val="sk-SK"/>
        </w:rPr>
      </w:pPr>
      <w:bookmarkStart w:id="30" w:name="_Toc137472468"/>
      <w:r w:rsidRPr="003F23AC">
        <w:rPr>
          <w:noProof/>
          <w:lang w:val="sk-SK"/>
        </w:rPr>
        <w:t>Investície TD-C16 – i05-RAA: Digitálna kapacita</w:t>
      </w:r>
      <w:r w:rsidR="00A75B3C" w:rsidRPr="003F23AC">
        <w:rPr>
          <w:noProof/>
          <w:lang w:val="sk-SK"/>
        </w:rPr>
        <w:t xml:space="preserve"> a </w:t>
      </w:r>
      <w:r w:rsidRPr="003F23AC">
        <w:rPr>
          <w:noProof/>
          <w:lang w:val="sk-SK"/>
        </w:rPr>
        <w:t>transformácia podnikov na Azorských ostrovoch</w:t>
      </w:r>
      <w:bookmarkEnd w:id="30"/>
    </w:p>
    <w:p w14:paraId="5F5ED56A" w14:textId="02F2B4FE" w:rsidR="00387C70" w:rsidRPr="003F23AC" w:rsidRDefault="000F5AA4" w:rsidP="003F23AC">
      <w:pPr>
        <w:pStyle w:val="P68B1DB1-Normal4"/>
        <w:spacing w:before="40" w:after="0" w:line="22" w:lineRule="atLeast"/>
        <w:jc w:val="both"/>
        <w:rPr>
          <w:rFonts w:cs="Times New Roman"/>
          <w:noProof/>
          <w:lang w:val="sk-SK"/>
        </w:rPr>
      </w:pPr>
      <w:r w:rsidRPr="003F23AC">
        <w:rPr>
          <w:rFonts w:cs="Times New Roman"/>
          <w:noProof/>
          <w:lang w:val="sk-SK"/>
        </w:rPr>
        <w:t>Cieľom opatrenia je financovať vytvorenie stimulačného systému digitálnej transformácie pre spoločnosti na Azorských ostrovoch, ako aj počítačové</w:t>
      </w:r>
      <w:r w:rsidR="00A75B3C" w:rsidRPr="003F23AC">
        <w:rPr>
          <w:rFonts w:cs="Times New Roman"/>
          <w:noProof/>
          <w:lang w:val="sk-SK"/>
        </w:rPr>
        <w:t xml:space="preserve"> a </w:t>
      </w:r>
      <w:r w:rsidRPr="003F23AC">
        <w:rPr>
          <w:rFonts w:cs="Times New Roman"/>
          <w:noProof/>
          <w:lang w:val="sk-SK"/>
        </w:rPr>
        <w:t>sieťové vybavenie</w:t>
      </w:r>
      <w:r w:rsidR="00A75B3C" w:rsidRPr="003F23AC">
        <w:rPr>
          <w:rFonts w:cs="Times New Roman"/>
          <w:noProof/>
          <w:lang w:val="sk-SK"/>
        </w:rPr>
        <w:t xml:space="preserve"> a </w:t>
      </w:r>
      <w:r w:rsidRPr="003F23AC">
        <w:rPr>
          <w:rFonts w:cs="Times New Roman"/>
          <w:noProof/>
          <w:lang w:val="sk-SK"/>
        </w:rPr>
        <w:t>rozšírenie vedecko-technických parkov Azorských ostrovov.</w:t>
      </w:r>
    </w:p>
    <w:p w14:paraId="542E28E3" w14:textId="4E5F20B0" w:rsidR="00387C70" w:rsidRPr="003F23AC" w:rsidRDefault="000F5AA4" w:rsidP="003F23AC">
      <w:pPr>
        <w:pStyle w:val="P68B1DB1-Normal4"/>
        <w:spacing w:before="40" w:after="0" w:line="22" w:lineRule="atLeast"/>
        <w:jc w:val="both"/>
        <w:rPr>
          <w:rFonts w:cs="Times New Roman"/>
          <w:noProof/>
          <w:lang w:val="sk-SK"/>
        </w:rPr>
      </w:pPr>
      <w:r w:rsidRPr="003F23AC">
        <w:rPr>
          <w:rFonts w:cs="Times New Roman"/>
          <w:noProof/>
          <w:lang w:val="sk-SK"/>
        </w:rPr>
        <w:t>Systém stimulov pre digitálnu transformáciu podnikov sa zameriava na podporu regionálnych podnikov pri prispôsobovaní</w:t>
      </w:r>
      <w:r w:rsidR="00A75B3C" w:rsidRPr="003F23AC">
        <w:rPr>
          <w:rFonts w:cs="Times New Roman"/>
          <w:noProof/>
          <w:lang w:val="sk-SK"/>
        </w:rPr>
        <w:t xml:space="preserve"> a </w:t>
      </w:r>
      <w:r w:rsidRPr="003F23AC">
        <w:rPr>
          <w:rFonts w:cs="Times New Roman"/>
          <w:noProof/>
          <w:lang w:val="sk-SK"/>
        </w:rPr>
        <w:t>integrácii digitálnych technológií prostredníctvom opatrení zameraných okrem iného na riadenie, elektronický obchod, nástroje automatizácie, posilnenie kybernetickej bezpečnosti, umelú inteligenciu, internet vecí.</w:t>
      </w:r>
    </w:p>
    <w:p w14:paraId="09E35D17" w14:textId="0AB533D1" w:rsidR="00387C70" w:rsidRPr="008E475E" w:rsidRDefault="000F5AA4" w:rsidP="003F23AC">
      <w:pPr>
        <w:pStyle w:val="P68B1DB1-Normal4"/>
        <w:spacing w:before="40" w:after="0" w:line="22" w:lineRule="atLeast"/>
        <w:jc w:val="both"/>
        <w:rPr>
          <w:rFonts w:cs="Times New Roman"/>
          <w:noProof/>
          <w:spacing w:val="-4"/>
          <w:lang w:val="sk-SK"/>
        </w:rPr>
      </w:pPr>
      <w:r w:rsidRPr="008E475E">
        <w:rPr>
          <w:rFonts w:cs="Times New Roman"/>
          <w:noProof/>
          <w:spacing w:val="-4"/>
          <w:lang w:val="sk-SK"/>
        </w:rPr>
        <w:t>Cieľom investícií do vedeckých</w:t>
      </w:r>
      <w:r w:rsidR="00A75B3C" w:rsidRPr="008E475E">
        <w:rPr>
          <w:rFonts w:cs="Times New Roman"/>
          <w:noProof/>
          <w:spacing w:val="-4"/>
          <w:lang w:val="sk-SK"/>
        </w:rPr>
        <w:t xml:space="preserve"> a </w:t>
      </w:r>
      <w:r w:rsidRPr="008E475E">
        <w:rPr>
          <w:rFonts w:cs="Times New Roman"/>
          <w:noProof/>
          <w:spacing w:val="-4"/>
          <w:lang w:val="sk-SK"/>
        </w:rPr>
        <w:t>technologických parkov Azor (Nonagon</w:t>
      </w:r>
      <w:r w:rsidR="00A75B3C" w:rsidRPr="008E475E">
        <w:rPr>
          <w:rFonts w:cs="Times New Roman"/>
          <w:noProof/>
          <w:spacing w:val="-4"/>
          <w:lang w:val="sk-SK"/>
        </w:rPr>
        <w:t xml:space="preserve"> a </w:t>
      </w:r>
      <w:r w:rsidRPr="008E475E">
        <w:rPr>
          <w:rFonts w:cs="Times New Roman"/>
          <w:noProof/>
          <w:spacing w:val="-4"/>
          <w:lang w:val="sk-SK"/>
        </w:rPr>
        <w:t>Terinov) je podporiť logistické</w:t>
      </w:r>
      <w:r w:rsidR="00A75B3C" w:rsidRPr="008E475E">
        <w:rPr>
          <w:rFonts w:cs="Times New Roman"/>
          <w:noProof/>
          <w:spacing w:val="-4"/>
          <w:lang w:val="sk-SK"/>
        </w:rPr>
        <w:t xml:space="preserve"> a </w:t>
      </w:r>
      <w:r w:rsidRPr="008E475E">
        <w:rPr>
          <w:rFonts w:cs="Times New Roman"/>
          <w:noProof/>
          <w:spacing w:val="-4"/>
          <w:lang w:val="sk-SK"/>
        </w:rPr>
        <w:t>technologické podmienky podnikateľského ekosystému regiónu. Cieľom týchto investícií je prispieť</w:t>
      </w:r>
      <w:r w:rsidR="00A75B3C" w:rsidRPr="008E475E">
        <w:rPr>
          <w:rFonts w:cs="Times New Roman"/>
          <w:noProof/>
          <w:spacing w:val="-4"/>
          <w:lang w:val="sk-SK"/>
        </w:rPr>
        <w:t xml:space="preserve"> k </w:t>
      </w:r>
      <w:r w:rsidRPr="008E475E">
        <w:rPr>
          <w:rFonts w:cs="Times New Roman"/>
          <w:noProof/>
          <w:spacing w:val="-4"/>
          <w:lang w:val="sk-SK"/>
        </w:rPr>
        <w:t>rozvoju hospodárstva založeného na technológiách</w:t>
      </w:r>
      <w:r w:rsidR="00A75B3C" w:rsidRPr="008E475E">
        <w:rPr>
          <w:rFonts w:cs="Times New Roman"/>
          <w:noProof/>
          <w:spacing w:val="-4"/>
          <w:lang w:val="sk-SK"/>
        </w:rPr>
        <w:t xml:space="preserve"> v </w:t>
      </w:r>
      <w:r w:rsidRPr="008E475E">
        <w:rPr>
          <w:rFonts w:cs="Times New Roman"/>
          <w:noProof/>
          <w:spacing w:val="-4"/>
          <w:lang w:val="sk-SK"/>
        </w:rPr>
        <w:t>strategických odvetviach, umožniť know-how</w:t>
      </w:r>
      <w:r w:rsidR="00A75B3C" w:rsidRPr="008E475E">
        <w:rPr>
          <w:rFonts w:cs="Times New Roman"/>
          <w:noProof/>
          <w:spacing w:val="-4"/>
          <w:lang w:val="sk-SK"/>
        </w:rPr>
        <w:t xml:space="preserve"> a </w:t>
      </w:r>
      <w:r w:rsidRPr="008E475E">
        <w:rPr>
          <w:rFonts w:cs="Times New Roman"/>
          <w:noProof/>
          <w:spacing w:val="-4"/>
          <w:lang w:val="sk-SK"/>
        </w:rPr>
        <w:t>zlepšiť kvalitu</w:t>
      </w:r>
      <w:r w:rsidR="00A75B3C" w:rsidRPr="008E475E">
        <w:rPr>
          <w:rFonts w:cs="Times New Roman"/>
          <w:noProof/>
          <w:spacing w:val="-4"/>
          <w:lang w:val="sk-SK"/>
        </w:rPr>
        <w:t xml:space="preserve"> a </w:t>
      </w:r>
      <w:r w:rsidRPr="008E475E">
        <w:rPr>
          <w:rFonts w:cs="Times New Roman"/>
          <w:noProof/>
          <w:spacing w:val="-4"/>
          <w:lang w:val="sk-SK"/>
        </w:rPr>
        <w:t>spoľahlivosť služieb poskytovaných týmito parkmi.</w:t>
      </w:r>
    </w:p>
    <w:p w14:paraId="5A449590" w14:textId="7F72BEB3" w:rsidR="00387C70" w:rsidRPr="003F23AC" w:rsidRDefault="000F5AA4" w:rsidP="003F23AC">
      <w:pPr>
        <w:pStyle w:val="P68B1DB1-Normal4"/>
        <w:spacing w:before="40" w:after="0" w:line="22" w:lineRule="atLeast"/>
        <w:jc w:val="both"/>
        <w:rPr>
          <w:rFonts w:cs="Times New Roman"/>
          <w:noProof/>
          <w:lang w:val="sk-SK"/>
        </w:rPr>
      </w:pPr>
      <w:r w:rsidRPr="003F23AC">
        <w:rPr>
          <w:rFonts w:cs="Times New Roman"/>
          <w:noProof/>
          <w:lang w:val="sk-SK"/>
        </w:rPr>
        <w:t>Systém stimulov na digitálnu transformáciu podnikov je štruktúrovaný podľa troch akčných línií, oprávnené projekty prispievajú aspoň</w:t>
      </w:r>
      <w:r w:rsidR="00A75B3C" w:rsidRPr="003F23AC">
        <w:rPr>
          <w:rFonts w:cs="Times New Roman"/>
          <w:noProof/>
          <w:lang w:val="sk-SK"/>
        </w:rPr>
        <w:t xml:space="preserve"> k </w:t>
      </w:r>
      <w:r w:rsidRPr="003F23AC">
        <w:rPr>
          <w:rFonts w:cs="Times New Roman"/>
          <w:noProof/>
          <w:lang w:val="sk-SK"/>
        </w:rPr>
        <w:t>jednej</w:t>
      </w:r>
      <w:r w:rsidR="00A75B3C" w:rsidRPr="003F23AC">
        <w:rPr>
          <w:rFonts w:cs="Times New Roman"/>
          <w:noProof/>
          <w:lang w:val="sk-SK"/>
        </w:rPr>
        <w:t xml:space="preserve"> z </w:t>
      </w:r>
      <w:r w:rsidRPr="003F23AC">
        <w:rPr>
          <w:rFonts w:cs="Times New Roman"/>
          <w:noProof/>
          <w:lang w:val="sk-SK"/>
        </w:rPr>
        <w:t>nich:</w:t>
      </w:r>
    </w:p>
    <w:p w14:paraId="142AA256" w14:textId="5B00A708" w:rsidR="00387C70" w:rsidRPr="003F23AC" w:rsidRDefault="000F5AA4" w:rsidP="003F23AC">
      <w:pPr>
        <w:pStyle w:val="ListParagraph"/>
        <w:keepNext w:val="0"/>
        <w:numPr>
          <w:ilvl w:val="0"/>
          <w:numId w:val="74"/>
        </w:numPr>
        <w:spacing w:before="40" w:after="0" w:line="22" w:lineRule="atLeast"/>
        <w:rPr>
          <w:noProof/>
          <w:lang w:val="sk-SK"/>
        </w:rPr>
      </w:pPr>
      <w:r w:rsidRPr="003F23AC">
        <w:rPr>
          <w:noProof/>
          <w:lang w:val="sk-SK"/>
        </w:rPr>
        <w:t>Akčná línia 1 – podpora regionálnych podnikov pri prispôsobovaní</w:t>
      </w:r>
      <w:r w:rsidR="00A75B3C" w:rsidRPr="003F23AC">
        <w:rPr>
          <w:noProof/>
          <w:lang w:val="sk-SK"/>
        </w:rPr>
        <w:t xml:space="preserve"> a </w:t>
      </w:r>
      <w:r w:rsidRPr="003F23AC">
        <w:rPr>
          <w:noProof/>
          <w:lang w:val="sk-SK"/>
        </w:rPr>
        <w:t>integrácii digitálnych technológií, ktoré zvyšujú konkurencieschopnosť, zvyšujú produktivitu, podporujú inovácie</w:t>
      </w:r>
      <w:r w:rsidR="00A75B3C" w:rsidRPr="003F23AC">
        <w:rPr>
          <w:noProof/>
          <w:lang w:val="sk-SK"/>
        </w:rPr>
        <w:t xml:space="preserve"> a </w:t>
      </w:r>
      <w:r w:rsidRPr="003F23AC">
        <w:rPr>
          <w:noProof/>
          <w:lang w:val="sk-SK"/>
        </w:rPr>
        <w:t>znižujú náklady na obchodné procesy.</w:t>
      </w:r>
    </w:p>
    <w:p w14:paraId="42A27BBC" w14:textId="0C55B203" w:rsidR="00387C70" w:rsidRPr="003F23AC" w:rsidRDefault="000F5AA4" w:rsidP="003F23AC">
      <w:pPr>
        <w:pStyle w:val="ListParagraph"/>
        <w:keepNext w:val="0"/>
        <w:numPr>
          <w:ilvl w:val="0"/>
          <w:numId w:val="74"/>
        </w:numPr>
        <w:spacing w:before="40" w:after="0" w:line="22" w:lineRule="atLeast"/>
        <w:rPr>
          <w:noProof/>
          <w:lang w:val="sk-SK"/>
        </w:rPr>
      </w:pPr>
      <w:r w:rsidRPr="003F23AC">
        <w:rPr>
          <w:noProof/>
          <w:lang w:val="sk-SK"/>
        </w:rPr>
        <w:t>Akčná línia 2 – poskytnúť azorským spoločnostiam možnosť využívať špecializované poradenské služby na vykonávanie metodík zrýchlenia obchodných procesov</w:t>
      </w:r>
      <w:r w:rsidR="00A75B3C" w:rsidRPr="003F23AC">
        <w:rPr>
          <w:noProof/>
          <w:lang w:val="sk-SK"/>
        </w:rPr>
        <w:t xml:space="preserve"> a </w:t>
      </w:r>
      <w:r w:rsidRPr="003F23AC">
        <w:rPr>
          <w:noProof/>
          <w:lang w:val="sk-SK"/>
        </w:rPr>
        <w:t>kybernetickej bezpečnosti.</w:t>
      </w:r>
    </w:p>
    <w:p w14:paraId="6E71A181" w14:textId="23D8A101" w:rsidR="00387C70" w:rsidRPr="003F23AC" w:rsidRDefault="000F5AA4" w:rsidP="003F23AC">
      <w:pPr>
        <w:pStyle w:val="ListParagraph"/>
        <w:keepNext w:val="0"/>
        <w:numPr>
          <w:ilvl w:val="0"/>
          <w:numId w:val="74"/>
        </w:numPr>
        <w:spacing w:before="40" w:after="0" w:line="22" w:lineRule="atLeast"/>
        <w:rPr>
          <w:noProof/>
          <w:lang w:val="sk-SK"/>
        </w:rPr>
      </w:pPr>
      <w:r w:rsidRPr="003F23AC">
        <w:rPr>
          <w:noProof/>
          <w:lang w:val="sk-SK"/>
        </w:rPr>
        <w:t>Akčná línia 3 – podpora organizovania tematických podujatí verejnými alebo súkromnými subjektmi</w:t>
      </w:r>
      <w:r w:rsidR="00A75B3C" w:rsidRPr="003F23AC">
        <w:rPr>
          <w:noProof/>
          <w:lang w:val="sk-SK"/>
        </w:rPr>
        <w:t xml:space="preserve"> s </w:t>
      </w:r>
      <w:r w:rsidRPr="003F23AC">
        <w:rPr>
          <w:noProof/>
          <w:lang w:val="sk-SK"/>
        </w:rPr>
        <w:t>cieľom posilniť synergie medzi azorskými spoločnosťami prostredníctvom výmeny technologických riešení, nástrojov, metodík</w:t>
      </w:r>
      <w:r w:rsidR="00A75B3C" w:rsidRPr="003F23AC">
        <w:rPr>
          <w:noProof/>
          <w:lang w:val="sk-SK"/>
        </w:rPr>
        <w:t xml:space="preserve"> a </w:t>
      </w:r>
      <w:r w:rsidRPr="003F23AC">
        <w:rPr>
          <w:noProof/>
          <w:lang w:val="sk-SK"/>
        </w:rPr>
        <w:t>najlepších postupov.</w:t>
      </w:r>
    </w:p>
    <w:p w14:paraId="184DB346" w14:textId="39061E9D" w:rsidR="00387C70" w:rsidRPr="003F23AC" w:rsidRDefault="000F5AA4" w:rsidP="003F23AC">
      <w:pPr>
        <w:pStyle w:val="P68B1DB1-Normal4"/>
        <w:spacing w:before="40" w:after="0" w:line="22" w:lineRule="atLeast"/>
        <w:jc w:val="both"/>
        <w:rPr>
          <w:rFonts w:cs="Times New Roman"/>
          <w:noProof/>
          <w:lang w:val="sk-SK"/>
        </w:rPr>
      </w:pPr>
      <w:r w:rsidRPr="003F23AC">
        <w:rPr>
          <w:rFonts w:cs="Times New Roman"/>
          <w:noProof/>
          <w:lang w:val="sk-SK"/>
        </w:rPr>
        <w:t>Investícia do vedecko-technických parkov poskytne nové aktíva siete</w:t>
      </w:r>
      <w:r w:rsidR="00A75B3C" w:rsidRPr="003F23AC">
        <w:rPr>
          <w:rFonts w:cs="Times New Roman"/>
          <w:noProof/>
          <w:lang w:val="sk-SK"/>
        </w:rPr>
        <w:t xml:space="preserve"> a </w:t>
      </w:r>
      <w:r w:rsidRPr="003F23AC">
        <w:rPr>
          <w:rFonts w:cs="Times New Roman"/>
          <w:noProof/>
          <w:lang w:val="sk-SK"/>
        </w:rPr>
        <w:t>výpočtovej infraštruktúry (hardvér)</w:t>
      </w:r>
      <w:r w:rsidR="00A75B3C" w:rsidRPr="003F23AC">
        <w:rPr>
          <w:rFonts w:cs="Times New Roman"/>
          <w:noProof/>
          <w:lang w:val="sk-SK"/>
        </w:rPr>
        <w:t xml:space="preserve"> v </w:t>
      </w:r>
      <w:r w:rsidRPr="003F23AC">
        <w:rPr>
          <w:rFonts w:cs="Times New Roman"/>
          <w:noProof/>
          <w:lang w:val="sk-SK"/>
        </w:rPr>
        <w:t>neangónskom vedecko-technickom parku</w:t>
      </w:r>
      <w:r w:rsidR="00A75B3C" w:rsidRPr="003F23AC">
        <w:rPr>
          <w:rFonts w:cs="Times New Roman"/>
          <w:noProof/>
          <w:lang w:val="sk-SK"/>
        </w:rPr>
        <w:t xml:space="preserve"> a </w:t>
      </w:r>
      <w:r w:rsidRPr="003F23AC">
        <w:rPr>
          <w:rFonts w:cs="Times New Roman"/>
          <w:noProof/>
          <w:lang w:val="sk-SK"/>
        </w:rPr>
        <w:t>výstavbu novej energeticky efektívnej budovy vo vedecko-technickom parku Terinov.</w:t>
      </w:r>
    </w:p>
    <w:p w14:paraId="63A80828" w14:textId="1C9E825D" w:rsidR="00387C70" w:rsidRPr="003F23AC" w:rsidRDefault="000F5AA4" w:rsidP="003F23AC">
      <w:pPr>
        <w:pStyle w:val="P68B1DB1-Normal4"/>
        <w:spacing w:before="40" w:after="0" w:line="22" w:lineRule="atLeast"/>
        <w:jc w:val="both"/>
        <w:rPr>
          <w:rFonts w:cs="Times New Roman"/>
          <w:noProof/>
          <w:lang w:val="sk-SK"/>
        </w:rPr>
      </w:pPr>
      <w:r w:rsidRPr="003F23AC">
        <w:rPr>
          <w:rFonts w:cs="Times New Roman"/>
          <w:noProof/>
          <w:lang w:val="sk-SK"/>
        </w:rPr>
        <w:t>V prípade ponúk</w:t>
      </w:r>
      <w:r w:rsidR="00A75B3C" w:rsidRPr="003F23AC">
        <w:rPr>
          <w:rFonts w:cs="Times New Roman"/>
          <w:noProof/>
          <w:lang w:val="sk-SK"/>
        </w:rPr>
        <w:t xml:space="preserve"> s </w:t>
      </w:r>
      <w:r w:rsidRPr="003F23AC">
        <w:rPr>
          <w:rFonts w:cs="Times New Roman"/>
          <w:noProof/>
          <w:lang w:val="sk-SK"/>
        </w:rPr>
        <w:t>cieľom zabezpečiť, aby opatrenie bolo</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„výrazne nenarušiť“ (2021/C58/01), kritériá oprávnenosti uvedené</w:t>
      </w:r>
      <w:r w:rsidR="00A75B3C" w:rsidRPr="003F23AC">
        <w:rPr>
          <w:rFonts w:cs="Times New Roman"/>
          <w:noProof/>
          <w:lang w:val="sk-SK"/>
        </w:rPr>
        <w:t xml:space="preserve"> v </w:t>
      </w:r>
      <w:r w:rsidRPr="003F23AC">
        <w:rPr>
          <w:rFonts w:cs="Times New Roman"/>
          <w:noProof/>
          <w:lang w:val="sk-SK"/>
        </w:rPr>
        <w:t>referenčnom rámci pre nadchádzajúce výzvy na predkladanie projektov nezahŕňajú tento zoznam činností: I) činnosti súvisiace</w:t>
      </w:r>
      <w:r w:rsidR="00A75B3C" w:rsidRPr="003F23AC">
        <w:rPr>
          <w:rFonts w:cs="Times New Roman"/>
          <w:noProof/>
          <w:lang w:val="sk-SK"/>
        </w:rPr>
        <w:t xml:space="preserve"> s </w:t>
      </w:r>
      <w:r w:rsidRPr="003F23AC">
        <w:rPr>
          <w:rFonts w:cs="Times New Roman"/>
          <w:noProof/>
          <w:lang w:val="sk-SK"/>
        </w:rPr>
        <w:t>fosílnymi palivami vrátane následného použitia</w:t>
      </w:r>
      <w:r w:rsidRPr="003F23AC">
        <w:rPr>
          <w:rFonts w:cs="Times New Roman"/>
          <w:noProof/>
          <w:lang w:val="sk-SK"/>
        </w:rPr>
        <w:footnoteReference w:id="68"/>
      </w:r>
      <w:r w:rsidRPr="003F23AC">
        <w:rPr>
          <w:rFonts w:cs="Times New Roman"/>
          <w:noProof/>
          <w:lang w:val="sk-SK"/>
        </w:rPr>
        <w:t>; II) činnosti</w:t>
      </w:r>
      <w:r w:rsidR="00A75B3C" w:rsidRPr="003F23AC">
        <w:rPr>
          <w:rFonts w:cs="Times New Roman"/>
          <w:noProof/>
          <w:lang w:val="sk-SK"/>
        </w:rPr>
        <w:t xml:space="preserve"> v </w:t>
      </w:r>
      <w:r w:rsidRPr="003F23AC">
        <w:rPr>
          <w:rFonts w:cs="Times New Roman"/>
          <w:noProof/>
          <w:lang w:val="sk-SK"/>
        </w:rPr>
        <w:t>rámci systému EÚ na obchodovanie</w:t>
      </w:r>
      <w:r w:rsidR="00A75B3C" w:rsidRPr="003F23AC">
        <w:rPr>
          <w:rFonts w:cs="Times New Roman"/>
          <w:noProof/>
          <w:lang w:val="sk-SK"/>
        </w:rPr>
        <w:t xml:space="preserve"> s </w:t>
      </w:r>
      <w:r w:rsidRPr="003F23AC">
        <w:rPr>
          <w:rFonts w:cs="Times New Roman"/>
          <w:noProof/>
          <w:lang w:val="sk-SK"/>
        </w:rPr>
        <w:t>emisiami (ETS), ktorými sa dosahujú predpokladané emisie skleníkových plynov, ktoré nie sú nižšie ako príslušné referenčné hodnoty</w:t>
      </w:r>
      <w:r w:rsidRPr="003F23AC">
        <w:rPr>
          <w:rFonts w:cs="Times New Roman"/>
          <w:noProof/>
          <w:lang w:val="sk-SK"/>
        </w:rPr>
        <w:footnoteReference w:id="69"/>
      </w:r>
      <w:r w:rsidRPr="003F23AC">
        <w:rPr>
          <w:rFonts w:cs="Times New Roman"/>
          <w:noProof/>
          <w:lang w:val="sk-SK"/>
        </w:rPr>
        <w:t>; III) činnosti týkajúce sa skládok odpadu, spaľovní</w:t>
      </w:r>
      <w:r w:rsidRPr="003F23AC">
        <w:rPr>
          <w:rFonts w:cs="Times New Roman"/>
          <w:noProof/>
          <w:lang w:val="sk-SK"/>
        </w:rPr>
        <w:footnoteReference w:id="70"/>
      </w:r>
      <w:r w:rsidR="00A75B3C" w:rsidRPr="003F23AC">
        <w:rPr>
          <w:rFonts w:cs="Times New Roman"/>
          <w:noProof/>
          <w:lang w:val="sk-SK"/>
        </w:rPr>
        <w:t xml:space="preserve"> a </w:t>
      </w:r>
      <w:r w:rsidRPr="003F23AC">
        <w:rPr>
          <w:rFonts w:cs="Times New Roman"/>
          <w:noProof/>
          <w:lang w:val="sk-SK"/>
        </w:rPr>
        <w:t>mechanických biologických čistiarní</w:t>
      </w:r>
      <w:r w:rsidRPr="003F23AC">
        <w:rPr>
          <w:rFonts w:cs="Times New Roman"/>
          <w:noProof/>
          <w:lang w:val="sk-SK"/>
        </w:rPr>
        <w:footnoteReference w:id="71"/>
      </w:r>
      <w:r w:rsidRPr="003F23AC">
        <w:rPr>
          <w:rFonts w:cs="Times New Roman"/>
          <w:noProof/>
          <w:lang w:val="sk-SK"/>
        </w:rPr>
        <w:t>.</w:t>
      </w:r>
      <w:r w:rsidR="00A75B3C" w:rsidRPr="003F23AC">
        <w:rPr>
          <w:rFonts w:cs="Times New Roman"/>
          <w:noProof/>
          <w:lang w:val="sk-SK"/>
        </w:rPr>
        <w:t xml:space="preserve"> V </w:t>
      </w:r>
      <w:r w:rsidRPr="003F23AC">
        <w:rPr>
          <w:rFonts w:cs="Times New Roman"/>
          <w:noProof/>
          <w:lang w:val="sk-SK"/>
        </w:rPr>
        <w:t>referenčnom rámci sa okrem toho vyžaduje, aby sa mohli vybrať len činnosti, ktoré sú</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príslušnými právnymi predpismi EÚ</w:t>
      </w:r>
      <w:r w:rsidR="00A75B3C" w:rsidRPr="003F23AC">
        <w:rPr>
          <w:rFonts w:cs="Times New Roman"/>
          <w:noProof/>
          <w:lang w:val="sk-SK"/>
        </w:rPr>
        <w:t xml:space="preserve"> a </w:t>
      </w:r>
      <w:r w:rsidRPr="003F23AC">
        <w:rPr>
          <w:rFonts w:cs="Times New Roman"/>
          <w:noProof/>
          <w:lang w:val="sk-SK"/>
        </w:rPr>
        <w:t>vnútroštátnymi právnymi predpismi</w:t>
      </w:r>
      <w:r w:rsidR="00A75B3C" w:rsidRPr="003F23AC">
        <w:rPr>
          <w:rFonts w:cs="Times New Roman"/>
          <w:noProof/>
          <w:lang w:val="sk-SK"/>
        </w:rPr>
        <w:t xml:space="preserve"> v </w:t>
      </w:r>
      <w:r w:rsidRPr="003F23AC">
        <w:rPr>
          <w:rFonts w:cs="Times New Roman"/>
          <w:noProof/>
          <w:lang w:val="sk-SK"/>
        </w:rPr>
        <w:t>oblasti životného prostredia.</w:t>
      </w:r>
    </w:p>
    <w:p w14:paraId="05CDA0AA" w14:textId="36F112D3" w:rsidR="00387C70" w:rsidRPr="003F23AC" w:rsidRDefault="000F5AA4" w:rsidP="003F23AC">
      <w:pPr>
        <w:pStyle w:val="P68B1DB1-Normal4"/>
        <w:spacing w:before="40" w:after="0" w:line="22" w:lineRule="atLeast"/>
        <w:jc w:val="both"/>
        <w:rPr>
          <w:rFonts w:cs="Times New Roman"/>
          <w:noProof/>
          <w:highlight w:val="green"/>
          <w:lang w:val="sk-SK"/>
        </w:rPr>
      </w:pPr>
      <w:r w:rsidRPr="003F23AC">
        <w:rPr>
          <w:rFonts w:cs="Times New Roman"/>
          <w:noProof/>
          <w:lang w:val="sk-SK"/>
        </w:rPr>
        <w:t>Nové budovy musia mať spotrebu primárnej energie aspoň</w:t>
      </w:r>
      <w:r w:rsidR="00A75B3C" w:rsidRPr="003F23AC">
        <w:rPr>
          <w:rFonts w:cs="Times New Roman"/>
          <w:noProof/>
          <w:lang w:val="sk-SK"/>
        </w:rPr>
        <w:t xml:space="preserve"> o </w:t>
      </w:r>
      <w:r w:rsidRPr="003F23AC">
        <w:rPr>
          <w:rFonts w:cs="Times New Roman"/>
          <w:noProof/>
          <w:lang w:val="sk-SK"/>
        </w:rPr>
        <w:t>20</w:t>
      </w:r>
      <w:r w:rsidR="00A75B3C" w:rsidRPr="003F23AC">
        <w:rPr>
          <w:rFonts w:cs="Times New Roman"/>
          <w:noProof/>
          <w:lang w:val="sk-SK"/>
        </w:rPr>
        <w:t> %</w:t>
      </w:r>
      <w:r w:rsidRPr="003F23AC">
        <w:rPr>
          <w:rFonts w:cs="Times New Roman"/>
          <w:noProof/>
          <w:lang w:val="sk-SK"/>
        </w:rPr>
        <w:t xml:space="preserve"> nižšiu ako požiadavky na budovy</w:t>
      </w:r>
      <w:r w:rsidR="00A75B3C" w:rsidRPr="003F23AC">
        <w:rPr>
          <w:rFonts w:cs="Times New Roman"/>
          <w:noProof/>
          <w:lang w:val="sk-SK"/>
        </w:rPr>
        <w:t xml:space="preserve"> s </w:t>
      </w:r>
      <w:r w:rsidRPr="003F23AC">
        <w:rPr>
          <w:rFonts w:cs="Times New Roman"/>
          <w:noProof/>
          <w:lang w:val="sk-SK"/>
        </w:rPr>
        <w:t>takmer nulovou spotrebou energie. Obnovami zameranými na energetickú efektívnosť sa</w:t>
      </w:r>
      <w:r w:rsidR="00A75B3C" w:rsidRPr="003F23AC">
        <w:rPr>
          <w:rFonts w:cs="Times New Roman"/>
          <w:noProof/>
          <w:lang w:val="sk-SK"/>
        </w:rPr>
        <w:t xml:space="preserve"> v </w:t>
      </w:r>
      <w:r w:rsidRPr="003F23AC">
        <w:rPr>
          <w:rFonts w:cs="Times New Roman"/>
          <w:noProof/>
          <w:lang w:val="sk-SK"/>
        </w:rPr>
        <w:t>priemere dosiahne aspoň stredná hĺbková obnova, ako sa vymedzuje</w:t>
      </w:r>
      <w:r w:rsidR="00A75B3C" w:rsidRPr="003F23AC">
        <w:rPr>
          <w:rFonts w:cs="Times New Roman"/>
          <w:noProof/>
          <w:lang w:val="sk-SK"/>
        </w:rPr>
        <w:t xml:space="preserve"> v </w:t>
      </w:r>
      <w:r w:rsidRPr="003F23AC">
        <w:rPr>
          <w:rFonts w:cs="Times New Roman"/>
          <w:noProof/>
          <w:lang w:val="sk-SK"/>
        </w:rPr>
        <w:t>odporúčaní Komisie</w:t>
      </w:r>
      <w:r w:rsidR="00A75B3C" w:rsidRPr="003F23AC">
        <w:rPr>
          <w:rFonts w:cs="Times New Roman"/>
          <w:noProof/>
          <w:lang w:val="sk-SK"/>
        </w:rPr>
        <w:t xml:space="preserve"> o </w:t>
      </w:r>
      <w:r w:rsidRPr="003F23AC">
        <w:rPr>
          <w:rFonts w:cs="Times New Roman"/>
          <w:noProof/>
          <w:lang w:val="sk-SK"/>
        </w:rPr>
        <w:t>obnove budov (EÚ) 2019/786.</w:t>
      </w:r>
    </w:p>
    <w:p w14:paraId="61377CD4" w14:textId="2F1CEECE" w:rsidR="00387C70" w:rsidRPr="003F23AC" w:rsidRDefault="000F5AA4" w:rsidP="003F23AC">
      <w:pPr>
        <w:pStyle w:val="P68B1DB1-Normal4"/>
        <w:spacing w:before="40" w:after="0" w:line="22" w:lineRule="atLeast"/>
        <w:jc w:val="both"/>
        <w:rPr>
          <w:rFonts w:cs="Times New Roman"/>
          <w:noProof/>
          <w:lang w:val="sk-SK"/>
        </w:rPr>
      </w:pPr>
      <w:r w:rsidRPr="003F23AC">
        <w:rPr>
          <w:rFonts w:cs="Times New Roman"/>
          <w:noProof/>
          <w:lang w:val="sk-SK"/>
        </w:rPr>
        <w:t>Realizácia investície sa dokončí do 31</w:t>
      </w:r>
      <w:r w:rsidR="00A75B3C" w:rsidRPr="003F23AC">
        <w:rPr>
          <w:rFonts w:cs="Times New Roman"/>
          <w:noProof/>
          <w:lang w:val="sk-SK"/>
        </w:rPr>
        <w:t>. augusta</w:t>
      </w:r>
      <w:r w:rsidRPr="003F23AC">
        <w:rPr>
          <w:rFonts w:cs="Times New Roman"/>
          <w:noProof/>
          <w:lang w:val="sk-SK"/>
        </w:rPr>
        <w:t xml:space="preserve"> 2026.</w:t>
      </w:r>
    </w:p>
    <w:p w14:paraId="28BCB725" w14:textId="47AFAD48" w:rsidR="00387C70" w:rsidRPr="003F23AC" w:rsidRDefault="000F5AA4" w:rsidP="003F23AC">
      <w:pPr>
        <w:pStyle w:val="P68B1DB1-Heading214"/>
        <w:keepNext w:val="0"/>
        <w:spacing w:before="240"/>
        <w:rPr>
          <w:noProof/>
          <w:lang w:val="sk-SK"/>
        </w:rPr>
      </w:pPr>
      <w:bookmarkStart w:id="31" w:name="_Toc137472469"/>
      <w:r w:rsidRPr="003F23AC">
        <w:rPr>
          <w:noProof/>
          <w:lang w:val="sk-SK"/>
        </w:rPr>
        <w:t>Investície TD-C16 – i06-RAM: Podnik 4.0</w:t>
      </w:r>
      <w:bookmarkEnd w:id="31"/>
    </w:p>
    <w:p w14:paraId="62D8D41A" w14:textId="67F63BE2" w:rsidR="00A75B3C" w:rsidRPr="003F23AC" w:rsidRDefault="000F5AA4" w:rsidP="003F23AC">
      <w:pPr>
        <w:pStyle w:val="P68B1DB1-Normal4"/>
        <w:spacing w:before="40" w:after="0" w:line="22" w:lineRule="atLeast"/>
        <w:jc w:val="both"/>
        <w:rPr>
          <w:rFonts w:cs="Times New Roman"/>
          <w:noProof/>
          <w:lang w:val="sk-SK"/>
        </w:rPr>
      </w:pPr>
      <w:r w:rsidRPr="003F23AC">
        <w:rPr>
          <w:rFonts w:cs="Times New Roman"/>
          <w:noProof/>
          <w:lang w:val="sk-SK"/>
        </w:rPr>
        <w:t>Cieľom opatrenia je prispieť</w:t>
      </w:r>
      <w:r w:rsidR="00A75B3C" w:rsidRPr="003F23AC">
        <w:rPr>
          <w:rFonts w:cs="Times New Roman"/>
          <w:noProof/>
          <w:lang w:val="sk-SK"/>
        </w:rPr>
        <w:t xml:space="preserve"> k </w:t>
      </w:r>
      <w:r w:rsidRPr="003F23AC">
        <w:rPr>
          <w:rFonts w:cs="Times New Roman"/>
          <w:noProof/>
          <w:lang w:val="sk-SK"/>
        </w:rPr>
        <w:t>transformácii obchodných modelov MSP</w:t>
      </w:r>
      <w:r w:rsidR="00A75B3C" w:rsidRPr="003F23AC">
        <w:rPr>
          <w:rFonts w:cs="Times New Roman"/>
          <w:noProof/>
          <w:lang w:val="sk-SK"/>
        </w:rPr>
        <w:t xml:space="preserve"> v </w:t>
      </w:r>
      <w:r w:rsidRPr="003F23AC">
        <w:rPr>
          <w:rFonts w:cs="Times New Roman"/>
          <w:noProof/>
          <w:lang w:val="sk-SK"/>
        </w:rPr>
        <w:t>autonómnej oblasti Madeira</w:t>
      </w:r>
      <w:r w:rsidR="00A75B3C" w:rsidRPr="003F23AC">
        <w:rPr>
          <w:rFonts w:cs="Times New Roman"/>
          <w:noProof/>
          <w:lang w:val="sk-SK"/>
        </w:rPr>
        <w:t xml:space="preserve"> s </w:t>
      </w:r>
      <w:r w:rsidRPr="003F23AC">
        <w:rPr>
          <w:rFonts w:cs="Times New Roman"/>
          <w:noProof/>
          <w:lang w:val="sk-SK"/>
        </w:rPr>
        <w:t>cieľom zvýšiť jeho digitalizáciu, konkurencieschopnosť</w:t>
      </w:r>
      <w:r w:rsidR="00A75B3C" w:rsidRPr="003F23AC">
        <w:rPr>
          <w:rFonts w:cs="Times New Roman"/>
          <w:noProof/>
          <w:lang w:val="sk-SK"/>
        </w:rPr>
        <w:t xml:space="preserve"> a </w:t>
      </w:r>
      <w:r w:rsidRPr="003F23AC">
        <w:rPr>
          <w:rFonts w:cs="Times New Roman"/>
          <w:noProof/>
          <w:lang w:val="sk-SK"/>
        </w:rPr>
        <w:t>odolnosť</w:t>
      </w:r>
      <w:r w:rsidR="00A75B3C" w:rsidRPr="003F23AC">
        <w:rPr>
          <w:rFonts w:cs="Times New Roman"/>
          <w:noProof/>
          <w:lang w:val="sk-SK"/>
        </w:rPr>
        <w:t>.</w:t>
      </w:r>
    </w:p>
    <w:p w14:paraId="019B37E5" w14:textId="50799351" w:rsidR="00387C70" w:rsidRPr="003F23AC" w:rsidRDefault="000F5AA4" w:rsidP="003F23AC">
      <w:pPr>
        <w:pStyle w:val="P68B1DB1-Normal4"/>
        <w:spacing w:before="40" w:after="0" w:line="22" w:lineRule="atLeast"/>
        <w:jc w:val="both"/>
        <w:rPr>
          <w:rFonts w:cs="Times New Roman"/>
          <w:noProof/>
          <w:lang w:val="sk-SK"/>
        </w:rPr>
      </w:pPr>
      <w:r w:rsidRPr="003F23AC">
        <w:rPr>
          <w:rFonts w:cs="Times New Roman"/>
          <w:noProof/>
          <w:lang w:val="sk-SK"/>
        </w:rPr>
        <w:t>Opatrením sa podporujú investície</w:t>
      </w:r>
      <w:r w:rsidR="00A75B3C" w:rsidRPr="003F23AC">
        <w:rPr>
          <w:rFonts w:cs="Times New Roman"/>
          <w:noProof/>
          <w:lang w:val="sk-SK"/>
        </w:rPr>
        <w:t xml:space="preserve"> v </w:t>
      </w:r>
      <w:r w:rsidRPr="003F23AC">
        <w:rPr>
          <w:rFonts w:cs="Times New Roman"/>
          <w:noProof/>
          <w:lang w:val="sk-SK"/>
        </w:rPr>
        <w:t>týchto dvoch oblastiach:</w:t>
      </w:r>
    </w:p>
    <w:p w14:paraId="3ABC0B35" w14:textId="5DF98663" w:rsidR="00387C70" w:rsidRPr="003F23AC" w:rsidRDefault="000F5AA4" w:rsidP="003F23AC">
      <w:pPr>
        <w:pStyle w:val="ListParagraph"/>
        <w:keepNext w:val="0"/>
        <w:numPr>
          <w:ilvl w:val="0"/>
          <w:numId w:val="74"/>
        </w:numPr>
        <w:spacing w:before="40" w:after="0" w:line="22" w:lineRule="atLeast"/>
        <w:rPr>
          <w:noProof/>
          <w:lang w:val="sk-SK"/>
        </w:rPr>
      </w:pPr>
      <w:r w:rsidRPr="003F23AC">
        <w:rPr>
          <w:noProof/>
          <w:lang w:val="sk-SK"/>
        </w:rPr>
        <w:t>Hmotný majetok vrátane nadobudnutia strojov</w:t>
      </w:r>
      <w:r w:rsidR="00A75B3C" w:rsidRPr="003F23AC">
        <w:rPr>
          <w:noProof/>
          <w:lang w:val="sk-SK"/>
        </w:rPr>
        <w:t xml:space="preserve"> a </w:t>
      </w:r>
      <w:r w:rsidRPr="003F23AC">
        <w:rPr>
          <w:noProof/>
          <w:lang w:val="sk-SK"/>
        </w:rPr>
        <w:t>zariadení priamo súvisiacich</w:t>
      </w:r>
      <w:r w:rsidR="00A75B3C" w:rsidRPr="003F23AC">
        <w:rPr>
          <w:noProof/>
          <w:lang w:val="sk-SK"/>
        </w:rPr>
        <w:t xml:space="preserve"> s </w:t>
      </w:r>
      <w:r w:rsidRPr="003F23AC">
        <w:rPr>
          <w:noProof/>
          <w:lang w:val="sk-SK"/>
        </w:rPr>
        <w:t>investíciou do digitálnej transformácie, ako aj nadobudnutie IT vybavenia vrátane softvéru potrebného na jeho prevádzku, ktoré priamo súvisí</w:t>
      </w:r>
      <w:r w:rsidR="00A75B3C" w:rsidRPr="003F23AC">
        <w:rPr>
          <w:noProof/>
          <w:lang w:val="sk-SK"/>
        </w:rPr>
        <w:t xml:space="preserve"> s </w:t>
      </w:r>
      <w:r w:rsidRPr="003F23AC">
        <w:rPr>
          <w:noProof/>
          <w:lang w:val="sk-SK"/>
        </w:rPr>
        <w:t>vývojom projektu.</w:t>
      </w:r>
    </w:p>
    <w:p w14:paraId="5B06C0E0" w14:textId="0D9BDC06" w:rsidR="00387C70" w:rsidRPr="003F23AC" w:rsidRDefault="000F5AA4" w:rsidP="003F23AC">
      <w:pPr>
        <w:pStyle w:val="ListParagraph"/>
        <w:keepNext w:val="0"/>
        <w:numPr>
          <w:ilvl w:val="0"/>
          <w:numId w:val="74"/>
        </w:numPr>
        <w:spacing w:before="40" w:after="0" w:line="22" w:lineRule="atLeast"/>
        <w:rPr>
          <w:noProof/>
          <w:lang w:val="sk-SK"/>
        </w:rPr>
      </w:pPr>
      <w:r w:rsidRPr="003F23AC">
        <w:rPr>
          <w:noProof/>
          <w:lang w:val="sk-SK"/>
        </w:rPr>
        <w:t>Nehmotný majetok vrátane transferu technológií prostredníctvom nadobudnutia patentových práv</w:t>
      </w:r>
      <w:r w:rsidR="00A75B3C" w:rsidRPr="003F23AC">
        <w:rPr>
          <w:noProof/>
          <w:lang w:val="sk-SK"/>
        </w:rPr>
        <w:t xml:space="preserve"> a </w:t>
      </w:r>
      <w:r w:rsidRPr="003F23AC">
        <w:rPr>
          <w:noProof/>
          <w:lang w:val="sk-SK"/>
        </w:rPr>
        <w:t>štandardizovaného alebo osobitne vyvinutého softvéru.</w:t>
      </w:r>
    </w:p>
    <w:p w14:paraId="1727DD62" w14:textId="1A6EAB63" w:rsidR="00387C70" w:rsidRPr="003F23AC" w:rsidRDefault="000F5AA4" w:rsidP="003F23AC">
      <w:pPr>
        <w:pStyle w:val="P68B1DB1-Normal4"/>
        <w:spacing w:before="40" w:after="0" w:line="22" w:lineRule="atLeast"/>
        <w:jc w:val="both"/>
        <w:rPr>
          <w:rFonts w:cs="Times New Roman"/>
          <w:noProof/>
          <w:lang w:val="sk-SK"/>
        </w:rPr>
      </w:pPr>
      <w:r w:rsidRPr="003F23AC">
        <w:rPr>
          <w:rFonts w:cs="Times New Roman"/>
          <w:noProof/>
          <w:lang w:val="sk-SK"/>
        </w:rPr>
        <w:t>V prípade ponúk</w:t>
      </w:r>
      <w:r w:rsidR="00A75B3C" w:rsidRPr="003F23AC">
        <w:rPr>
          <w:rFonts w:cs="Times New Roman"/>
          <w:noProof/>
          <w:lang w:val="sk-SK"/>
        </w:rPr>
        <w:t xml:space="preserve"> s </w:t>
      </w:r>
      <w:r w:rsidRPr="003F23AC">
        <w:rPr>
          <w:rFonts w:cs="Times New Roman"/>
          <w:noProof/>
          <w:lang w:val="sk-SK"/>
        </w:rPr>
        <w:t>cieľom zabezpečiť, aby opatrenie bolo</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„výrazne nenarušiť“ (2021/C58/01), kritériá oprávnenosti uvedené</w:t>
      </w:r>
      <w:r w:rsidR="00A75B3C" w:rsidRPr="003F23AC">
        <w:rPr>
          <w:rFonts w:cs="Times New Roman"/>
          <w:noProof/>
          <w:lang w:val="sk-SK"/>
        </w:rPr>
        <w:t xml:space="preserve"> v </w:t>
      </w:r>
      <w:r w:rsidRPr="003F23AC">
        <w:rPr>
          <w:rFonts w:cs="Times New Roman"/>
          <w:noProof/>
          <w:lang w:val="sk-SK"/>
        </w:rPr>
        <w:t>referenčnom rámci pre nadchádzajúce výzvy na predkladanie projektov nezahŕňajú tento zoznam činností: I) činnosti súvisiace</w:t>
      </w:r>
      <w:r w:rsidR="00A75B3C" w:rsidRPr="003F23AC">
        <w:rPr>
          <w:rFonts w:cs="Times New Roman"/>
          <w:noProof/>
          <w:lang w:val="sk-SK"/>
        </w:rPr>
        <w:t xml:space="preserve"> s </w:t>
      </w:r>
      <w:r w:rsidRPr="003F23AC">
        <w:rPr>
          <w:rFonts w:cs="Times New Roman"/>
          <w:noProof/>
          <w:lang w:val="sk-SK"/>
        </w:rPr>
        <w:t>fosílnymi palivami vrátane následného použitia</w:t>
      </w:r>
      <w:r w:rsidRPr="003F23AC">
        <w:rPr>
          <w:rFonts w:cs="Times New Roman"/>
          <w:noProof/>
          <w:lang w:val="sk-SK"/>
        </w:rPr>
        <w:footnoteReference w:id="72"/>
      </w:r>
      <w:r w:rsidRPr="003F23AC">
        <w:rPr>
          <w:rFonts w:cs="Times New Roman"/>
          <w:noProof/>
          <w:lang w:val="sk-SK"/>
        </w:rPr>
        <w:t>; II) činnosti</w:t>
      </w:r>
      <w:r w:rsidR="00A75B3C" w:rsidRPr="003F23AC">
        <w:rPr>
          <w:rFonts w:cs="Times New Roman"/>
          <w:noProof/>
          <w:lang w:val="sk-SK"/>
        </w:rPr>
        <w:t xml:space="preserve"> v </w:t>
      </w:r>
      <w:r w:rsidRPr="003F23AC">
        <w:rPr>
          <w:rFonts w:cs="Times New Roman"/>
          <w:noProof/>
          <w:lang w:val="sk-SK"/>
        </w:rPr>
        <w:t>rámci systému EÚ na obchodovanie</w:t>
      </w:r>
      <w:r w:rsidR="00A75B3C" w:rsidRPr="003F23AC">
        <w:rPr>
          <w:rFonts w:cs="Times New Roman"/>
          <w:noProof/>
          <w:lang w:val="sk-SK"/>
        </w:rPr>
        <w:t xml:space="preserve"> s </w:t>
      </w:r>
      <w:r w:rsidRPr="003F23AC">
        <w:rPr>
          <w:rFonts w:cs="Times New Roman"/>
          <w:noProof/>
          <w:lang w:val="sk-SK"/>
        </w:rPr>
        <w:t>emisiami (ETS), ktorými sa dosahujú predpokladané emisie skleníkových plynov, ktoré nie sú nižšie ako príslušné referenčné hodnoty</w:t>
      </w:r>
      <w:r w:rsidRPr="003F23AC">
        <w:rPr>
          <w:rFonts w:cs="Times New Roman"/>
          <w:noProof/>
          <w:lang w:val="sk-SK"/>
        </w:rPr>
        <w:footnoteReference w:id="73"/>
      </w:r>
      <w:r w:rsidRPr="003F23AC">
        <w:rPr>
          <w:rFonts w:cs="Times New Roman"/>
          <w:noProof/>
          <w:lang w:val="sk-SK"/>
        </w:rPr>
        <w:t>; III) činnosti týkajúce sa skládok odpadu, spaľovní</w:t>
      </w:r>
      <w:r w:rsidRPr="003F23AC">
        <w:rPr>
          <w:rFonts w:cs="Times New Roman"/>
          <w:noProof/>
          <w:lang w:val="sk-SK"/>
        </w:rPr>
        <w:footnoteReference w:id="74"/>
      </w:r>
      <w:r w:rsidR="00A75B3C" w:rsidRPr="003F23AC">
        <w:rPr>
          <w:rFonts w:cs="Times New Roman"/>
          <w:noProof/>
          <w:lang w:val="sk-SK"/>
        </w:rPr>
        <w:t xml:space="preserve"> a </w:t>
      </w:r>
      <w:r w:rsidRPr="003F23AC">
        <w:rPr>
          <w:rFonts w:cs="Times New Roman"/>
          <w:noProof/>
          <w:lang w:val="sk-SK"/>
        </w:rPr>
        <w:t>mechanických biologických čistiarní</w:t>
      </w:r>
      <w:r w:rsidRPr="003F23AC">
        <w:rPr>
          <w:rFonts w:cs="Times New Roman"/>
          <w:noProof/>
          <w:lang w:val="sk-SK"/>
        </w:rPr>
        <w:footnoteReference w:id="75"/>
      </w:r>
      <w:r w:rsidRPr="003F23AC">
        <w:rPr>
          <w:rFonts w:cs="Times New Roman"/>
          <w:noProof/>
          <w:lang w:val="sk-SK"/>
        </w:rPr>
        <w:t>.</w:t>
      </w:r>
      <w:r w:rsidR="00A75B3C" w:rsidRPr="003F23AC">
        <w:rPr>
          <w:rFonts w:cs="Times New Roman"/>
          <w:noProof/>
          <w:lang w:val="sk-SK"/>
        </w:rPr>
        <w:t xml:space="preserve"> V </w:t>
      </w:r>
      <w:r w:rsidRPr="003F23AC">
        <w:rPr>
          <w:rFonts w:cs="Times New Roman"/>
          <w:noProof/>
          <w:lang w:val="sk-SK"/>
        </w:rPr>
        <w:t>referenčnom rámci sa okrem toho vyžaduje, aby sa mohli vybrať len činnosti, ktoré sú</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príslušnými právnymi predpismi EÚ</w:t>
      </w:r>
      <w:r w:rsidR="00A75B3C" w:rsidRPr="003F23AC">
        <w:rPr>
          <w:rFonts w:cs="Times New Roman"/>
          <w:noProof/>
          <w:lang w:val="sk-SK"/>
        </w:rPr>
        <w:t xml:space="preserve"> a </w:t>
      </w:r>
      <w:r w:rsidRPr="003F23AC">
        <w:rPr>
          <w:rFonts w:cs="Times New Roman"/>
          <w:noProof/>
          <w:lang w:val="sk-SK"/>
        </w:rPr>
        <w:t>vnútroštátnymi právnymi predpismi</w:t>
      </w:r>
      <w:r w:rsidR="00A75B3C" w:rsidRPr="003F23AC">
        <w:rPr>
          <w:rFonts w:cs="Times New Roman"/>
          <w:noProof/>
          <w:lang w:val="sk-SK"/>
        </w:rPr>
        <w:t xml:space="preserve"> v </w:t>
      </w:r>
      <w:r w:rsidRPr="003F23AC">
        <w:rPr>
          <w:rFonts w:cs="Times New Roman"/>
          <w:noProof/>
          <w:lang w:val="sk-SK"/>
        </w:rPr>
        <w:t>oblasti životného prostredia.</w:t>
      </w:r>
    </w:p>
    <w:p w14:paraId="048368EF" w14:textId="7F91AFC9" w:rsidR="00387C70" w:rsidRPr="003F23AC" w:rsidRDefault="000F5AA4" w:rsidP="003F23AC">
      <w:pPr>
        <w:pStyle w:val="P68B1DB1-Normal4"/>
        <w:spacing w:before="40" w:after="0" w:line="22" w:lineRule="atLeast"/>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164509CF"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362ADC30" w14:textId="079570EE"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E00EDD">
          <w:headerReference w:type="even" r:id="rId306"/>
          <w:headerReference w:type="default" r:id="rId307"/>
          <w:footerReference w:type="even" r:id="rId308"/>
          <w:footerReference w:type="default" r:id="rId309"/>
          <w:headerReference w:type="first" r:id="rId310"/>
          <w:footerReference w:type="first" r:id="rId311"/>
          <w:pgSz w:w="11907" w:h="16839"/>
          <w:pgMar w:top="1134" w:right="1134" w:bottom="1134" w:left="1134" w:header="567" w:footer="567" w:gutter="0"/>
          <w:cols w:space="720"/>
          <w:docGrid w:linePitch="360"/>
        </w:sectPr>
      </w:pPr>
    </w:p>
    <w:p w14:paraId="254DFD7F" w14:textId="720C3875"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P.2.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p w14:paraId="3C02C5BB"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134"/>
        <w:gridCol w:w="1701"/>
        <w:gridCol w:w="1275"/>
        <w:gridCol w:w="993"/>
        <w:gridCol w:w="992"/>
        <w:gridCol w:w="850"/>
        <w:gridCol w:w="745"/>
        <w:gridCol w:w="389"/>
        <w:gridCol w:w="3969"/>
      </w:tblGrid>
      <w:tr w:rsidR="00387C70" w:rsidRPr="003F23AC" w14:paraId="7423F777" w14:textId="77777777" w:rsidTr="008E475E">
        <w:trPr>
          <w:trHeight w:val="910"/>
          <w:tblHeader/>
        </w:trPr>
        <w:tc>
          <w:tcPr>
            <w:tcW w:w="1135" w:type="dxa"/>
            <w:vMerge w:val="restart"/>
            <w:shd w:val="clear" w:color="auto" w:fill="BDD6EE"/>
            <w:tcMar>
              <w:left w:w="28" w:type="dxa"/>
              <w:right w:w="28" w:type="dxa"/>
            </w:tcMar>
            <w:vAlign w:val="center"/>
            <w:hideMark/>
          </w:tcPr>
          <w:p w14:paraId="5168738B"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76" w:type="dxa"/>
            <w:vMerge w:val="restart"/>
            <w:shd w:val="clear" w:color="auto" w:fill="BDD6EE"/>
            <w:tcMar>
              <w:left w:w="28" w:type="dxa"/>
              <w:right w:w="28" w:type="dxa"/>
            </w:tcMar>
            <w:vAlign w:val="center"/>
            <w:hideMark/>
          </w:tcPr>
          <w:p w14:paraId="2F2588D1"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34" w:type="dxa"/>
            <w:vMerge w:val="restart"/>
            <w:shd w:val="clear" w:color="auto" w:fill="BDD6EE"/>
            <w:tcMar>
              <w:left w:w="28" w:type="dxa"/>
              <w:right w:w="28" w:type="dxa"/>
            </w:tcMar>
            <w:vAlign w:val="center"/>
            <w:hideMark/>
          </w:tcPr>
          <w:p w14:paraId="29213AC1"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Medzník/</w:t>
            </w:r>
          </w:p>
          <w:p w14:paraId="4DFE944A" w14:textId="7AD7D494"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w:t>
            </w:r>
          </w:p>
        </w:tc>
        <w:tc>
          <w:tcPr>
            <w:tcW w:w="1701" w:type="dxa"/>
            <w:vMerge w:val="restart"/>
            <w:shd w:val="clear" w:color="auto" w:fill="BDD6EE"/>
            <w:tcMar>
              <w:left w:w="28" w:type="dxa"/>
              <w:right w:w="28" w:type="dxa"/>
            </w:tcMar>
            <w:vAlign w:val="center"/>
            <w:hideMark/>
          </w:tcPr>
          <w:p w14:paraId="3A8BB6F8"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275" w:type="dxa"/>
            <w:vMerge w:val="restart"/>
            <w:shd w:val="clear" w:color="auto" w:fill="BDD6EE"/>
            <w:tcMar>
              <w:left w:w="28" w:type="dxa"/>
              <w:right w:w="28" w:type="dxa"/>
            </w:tcMar>
            <w:vAlign w:val="center"/>
            <w:hideMark/>
          </w:tcPr>
          <w:p w14:paraId="1CF72B0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835" w:type="dxa"/>
            <w:gridSpan w:val="3"/>
            <w:shd w:val="clear" w:color="auto" w:fill="BDD6EE"/>
            <w:tcMar>
              <w:left w:w="28" w:type="dxa"/>
              <w:right w:w="28" w:type="dxa"/>
            </w:tcMar>
            <w:vAlign w:val="center"/>
            <w:hideMark/>
          </w:tcPr>
          <w:p w14:paraId="51396FD9"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134" w:type="dxa"/>
            <w:gridSpan w:val="2"/>
            <w:shd w:val="clear" w:color="auto" w:fill="BDD6EE"/>
            <w:tcMar>
              <w:left w:w="28" w:type="dxa"/>
              <w:right w:w="28" w:type="dxa"/>
            </w:tcMar>
            <w:vAlign w:val="center"/>
            <w:hideMark/>
          </w:tcPr>
          <w:p w14:paraId="2384B14C"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3969" w:type="dxa"/>
            <w:vMerge w:val="restart"/>
            <w:shd w:val="clear" w:color="auto" w:fill="BDD6EE"/>
            <w:tcMar>
              <w:left w:w="28" w:type="dxa"/>
              <w:right w:w="28" w:type="dxa"/>
            </w:tcMar>
            <w:vAlign w:val="center"/>
            <w:hideMark/>
          </w:tcPr>
          <w:p w14:paraId="349285CE" w14:textId="74D97AC1"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18352C4C" w14:textId="77777777" w:rsidTr="008E475E">
        <w:trPr>
          <w:trHeight w:val="470"/>
          <w:tblHeader/>
        </w:trPr>
        <w:tc>
          <w:tcPr>
            <w:tcW w:w="1135" w:type="dxa"/>
            <w:vMerge/>
            <w:tcMar>
              <w:left w:w="28" w:type="dxa"/>
              <w:right w:w="28" w:type="dxa"/>
            </w:tcMar>
            <w:vAlign w:val="center"/>
            <w:hideMark/>
          </w:tcPr>
          <w:p w14:paraId="22D982F3"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6" w:type="dxa"/>
            <w:vMerge/>
            <w:tcMar>
              <w:left w:w="28" w:type="dxa"/>
              <w:right w:w="28" w:type="dxa"/>
            </w:tcMar>
            <w:vAlign w:val="center"/>
            <w:hideMark/>
          </w:tcPr>
          <w:p w14:paraId="0D815B5A"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34" w:type="dxa"/>
            <w:vMerge/>
            <w:shd w:val="clear" w:color="auto" w:fill="BDD6EE"/>
            <w:tcMar>
              <w:left w:w="28" w:type="dxa"/>
              <w:right w:w="28" w:type="dxa"/>
            </w:tcMar>
            <w:vAlign w:val="center"/>
            <w:hideMark/>
          </w:tcPr>
          <w:p w14:paraId="369A5294" w14:textId="6750FDB0"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701" w:type="dxa"/>
            <w:vMerge/>
            <w:tcMar>
              <w:left w:w="28" w:type="dxa"/>
              <w:right w:w="28" w:type="dxa"/>
            </w:tcMar>
            <w:vAlign w:val="center"/>
            <w:hideMark/>
          </w:tcPr>
          <w:p w14:paraId="595ECB29"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5" w:type="dxa"/>
            <w:vMerge/>
            <w:tcMar>
              <w:left w:w="28" w:type="dxa"/>
              <w:right w:w="28" w:type="dxa"/>
            </w:tcMar>
            <w:vAlign w:val="center"/>
            <w:hideMark/>
          </w:tcPr>
          <w:p w14:paraId="24A4C41B"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993" w:type="dxa"/>
            <w:shd w:val="clear" w:color="auto" w:fill="BDD6EE"/>
            <w:tcMar>
              <w:left w:w="28" w:type="dxa"/>
              <w:right w:w="28" w:type="dxa"/>
            </w:tcMar>
            <w:vAlign w:val="center"/>
            <w:hideMark/>
          </w:tcPr>
          <w:p w14:paraId="6003FBF9"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992" w:type="dxa"/>
            <w:shd w:val="clear" w:color="auto" w:fill="BDD6EE"/>
            <w:tcMar>
              <w:left w:w="28" w:type="dxa"/>
              <w:right w:w="28" w:type="dxa"/>
            </w:tcMar>
            <w:vAlign w:val="center"/>
            <w:hideMark/>
          </w:tcPr>
          <w:p w14:paraId="13E67A31" w14:textId="48CF4C0D"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850" w:type="dxa"/>
            <w:shd w:val="clear" w:color="auto" w:fill="BDD6EE"/>
            <w:tcMar>
              <w:left w:w="28" w:type="dxa"/>
              <w:right w:w="28" w:type="dxa"/>
            </w:tcMar>
            <w:vAlign w:val="center"/>
            <w:hideMark/>
          </w:tcPr>
          <w:p w14:paraId="0BEA7183" w14:textId="63541E8B"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745" w:type="dxa"/>
            <w:shd w:val="clear" w:color="auto" w:fill="BDD6EE"/>
            <w:tcMar>
              <w:left w:w="28" w:type="dxa"/>
              <w:right w:w="28" w:type="dxa"/>
            </w:tcMar>
            <w:vAlign w:val="center"/>
            <w:hideMark/>
          </w:tcPr>
          <w:p w14:paraId="3C115B8C" w14:textId="1887DD1D"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389" w:type="dxa"/>
            <w:shd w:val="clear" w:color="auto" w:fill="BDD6EE"/>
            <w:tcMar>
              <w:left w:w="28" w:type="dxa"/>
              <w:right w:w="28" w:type="dxa"/>
            </w:tcMar>
            <w:vAlign w:val="center"/>
            <w:hideMark/>
          </w:tcPr>
          <w:p w14:paraId="00F1E31A"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3969" w:type="dxa"/>
            <w:vMerge/>
            <w:tcMar>
              <w:left w:w="28" w:type="dxa"/>
              <w:right w:w="28" w:type="dxa"/>
            </w:tcMar>
            <w:vAlign w:val="center"/>
            <w:hideMark/>
          </w:tcPr>
          <w:p w14:paraId="5AA21CBC"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7B1ED792" w14:textId="77777777" w:rsidTr="008E475E">
        <w:trPr>
          <w:trHeight w:val="1480"/>
        </w:trPr>
        <w:tc>
          <w:tcPr>
            <w:tcW w:w="1135" w:type="dxa"/>
            <w:shd w:val="clear" w:color="auto" w:fill="C5EFCE"/>
            <w:tcMar>
              <w:left w:w="28" w:type="dxa"/>
              <w:right w:w="28" w:type="dxa"/>
            </w:tcMar>
            <w:vAlign w:val="center"/>
            <w:hideMark/>
          </w:tcPr>
          <w:p w14:paraId="4AF10FF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16.1</w:t>
            </w:r>
          </w:p>
        </w:tc>
        <w:tc>
          <w:tcPr>
            <w:tcW w:w="1276" w:type="dxa"/>
            <w:shd w:val="clear" w:color="auto" w:fill="C4EFCE"/>
            <w:noWrap/>
            <w:tcMar>
              <w:left w:w="28" w:type="dxa"/>
              <w:right w:w="28" w:type="dxa"/>
            </w:tcMar>
            <w:vAlign w:val="center"/>
            <w:hideMark/>
          </w:tcPr>
          <w:p w14:paraId="1CFD4A1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TD-C16-r31</w:t>
            </w:r>
          </w:p>
        </w:tc>
        <w:tc>
          <w:tcPr>
            <w:tcW w:w="1134" w:type="dxa"/>
            <w:shd w:val="clear" w:color="auto" w:fill="C4EFCE"/>
            <w:noWrap/>
            <w:tcMar>
              <w:left w:w="28" w:type="dxa"/>
              <w:right w:w="28" w:type="dxa"/>
            </w:tcMar>
            <w:vAlign w:val="center"/>
            <w:hideMark/>
          </w:tcPr>
          <w:p w14:paraId="3C1067B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5C68A283" w14:textId="6615A3B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preskúmania obsahu odbornej prípravy zahrnutého do národného katalógu kvalifikácií, pokiaľ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moduly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digitálnych zručností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právne predpisy alebo nariadenia na vytváranie digitálnych podpisov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pečatí</w:t>
            </w:r>
          </w:p>
        </w:tc>
        <w:tc>
          <w:tcPr>
            <w:tcW w:w="1275" w:type="dxa"/>
            <w:shd w:val="clear" w:color="auto" w:fill="C4EFCE"/>
            <w:noWrap/>
            <w:tcMar>
              <w:left w:w="28" w:type="dxa"/>
              <w:right w:w="28" w:type="dxa"/>
            </w:tcMar>
            <w:vAlign w:val="center"/>
            <w:hideMark/>
          </w:tcPr>
          <w:p w14:paraId="352F6829" w14:textId="05EC04C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preskúmania obsahu odbornej prípravy zahrnutého do národného katalógu kvalifikácií, pokiaľ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moduly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digitálnych zručností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právne predpisy alebo nariadenia na vytváranie digitálnych podpisov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pečatí</w:t>
            </w:r>
          </w:p>
        </w:tc>
        <w:tc>
          <w:tcPr>
            <w:tcW w:w="993" w:type="dxa"/>
            <w:shd w:val="clear" w:color="auto" w:fill="C4EFCE"/>
            <w:noWrap/>
            <w:tcMar>
              <w:left w:w="28" w:type="dxa"/>
              <w:right w:w="28" w:type="dxa"/>
            </w:tcMar>
            <w:vAlign w:val="center"/>
            <w:hideMark/>
          </w:tcPr>
          <w:p w14:paraId="76BBCE4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1DE63EE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50" w:type="dxa"/>
            <w:shd w:val="clear" w:color="auto" w:fill="C4EFCE"/>
            <w:noWrap/>
            <w:tcMar>
              <w:left w:w="28" w:type="dxa"/>
              <w:right w:w="28" w:type="dxa"/>
            </w:tcMar>
            <w:vAlign w:val="center"/>
            <w:hideMark/>
          </w:tcPr>
          <w:p w14:paraId="2508298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45" w:type="dxa"/>
            <w:shd w:val="clear" w:color="auto" w:fill="C4EFCE"/>
            <w:noWrap/>
            <w:tcMar>
              <w:left w:w="28" w:type="dxa"/>
              <w:right w:w="28" w:type="dxa"/>
            </w:tcMar>
            <w:vAlign w:val="center"/>
            <w:hideMark/>
          </w:tcPr>
          <w:p w14:paraId="452D819F" w14:textId="507E30E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389" w:type="dxa"/>
            <w:shd w:val="clear" w:color="auto" w:fill="C4EFCE"/>
            <w:noWrap/>
            <w:tcMar>
              <w:left w:w="28" w:type="dxa"/>
              <w:right w:w="28" w:type="dxa"/>
            </w:tcMar>
            <w:vAlign w:val="center"/>
            <w:hideMark/>
          </w:tcPr>
          <w:p w14:paraId="7DD2945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69" w:type="dxa"/>
            <w:shd w:val="clear" w:color="auto" w:fill="C4EFCE"/>
            <w:tcMar>
              <w:left w:w="28" w:type="dxa"/>
              <w:right w:w="28" w:type="dxa"/>
            </w:tcMar>
            <w:vAlign w:val="center"/>
            <w:hideMark/>
          </w:tcPr>
          <w:p w14:paraId="1291B6CF" w14:textId="6CF5138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týchto právnych predpisov alebo nariadení: (1)Preskúmanie obsahu odborného vzdelávania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prípravy zahrnutého do národného katalógu kvalifikácií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digitálnych zručností, konkrétne modulov odbornej prípravy týkajúcich sa technológií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nástrojov,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rozvíjať zručnosti, ktoré sú väčšinou potrebné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profesijnom kontexte na základe diagnostiky predvídania zručností. (2) Právne predpisy alebo právne predpisy potrebné na vytvorenie digitálnych podpisov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pečatí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kybernetickej bezpečnosti, súkromia, udržateľnosti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použiteľnosti. Vytvorenie tohto právneho rámca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podpora digitálnej dôvery je podmienkou realizácie investícií do digitálnych pečatí plánovaných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tejto zložke.</w:t>
            </w:r>
          </w:p>
        </w:tc>
      </w:tr>
      <w:tr w:rsidR="00387C70" w:rsidRPr="003F23AC" w14:paraId="6459D986" w14:textId="77777777" w:rsidTr="008E475E">
        <w:trPr>
          <w:trHeight w:val="630"/>
        </w:trPr>
        <w:tc>
          <w:tcPr>
            <w:tcW w:w="1135" w:type="dxa"/>
            <w:shd w:val="clear" w:color="auto" w:fill="C5EFCE"/>
            <w:tcMar>
              <w:left w:w="28" w:type="dxa"/>
              <w:right w:w="28" w:type="dxa"/>
            </w:tcMar>
            <w:vAlign w:val="center"/>
            <w:hideMark/>
          </w:tcPr>
          <w:p w14:paraId="6940FAF7"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16.2</w:t>
            </w:r>
          </w:p>
        </w:tc>
        <w:tc>
          <w:tcPr>
            <w:tcW w:w="1276" w:type="dxa"/>
            <w:shd w:val="clear" w:color="auto" w:fill="C4EFCE"/>
            <w:noWrap/>
            <w:tcMar>
              <w:left w:w="28" w:type="dxa"/>
              <w:right w:w="28" w:type="dxa"/>
            </w:tcMar>
            <w:vAlign w:val="center"/>
            <w:hideMark/>
          </w:tcPr>
          <w:p w14:paraId="7CE8CA8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TD-C16-i01</w:t>
            </w:r>
          </w:p>
        </w:tc>
        <w:tc>
          <w:tcPr>
            <w:tcW w:w="1134" w:type="dxa"/>
            <w:shd w:val="clear" w:color="auto" w:fill="C4EFCE"/>
            <w:noWrap/>
            <w:tcMar>
              <w:left w:w="28" w:type="dxa"/>
              <w:right w:w="28" w:type="dxa"/>
            </w:tcMar>
            <w:vAlign w:val="center"/>
            <w:hideMark/>
          </w:tcPr>
          <w:p w14:paraId="09AF172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1D18194C" w14:textId="13E6915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Začiatok programu Portugalská digitálna akadémia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programu Zamestnanosť + digitálne programy </w:t>
            </w:r>
          </w:p>
        </w:tc>
        <w:tc>
          <w:tcPr>
            <w:tcW w:w="1275" w:type="dxa"/>
            <w:shd w:val="clear" w:color="auto" w:fill="C4EFCE"/>
            <w:noWrap/>
            <w:tcMar>
              <w:left w:w="28" w:type="dxa"/>
              <w:right w:w="28" w:type="dxa"/>
            </w:tcMar>
            <w:vAlign w:val="center"/>
            <w:hideMark/>
          </w:tcPr>
          <w:p w14:paraId="408F4230" w14:textId="7987DEB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Začiatok portugalskej digitálnej akadémie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programu pre zamestnanosť + digitálne programy</w:t>
            </w:r>
          </w:p>
        </w:tc>
        <w:tc>
          <w:tcPr>
            <w:tcW w:w="993" w:type="dxa"/>
            <w:shd w:val="clear" w:color="auto" w:fill="C4EFCE"/>
            <w:noWrap/>
            <w:tcMar>
              <w:left w:w="28" w:type="dxa"/>
              <w:right w:w="28" w:type="dxa"/>
            </w:tcMar>
            <w:vAlign w:val="center"/>
            <w:hideMark/>
          </w:tcPr>
          <w:p w14:paraId="52EB1383"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1F586DE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50" w:type="dxa"/>
            <w:shd w:val="clear" w:color="auto" w:fill="C4EFCE"/>
            <w:noWrap/>
            <w:tcMar>
              <w:left w:w="28" w:type="dxa"/>
              <w:right w:w="28" w:type="dxa"/>
            </w:tcMar>
            <w:vAlign w:val="center"/>
            <w:hideMark/>
          </w:tcPr>
          <w:p w14:paraId="1E7CB3D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45" w:type="dxa"/>
            <w:shd w:val="clear" w:color="auto" w:fill="C4EFCE"/>
            <w:noWrap/>
            <w:tcMar>
              <w:left w:w="28" w:type="dxa"/>
              <w:right w:w="28" w:type="dxa"/>
            </w:tcMar>
            <w:vAlign w:val="center"/>
            <w:hideMark/>
          </w:tcPr>
          <w:p w14:paraId="310C5484" w14:textId="38A634D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389" w:type="dxa"/>
            <w:shd w:val="clear" w:color="auto" w:fill="C4EFCE"/>
            <w:noWrap/>
            <w:tcMar>
              <w:left w:w="28" w:type="dxa"/>
              <w:right w:w="28" w:type="dxa"/>
            </w:tcMar>
            <w:vAlign w:val="center"/>
            <w:hideMark/>
          </w:tcPr>
          <w:p w14:paraId="411306C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69" w:type="dxa"/>
            <w:shd w:val="clear" w:color="auto" w:fill="C4EFCE"/>
            <w:tcMar>
              <w:left w:w="28" w:type="dxa"/>
              <w:right w:w="28" w:type="dxa"/>
            </w:tcMar>
            <w:vAlign w:val="center"/>
            <w:hideMark/>
          </w:tcPr>
          <w:p w14:paraId="7F507B02" w14:textId="495608C6"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Portugalská digitálna akadémia – 1. online platforma je funkčná</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prístupná pre jej používateľov; 2. sú vymedzené diagnostické postupy na posúdenie odporúčaní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digitálnych zručností pre stážistov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vymedzenie personalizovaných kurzov odbornej prípravy, ktoré potrebujú,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prvý súbor online školení sa začína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je dostupný pre stážistov</w:t>
            </w:r>
            <w:r w:rsidR="00A75B3C" w:rsidRPr="003F23AC">
              <w:rPr>
                <w:rFonts w:ascii="Times New Roman" w:hAnsi="Times New Roman" w:cs="Times New Roman"/>
                <w:noProof/>
                <w:lang w:val="sk-SK"/>
              </w:rPr>
              <w:t>.</w:t>
            </w:r>
          </w:p>
          <w:p w14:paraId="11F7A3F6" w14:textId="1654ABD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Zamestnanosť + digitálna ekonomika – 1. identifikujú sa cieľové hospodárske odvetvia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vymedzujú sa ich hlavné digitálne výzvy, ktoré sa majú</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kurzov riešiť; 2. identifikujú sa partneri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zainteresované strany na vykonávanie programu; (3) program odbornej prípravy sa začína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začína sa online, osobná alebo zmiešaná odborná príprava.</w:t>
            </w:r>
          </w:p>
        </w:tc>
      </w:tr>
      <w:tr w:rsidR="00387C70" w:rsidRPr="003F23AC" w14:paraId="641661D3" w14:textId="77777777" w:rsidTr="008E475E">
        <w:trPr>
          <w:trHeight w:val="640"/>
        </w:trPr>
        <w:tc>
          <w:tcPr>
            <w:tcW w:w="1135" w:type="dxa"/>
            <w:shd w:val="clear" w:color="auto" w:fill="C5EFCE"/>
            <w:tcMar>
              <w:left w:w="28" w:type="dxa"/>
              <w:right w:w="28" w:type="dxa"/>
            </w:tcMar>
            <w:vAlign w:val="center"/>
            <w:hideMark/>
          </w:tcPr>
          <w:p w14:paraId="7B9A6855"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16.3</w:t>
            </w:r>
          </w:p>
        </w:tc>
        <w:tc>
          <w:tcPr>
            <w:tcW w:w="1276" w:type="dxa"/>
            <w:shd w:val="clear" w:color="auto" w:fill="C4EFCE"/>
            <w:noWrap/>
            <w:tcMar>
              <w:left w:w="28" w:type="dxa"/>
              <w:right w:w="28" w:type="dxa"/>
            </w:tcMar>
            <w:vAlign w:val="center"/>
            <w:hideMark/>
          </w:tcPr>
          <w:p w14:paraId="6DA18CB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TD-C16-i01</w:t>
            </w:r>
          </w:p>
        </w:tc>
        <w:tc>
          <w:tcPr>
            <w:tcW w:w="1134" w:type="dxa"/>
            <w:shd w:val="clear" w:color="auto" w:fill="C4EFCE"/>
            <w:noWrap/>
            <w:tcMar>
              <w:left w:w="28" w:type="dxa"/>
              <w:right w:w="28" w:type="dxa"/>
            </w:tcMar>
            <w:vAlign w:val="center"/>
            <w:hideMark/>
          </w:tcPr>
          <w:p w14:paraId="69A0921C" w14:textId="094937EB"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5012349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Zamestnanosť + účastníci digitálnej odbornej prípravy</w:t>
            </w:r>
          </w:p>
        </w:tc>
        <w:tc>
          <w:tcPr>
            <w:tcW w:w="1275" w:type="dxa"/>
            <w:shd w:val="clear" w:color="auto" w:fill="C4EFCE"/>
            <w:noWrap/>
            <w:tcMar>
              <w:left w:w="28" w:type="dxa"/>
              <w:right w:w="28" w:type="dxa"/>
            </w:tcMar>
            <w:vAlign w:val="center"/>
            <w:hideMark/>
          </w:tcPr>
          <w:p w14:paraId="65780DF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49BDCF9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11D2D46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hideMark/>
          </w:tcPr>
          <w:p w14:paraId="602ABAB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200 000</w:t>
            </w:r>
          </w:p>
        </w:tc>
        <w:tc>
          <w:tcPr>
            <w:tcW w:w="745" w:type="dxa"/>
            <w:shd w:val="clear" w:color="auto" w:fill="C4EFCE"/>
            <w:noWrap/>
            <w:tcMar>
              <w:left w:w="28" w:type="dxa"/>
              <w:right w:w="28" w:type="dxa"/>
            </w:tcMar>
            <w:vAlign w:val="center"/>
            <w:hideMark/>
          </w:tcPr>
          <w:p w14:paraId="62492B9C" w14:textId="51AB8400"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389" w:type="dxa"/>
            <w:shd w:val="clear" w:color="auto" w:fill="C4EFCE"/>
            <w:noWrap/>
            <w:tcMar>
              <w:left w:w="28" w:type="dxa"/>
              <w:right w:w="28" w:type="dxa"/>
            </w:tcMar>
            <w:vAlign w:val="center"/>
            <w:hideMark/>
          </w:tcPr>
          <w:p w14:paraId="2C1ADD8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1DB28148" w14:textId="6DACD40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účastníkov odbornej prípravy, ktorí absolvovali online, prezenčný alebo zmiešaný modul odbornej prípravy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rekvalifikácie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zvyšovania úrovne zručností so zameraním na digitálne zručnosti, ktoré riešia výzvy identifikovaných hospodárskych odvetví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programe Zamestnanosť + digitálny program. Vybrané hospodárske odvetvia sú tie, ktoré boli identifikované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čiastkovom cieli 1. štvrťroka 2022.</w:t>
            </w:r>
          </w:p>
        </w:tc>
      </w:tr>
      <w:tr w:rsidR="00387C70" w:rsidRPr="003F23AC" w14:paraId="3B45A3FB" w14:textId="77777777" w:rsidTr="008E475E">
        <w:trPr>
          <w:trHeight w:val="430"/>
        </w:trPr>
        <w:tc>
          <w:tcPr>
            <w:tcW w:w="1135" w:type="dxa"/>
            <w:shd w:val="clear" w:color="auto" w:fill="C5EFCE"/>
            <w:tcMar>
              <w:left w:w="28" w:type="dxa"/>
              <w:right w:w="28" w:type="dxa"/>
            </w:tcMar>
            <w:vAlign w:val="center"/>
            <w:hideMark/>
          </w:tcPr>
          <w:p w14:paraId="49B3BE1C"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16.4</w:t>
            </w:r>
          </w:p>
        </w:tc>
        <w:tc>
          <w:tcPr>
            <w:tcW w:w="1276" w:type="dxa"/>
            <w:shd w:val="clear" w:color="auto" w:fill="C4EFCE"/>
            <w:noWrap/>
            <w:tcMar>
              <w:left w:w="28" w:type="dxa"/>
              <w:right w:w="28" w:type="dxa"/>
            </w:tcMar>
            <w:vAlign w:val="center"/>
            <w:hideMark/>
          </w:tcPr>
          <w:p w14:paraId="0F91059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TD-C16-i01</w:t>
            </w:r>
          </w:p>
        </w:tc>
        <w:tc>
          <w:tcPr>
            <w:tcW w:w="1134" w:type="dxa"/>
            <w:shd w:val="clear" w:color="auto" w:fill="C4EFCE"/>
            <w:noWrap/>
            <w:tcMar>
              <w:left w:w="28" w:type="dxa"/>
              <w:right w:w="28" w:type="dxa"/>
            </w:tcMar>
            <w:vAlign w:val="center"/>
            <w:hideMark/>
          </w:tcPr>
          <w:p w14:paraId="498FA43B" w14:textId="7BD56B91"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269C3E6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Portugalská digitálna akadémia, účastníci odbornej prípravy</w:t>
            </w:r>
          </w:p>
        </w:tc>
        <w:tc>
          <w:tcPr>
            <w:tcW w:w="1275" w:type="dxa"/>
            <w:shd w:val="clear" w:color="auto" w:fill="C4EFCE"/>
            <w:noWrap/>
            <w:tcMar>
              <w:left w:w="28" w:type="dxa"/>
              <w:right w:w="28" w:type="dxa"/>
            </w:tcMar>
            <w:vAlign w:val="center"/>
            <w:hideMark/>
          </w:tcPr>
          <w:p w14:paraId="5311EC0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719790E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5E9E735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hideMark/>
          </w:tcPr>
          <w:p w14:paraId="7FBAA0E5" w14:textId="755ABA9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500 000</w:t>
            </w:r>
          </w:p>
        </w:tc>
        <w:tc>
          <w:tcPr>
            <w:tcW w:w="745" w:type="dxa"/>
            <w:shd w:val="clear" w:color="auto" w:fill="C4EFCE"/>
            <w:noWrap/>
            <w:tcMar>
              <w:left w:w="28" w:type="dxa"/>
              <w:right w:w="28" w:type="dxa"/>
            </w:tcMar>
            <w:vAlign w:val="center"/>
            <w:hideMark/>
          </w:tcPr>
          <w:p w14:paraId="35BB736B" w14:textId="16CFD8E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389" w:type="dxa"/>
            <w:shd w:val="clear" w:color="auto" w:fill="C4EFCE"/>
            <w:noWrap/>
            <w:tcMar>
              <w:left w:w="28" w:type="dxa"/>
              <w:right w:w="28" w:type="dxa"/>
            </w:tcMar>
            <w:vAlign w:val="center"/>
            <w:hideMark/>
          </w:tcPr>
          <w:p w14:paraId="73479E0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2B4C4465" w14:textId="4A8EE18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účastníkov odbornej prípravy, ktorí absolvovali diagnostiku digitálnych zručností. 125000 účastníkov absolvuje aj online zmiešaný alebo prezenčný modul</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Portugalskej digitálnej akadémie.</w:t>
            </w:r>
          </w:p>
          <w:p w14:paraId="1D8610F7" w14:textId="5BE4E11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Okrem toho sa sprístupní päťdesiat novovytvorených MOOC.</w:t>
            </w:r>
          </w:p>
        </w:tc>
      </w:tr>
      <w:tr w:rsidR="00387C70" w:rsidRPr="003F23AC" w14:paraId="36F65094" w14:textId="77777777" w:rsidTr="008E475E">
        <w:trPr>
          <w:trHeight w:val="840"/>
        </w:trPr>
        <w:tc>
          <w:tcPr>
            <w:tcW w:w="1135" w:type="dxa"/>
            <w:shd w:val="clear" w:color="auto" w:fill="C5EFCE"/>
            <w:tcMar>
              <w:left w:w="28" w:type="dxa"/>
              <w:right w:w="28" w:type="dxa"/>
            </w:tcMar>
            <w:vAlign w:val="center"/>
            <w:hideMark/>
          </w:tcPr>
          <w:p w14:paraId="79B09C4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16.5</w:t>
            </w:r>
          </w:p>
        </w:tc>
        <w:tc>
          <w:tcPr>
            <w:tcW w:w="1276" w:type="dxa"/>
            <w:shd w:val="clear" w:color="auto" w:fill="C4EFCE"/>
            <w:noWrap/>
            <w:tcMar>
              <w:left w:w="28" w:type="dxa"/>
              <w:right w:w="28" w:type="dxa"/>
            </w:tcMar>
            <w:vAlign w:val="center"/>
            <w:hideMark/>
          </w:tcPr>
          <w:p w14:paraId="0767AC8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TD-C16-i02</w:t>
            </w:r>
          </w:p>
        </w:tc>
        <w:tc>
          <w:tcPr>
            <w:tcW w:w="1134" w:type="dxa"/>
            <w:shd w:val="clear" w:color="auto" w:fill="C4EFCE"/>
            <w:noWrap/>
            <w:tcMar>
              <w:left w:w="28" w:type="dxa"/>
              <w:right w:w="28" w:type="dxa"/>
            </w:tcMar>
            <w:vAlign w:val="center"/>
            <w:hideMark/>
          </w:tcPr>
          <w:p w14:paraId="2F519593" w14:textId="3CBBECB6"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67E3F18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MSP podporované urýchľovačmi digitálneho obchodu </w:t>
            </w:r>
          </w:p>
        </w:tc>
        <w:tc>
          <w:tcPr>
            <w:tcW w:w="1275" w:type="dxa"/>
            <w:shd w:val="clear" w:color="auto" w:fill="C4EFCE"/>
            <w:noWrap/>
            <w:tcMar>
              <w:left w:w="28" w:type="dxa"/>
              <w:right w:w="28" w:type="dxa"/>
            </w:tcMar>
            <w:vAlign w:val="center"/>
            <w:hideMark/>
          </w:tcPr>
          <w:p w14:paraId="2EB5D30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106DD7F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6101D99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hideMark/>
          </w:tcPr>
          <w:p w14:paraId="1F057A08" w14:textId="769CE70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12 500</w:t>
            </w:r>
          </w:p>
        </w:tc>
        <w:tc>
          <w:tcPr>
            <w:tcW w:w="745" w:type="dxa"/>
            <w:shd w:val="clear" w:color="auto" w:fill="C4EFCE"/>
            <w:noWrap/>
            <w:tcMar>
              <w:left w:w="28" w:type="dxa"/>
              <w:right w:w="28" w:type="dxa"/>
            </w:tcMar>
            <w:vAlign w:val="center"/>
            <w:hideMark/>
          </w:tcPr>
          <w:p w14:paraId="30274845" w14:textId="638ABA7E"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389" w:type="dxa"/>
            <w:shd w:val="clear" w:color="auto" w:fill="C4EFCE"/>
            <w:noWrap/>
            <w:tcMar>
              <w:left w:w="28" w:type="dxa"/>
              <w:right w:w="28" w:type="dxa"/>
            </w:tcMar>
            <w:vAlign w:val="center"/>
            <w:hideMark/>
          </w:tcPr>
          <w:p w14:paraId="6E0C3DDB" w14:textId="7C58F5E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hideMark/>
          </w:tcPr>
          <w:p w14:paraId="0FC25A66" w14:textId="10D25154"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MSP podporovaných vytvorením 25 miestnych, regionálnych alebo odvetvových urýchľovačov digitálneho obchodu, ako aj systému finančných stimulov na digitalizáciu obchodných modelov MSP. Podpora pozostáva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posúdenia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diagnostiky úrovne digitalizácie prijímajúcich MSP, ako aj</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poskytovania cielených služieb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stimulov na zvýšenie zavádzania digitálnych technológií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obchodnom modeli prijímateľov</w:t>
            </w:r>
            <w:r w:rsidR="00A75B3C" w:rsidRPr="003F23AC">
              <w:rPr>
                <w:rFonts w:ascii="Times New Roman" w:hAnsi="Times New Roman" w:cs="Times New Roman"/>
                <w:noProof/>
                <w:lang w:val="sk-SK"/>
              </w:rPr>
              <w:t>.</w:t>
            </w:r>
          </w:p>
          <w:p w14:paraId="66ADDCA3" w14:textId="44D05B2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Výberovými kritériami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„nespôsobovať významnú škodu“ (2021/C58/01) podporovaných transakcií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tohto opatrenia prostredníctvom overovania udržateľnosti,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r w:rsidR="00387C70" w:rsidRPr="003F23AC" w14:paraId="5705A32B" w14:textId="77777777" w:rsidTr="008E475E">
        <w:trPr>
          <w:trHeight w:val="420"/>
        </w:trPr>
        <w:tc>
          <w:tcPr>
            <w:tcW w:w="1135" w:type="dxa"/>
            <w:shd w:val="clear" w:color="auto" w:fill="C5EFCE"/>
            <w:tcMar>
              <w:left w:w="28" w:type="dxa"/>
              <w:right w:w="28" w:type="dxa"/>
            </w:tcMar>
            <w:vAlign w:val="center"/>
            <w:hideMark/>
          </w:tcPr>
          <w:p w14:paraId="000270A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16.6</w:t>
            </w:r>
          </w:p>
        </w:tc>
        <w:tc>
          <w:tcPr>
            <w:tcW w:w="1276" w:type="dxa"/>
            <w:shd w:val="clear" w:color="auto" w:fill="C4EFCE"/>
            <w:noWrap/>
            <w:tcMar>
              <w:left w:w="28" w:type="dxa"/>
              <w:right w:w="28" w:type="dxa"/>
            </w:tcMar>
            <w:vAlign w:val="center"/>
            <w:hideMark/>
          </w:tcPr>
          <w:p w14:paraId="78A96FD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TD-C16-i02</w:t>
            </w:r>
          </w:p>
        </w:tc>
        <w:tc>
          <w:tcPr>
            <w:tcW w:w="1134" w:type="dxa"/>
            <w:shd w:val="clear" w:color="auto" w:fill="C4EFCE"/>
            <w:noWrap/>
            <w:tcMar>
              <w:left w:w="28" w:type="dxa"/>
              <w:right w:w="28" w:type="dxa"/>
            </w:tcMar>
            <w:vAlign w:val="center"/>
            <w:hideMark/>
          </w:tcPr>
          <w:p w14:paraId="17357B62" w14:textId="6E12F894"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79CB16DF" w14:textId="0F7921F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Vyvinuté pilotné produkty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služby vnútroštátnej siete testovacích Beds</w:t>
            </w:r>
          </w:p>
        </w:tc>
        <w:tc>
          <w:tcPr>
            <w:tcW w:w="1275" w:type="dxa"/>
            <w:shd w:val="clear" w:color="auto" w:fill="C4EFCE"/>
            <w:noWrap/>
            <w:tcMar>
              <w:left w:w="28" w:type="dxa"/>
              <w:right w:w="28" w:type="dxa"/>
            </w:tcMar>
            <w:vAlign w:val="center"/>
            <w:hideMark/>
          </w:tcPr>
          <w:p w14:paraId="7F3952A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5524FBB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06DA02C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hideMark/>
          </w:tcPr>
          <w:p w14:paraId="74A9A84A" w14:textId="7BDE757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600</w:t>
            </w:r>
          </w:p>
        </w:tc>
        <w:tc>
          <w:tcPr>
            <w:tcW w:w="745" w:type="dxa"/>
            <w:shd w:val="clear" w:color="auto" w:fill="C4EFCE"/>
            <w:noWrap/>
            <w:tcMar>
              <w:left w:w="28" w:type="dxa"/>
              <w:right w:w="28" w:type="dxa"/>
            </w:tcMar>
            <w:vAlign w:val="center"/>
            <w:hideMark/>
          </w:tcPr>
          <w:p w14:paraId="2BAA25D5" w14:textId="6BFF692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389" w:type="dxa"/>
            <w:shd w:val="clear" w:color="auto" w:fill="C4EFCE"/>
            <w:noWrap/>
            <w:tcMar>
              <w:left w:w="28" w:type="dxa"/>
              <w:right w:w="28" w:type="dxa"/>
            </w:tcMar>
            <w:vAlign w:val="center"/>
            <w:hideMark/>
          </w:tcPr>
          <w:p w14:paraId="397A151A" w14:textId="454F43F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hideMark/>
          </w:tcPr>
          <w:p w14:paraId="1EEC3B80" w14:textId="3B0B0D18"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vyvinutých pilotných produktov alebo služieb (s úmyslom dosiahnuť aspoň úroveň technologickej pripravenosti 5)</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národnej sieti testovacích stredísk</w:t>
            </w:r>
            <w:r w:rsidR="00A75B3C" w:rsidRPr="003F23AC">
              <w:rPr>
                <w:rFonts w:ascii="Times New Roman" w:hAnsi="Times New Roman" w:cs="Times New Roman"/>
                <w:noProof/>
                <w:lang w:val="sk-SK"/>
              </w:rPr>
              <w:t>.</w:t>
            </w:r>
          </w:p>
          <w:p w14:paraId="1B884D2E" w14:textId="5641D04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Výberovými kritériami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„nespôsobovať významnú škodu“ (2021/C58/01) podporovaných transakcií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tohto opatrenia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r w:rsidR="00387C70" w:rsidRPr="003F23AC" w14:paraId="302E1901" w14:textId="77777777" w:rsidTr="008E475E">
        <w:trPr>
          <w:trHeight w:val="920"/>
        </w:trPr>
        <w:tc>
          <w:tcPr>
            <w:tcW w:w="1135" w:type="dxa"/>
            <w:shd w:val="clear" w:color="auto" w:fill="C5EFCE"/>
            <w:tcMar>
              <w:left w:w="28" w:type="dxa"/>
              <w:right w:w="28" w:type="dxa"/>
            </w:tcMar>
            <w:vAlign w:val="center"/>
            <w:hideMark/>
          </w:tcPr>
          <w:p w14:paraId="04EB0D6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16.7</w:t>
            </w:r>
          </w:p>
        </w:tc>
        <w:tc>
          <w:tcPr>
            <w:tcW w:w="1276" w:type="dxa"/>
            <w:shd w:val="clear" w:color="auto" w:fill="C4EFCE"/>
            <w:noWrap/>
            <w:tcMar>
              <w:left w:w="28" w:type="dxa"/>
              <w:right w:w="28" w:type="dxa"/>
            </w:tcMar>
            <w:vAlign w:val="center"/>
            <w:hideMark/>
          </w:tcPr>
          <w:p w14:paraId="486E280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TD-C16-i02</w:t>
            </w:r>
          </w:p>
        </w:tc>
        <w:tc>
          <w:tcPr>
            <w:tcW w:w="1134" w:type="dxa"/>
            <w:shd w:val="clear" w:color="auto" w:fill="C4EFCE"/>
            <w:noWrap/>
            <w:tcMar>
              <w:left w:w="28" w:type="dxa"/>
              <w:right w:w="28" w:type="dxa"/>
            </w:tcMar>
            <w:vAlign w:val="center"/>
            <w:hideMark/>
          </w:tcPr>
          <w:p w14:paraId="45022E78" w14:textId="2425BE1E"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7FBD859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Testovacie Bedy vybrané pre národnú sieť testovacích staníc</w:t>
            </w:r>
          </w:p>
        </w:tc>
        <w:tc>
          <w:tcPr>
            <w:tcW w:w="1275" w:type="dxa"/>
            <w:shd w:val="clear" w:color="auto" w:fill="C4EFCE"/>
            <w:noWrap/>
            <w:tcMar>
              <w:left w:w="28" w:type="dxa"/>
              <w:right w:w="28" w:type="dxa"/>
            </w:tcMar>
            <w:vAlign w:val="center"/>
            <w:hideMark/>
          </w:tcPr>
          <w:p w14:paraId="24BABD16"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2AF4B68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090C3CF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0</w:t>
            </w:r>
          </w:p>
        </w:tc>
        <w:tc>
          <w:tcPr>
            <w:tcW w:w="850" w:type="dxa"/>
            <w:shd w:val="clear" w:color="auto" w:fill="C4EFCE"/>
            <w:noWrap/>
            <w:tcMar>
              <w:left w:w="28" w:type="dxa"/>
              <w:right w:w="28" w:type="dxa"/>
            </w:tcMar>
            <w:vAlign w:val="center"/>
            <w:hideMark/>
          </w:tcPr>
          <w:p w14:paraId="358B2E8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30 </w:t>
            </w:r>
          </w:p>
        </w:tc>
        <w:tc>
          <w:tcPr>
            <w:tcW w:w="745" w:type="dxa"/>
            <w:shd w:val="clear" w:color="auto" w:fill="C4EFCE"/>
            <w:noWrap/>
            <w:tcMar>
              <w:left w:w="28" w:type="dxa"/>
              <w:right w:w="28" w:type="dxa"/>
            </w:tcMar>
            <w:vAlign w:val="center"/>
            <w:hideMark/>
          </w:tcPr>
          <w:p w14:paraId="37852C11" w14:textId="09CA16B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389" w:type="dxa"/>
            <w:shd w:val="clear" w:color="auto" w:fill="C4EFCE"/>
            <w:noWrap/>
            <w:tcMar>
              <w:left w:w="28" w:type="dxa"/>
              <w:right w:w="28" w:type="dxa"/>
            </w:tcMar>
            <w:vAlign w:val="center"/>
            <w:hideMark/>
          </w:tcPr>
          <w:p w14:paraId="0AF84A0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69" w:type="dxa"/>
            <w:shd w:val="clear" w:color="auto" w:fill="C4EFCE"/>
            <w:tcMar>
              <w:left w:w="28" w:type="dxa"/>
              <w:right w:w="28" w:type="dxa"/>
            </w:tcMar>
            <w:vAlign w:val="center"/>
            <w:hideMark/>
          </w:tcPr>
          <w:p w14:paraId="6949C98B" w14:textId="6DA6CD25" w:rsidR="00A75B3C" w:rsidRPr="003F23AC" w:rsidRDefault="000F5AA4" w:rsidP="003F23AC">
            <w:pPr>
              <w:pStyle w:val="P68B1DB1-Normal9"/>
              <w:spacing w:after="0" w:line="240" w:lineRule="auto"/>
              <w:jc w:val="both"/>
              <w:rPr>
                <w:rFonts w:ascii="Times New Roman" w:hAnsi="Times New Roman" w:cs="Times New Roman"/>
                <w:noProof/>
                <w:sz w:val="16"/>
                <w:lang w:val="sk-SK"/>
              </w:rPr>
            </w:pPr>
            <w:r w:rsidRPr="003F23AC">
              <w:rPr>
                <w:rFonts w:ascii="Times New Roman" w:hAnsi="Times New Roman" w:cs="Times New Roman"/>
                <w:noProof/>
                <w:sz w:val="16"/>
                <w:lang w:val="sk-SK"/>
              </w:rPr>
              <w:t>Počet testovacích blokov vybraných na ďalšiu inštaláciu</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potrebným vybavením, ktoré umožní vývoj</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testovanie pilotných výrobkov</w:t>
            </w:r>
            <w:r w:rsidR="00A75B3C" w:rsidRPr="003F23AC">
              <w:rPr>
                <w:rFonts w:ascii="Times New Roman" w:hAnsi="Times New Roman" w:cs="Times New Roman"/>
                <w:noProof/>
                <w:sz w:val="16"/>
                <w:lang w:val="sk-SK"/>
              </w:rPr>
              <w:t xml:space="preserve"> v </w:t>
            </w:r>
            <w:r w:rsidRPr="003F23AC">
              <w:rPr>
                <w:rFonts w:ascii="Times New Roman" w:hAnsi="Times New Roman" w:cs="Times New Roman"/>
                <w:noProof/>
                <w:sz w:val="16"/>
                <w:lang w:val="sk-SK"/>
              </w:rPr>
              <w:t>národnej sieti testovacích staníc. Pokrytie priemyselných odvetví, ako aj ich pododvetví zodpovedá pokrytiu prognózovaných pre sieť centier digitálnych inovácií</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cieľom vytvoriť synergie</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komplementárnosť so sieťou centier digitálnych inovácií</w:t>
            </w:r>
            <w:r w:rsidR="00A75B3C" w:rsidRPr="003F23AC">
              <w:rPr>
                <w:rFonts w:ascii="Times New Roman" w:hAnsi="Times New Roman" w:cs="Times New Roman"/>
                <w:noProof/>
                <w:sz w:val="16"/>
                <w:lang w:val="sk-SK"/>
              </w:rPr>
              <w:t>.</w:t>
            </w:r>
          </w:p>
          <w:p w14:paraId="723D2E82" w14:textId="73B0F74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Výberovými kritériami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„nespôsobovať významnú škodu“ (2021/C58/01) podporovaných transakcií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tohto opatrenia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r w:rsidR="00387C70" w:rsidRPr="003F23AC" w14:paraId="642663A6" w14:textId="77777777" w:rsidTr="008E475E">
        <w:trPr>
          <w:trHeight w:val="420"/>
        </w:trPr>
        <w:tc>
          <w:tcPr>
            <w:tcW w:w="1135" w:type="dxa"/>
            <w:shd w:val="clear" w:color="auto" w:fill="C5EFCE"/>
            <w:tcMar>
              <w:left w:w="28" w:type="dxa"/>
              <w:right w:w="28" w:type="dxa"/>
            </w:tcMar>
            <w:vAlign w:val="center"/>
            <w:hideMark/>
          </w:tcPr>
          <w:p w14:paraId="0C199B1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16.8</w:t>
            </w:r>
          </w:p>
        </w:tc>
        <w:tc>
          <w:tcPr>
            <w:tcW w:w="1276" w:type="dxa"/>
            <w:shd w:val="clear" w:color="auto" w:fill="C4EFCE"/>
            <w:noWrap/>
            <w:tcMar>
              <w:left w:w="28" w:type="dxa"/>
              <w:right w:w="28" w:type="dxa"/>
            </w:tcMar>
            <w:vAlign w:val="center"/>
            <w:hideMark/>
          </w:tcPr>
          <w:p w14:paraId="4D5E6E9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TD-C16-i02</w:t>
            </w:r>
          </w:p>
        </w:tc>
        <w:tc>
          <w:tcPr>
            <w:tcW w:w="1134" w:type="dxa"/>
            <w:shd w:val="clear" w:color="auto" w:fill="C4EFCE"/>
            <w:noWrap/>
            <w:tcMar>
              <w:left w:w="28" w:type="dxa"/>
              <w:right w:w="28" w:type="dxa"/>
            </w:tcMar>
            <w:vAlign w:val="center"/>
            <w:hideMark/>
          </w:tcPr>
          <w:p w14:paraId="3AC525B1" w14:textId="025A8243"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3843CFCB" w14:textId="161D6F0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Vyvinuté pilotné produkty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služby vnútroštátnej siete testovacích Beds </w:t>
            </w:r>
          </w:p>
        </w:tc>
        <w:tc>
          <w:tcPr>
            <w:tcW w:w="1275" w:type="dxa"/>
            <w:shd w:val="clear" w:color="auto" w:fill="C4EFCE"/>
            <w:noWrap/>
            <w:tcMar>
              <w:left w:w="28" w:type="dxa"/>
              <w:right w:w="28" w:type="dxa"/>
            </w:tcMar>
            <w:vAlign w:val="center"/>
            <w:hideMark/>
          </w:tcPr>
          <w:p w14:paraId="1C87661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1163E41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4032CDA7" w14:textId="3AB8A8F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600</w:t>
            </w:r>
          </w:p>
        </w:tc>
        <w:tc>
          <w:tcPr>
            <w:tcW w:w="850" w:type="dxa"/>
            <w:shd w:val="clear" w:color="auto" w:fill="C4EFCE"/>
            <w:noWrap/>
            <w:tcMar>
              <w:left w:w="28" w:type="dxa"/>
              <w:right w:w="28" w:type="dxa"/>
            </w:tcMar>
            <w:vAlign w:val="center"/>
            <w:hideMark/>
          </w:tcPr>
          <w:p w14:paraId="78086472" w14:textId="5935E04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3 000</w:t>
            </w:r>
          </w:p>
        </w:tc>
        <w:tc>
          <w:tcPr>
            <w:tcW w:w="745" w:type="dxa"/>
            <w:shd w:val="clear" w:color="auto" w:fill="C4EFCE"/>
            <w:noWrap/>
            <w:tcMar>
              <w:left w:w="28" w:type="dxa"/>
              <w:right w:w="28" w:type="dxa"/>
            </w:tcMar>
            <w:vAlign w:val="center"/>
            <w:hideMark/>
          </w:tcPr>
          <w:p w14:paraId="75024F04" w14:textId="5BCC4420"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389" w:type="dxa"/>
            <w:shd w:val="clear" w:color="auto" w:fill="C4EFCE"/>
            <w:noWrap/>
            <w:tcMar>
              <w:left w:w="28" w:type="dxa"/>
              <w:right w:w="28" w:type="dxa"/>
            </w:tcMar>
            <w:vAlign w:val="center"/>
            <w:hideMark/>
          </w:tcPr>
          <w:p w14:paraId="749E31F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1734DA17" w14:textId="623C6BC3"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pilotných produktov alebo služieb vyvinutých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úmyslom dosiahnuť úroveň technologickej pripravenosti 5)</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národnej sieti testovacích stredísk</w:t>
            </w:r>
            <w:r w:rsidR="00A75B3C" w:rsidRPr="003F23AC">
              <w:rPr>
                <w:rFonts w:ascii="Times New Roman" w:hAnsi="Times New Roman" w:cs="Times New Roman"/>
                <w:noProof/>
                <w:lang w:val="sk-SK"/>
              </w:rPr>
              <w:t>.</w:t>
            </w:r>
          </w:p>
          <w:p w14:paraId="73F048D1" w14:textId="0B921F2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Výberovými kritériami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„nespôsobovať významnú škodu“ (2021/C58/01) podporovaných transakcií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tohto opatrenia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r w:rsidR="00387C70" w:rsidRPr="003F23AC" w14:paraId="5FCAF347" w14:textId="77777777" w:rsidTr="008E475E">
        <w:trPr>
          <w:trHeight w:val="1050"/>
        </w:trPr>
        <w:tc>
          <w:tcPr>
            <w:tcW w:w="1135" w:type="dxa"/>
            <w:shd w:val="clear" w:color="auto" w:fill="C5EFCE"/>
            <w:tcMar>
              <w:left w:w="28" w:type="dxa"/>
              <w:right w:w="28" w:type="dxa"/>
            </w:tcMar>
            <w:vAlign w:val="center"/>
            <w:hideMark/>
          </w:tcPr>
          <w:p w14:paraId="6A609E2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16.9</w:t>
            </w:r>
          </w:p>
        </w:tc>
        <w:tc>
          <w:tcPr>
            <w:tcW w:w="1276" w:type="dxa"/>
            <w:shd w:val="clear" w:color="auto" w:fill="C4EFCE"/>
            <w:noWrap/>
            <w:tcMar>
              <w:left w:w="28" w:type="dxa"/>
              <w:right w:w="28" w:type="dxa"/>
            </w:tcMar>
            <w:vAlign w:val="center"/>
            <w:hideMark/>
          </w:tcPr>
          <w:p w14:paraId="179FBF2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TD-C16-i02</w:t>
            </w:r>
          </w:p>
        </w:tc>
        <w:tc>
          <w:tcPr>
            <w:tcW w:w="1134" w:type="dxa"/>
            <w:shd w:val="clear" w:color="auto" w:fill="C4EFCE"/>
            <w:noWrap/>
            <w:tcMar>
              <w:left w:w="28" w:type="dxa"/>
              <w:right w:w="28" w:type="dxa"/>
            </w:tcMar>
            <w:vAlign w:val="center"/>
            <w:hideMark/>
          </w:tcPr>
          <w:p w14:paraId="6674AFC7" w14:textId="7ABAC7C7"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25884E1F" w14:textId="6341DD9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Susedstvá digitálneho obchodu</w:t>
            </w:r>
            <w:r w:rsidR="00A75B3C" w:rsidRPr="003F23AC">
              <w:rPr>
                <w:rFonts w:ascii="Times New Roman" w:hAnsi="Times New Roman" w:cs="Times New Roman"/>
                <w:noProof/>
                <w:lang w:val="sk-SK"/>
              </w:rPr>
              <w:t xml:space="preserve"> </w:t>
            </w:r>
          </w:p>
        </w:tc>
        <w:tc>
          <w:tcPr>
            <w:tcW w:w="1275" w:type="dxa"/>
            <w:shd w:val="clear" w:color="auto" w:fill="C4EFCE"/>
            <w:noWrap/>
            <w:tcMar>
              <w:left w:w="28" w:type="dxa"/>
              <w:right w:w="28" w:type="dxa"/>
            </w:tcMar>
            <w:vAlign w:val="center"/>
            <w:hideMark/>
          </w:tcPr>
          <w:p w14:paraId="7929B32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4FCAF2B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37CDAFE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hideMark/>
          </w:tcPr>
          <w:p w14:paraId="68E1A920" w14:textId="7A3D3DC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75</w:t>
            </w:r>
          </w:p>
        </w:tc>
        <w:tc>
          <w:tcPr>
            <w:tcW w:w="745" w:type="dxa"/>
            <w:shd w:val="clear" w:color="auto" w:fill="C4EFCE"/>
            <w:noWrap/>
            <w:tcMar>
              <w:left w:w="28" w:type="dxa"/>
              <w:right w:w="28" w:type="dxa"/>
            </w:tcMar>
            <w:vAlign w:val="center"/>
            <w:hideMark/>
          </w:tcPr>
          <w:p w14:paraId="34220EA9" w14:textId="310D48B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389" w:type="dxa"/>
            <w:shd w:val="clear" w:color="auto" w:fill="C4EFCE"/>
            <w:noWrap/>
            <w:tcMar>
              <w:left w:w="28" w:type="dxa"/>
              <w:right w:w="28" w:type="dxa"/>
            </w:tcMar>
            <w:vAlign w:val="center"/>
            <w:hideMark/>
          </w:tcPr>
          <w:p w14:paraId="199941A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3AC2637D" w14:textId="1454B39C"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štvrtí digitálneho obchodu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mestských centrách, prímestských alebo vidieckych oblastiach. Tieto investície sa týkajú pripojiteľnosti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miestnej digitálnej infraštruktúry, najmä inštalácie (alebo modernizácie) existujúceho vybavenia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inštalácie Wi-fi internetového prístupu pre zákazníkov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nákupných oblastiach. Zahŕňa aj integráciu technologických riešení pre riadenie dodávania balíkov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prijatie elektronických platobných prostriedkov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digitalizovať skúsenosti spotrebiteľov, ako aj obchodný model obchodov</w:t>
            </w:r>
            <w:r w:rsidR="00A75B3C" w:rsidRPr="003F23AC">
              <w:rPr>
                <w:rFonts w:ascii="Times New Roman" w:hAnsi="Times New Roman" w:cs="Times New Roman"/>
                <w:noProof/>
                <w:lang w:val="sk-SK"/>
              </w:rPr>
              <w:t>.</w:t>
            </w:r>
          </w:p>
          <w:p w14:paraId="2778C930" w14:textId="64FA618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Výberovými kritériami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„nespôsobovať významnú škodu“ (2021/C58/01) podporovaných transakcií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tohto opatrenia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r w:rsidR="00387C70" w:rsidRPr="003F23AC" w14:paraId="3DFAB9AF" w14:textId="77777777" w:rsidTr="008E475E">
        <w:trPr>
          <w:trHeight w:val="840"/>
        </w:trPr>
        <w:tc>
          <w:tcPr>
            <w:tcW w:w="1135" w:type="dxa"/>
            <w:shd w:val="clear" w:color="auto" w:fill="C5EFCE"/>
            <w:tcMar>
              <w:left w:w="28" w:type="dxa"/>
              <w:right w:w="28" w:type="dxa"/>
            </w:tcMar>
            <w:vAlign w:val="center"/>
            <w:hideMark/>
          </w:tcPr>
          <w:p w14:paraId="0F8CC80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16.10</w:t>
            </w:r>
          </w:p>
        </w:tc>
        <w:tc>
          <w:tcPr>
            <w:tcW w:w="1276" w:type="dxa"/>
            <w:shd w:val="clear" w:color="auto" w:fill="C4EFCE"/>
            <w:noWrap/>
            <w:tcMar>
              <w:left w:w="28" w:type="dxa"/>
              <w:right w:w="28" w:type="dxa"/>
            </w:tcMar>
            <w:vAlign w:val="center"/>
            <w:hideMark/>
          </w:tcPr>
          <w:p w14:paraId="26E2936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TD-C16-i02</w:t>
            </w:r>
          </w:p>
        </w:tc>
        <w:tc>
          <w:tcPr>
            <w:tcW w:w="1134" w:type="dxa"/>
            <w:shd w:val="clear" w:color="auto" w:fill="C4EFCE"/>
            <w:noWrap/>
            <w:tcMar>
              <w:left w:w="28" w:type="dxa"/>
              <w:right w:w="28" w:type="dxa"/>
            </w:tcMar>
            <w:vAlign w:val="center"/>
            <w:hideMark/>
          </w:tcPr>
          <w:p w14:paraId="5D3DAE9B" w14:textId="10A794A9"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2260687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MSP podporované urýchľovačmi digitálneho obchodu </w:t>
            </w:r>
          </w:p>
        </w:tc>
        <w:tc>
          <w:tcPr>
            <w:tcW w:w="1275" w:type="dxa"/>
            <w:shd w:val="clear" w:color="auto" w:fill="C4EFCE"/>
            <w:noWrap/>
            <w:tcMar>
              <w:left w:w="28" w:type="dxa"/>
              <w:right w:w="28" w:type="dxa"/>
            </w:tcMar>
            <w:vAlign w:val="center"/>
            <w:hideMark/>
          </w:tcPr>
          <w:p w14:paraId="6795911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6FEC586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59094076" w14:textId="1A77546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12 500</w:t>
            </w:r>
          </w:p>
        </w:tc>
        <w:tc>
          <w:tcPr>
            <w:tcW w:w="850" w:type="dxa"/>
            <w:shd w:val="clear" w:color="auto" w:fill="C4EFCE"/>
            <w:noWrap/>
            <w:tcMar>
              <w:left w:w="28" w:type="dxa"/>
              <w:right w:w="28" w:type="dxa"/>
            </w:tcMar>
            <w:vAlign w:val="center"/>
            <w:hideMark/>
          </w:tcPr>
          <w:p w14:paraId="52FADA3D" w14:textId="6EEE003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25 000</w:t>
            </w:r>
          </w:p>
        </w:tc>
        <w:tc>
          <w:tcPr>
            <w:tcW w:w="745" w:type="dxa"/>
            <w:shd w:val="clear" w:color="auto" w:fill="C4EFCE"/>
            <w:noWrap/>
            <w:tcMar>
              <w:left w:w="28" w:type="dxa"/>
              <w:right w:w="28" w:type="dxa"/>
            </w:tcMar>
            <w:vAlign w:val="center"/>
            <w:hideMark/>
          </w:tcPr>
          <w:p w14:paraId="7C933B29" w14:textId="570B033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389" w:type="dxa"/>
            <w:shd w:val="clear" w:color="auto" w:fill="C4EFCE"/>
            <w:noWrap/>
            <w:tcMar>
              <w:left w:w="28" w:type="dxa"/>
              <w:right w:w="28" w:type="dxa"/>
            </w:tcMar>
            <w:vAlign w:val="center"/>
            <w:hideMark/>
          </w:tcPr>
          <w:p w14:paraId="37518E67" w14:textId="78F8B32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27DD2B01" w14:textId="60B36A3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MSP podporovaných vytvorením 25 miestnych, regionálnych alebo odvetvových urýchľovačov digitálneho obchodu, ako aj systému finančných stimulov na digitalizáciu obchodných modelov MSP. Podpora pozostáva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posúdenia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diagnostiky úrovne digitalizácie prijímajúcich MSP, ako aj</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poskytovania cielených služieb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stimulov na zvýšenie zavádzania digitálnych technológií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obchodnom modeli prijímateľov</w:t>
            </w:r>
            <w:r w:rsidR="00A75B3C" w:rsidRPr="003F23AC">
              <w:rPr>
                <w:rFonts w:ascii="Times New Roman" w:hAnsi="Times New Roman" w:cs="Times New Roman"/>
                <w:noProof/>
                <w:lang w:val="sk-SK"/>
              </w:rPr>
              <w:t>.</w:t>
            </w:r>
          </w:p>
          <w:p w14:paraId="4ED0DEA8" w14:textId="4239C56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Výberovými kritériami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„nespôsobovať významnú škodu“ (2021/C58/01) podporovaných transakcií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tohto opatrenia prostredníctvom overovania udržateľnosti,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r w:rsidR="00387C70" w:rsidRPr="003F23AC" w14:paraId="2F71EA50" w14:textId="77777777" w:rsidTr="008E475E">
        <w:trPr>
          <w:trHeight w:val="840"/>
        </w:trPr>
        <w:tc>
          <w:tcPr>
            <w:tcW w:w="1135" w:type="dxa"/>
            <w:shd w:val="clear" w:color="auto" w:fill="C5EFCE"/>
            <w:tcMar>
              <w:left w:w="28" w:type="dxa"/>
              <w:right w:w="28" w:type="dxa"/>
            </w:tcMar>
            <w:vAlign w:val="center"/>
            <w:hideMark/>
          </w:tcPr>
          <w:p w14:paraId="3D28E0B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16.11</w:t>
            </w:r>
          </w:p>
        </w:tc>
        <w:tc>
          <w:tcPr>
            <w:tcW w:w="1276" w:type="dxa"/>
            <w:shd w:val="clear" w:color="auto" w:fill="C4EFCE"/>
            <w:noWrap/>
            <w:tcMar>
              <w:left w:w="28" w:type="dxa"/>
              <w:right w:w="28" w:type="dxa"/>
            </w:tcMar>
            <w:vAlign w:val="center"/>
            <w:hideMark/>
          </w:tcPr>
          <w:p w14:paraId="644097F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TD-C16-i02</w:t>
            </w:r>
          </w:p>
        </w:tc>
        <w:tc>
          <w:tcPr>
            <w:tcW w:w="1134" w:type="dxa"/>
            <w:shd w:val="clear" w:color="auto" w:fill="C4EFCE"/>
            <w:noWrap/>
            <w:tcMar>
              <w:left w:w="28" w:type="dxa"/>
              <w:right w:w="28" w:type="dxa"/>
            </w:tcMar>
            <w:vAlign w:val="center"/>
            <w:hideMark/>
          </w:tcPr>
          <w:p w14:paraId="1D133C12" w14:textId="56C1E746"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05F447BF" w14:textId="62F2B14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MSP</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začínajúce inkubátory priamo podporované programami digitalizácie</w:t>
            </w:r>
          </w:p>
        </w:tc>
        <w:tc>
          <w:tcPr>
            <w:tcW w:w="1275" w:type="dxa"/>
            <w:shd w:val="clear" w:color="auto" w:fill="C4EFCE"/>
            <w:noWrap/>
            <w:tcMar>
              <w:left w:w="28" w:type="dxa"/>
              <w:right w:w="28" w:type="dxa"/>
            </w:tcMar>
            <w:vAlign w:val="center"/>
            <w:hideMark/>
          </w:tcPr>
          <w:p w14:paraId="07712FA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1C3CBA4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60C4307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hideMark/>
          </w:tcPr>
          <w:p w14:paraId="6184B8F8" w14:textId="3B8AD6B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8 600</w:t>
            </w:r>
          </w:p>
        </w:tc>
        <w:tc>
          <w:tcPr>
            <w:tcW w:w="745" w:type="dxa"/>
            <w:shd w:val="clear" w:color="auto" w:fill="C4EFCE"/>
            <w:noWrap/>
            <w:tcMar>
              <w:left w:w="28" w:type="dxa"/>
              <w:right w:w="28" w:type="dxa"/>
            </w:tcMar>
            <w:vAlign w:val="center"/>
            <w:hideMark/>
          </w:tcPr>
          <w:p w14:paraId="3BB8FD93" w14:textId="5079AB1F"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389" w:type="dxa"/>
            <w:shd w:val="clear" w:color="auto" w:fill="C4EFCE"/>
            <w:noWrap/>
            <w:tcMar>
              <w:left w:w="28" w:type="dxa"/>
              <w:right w:w="28" w:type="dxa"/>
            </w:tcMar>
            <w:vAlign w:val="center"/>
            <w:hideMark/>
          </w:tcPr>
          <w:p w14:paraId="42E4D76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01AA3F53" w14:textId="155F9A45"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MSP (8500)</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startupových inkubátorov (100) podporovaných jedným</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týchto programov: 1. internacionalizácia prostredníctvom elektronického obchodu; (2) Akcie Coaching 4.0 podporujúce obchodné modely pre digitálnu transformáciu; 3. poukazy pre začínajúce podniky na vývoj nových zelených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digitálnych produktov; 4. poukazy pre štartovacie inkubátory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urýchľovače pre ich technologický rozvoj</w:t>
            </w:r>
            <w:r w:rsidR="00A75B3C" w:rsidRPr="003F23AC">
              <w:rPr>
                <w:rFonts w:ascii="Times New Roman" w:hAnsi="Times New Roman" w:cs="Times New Roman"/>
                <w:noProof/>
                <w:lang w:val="sk-SK"/>
              </w:rPr>
              <w:t>.</w:t>
            </w:r>
          </w:p>
          <w:p w14:paraId="6029676F" w14:textId="0CAD7E5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Výberovými kritériami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„nespôsobovať významnú škodu“ (2021/C58/01) podporovaných transakcií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tohto opatrenia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r w:rsidR="00387C70" w:rsidRPr="003F23AC" w14:paraId="38A52C15" w14:textId="77777777" w:rsidTr="008E475E">
        <w:trPr>
          <w:trHeight w:val="1643"/>
        </w:trPr>
        <w:tc>
          <w:tcPr>
            <w:tcW w:w="1135" w:type="dxa"/>
            <w:shd w:val="clear" w:color="auto" w:fill="C5EFCE"/>
            <w:tcMar>
              <w:left w:w="28" w:type="dxa"/>
              <w:right w:w="28" w:type="dxa"/>
            </w:tcMar>
            <w:vAlign w:val="center"/>
            <w:hideMark/>
          </w:tcPr>
          <w:p w14:paraId="4CAE8DE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16.12</w:t>
            </w:r>
          </w:p>
        </w:tc>
        <w:tc>
          <w:tcPr>
            <w:tcW w:w="1276" w:type="dxa"/>
            <w:shd w:val="clear" w:color="auto" w:fill="C4EFCE"/>
            <w:noWrap/>
            <w:tcMar>
              <w:left w:w="28" w:type="dxa"/>
              <w:right w:w="28" w:type="dxa"/>
            </w:tcMar>
            <w:vAlign w:val="center"/>
            <w:hideMark/>
          </w:tcPr>
          <w:p w14:paraId="5F867C0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TD-C16-i02</w:t>
            </w:r>
          </w:p>
        </w:tc>
        <w:tc>
          <w:tcPr>
            <w:tcW w:w="1134" w:type="dxa"/>
            <w:shd w:val="clear" w:color="auto" w:fill="C4EFCE"/>
            <w:noWrap/>
            <w:tcMar>
              <w:left w:w="28" w:type="dxa"/>
              <w:right w:w="28" w:type="dxa"/>
            </w:tcMar>
            <w:vAlign w:val="center"/>
            <w:hideMark/>
          </w:tcPr>
          <w:p w14:paraId="45502F32" w14:textId="0B671EA9"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302F5C2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Startupy mapované na platforme Startup Portugal</w:t>
            </w:r>
          </w:p>
        </w:tc>
        <w:tc>
          <w:tcPr>
            <w:tcW w:w="1275" w:type="dxa"/>
            <w:shd w:val="clear" w:color="auto" w:fill="C4EFCE"/>
            <w:noWrap/>
            <w:tcMar>
              <w:left w:w="28" w:type="dxa"/>
              <w:right w:w="28" w:type="dxa"/>
            </w:tcMar>
            <w:vAlign w:val="center"/>
            <w:hideMark/>
          </w:tcPr>
          <w:p w14:paraId="23EFB0A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3D58674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0380127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hideMark/>
          </w:tcPr>
          <w:p w14:paraId="63517E7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5 000</w:t>
            </w:r>
          </w:p>
        </w:tc>
        <w:tc>
          <w:tcPr>
            <w:tcW w:w="745" w:type="dxa"/>
            <w:shd w:val="clear" w:color="auto" w:fill="C4EFCE"/>
            <w:noWrap/>
            <w:tcMar>
              <w:left w:w="28" w:type="dxa"/>
              <w:right w:w="28" w:type="dxa"/>
            </w:tcMar>
            <w:vAlign w:val="center"/>
            <w:hideMark/>
          </w:tcPr>
          <w:p w14:paraId="486D0174" w14:textId="2408BAB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389" w:type="dxa"/>
            <w:shd w:val="clear" w:color="auto" w:fill="C4EFCE"/>
            <w:noWrap/>
            <w:tcMar>
              <w:left w:w="28" w:type="dxa"/>
              <w:right w:w="28" w:type="dxa"/>
            </w:tcMar>
            <w:vAlign w:val="center"/>
            <w:hideMark/>
          </w:tcPr>
          <w:p w14:paraId="18DDACC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0B3984B8"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startupov zmapovaných na základe identifikácie ich hlavných obchodných charakteristík na platforme Start-up Portugal. Nová platforma monitoruje ekosystém startupov, najmä, nie však výlučne, digitálne podniky. Platforma sa sprístupní celému ekosystému (startupom, investorom, akcelerátorom/inkubátorom, verejným subjektom).</w:t>
            </w:r>
          </w:p>
        </w:tc>
      </w:tr>
      <w:tr w:rsidR="00387C70" w:rsidRPr="003F23AC" w14:paraId="7350D2DA" w14:textId="77777777" w:rsidTr="008E475E">
        <w:trPr>
          <w:trHeight w:val="840"/>
        </w:trPr>
        <w:tc>
          <w:tcPr>
            <w:tcW w:w="1135" w:type="dxa"/>
            <w:shd w:val="clear" w:color="auto" w:fill="C5EFCE"/>
            <w:tcMar>
              <w:left w:w="28" w:type="dxa"/>
              <w:right w:w="28" w:type="dxa"/>
            </w:tcMar>
            <w:vAlign w:val="center"/>
            <w:hideMark/>
          </w:tcPr>
          <w:p w14:paraId="3399060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16.13</w:t>
            </w:r>
          </w:p>
        </w:tc>
        <w:tc>
          <w:tcPr>
            <w:tcW w:w="1276" w:type="dxa"/>
            <w:shd w:val="clear" w:color="auto" w:fill="C4EFCE"/>
            <w:noWrap/>
            <w:tcMar>
              <w:left w:w="28" w:type="dxa"/>
              <w:right w:w="28" w:type="dxa"/>
            </w:tcMar>
            <w:vAlign w:val="center"/>
            <w:hideMark/>
          </w:tcPr>
          <w:p w14:paraId="10894A0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TD-C16-i03</w:t>
            </w:r>
          </w:p>
        </w:tc>
        <w:tc>
          <w:tcPr>
            <w:tcW w:w="1134" w:type="dxa"/>
            <w:shd w:val="clear" w:color="auto" w:fill="C4EFCE"/>
            <w:noWrap/>
            <w:tcMar>
              <w:left w:w="28" w:type="dxa"/>
              <w:right w:w="28" w:type="dxa"/>
            </w:tcMar>
            <w:vAlign w:val="center"/>
            <w:hideMark/>
          </w:tcPr>
          <w:p w14:paraId="7DE9E8AC" w14:textId="1418D786"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1190118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Centrá digitálnych inovácií </w:t>
            </w:r>
          </w:p>
        </w:tc>
        <w:tc>
          <w:tcPr>
            <w:tcW w:w="1275" w:type="dxa"/>
            <w:shd w:val="clear" w:color="auto" w:fill="C4EFCE"/>
            <w:noWrap/>
            <w:tcMar>
              <w:left w:w="28" w:type="dxa"/>
              <w:right w:w="28" w:type="dxa"/>
            </w:tcMar>
            <w:vAlign w:val="center"/>
            <w:hideMark/>
          </w:tcPr>
          <w:p w14:paraId="5EFD82C5"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3E8E9CC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Počet</w:t>
            </w:r>
          </w:p>
        </w:tc>
        <w:tc>
          <w:tcPr>
            <w:tcW w:w="992" w:type="dxa"/>
            <w:shd w:val="clear" w:color="auto" w:fill="C4EFCE"/>
            <w:noWrap/>
            <w:tcMar>
              <w:left w:w="28" w:type="dxa"/>
              <w:right w:w="28" w:type="dxa"/>
            </w:tcMar>
            <w:vAlign w:val="center"/>
            <w:hideMark/>
          </w:tcPr>
          <w:p w14:paraId="002156A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0 </w:t>
            </w:r>
          </w:p>
        </w:tc>
        <w:tc>
          <w:tcPr>
            <w:tcW w:w="850" w:type="dxa"/>
            <w:shd w:val="clear" w:color="auto" w:fill="C4EFCE"/>
            <w:noWrap/>
            <w:tcMar>
              <w:left w:w="28" w:type="dxa"/>
              <w:right w:w="28" w:type="dxa"/>
            </w:tcMar>
            <w:vAlign w:val="center"/>
            <w:hideMark/>
          </w:tcPr>
          <w:p w14:paraId="1A05649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16 </w:t>
            </w:r>
          </w:p>
        </w:tc>
        <w:tc>
          <w:tcPr>
            <w:tcW w:w="745" w:type="dxa"/>
            <w:shd w:val="clear" w:color="auto" w:fill="C4EFCE"/>
            <w:noWrap/>
            <w:tcMar>
              <w:left w:w="28" w:type="dxa"/>
              <w:right w:w="28" w:type="dxa"/>
            </w:tcMar>
            <w:vAlign w:val="center"/>
            <w:hideMark/>
          </w:tcPr>
          <w:p w14:paraId="5BF193C2" w14:textId="0517AA9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389" w:type="dxa"/>
            <w:shd w:val="clear" w:color="auto" w:fill="C4EFCE"/>
            <w:noWrap/>
            <w:tcMar>
              <w:left w:w="28" w:type="dxa"/>
              <w:right w:w="28" w:type="dxa"/>
            </w:tcMar>
            <w:vAlign w:val="center"/>
            <w:hideMark/>
          </w:tcPr>
          <w:p w14:paraId="5DBE4E9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3969" w:type="dxa"/>
            <w:shd w:val="clear" w:color="auto" w:fill="C4EFCE"/>
            <w:tcMar>
              <w:left w:w="28" w:type="dxa"/>
              <w:right w:w="28" w:type="dxa"/>
            </w:tcMar>
            <w:vAlign w:val="center"/>
            <w:hideMark/>
          </w:tcPr>
          <w:p w14:paraId="2E5C6386" w14:textId="4E9C31FE"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konzorcií DIH vybraných schválením ponúk. Vytvorenie každého centra digitálnych inovácií následne znamená vytvorenie inkubátora/akcelerátora na podporu podnikateľského ekosystému spojeného so sektormi, na ktoré sa centrum vzťahuje. Touto investíciou sa posilní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doplní sieť, ktorá sa už vyvíja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Digitálna Európa</w:t>
            </w:r>
            <w:r w:rsidR="00A75B3C" w:rsidRPr="003F23AC">
              <w:rPr>
                <w:rFonts w:ascii="Times New Roman" w:hAnsi="Times New Roman" w:cs="Times New Roman"/>
                <w:noProof/>
                <w:lang w:val="sk-SK"/>
              </w:rPr>
              <w:t>.</w:t>
            </w:r>
          </w:p>
          <w:p w14:paraId="68D94C4B" w14:textId="55FB39A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Výberovými kritériami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„nespôsobovať významnú škodu“ (2021/C58/01) podporovaných transakcií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tohto opatrenia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r w:rsidR="00387C70" w:rsidRPr="003F23AC" w14:paraId="79AB1DD3" w14:textId="77777777" w:rsidTr="008E475E">
        <w:trPr>
          <w:trHeight w:val="1260"/>
        </w:trPr>
        <w:tc>
          <w:tcPr>
            <w:tcW w:w="1135" w:type="dxa"/>
            <w:shd w:val="clear" w:color="auto" w:fill="C5EFCE"/>
            <w:tcMar>
              <w:left w:w="28" w:type="dxa"/>
              <w:right w:w="28" w:type="dxa"/>
            </w:tcMar>
            <w:vAlign w:val="center"/>
            <w:hideMark/>
          </w:tcPr>
          <w:p w14:paraId="5646FF4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16.14</w:t>
            </w:r>
          </w:p>
        </w:tc>
        <w:tc>
          <w:tcPr>
            <w:tcW w:w="1276" w:type="dxa"/>
            <w:shd w:val="clear" w:color="auto" w:fill="C4EFCE"/>
            <w:noWrap/>
            <w:tcMar>
              <w:left w:w="28" w:type="dxa"/>
              <w:right w:w="28" w:type="dxa"/>
            </w:tcMar>
            <w:vAlign w:val="center"/>
            <w:hideMark/>
          </w:tcPr>
          <w:p w14:paraId="7CBB2F8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TD-C16-i03</w:t>
            </w:r>
          </w:p>
        </w:tc>
        <w:tc>
          <w:tcPr>
            <w:tcW w:w="1134" w:type="dxa"/>
            <w:shd w:val="clear" w:color="auto" w:fill="C4EFCE"/>
            <w:noWrap/>
            <w:tcMar>
              <w:left w:w="28" w:type="dxa"/>
              <w:right w:w="28" w:type="dxa"/>
            </w:tcMar>
            <w:vAlign w:val="center"/>
            <w:hideMark/>
          </w:tcPr>
          <w:p w14:paraId="341A98B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7B60B1E9" w14:textId="6D84B48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Zriadenie služieb na zasielanie digitálnych faktúr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certifikácie kybernetickej bezpečnosti, súkromia, použiteľnosti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udržateľnosti</w:t>
            </w:r>
          </w:p>
        </w:tc>
        <w:tc>
          <w:tcPr>
            <w:tcW w:w="1275" w:type="dxa"/>
            <w:shd w:val="clear" w:color="auto" w:fill="C4EFCE"/>
            <w:noWrap/>
            <w:tcMar>
              <w:left w:w="28" w:type="dxa"/>
              <w:right w:w="28" w:type="dxa"/>
            </w:tcMar>
            <w:vAlign w:val="center"/>
            <w:hideMark/>
          </w:tcPr>
          <w:p w14:paraId="47964243" w14:textId="52DB3B7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Zriadenie služieb na zasielanie digitálnych faktúr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certifikácie kybernetickej bezpečnosti, súkromia, použiteľnosti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udržateľnosti</w:t>
            </w:r>
          </w:p>
        </w:tc>
        <w:tc>
          <w:tcPr>
            <w:tcW w:w="993" w:type="dxa"/>
            <w:shd w:val="clear" w:color="auto" w:fill="C4EFCE"/>
            <w:noWrap/>
            <w:tcMar>
              <w:left w:w="28" w:type="dxa"/>
              <w:right w:w="28" w:type="dxa"/>
            </w:tcMar>
            <w:vAlign w:val="center"/>
            <w:hideMark/>
          </w:tcPr>
          <w:p w14:paraId="6A78DFA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3A29D9C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50" w:type="dxa"/>
            <w:shd w:val="clear" w:color="auto" w:fill="C4EFCE"/>
            <w:noWrap/>
            <w:tcMar>
              <w:left w:w="28" w:type="dxa"/>
              <w:right w:w="28" w:type="dxa"/>
            </w:tcMar>
            <w:vAlign w:val="center"/>
            <w:hideMark/>
          </w:tcPr>
          <w:p w14:paraId="72953AC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45" w:type="dxa"/>
            <w:shd w:val="clear" w:color="auto" w:fill="C4EFCE"/>
            <w:noWrap/>
            <w:tcMar>
              <w:left w:w="28" w:type="dxa"/>
              <w:right w:w="28" w:type="dxa"/>
            </w:tcMar>
            <w:vAlign w:val="center"/>
            <w:hideMark/>
          </w:tcPr>
          <w:p w14:paraId="61FDC68D" w14:textId="245B3204"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389" w:type="dxa"/>
            <w:shd w:val="clear" w:color="auto" w:fill="C4EFCE"/>
            <w:noWrap/>
            <w:tcMar>
              <w:left w:w="28" w:type="dxa"/>
              <w:right w:w="28" w:type="dxa"/>
            </w:tcMar>
            <w:vAlign w:val="center"/>
            <w:hideMark/>
          </w:tcPr>
          <w:p w14:paraId="5FB707A1" w14:textId="4D55CBE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69" w:type="dxa"/>
            <w:shd w:val="clear" w:color="auto" w:fill="C4EFCE"/>
            <w:tcMar>
              <w:left w:w="28" w:type="dxa"/>
              <w:right w:w="28" w:type="dxa"/>
            </w:tcMar>
            <w:vAlign w:val="center"/>
            <w:hideMark/>
          </w:tcPr>
          <w:p w14:paraId="5284AB8E" w14:textId="14364183"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Zriadi sa päť nových služieb pre: 1. zasielanie digitálnych faktúr;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2) certifikácia kybernetickej bezpečnosti, 3) certifikácia súkromia, 4. certifikácia použiteľnosti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5) certifikácia udržateľnosti; vrátane súvisiacich kampaní na šírenie informácií</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všetkých službách. Certifikačné služby podporujú žiadosti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certifikáciu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predkladanie žiadostí</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certifikáciu, riadenie procesov, vydávanie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centralizovaný register vydaných certifikátov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pečatí. Certifikačné služby podporujú aj komunikáciu medzi všetkými partnermi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subjektmi zapojenými do procesov, ako aj vytváranie procesných údajov relevantných pre monitorovanie programu</w:t>
            </w:r>
            <w:r w:rsidR="00A75B3C" w:rsidRPr="003F23AC">
              <w:rPr>
                <w:rFonts w:ascii="Times New Roman" w:hAnsi="Times New Roman" w:cs="Times New Roman"/>
                <w:noProof/>
                <w:lang w:val="sk-SK"/>
              </w:rPr>
              <w:t>.</w:t>
            </w:r>
          </w:p>
          <w:p w14:paraId="0BACA7B9" w14:textId="2DD729C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Služby musia byť funkčné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prístupné pre zamýšľaných používateľov.</w:t>
            </w:r>
          </w:p>
        </w:tc>
      </w:tr>
      <w:tr w:rsidR="00387C70" w:rsidRPr="003F23AC" w14:paraId="6CC3F169" w14:textId="77777777" w:rsidTr="008E475E">
        <w:trPr>
          <w:trHeight w:val="420"/>
        </w:trPr>
        <w:tc>
          <w:tcPr>
            <w:tcW w:w="1135" w:type="dxa"/>
            <w:shd w:val="clear" w:color="auto" w:fill="C5EFCE"/>
            <w:tcMar>
              <w:left w:w="28" w:type="dxa"/>
              <w:right w:w="28" w:type="dxa"/>
            </w:tcMar>
            <w:vAlign w:val="center"/>
            <w:hideMark/>
          </w:tcPr>
          <w:p w14:paraId="1DB80902"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16.15</w:t>
            </w:r>
          </w:p>
        </w:tc>
        <w:tc>
          <w:tcPr>
            <w:tcW w:w="1276" w:type="dxa"/>
            <w:shd w:val="clear" w:color="auto" w:fill="C4EFCE"/>
            <w:noWrap/>
            <w:tcMar>
              <w:left w:w="28" w:type="dxa"/>
              <w:right w:w="28" w:type="dxa"/>
            </w:tcMar>
            <w:vAlign w:val="center"/>
            <w:hideMark/>
          </w:tcPr>
          <w:p w14:paraId="383E483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TD-C16-i03</w:t>
            </w:r>
          </w:p>
        </w:tc>
        <w:tc>
          <w:tcPr>
            <w:tcW w:w="1134" w:type="dxa"/>
            <w:shd w:val="clear" w:color="auto" w:fill="C4EFCE"/>
            <w:noWrap/>
            <w:tcMar>
              <w:left w:w="28" w:type="dxa"/>
              <w:right w:w="28" w:type="dxa"/>
            </w:tcMar>
            <w:vAlign w:val="center"/>
            <w:hideMark/>
          </w:tcPr>
          <w:p w14:paraId="4864A864" w14:textId="5B06E5C7"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589CD25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Príjemcovia poradenských služieb centier digitálnych inovácií </w:t>
            </w:r>
          </w:p>
        </w:tc>
        <w:tc>
          <w:tcPr>
            <w:tcW w:w="1275" w:type="dxa"/>
            <w:shd w:val="clear" w:color="auto" w:fill="C4EFCE"/>
            <w:noWrap/>
            <w:tcMar>
              <w:left w:w="28" w:type="dxa"/>
              <w:right w:w="28" w:type="dxa"/>
            </w:tcMar>
            <w:vAlign w:val="center"/>
            <w:hideMark/>
          </w:tcPr>
          <w:p w14:paraId="133DBDB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42A460E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3726AA6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hideMark/>
          </w:tcPr>
          <w:p w14:paraId="6164108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4 000</w:t>
            </w:r>
          </w:p>
        </w:tc>
        <w:tc>
          <w:tcPr>
            <w:tcW w:w="745" w:type="dxa"/>
            <w:shd w:val="clear" w:color="auto" w:fill="C4EFCE"/>
            <w:noWrap/>
            <w:tcMar>
              <w:left w:w="28" w:type="dxa"/>
              <w:right w:w="28" w:type="dxa"/>
            </w:tcMar>
            <w:vAlign w:val="center"/>
            <w:hideMark/>
          </w:tcPr>
          <w:p w14:paraId="56D9EB98" w14:textId="77ABF80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389" w:type="dxa"/>
            <w:shd w:val="clear" w:color="auto" w:fill="C4EFCE"/>
            <w:noWrap/>
            <w:tcMar>
              <w:left w:w="28" w:type="dxa"/>
              <w:right w:w="28" w:type="dxa"/>
            </w:tcMar>
            <w:vAlign w:val="center"/>
            <w:hideMark/>
          </w:tcPr>
          <w:p w14:paraId="0130120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5B8FC7B6" w14:textId="0FA81D54"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spoločností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verejných subjektov, ktoré získali poradenské služby zo siete centier digitálnych inovácií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zlepšiť znalosti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výrobné procesy prostredníctvom automatizácie alebo začlenenia prelomových technológií</w:t>
            </w:r>
            <w:r w:rsidR="00A75B3C" w:rsidRPr="003F23AC">
              <w:rPr>
                <w:rFonts w:ascii="Times New Roman" w:hAnsi="Times New Roman" w:cs="Times New Roman"/>
                <w:noProof/>
                <w:lang w:val="sk-SK"/>
              </w:rPr>
              <w:t>.</w:t>
            </w:r>
          </w:p>
          <w:p w14:paraId="5AE72FC4" w14:textId="46B652B5" w:rsidR="00387C70" w:rsidRPr="003F23AC" w:rsidRDefault="00387C70" w:rsidP="003F23AC">
            <w:pPr>
              <w:spacing w:after="0" w:line="240" w:lineRule="auto"/>
              <w:jc w:val="both"/>
              <w:rPr>
                <w:rFonts w:ascii="Times New Roman" w:eastAsia="Times New Roman" w:hAnsi="Times New Roman" w:cs="Times New Roman"/>
                <w:noProof/>
                <w:sz w:val="16"/>
                <w:lang w:val="sk-SK"/>
              </w:rPr>
            </w:pPr>
          </w:p>
          <w:p w14:paraId="2C30F216" w14:textId="6E986FD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Výberovými kritériami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„nespôsobovať významnú škodu“ (2021/C58/01) podporovaných transakcií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tohto opatrenia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r w:rsidR="00387C70" w:rsidRPr="003F23AC" w14:paraId="4304841E" w14:textId="77777777" w:rsidTr="008E475E">
        <w:trPr>
          <w:trHeight w:val="420"/>
        </w:trPr>
        <w:tc>
          <w:tcPr>
            <w:tcW w:w="1135" w:type="dxa"/>
            <w:shd w:val="clear" w:color="auto" w:fill="C5EFCE"/>
            <w:tcMar>
              <w:left w:w="28" w:type="dxa"/>
              <w:right w:w="28" w:type="dxa"/>
            </w:tcMar>
            <w:vAlign w:val="center"/>
          </w:tcPr>
          <w:p w14:paraId="539E2D22" w14:textId="3A085AAA"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16.16</w:t>
            </w:r>
          </w:p>
        </w:tc>
        <w:tc>
          <w:tcPr>
            <w:tcW w:w="1276" w:type="dxa"/>
            <w:shd w:val="clear" w:color="auto" w:fill="C4EFCE"/>
            <w:noWrap/>
            <w:tcMar>
              <w:left w:w="28" w:type="dxa"/>
              <w:right w:w="28" w:type="dxa"/>
            </w:tcMar>
            <w:vAlign w:val="center"/>
          </w:tcPr>
          <w:p w14:paraId="763655D4" w14:textId="6D8AFDF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 – i04</w:t>
            </w:r>
          </w:p>
        </w:tc>
        <w:tc>
          <w:tcPr>
            <w:tcW w:w="1134" w:type="dxa"/>
            <w:shd w:val="clear" w:color="auto" w:fill="C4EFCE"/>
            <w:noWrap/>
            <w:tcMar>
              <w:left w:w="28" w:type="dxa"/>
              <w:right w:w="28" w:type="dxa"/>
            </w:tcMar>
            <w:vAlign w:val="center"/>
          </w:tcPr>
          <w:p w14:paraId="1D87961C" w14:textId="3E385D9D"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75967FD1" w14:textId="3536B628"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Výber projektov Priemysel 4.0</w:t>
            </w:r>
          </w:p>
        </w:tc>
        <w:tc>
          <w:tcPr>
            <w:tcW w:w="1275" w:type="dxa"/>
            <w:shd w:val="clear" w:color="auto" w:fill="C4EFCE"/>
            <w:noWrap/>
            <w:tcMar>
              <w:left w:w="28" w:type="dxa"/>
              <w:right w:w="28" w:type="dxa"/>
            </w:tcMar>
            <w:vAlign w:val="center"/>
          </w:tcPr>
          <w:p w14:paraId="29B2785A"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3EBFDF40" w14:textId="0EF6EAE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tcPr>
          <w:p w14:paraId="61E469D2" w14:textId="319E9FF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tcPr>
          <w:p w14:paraId="12BC99BF" w14:textId="2D6BD73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200</w:t>
            </w:r>
          </w:p>
        </w:tc>
        <w:tc>
          <w:tcPr>
            <w:tcW w:w="745" w:type="dxa"/>
            <w:shd w:val="clear" w:color="auto" w:fill="C4EFCE"/>
            <w:noWrap/>
            <w:tcMar>
              <w:left w:w="28" w:type="dxa"/>
              <w:right w:w="28" w:type="dxa"/>
            </w:tcMar>
            <w:vAlign w:val="center"/>
          </w:tcPr>
          <w:p w14:paraId="686302E9" w14:textId="1912F4A2"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389" w:type="dxa"/>
            <w:shd w:val="clear" w:color="auto" w:fill="C4EFCE"/>
            <w:noWrap/>
            <w:tcMar>
              <w:left w:w="28" w:type="dxa"/>
              <w:right w:w="28" w:type="dxa"/>
            </w:tcMar>
            <w:vAlign w:val="center"/>
          </w:tcPr>
          <w:p w14:paraId="39738C45" w14:textId="2252F3C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69" w:type="dxa"/>
            <w:shd w:val="clear" w:color="auto" w:fill="C4EFCE"/>
            <w:tcMar>
              <w:left w:w="28" w:type="dxa"/>
              <w:right w:w="28" w:type="dxa"/>
            </w:tcMar>
            <w:vAlign w:val="center"/>
          </w:tcPr>
          <w:p w14:paraId="635FD244" w14:textId="1DC64F27" w:rsidR="00387C70" w:rsidRPr="003F23AC" w:rsidRDefault="000F5AA4" w:rsidP="003F23AC">
            <w:pPr>
              <w:pStyle w:val="P68B1DB1-Bodytext1013"/>
              <w:spacing w:after="0" w:line="240" w:lineRule="auto"/>
              <w:rPr>
                <w:rFonts w:ascii="Times New Roman" w:hAnsi="Times New Roman" w:cs="Times New Roman"/>
                <w:noProof/>
                <w:lang w:val="sk-SK"/>
              </w:rPr>
            </w:pPr>
            <w:r w:rsidRPr="003F23AC">
              <w:rPr>
                <w:rFonts w:ascii="Times New Roman" w:hAnsi="Times New Roman" w:cs="Times New Roman"/>
                <w:noProof/>
                <w:lang w:val="sk-SK"/>
              </w:rPr>
              <w:t>Vyberie sa 200 projektov Priemysel 4.0. Projekty musia byť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typológiou akcií opísanou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opise opatrenia.</w:t>
            </w:r>
          </w:p>
          <w:p w14:paraId="20D914ED" w14:textId="359591FC"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Výberovými kritériami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„nespôsobovať významnú škodu“ (2021/C58/01) podporovaných transakcií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tohto opatrenia prostredníctvom použitia zoznamu vylúčených subjektov uvedeného</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opise opatrenia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r w:rsidR="00387C70" w:rsidRPr="003F23AC" w14:paraId="46C66D80" w14:textId="77777777" w:rsidTr="008E475E">
        <w:trPr>
          <w:trHeight w:val="420"/>
        </w:trPr>
        <w:tc>
          <w:tcPr>
            <w:tcW w:w="1135" w:type="dxa"/>
            <w:shd w:val="clear" w:color="auto" w:fill="C5EFCE"/>
            <w:tcMar>
              <w:left w:w="28" w:type="dxa"/>
              <w:right w:w="28" w:type="dxa"/>
            </w:tcMar>
            <w:vAlign w:val="center"/>
          </w:tcPr>
          <w:p w14:paraId="26F66ABE" w14:textId="545B5AF7"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16.17</w:t>
            </w:r>
          </w:p>
        </w:tc>
        <w:tc>
          <w:tcPr>
            <w:tcW w:w="1276" w:type="dxa"/>
            <w:shd w:val="clear" w:color="auto" w:fill="C4EFCE"/>
            <w:noWrap/>
            <w:tcMar>
              <w:left w:w="28" w:type="dxa"/>
              <w:right w:w="28" w:type="dxa"/>
            </w:tcMar>
            <w:vAlign w:val="center"/>
          </w:tcPr>
          <w:p w14:paraId="5669B910" w14:textId="4FBD872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 – i04</w:t>
            </w:r>
          </w:p>
        </w:tc>
        <w:tc>
          <w:tcPr>
            <w:tcW w:w="1134" w:type="dxa"/>
            <w:shd w:val="clear" w:color="auto" w:fill="C4EFCE"/>
            <w:noWrap/>
            <w:tcMar>
              <w:left w:w="28" w:type="dxa"/>
              <w:right w:w="28" w:type="dxa"/>
            </w:tcMar>
            <w:vAlign w:val="center"/>
          </w:tcPr>
          <w:p w14:paraId="30ED83F0" w14:textId="35648102"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22EB61F6" w14:textId="1577C572" w:rsidR="00387C70" w:rsidRPr="003F23AC" w:rsidRDefault="000F5AA4" w:rsidP="003F23AC">
            <w:pPr>
              <w:pStyle w:val="P68B1DB1-Bodytext1013"/>
              <w:rPr>
                <w:rFonts w:ascii="Times New Roman" w:hAnsi="Times New Roman" w:cs="Times New Roman"/>
                <w:noProof/>
                <w:lang w:val="sk-SK"/>
              </w:rPr>
            </w:pPr>
            <w:r w:rsidRPr="003F23AC">
              <w:rPr>
                <w:rFonts w:ascii="Times New Roman" w:hAnsi="Times New Roman" w:cs="Times New Roman"/>
                <w:noProof/>
                <w:lang w:val="sk-SK"/>
              </w:rPr>
              <w:t>Ukončenie projektov Priemysel 4.0</w:t>
            </w:r>
          </w:p>
        </w:tc>
        <w:tc>
          <w:tcPr>
            <w:tcW w:w="1275" w:type="dxa"/>
            <w:shd w:val="clear" w:color="auto" w:fill="C4EFCE"/>
            <w:noWrap/>
            <w:tcMar>
              <w:left w:w="28" w:type="dxa"/>
              <w:right w:w="28" w:type="dxa"/>
            </w:tcMar>
            <w:vAlign w:val="center"/>
          </w:tcPr>
          <w:p w14:paraId="3B19D0B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6867E439" w14:textId="38FE02B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tcPr>
          <w:p w14:paraId="74AB5B4F" w14:textId="03BC099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tcPr>
          <w:p w14:paraId="6CDAE886" w14:textId="5FC7D1A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200</w:t>
            </w:r>
          </w:p>
        </w:tc>
        <w:tc>
          <w:tcPr>
            <w:tcW w:w="745" w:type="dxa"/>
            <w:shd w:val="clear" w:color="auto" w:fill="C4EFCE"/>
            <w:noWrap/>
            <w:tcMar>
              <w:left w:w="28" w:type="dxa"/>
              <w:right w:w="28" w:type="dxa"/>
            </w:tcMar>
            <w:vAlign w:val="center"/>
          </w:tcPr>
          <w:p w14:paraId="25173C37" w14:textId="2DB8590D"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389" w:type="dxa"/>
            <w:shd w:val="clear" w:color="auto" w:fill="C4EFCE"/>
            <w:noWrap/>
            <w:tcMar>
              <w:left w:w="28" w:type="dxa"/>
              <w:right w:w="28" w:type="dxa"/>
            </w:tcMar>
            <w:vAlign w:val="center"/>
          </w:tcPr>
          <w:p w14:paraId="076DD43D" w14:textId="37EF5AF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tcPr>
          <w:p w14:paraId="1B73DBDD" w14:textId="254DF0A1"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Dokončí sa 200 projektov Priemysel 4.0. Projekty musia byť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typológiou akcií opísanou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opise opatrenia.</w:t>
            </w:r>
          </w:p>
        </w:tc>
      </w:tr>
      <w:tr w:rsidR="00387C70" w:rsidRPr="003F23AC" w14:paraId="69BB9BE5" w14:textId="77777777" w:rsidTr="008E475E">
        <w:trPr>
          <w:trHeight w:val="420"/>
        </w:trPr>
        <w:tc>
          <w:tcPr>
            <w:tcW w:w="1135" w:type="dxa"/>
            <w:shd w:val="clear" w:color="auto" w:fill="C5EFCE"/>
            <w:tcMar>
              <w:left w:w="28" w:type="dxa"/>
              <w:right w:w="28" w:type="dxa"/>
            </w:tcMar>
            <w:vAlign w:val="center"/>
          </w:tcPr>
          <w:p w14:paraId="4E63D694" w14:textId="76E3D32E"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16.18</w:t>
            </w:r>
          </w:p>
        </w:tc>
        <w:tc>
          <w:tcPr>
            <w:tcW w:w="1276" w:type="dxa"/>
            <w:shd w:val="clear" w:color="auto" w:fill="C4EFCE"/>
            <w:noWrap/>
            <w:tcMar>
              <w:left w:w="28" w:type="dxa"/>
              <w:right w:w="28" w:type="dxa"/>
            </w:tcMar>
            <w:vAlign w:val="center"/>
          </w:tcPr>
          <w:p w14:paraId="672BD7BC" w14:textId="1D2975A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 – i05-RAA</w:t>
            </w:r>
          </w:p>
        </w:tc>
        <w:tc>
          <w:tcPr>
            <w:tcW w:w="1134" w:type="dxa"/>
            <w:shd w:val="clear" w:color="auto" w:fill="C4EFCE"/>
            <w:noWrap/>
            <w:tcMar>
              <w:left w:w="28" w:type="dxa"/>
              <w:right w:w="28" w:type="dxa"/>
            </w:tcMar>
            <w:vAlign w:val="center"/>
          </w:tcPr>
          <w:p w14:paraId="18003DB0" w14:textId="3F1895D7"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5C4B3C1D" w14:textId="5878D086"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Počet dokončených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systému stimulov na digitálnu transformáciu podnikov</w:t>
            </w:r>
          </w:p>
        </w:tc>
        <w:tc>
          <w:tcPr>
            <w:tcW w:w="1275" w:type="dxa"/>
            <w:shd w:val="clear" w:color="auto" w:fill="C4EFCE"/>
            <w:noWrap/>
            <w:tcMar>
              <w:left w:w="28" w:type="dxa"/>
              <w:right w:w="28" w:type="dxa"/>
            </w:tcMar>
            <w:vAlign w:val="center"/>
          </w:tcPr>
          <w:p w14:paraId="4D4E00B2"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993" w:type="dxa"/>
            <w:shd w:val="clear" w:color="auto" w:fill="C4EFCE"/>
            <w:noWrap/>
            <w:tcMar>
              <w:left w:w="28" w:type="dxa"/>
              <w:right w:w="28" w:type="dxa"/>
            </w:tcMar>
            <w:vAlign w:val="center"/>
          </w:tcPr>
          <w:p w14:paraId="447D968A" w14:textId="302D8EB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tcPr>
          <w:p w14:paraId="2104F8DD" w14:textId="5EC972A0"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tcPr>
          <w:p w14:paraId="56CBE9C3" w14:textId="713F4408"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350</w:t>
            </w:r>
          </w:p>
        </w:tc>
        <w:tc>
          <w:tcPr>
            <w:tcW w:w="745" w:type="dxa"/>
            <w:shd w:val="clear" w:color="auto" w:fill="C4EFCE"/>
            <w:noWrap/>
            <w:tcMar>
              <w:left w:w="28" w:type="dxa"/>
              <w:right w:w="28" w:type="dxa"/>
            </w:tcMar>
            <w:vAlign w:val="center"/>
          </w:tcPr>
          <w:p w14:paraId="67D3AF82" w14:textId="7786A162"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389" w:type="dxa"/>
            <w:shd w:val="clear" w:color="auto" w:fill="C4EFCE"/>
            <w:noWrap/>
            <w:tcMar>
              <w:left w:w="28" w:type="dxa"/>
              <w:right w:w="28" w:type="dxa"/>
            </w:tcMar>
            <w:vAlign w:val="center"/>
          </w:tcPr>
          <w:p w14:paraId="3F010DFB" w14:textId="14DE740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tcPr>
          <w:p w14:paraId="26822469" w14:textId="44081CF3"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350 projektov sa dokončí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systému stimulov na digitálnu transformáciu podnikov. Projekty musia byť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opise opatrenia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typológiou akcií opísaných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riadku 1 akcie 2, resp.</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riadku akcie 3.</w:t>
            </w:r>
          </w:p>
        </w:tc>
      </w:tr>
      <w:tr w:rsidR="00387C70" w:rsidRPr="003F23AC" w14:paraId="2E682C8F" w14:textId="77777777" w:rsidTr="008E475E">
        <w:trPr>
          <w:trHeight w:val="420"/>
        </w:trPr>
        <w:tc>
          <w:tcPr>
            <w:tcW w:w="1135" w:type="dxa"/>
            <w:shd w:val="clear" w:color="auto" w:fill="C5EFCE"/>
            <w:tcMar>
              <w:left w:w="28" w:type="dxa"/>
              <w:right w:w="28" w:type="dxa"/>
            </w:tcMar>
            <w:vAlign w:val="center"/>
          </w:tcPr>
          <w:p w14:paraId="380A2F8F" w14:textId="66F3324C"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16.19</w:t>
            </w:r>
          </w:p>
        </w:tc>
        <w:tc>
          <w:tcPr>
            <w:tcW w:w="1276" w:type="dxa"/>
            <w:shd w:val="clear" w:color="auto" w:fill="C4EFCE"/>
            <w:noWrap/>
            <w:tcMar>
              <w:left w:w="28" w:type="dxa"/>
              <w:right w:w="28" w:type="dxa"/>
            </w:tcMar>
            <w:vAlign w:val="center"/>
          </w:tcPr>
          <w:p w14:paraId="79CF44D5" w14:textId="1ADD6940"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 – i05-RAA</w:t>
            </w:r>
          </w:p>
        </w:tc>
        <w:tc>
          <w:tcPr>
            <w:tcW w:w="1134" w:type="dxa"/>
            <w:shd w:val="clear" w:color="auto" w:fill="C4EFCE"/>
            <w:noWrap/>
            <w:tcMar>
              <w:left w:w="28" w:type="dxa"/>
              <w:right w:w="28" w:type="dxa"/>
            </w:tcMar>
            <w:vAlign w:val="center"/>
          </w:tcPr>
          <w:p w14:paraId="1F908EF3" w14:textId="2500FFA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07C8C597" w14:textId="2BE6F98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Rozšírené alebo vybavené vedecké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technologické parky</w:t>
            </w:r>
          </w:p>
        </w:tc>
        <w:tc>
          <w:tcPr>
            <w:tcW w:w="1275" w:type="dxa"/>
            <w:shd w:val="clear" w:color="auto" w:fill="C4EFCE"/>
            <w:noWrap/>
            <w:tcMar>
              <w:left w:w="28" w:type="dxa"/>
              <w:right w:w="28" w:type="dxa"/>
            </w:tcMar>
            <w:vAlign w:val="center"/>
          </w:tcPr>
          <w:p w14:paraId="3C50E602" w14:textId="205F612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Inštalovaná sieťová</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výpočtová infraštruktúra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vybudovaná budova</w:t>
            </w:r>
          </w:p>
        </w:tc>
        <w:tc>
          <w:tcPr>
            <w:tcW w:w="993" w:type="dxa"/>
            <w:shd w:val="clear" w:color="auto" w:fill="C4EFCE"/>
            <w:noWrap/>
            <w:tcMar>
              <w:left w:w="28" w:type="dxa"/>
              <w:right w:w="28" w:type="dxa"/>
            </w:tcMar>
            <w:vAlign w:val="center"/>
          </w:tcPr>
          <w:p w14:paraId="06949E64" w14:textId="379E29AD" w:rsidR="00387C70" w:rsidRPr="003F23AC" w:rsidRDefault="00387C70" w:rsidP="003F23AC">
            <w:pPr>
              <w:spacing w:after="0" w:line="240" w:lineRule="auto"/>
              <w:jc w:val="center"/>
              <w:rPr>
                <w:rFonts w:ascii="Times New Roman" w:hAnsi="Times New Roman" w:cs="Times New Roman"/>
                <w:noProof/>
                <w:sz w:val="16"/>
                <w:lang w:val="sk-SK"/>
              </w:rPr>
            </w:pPr>
          </w:p>
        </w:tc>
        <w:tc>
          <w:tcPr>
            <w:tcW w:w="992" w:type="dxa"/>
            <w:shd w:val="clear" w:color="auto" w:fill="C4EFCE"/>
            <w:noWrap/>
            <w:tcMar>
              <w:left w:w="28" w:type="dxa"/>
              <w:right w:w="28" w:type="dxa"/>
            </w:tcMar>
            <w:vAlign w:val="center"/>
          </w:tcPr>
          <w:p w14:paraId="0E8D16A2" w14:textId="6A47AB65" w:rsidR="00387C70" w:rsidRPr="003F23AC" w:rsidRDefault="00387C70" w:rsidP="003F23AC">
            <w:pPr>
              <w:spacing w:after="0" w:line="240" w:lineRule="auto"/>
              <w:jc w:val="center"/>
              <w:rPr>
                <w:rFonts w:ascii="Times New Roman" w:hAnsi="Times New Roman" w:cs="Times New Roman"/>
                <w:noProof/>
                <w:sz w:val="16"/>
                <w:lang w:val="sk-SK"/>
              </w:rPr>
            </w:pPr>
          </w:p>
        </w:tc>
        <w:tc>
          <w:tcPr>
            <w:tcW w:w="850" w:type="dxa"/>
            <w:shd w:val="clear" w:color="auto" w:fill="C4EFCE"/>
            <w:noWrap/>
            <w:tcMar>
              <w:left w:w="28" w:type="dxa"/>
              <w:right w:w="28" w:type="dxa"/>
            </w:tcMar>
            <w:vAlign w:val="center"/>
          </w:tcPr>
          <w:p w14:paraId="55A9F016" w14:textId="3D8C3522" w:rsidR="00387C70" w:rsidRPr="003F23AC" w:rsidRDefault="00387C70" w:rsidP="003F23AC">
            <w:pPr>
              <w:spacing w:after="0" w:line="240" w:lineRule="auto"/>
              <w:jc w:val="center"/>
              <w:rPr>
                <w:rFonts w:ascii="Times New Roman" w:hAnsi="Times New Roman" w:cs="Times New Roman"/>
                <w:noProof/>
                <w:sz w:val="16"/>
                <w:lang w:val="sk-SK"/>
              </w:rPr>
            </w:pPr>
          </w:p>
        </w:tc>
        <w:tc>
          <w:tcPr>
            <w:tcW w:w="745" w:type="dxa"/>
            <w:shd w:val="clear" w:color="auto" w:fill="C4EFCE"/>
            <w:noWrap/>
            <w:tcMar>
              <w:left w:w="28" w:type="dxa"/>
              <w:right w:w="28" w:type="dxa"/>
            </w:tcMar>
            <w:vAlign w:val="center"/>
          </w:tcPr>
          <w:p w14:paraId="736C4E69" w14:textId="6BDCD721"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389" w:type="dxa"/>
            <w:shd w:val="clear" w:color="auto" w:fill="C4EFCE"/>
            <w:noWrap/>
            <w:tcMar>
              <w:left w:w="28" w:type="dxa"/>
              <w:right w:w="28" w:type="dxa"/>
            </w:tcMar>
            <w:vAlign w:val="center"/>
          </w:tcPr>
          <w:p w14:paraId="1D090ADB" w14:textId="4F4266E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tcPr>
          <w:p w14:paraId="7EF23F02" w14:textId="69F4A085"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 neangónskom vedecko-technickom parku sa inštalujú nové aktíva siete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výpočtovej infraštruktúry (hardvér)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vo vedecko-technickom parku Terinov sa vybuduje nová energeticky efektívna budova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rozlohou približne 878 metrov štvorcových. Nové budovy musia mať spotrebu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nižšiu ako požiadavky na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 Obnovami zameranými na energetickú efektívnosť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dosiahne aspoň stredná hĺbková obnova,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87C70" w:rsidRPr="003F23AC" w14:paraId="1BB3C3E0" w14:textId="77777777" w:rsidTr="008E475E">
        <w:trPr>
          <w:trHeight w:val="420"/>
        </w:trPr>
        <w:tc>
          <w:tcPr>
            <w:tcW w:w="1135" w:type="dxa"/>
            <w:shd w:val="clear" w:color="auto" w:fill="C5EFCE"/>
            <w:tcMar>
              <w:left w:w="28" w:type="dxa"/>
              <w:right w:w="28" w:type="dxa"/>
            </w:tcMar>
            <w:vAlign w:val="center"/>
          </w:tcPr>
          <w:p w14:paraId="6422BF72" w14:textId="48224803"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16.20</w:t>
            </w:r>
          </w:p>
        </w:tc>
        <w:tc>
          <w:tcPr>
            <w:tcW w:w="1276" w:type="dxa"/>
            <w:shd w:val="clear" w:color="auto" w:fill="C4EFCE"/>
            <w:noWrap/>
            <w:tcMar>
              <w:left w:w="28" w:type="dxa"/>
              <w:right w:w="28" w:type="dxa"/>
            </w:tcMar>
            <w:vAlign w:val="center"/>
          </w:tcPr>
          <w:p w14:paraId="241755ED" w14:textId="663183C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TD-C16 – i06-RAM</w:t>
            </w:r>
          </w:p>
        </w:tc>
        <w:tc>
          <w:tcPr>
            <w:tcW w:w="1134" w:type="dxa"/>
            <w:shd w:val="clear" w:color="auto" w:fill="C4EFCE"/>
            <w:noWrap/>
            <w:tcMar>
              <w:left w:w="28" w:type="dxa"/>
              <w:right w:w="28" w:type="dxa"/>
            </w:tcMar>
            <w:vAlign w:val="center"/>
          </w:tcPr>
          <w:p w14:paraId="2E4832F3" w14:textId="0869A850"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22D7638E" w14:textId="1AB722F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Podnik 4.0</w:t>
            </w:r>
          </w:p>
        </w:tc>
        <w:tc>
          <w:tcPr>
            <w:tcW w:w="1275" w:type="dxa"/>
            <w:shd w:val="clear" w:color="auto" w:fill="C4EFCE"/>
            <w:noWrap/>
            <w:tcMar>
              <w:left w:w="28" w:type="dxa"/>
              <w:right w:w="28" w:type="dxa"/>
            </w:tcMar>
            <w:vAlign w:val="center"/>
          </w:tcPr>
          <w:p w14:paraId="3C12F8CE"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3EDFD5D8" w14:textId="0DAE7C6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tcPr>
          <w:p w14:paraId="2C1BA599" w14:textId="79E71A0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850" w:type="dxa"/>
            <w:shd w:val="clear" w:color="auto" w:fill="C4EFCE"/>
            <w:noWrap/>
            <w:tcMar>
              <w:left w:w="28" w:type="dxa"/>
              <w:right w:w="28" w:type="dxa"/>
            </w:tcMar>
            <w:vAlign w:val="center"/>
          </w:tcPr>
          <w:p w14:paraId="3BACA82A" w14:textId="31DFBCD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300</w:t>
            </w:r>
          </w:p>
        </w:tc>
        <w:tc>
          <w:tcPr>
            <w:tcW w:w="745" w:type="dxa"/>
            <w:shd w:val="clear" w:color="auto" w:fill="C4EFCE"/>
            <w:noWrap/>
            <w:tcMar>
              <w:left w:w="28" w:type="dxa"/>
              <w:right w:w="28" w:type="dxa"/>
            </w:tcMar>
            <w:vAlign w:val="center"/>
          </w:tcPr>
          <w:p w14:paraId="69BC14F8" w14:textId="084EA236"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389" w:type="dxa"/>
            <w:shd w:val="clear" w:color="auto" w:fill="C4EFCE"/>
            <w:noWrap/>
            <w:tcMar>
              <w:left w:w="28" w:type="dxa"/>
              <w:right w:w="28" w:type="dxa"/>
            </w:tcMar>
            <w:vAlign w:val="center"/>
          </w:tcPr>
          <w:p w14:paraId="6F7D5365" w14:textId="2233F5B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tcPr>
          <w:p w14:paraId="20DC7735" w14:textId="21AAAC29" w:rsidR="00387C70" w:rsidRPr="003F23AC" w:rsidRDefault="000F5AA4" w:rsidP="003F23AC">
            <w:pPr>
              <w:pStyle w:val="P68B1DB1-Bodytext1013"/>
              <w:spacing w:after="0" w:line="240" w:lineRule="auto"/>
              <w:rPr>
                <w:rFonts w:ascii="Times New Roman" w:hAnsi="Times New Roman" w:cs="Times New Roman"/>
                <w:noProof/>
                <w:lang w:val="sk-SK"/>
              </w:rPr>
            </w:pPr>
            <w:r w:rsidRPr="003F23AC">
              <w:rPr>
                <w:rFonts w:ascii="Times New Roman" w:hAnsi="Times New Roman" w:cs="Times New Roman"/>
                <w:noProof/>
                <w:lang w:val="sk-SK"/>
              </w:rPr>
              <w:t>Dokončí sa 300 projektov digitalizácie pre MSP. Projekty pozostávajú</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vývoja alebo nákupu hmotného alebo nehmotného majetku priamo súvisiaceho</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investíciou do digitálnej transformácie.</w:t>
            </w:r>
          </w:p>
          <w:p w14:paraId="35F539B6" w14:textId="45DB6876"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Výberovými kritériami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„nespôsobovať významnú škodu“ (2021/C58/01) podporovaných transakcií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tohto opatrenia prostredníctvom použitia zoznamu vylúčených subjektov uvedeného</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opise opatrenia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bl>
    <w:p w14:paraId="4E8D9638"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u w:val="single"/>
          <w:lang w:val="sk-SK"/>
        </w:rPr>
      </w:pPr>
    </w:p>
    <w:p w14:paraId="0AC9B701"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sectPr w:rsidR="00387C70" w:rsidRPr="003F23AC" w:rsidSect="00E00EDD">
          <w:headerReference w:type="even" r:id="rId312"/>
          <w:headerReference w:type="default" r:id="rId313"/>
          <w:footerReference w:type="even" r:id="rId314"/>
          <w:footerReference w:type="default" r:id="rId315"/>
          <w:headerReference w:type="first" r:id="rId316"/>
          <w:footerReference w:type="first" r:id="rId317"/>
          <w:pgSz w:w="16839" w:h="11907" w:orient="landscape"/>
          <w:pgMar w:top="1134" w:right="1134" w:bottom="1134" w:left="1134" w:header="567" w:footer="567" w:gutter="0"/>
          <w:cols w:space="720"/>
          <w:docGrid w:linePitch="360"/>
        </w:sectPr>
      </w:pPr>
    </w:p>
    <w:p w14:paraId="777E4EB1" w14:textId="6E4EF3D5"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Q.</w:t>
      </w:r>
      <w:r w:rsidRPr="003F23AC">
        <w:rPr>
          <w:rFonts w:cs="Times New Roman"/>
          <w:smallCaps/>
          <w:noProof/>
          <w:lang w:val="sk-SK"/>
        </w:rPr>
        <w:t>ZLOŽKA 1</w:t>
      </w:r>
      <w:r w:rsidRPr="003F23AC">
        <w:rPr>
          <w:rFonts w:cs="Times New Roman"/>
          <w:noProof/>
          <w:lang w:val="sk-SK"/>
        </w:rPr>
        <w:t>7</w:t>
      </w:r>
      <w:r w:rsidRPr="003F23AC">
        <w:rPr>
          <w:rFonts w:cs="Times New Roman"/>
          <w:smallCaps/>
          <w:noProof/>
          <w:lang w:val="sk-SK"/>
        </w:rPr>
        <w:t xml:space="preserve">: </w:t>
      </w:r>
      <w:r w:rsidRPr="003F23AC">
        <w:rPr>
          <w:rFonts w:cs="Times New Roman"/>
          <w:noProof/>
          <w:lang w:val="sk-SK"/>
        </w:rPr>
        <w:t>Kvalita</w:t>
      </w:r>
      <w:r w:rsidR="00A75B3C" w:rsidRPr="003F23AC">
        <w:rPr>
          <w:rFonts w:cs="Times New Roman"/>
          <w:noProof/>
          <w:lang w:val="sk-SK"/>
        </w:rPr>
        <w:t xml:space="preserve"> a </w:t>
      </w:r>
      <w:r w:rsidRPr="003F23AC">
        <w:rPr>
          <w:rFonts w:cs="Times New Roman"/>
          <w:noProof/>
          <w:lang w:val="sk-SK"/>
        </w:rPr>
        <w:t>udržateľnosť verejných financií</w:t>
      </w:r>
    </w:p>
    <w:p w14:paraId="439DD862" w14:textId="373AB4ED"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zložka sa zaoberá výzvami súvisiacimi</w:t>
      </w:r>
      <w:r w:rsidR="00A75B3C" w:rsidRPr="003F23AC">
        <w:rPr>
          <w:rFonts w:cs="Times New Roman"/>
          <w:noProof/>
          <w:lang w:val="sk-SK"/>
        </w:rPr>
        <w:t xml:space="preserve"> s </w:t>
      </w:r>
      <w:r w:rsidRPr="003F23AC">
        <w:rPr>
          <w:rFonts w:cs="Times New Roman"/>
          <w:noProof/>
          <w:lang w:val="sk-SK"/>
        </w:rPr>
        <w:t>vysokým pomerom verejného dlhu</w:t>
      </w:r>
      <w:r w:rsidR="00A75B3C" w:rsidRPr="003F23AC">
        <w:rPr>
          <w:rFonts w:cs="Times New Roman"/>
          <w:noProof/>
          <w:lang w:val="sk-SK"/>
        </w:rPr>
        <w:t xml:space="preserve"> k </w:t>
      </w:r>
      <w:r w:rsidRPr="003F23AC">
        <w:rPr>
          <w:rFonts w:cs="Times New Roman"/>
          <w:noProof/>
          <w:lang w:val="sk-SK"/>
        </w:rPr>
        <w:t>HDP Portugalska, ktorý sa</w:t>
      </w:r>
      <w:r w:rsidR="00A75B3C" w:rsidRPr="003F23AC">
        <w:rPr>
          <w:rFonts w:cs="Times New Roman"/>
          <w:noProof/>
          <w:lang w:val="sk-SK"/>
        </w:rPr>
        <w:t xml:space="preserve"> v </w:t>
      </w:r>
      <w:r w:rsidRPr="003F23AC">
        <w:rPr>
          <w:rFonts w:cs="Times New Roman"/>
          <w:noProof/>
          <w:lang w:val="sk-SK"/>
        </w:rPr>
        <w:t>dôsledku krízy spôsobenej ochorením COVID-19 ešte zhoršil. Veľkosť pomeru verejného dlhu</w:t>
      </w:r>
      <w:r w:rsidR="00A75B3C" w:rsidRPr="003F23AC">
        <w:rPr>
          <w:rFonts w:cs="Times New Roman"/>
          <w:noProof/>
          <w:lang w:val="sk-SK"/>
        </w:rPr>
        <w:t xml:space="preserve"> k </w:t>
      </w:r>
      <w:r w:rsidRPr="003F23AC">
        <w:rPr>
          <w:rFonts w:cs="Times New Roman"/>
          <w:noProof/>
          <w:lang w:val="sk-SK"/>
        </w:rPr>
        <w:t>HDP</w:t>
      </w:r>
      <w:r w:rsidR="00A75B3C" w:rsidRPr="003F23AC">
        <w:rPr>
          <w:rFonts w:cs="Times New Roman"/>
          <w:noProof/>
          <w:lang w:val="sk-SK"/>
        </w:rPr>
        <w:t xml:space="preserve"> v </w:t>
      </w:r>
      <w:r w:rsidRPr="003F23AC">
        <w:rPr>
          <w:rFonts w:cs="Times New Roman"/>
          <w:noProof/>
          <w:lang w:val="sk-SK"/>
        </w:rPr>
        <w:t>Portugalsku obmedzuje dostupný fiškálny priestor a, ak to hospodárske podmienky umožnia, si vyžaduje zabezpečenie fiškálnej udržateľnosti</w:t>
      </w:r>
      <w:r w:rsidR="00A75B3C" w:rsidRPr="003F23AC">
        <w:rPr>
          <w:rFonts w:cs="Times New Roman"/>
          <w:noProof/>
          <w:lang w:val="sk-SK"/>
        </w:rPr>
        <w:t xml:space="preserve"> v </w:t>
      </w:r>
      <w:r w:rsidRPr="003F23AC">
        <w:rPr>
          <w:rFonts w:cs="Times New Roman"/>
          <w:noProof/>
          <w:lang w:val="sk-SK"/>
        </w:rPr>
        <w:t>strednodobom horizonte.</w:t>
      </w:r>
      <w:r w:rsidR="00A75B3C" w:rsidRPr="003F23AC">
        <w:rPr>
          <w:rFonts w:cs="Times New Roman"/>
          <w:noProof/>
          <w:lang w:val="sk-SK"/>
        </w:rPr>
        <w:t xml:space="preserve"> V </w:t>
      </w:r>
      <w:r w:rsidRPr="003F23AC">
        <w:rPr>
          <w:rFonts w:cs="Times New Roman"/>
          <w:noProof/>
          <w:lang w:val="sk-SK"/>
        </w:rPr>
        <w:t>tejto súvislosti sa očakáva, že silnejšie rámcové podmienky fiškálnej politiky prispejú</w:t>
      </w:r>
      <w:r w:rsidR="00A75B3C" w:rsidRPr="003F23AC">
        <w:rPr>
          <w:rFonts w:cs="Times New Roman"/>
          <w:noProof/>
          <w:lang w:val="sk-SK"/>
        </w:rPr>
        <w:t xml:space="preserve"> k </w:t>
      </w:r>
      <w:r w:rsidRPr="003F23AC">
        <w:rPr>
          <w:rFonts w:cs="Times New Roman"/>
          <w:noProof/>
          <w:lang w:val="sk-SK"/>
        </w:rPr>
        <w:t>väčšej fiškálnej udržateľnosti, ktorá viac podporuje rast.</w:t>
      </w:r>
    </w:p>
    <w:p w14:paraId="1982F9A7" w14:textId="56E87964" w:rsidR="00387C70" w:rsidRPr="003F23AC" w:rsidRDefault="000F5AA4" w:rsidP="003F23AC">
      <w:pPr>
        <w:pStyle w:val="P68B1DB1-Normal4"/>
        <w:spacing w:before="40" w:after="120" w:line="259" w:lineRule="auto"/>
        <w:jc w:val="both"/>
        <w:rPr>
          <w:rFonts w:eastAsiaTheme="minorEastAsia" w:cs="Times New Roman"/>
          <w:noProof/>
          <w:lang w:val="sk-SK"/>
        </w:rPr>
      </w:pPr>
      <w:r w:rsidRPr="003F23AC">
        <w:rPr>
          <w:rFonts w:cs="Times New Roman"/>
          <w:noProof/>
          <w:lang w:val="sk-SK"/>
        </w:rPr>
        <w:t>Cieľom tejto zložky je zlepšiť riadenie verejných financií</w:t>
      </w:r>
      <w:r w:rsidR="00A75B3C" w:rsidRPr="003F23AC">
        <w:rPr>
          <w:rFonts w:cs="Times New Roman"/>
          <w:noProof/>
          <w:lang w:val="sk-SK"/>
        </w:rPr>
        <w:t xml:space="preserve"> v </w:t>
      </w:r>
      <w:r w:rsidRPr="003F23AC">
        <w:rPr>
          <w:rFonts w:cs="Times New Roman"/>
          <w:noProof/>
          <w:lang w:val="sk-SK"/>
        </w:rPr>
        <w:t>Portugalsku</w:t>
      </w:r>
      <w:r w:rsidR="00A75B3C" w:rsidRPr="003F23AC">
        <w:rPr>
          <w:rFonts w:cs="Times New Roman"/>
          <w:noProof/>
          <w:lang w:val="sk-SK"/>
        </w:rPr>
        <w:t xml:space="preserve"> a </w:t>
      </w:r>
      <w:r w:rsidRPr="003F23AC">
        <w:rPr>
          <w:rFonts w:cs="Times New Roman"/>
          <w:noProof/>
          <w:lang w:val="sk-SK"/>
        </w:rPr>
        <w:t>odstrániť existujúce medzery vo fiškálno-štrukturálnych reformách. Tieto ciele okrem iného zahŕňajú:</w:t>
      </w:r>
    </w:p>
    <w:p w14:paraId="7E21C6C1" w14:textId="1F355F6D" w:rsidR="00A75B3C" w:rsidRPr="003F23AC" w:rsidRDefault="000F5AA4" w:rsidP="003F23AC">
      <w:pPr>
        <w:pStyle w:val="P68B1DB1-Normal4"/>
        <w:numPr>
          <w:ilvl w:val="0"/>
          <w:numId w:val="61"/>
        </w:numPr>
        <w:spacing w:before="40" w:after="160" w:line="259" w:lineRule="auto"/>
        <w:contextualSpacing/>
        <w:jc w:val="both"/>
        <w:rPr>
          <w:rFonts w:cs="Times New Roman"/>
          <w:noProof/>
          <w:lang w:val="sk-SK"/>
        </w:rPr>
      </w:pPr>
      <w:r w:rsidRPr="003F23AC">
        <w:rPr>
          <w:rFonts w:cs="Times New Roman"/>
          <w:noProof/>
          <w:lang w:val="sk-SK"/>
        </w:rPr>
        <w:t>dosiahnutie úplného</w:t>
      </w:r>
      <w:r w:rsidR="00A75B3C" w:rsidRPr="003F23AC">
        <w:rPr>
          <w:rFonts w:cs="Times New Roman"/>
          <w:noProof/>
          <w:lang w:val="sk-SK"/>
        </w:rPr>
        <w:t xml:space="preserve"> a </w:t>
      </w:r>
      <w:r w:rsidRPr="003F23AC">
        <w:rPr>
          <w:rFonts w:cs="Times New Roman"/>
          <w:noProof/>
          <w:lang w:val="sk-SK"/>
        </w:rPr>
        <w:t>účinného vykonávania zákona</w:t>
      </w:r>
      <w:r w:rsidR="00A75B3C" w:rsidRPr="003F23AC">
        <w:rPr>
          <w:rFonts w:cs="Times New Roman"/>
          <w:noProof/>
          <w:lang w:val="sk-SK"/>
        </w:rPr>
        <w:t xml:space="preserve"> o </w:t>
      </w:r>
      <w:r w:rsidRPr="003F23AC">
        <w:rPr>
          <w:rFonts w:cs="Times New Roman"/>
          <w:noProof/>
          <w:lang w:val="sk-SK"/>
        </w:rPr>
        <w:t>rozpočtovom rámci na rok 2015</w:t>
      </w:r>
      <w:r w:rsidR="00A75B3C" w:rsidRPr="003F23AC">
        <w:rPr>
          <w:rFonts w:cs="Times New Roman"/>
          <w:noProof/>
          <w:lang w:val="sk-SK"/>
        </w:rPr>
        <w:t xml:space="preserve"> a </w:t>
      </w:r>
      <w:r w:rsidRPr="003F23AC">
        <w:rPr>
          <w:rFonts w:cs="Times New Roman"/>
          <w:noProof/>
          <w:lang w:val="sk-SK"/>
        </w:rPr>
        <w:t>súvisiacich štrukturálnych zmien, pokiaľ ide</w:t>
      </w:r>
      <w:r w:rsidR="00A75B3C" w:rsidRPr="003F23AC">
        <w:rPr>
          <w:rFonts w:cs="Times New Roman"/>
          <w:noProof/>
          <w:lang w:val="sk-SK"/>
        </w:rPr>
        <w:t xml:space="preserve"> o </w:t>
      </w:r>
      <w:r w:rsidRPr="003F23AC">
        <w:rPr>
          <w:rFonts w:cs="Times New Roman"/>
          <w:noProof/>
          <w:lang w:val="sk-SK"/>
        </w:rPr>
        <w:t>zostavovanie rozpočtu, účtovníctvo</w:t>
      </w:r>
      <w:r w:rsidR="00A75B3C" w:rsidRPr="003F23AC">
        <w:rPr>
          <w:rFonts w:cs="Times New Roman"/>
          <w:noProof/>
          <w:lang w:val="sk-SK"/>
        </w:rPr>
        <w:t xml:space="preserve"> a </w:t>
      </w:r>
      <w:r w:rsidRPr="003F23AC">
        <w:rPr>
          <w:rFonts w:cs="Times New Roman"/>
          <w:noProof/>
          <w:lang w:val="sk-SK"/>
        </w:rPr>
        <w:t>informačné systémy</w:t>
      </w:r>
      <w:r w:rsidR="00A75B3C" w:rsidRPr="003F23AC">
        <w:rPr>
          <w:rFonts w:cs="Times New Roman"/>
          <w:noProof/>
          <w:lang w:val="sk-SK"/>
        </w:rPr>
        <w:t>;</w:t>
      </w:r>
    </w:p>
    <w:p w14:paraId="117516F8" w14:textId="279366A5" w:rsidR="00387C70" w:rsidRPr="003F23AC" w:rsidRDefault="000F5AA4" w:rsidP="003F23AC">
      <w:pPr>
        <w:pStyle w:val="P68B1DB1-Normal4"/>
        <w:numPr>
          <w:ilvl w:val="0"/>
          <w:numId w:val="61"/>
        </w:numPr>
        <w:spacing w:before="40" w:after="160" w:line="259" w:lineRule="auto"/>
        <w:contextualSpacing/>
        <w:jc w:val="both"/>
        <w:rPr>
          <w:rFonts w:eastAsiaTheme="minorEastAsia" w:cs="Times New Roman"/>
          <w:noProof/>
          <w:lang w:val="sk-SK"/>
        </w:rPr>
      </w:pPr>
      <w:r w:rsidRPr="003F23AC">
        <w:rPr>
          <w:rFonts w:cs="Times New Roman"/>
          <w:noProof/>
          <w:lang w:val="sk-SK"/>
        </w:rPr>
        <w:t>zvýšenie úspor efektívnosti prostredníctvom intenzívnejšieho využívania centralizovaného obstarávania</w:t>
      </w:r>
      <w:r w:rsidR="00A75B3C" w:rsidRPr="003F23AC">
        <w:rPr>
          <w:rFonts w:cs="Times New Roman"/>
          <w:noProof/>
          <w:lang w:val="sk-SK"/>
        </w:rPr>
        <w:t xml:space="preserve"> a </w:t>
      </w:r>
      <w:r w:rsidRPr="003F23AC">
        <w:rPr>
          <w:rFonts w:cs="Times New Roman"/>
          <w:noProof/>
          <w:lang w:val="sk-SK"/>
        </w:rPr>
        <w:t>preskúmaní výdavkov, ktoré sa majú začleniť do riadneho rozpočtového postupu</w:t>
      </w:r>
      <w:r w:rsidR="00A75B3C" w:rsidRPr="003F23AC">
        <w:rPr>
          <w:rFonts w:cs="Times New Roman"/>
          <w:noProof/>
          <w:lang w:val="sk-SK"/>
        </w:rPr>
        <w:t xml:space="preserve"> a </w:t>
      </w:r>
      <w:r w:rsidRPr="003F23AC">
        <w:rPr>
          <w:rFonts w:cs="Times New Roman"/>
          <w:noProof/>
          <w:lang w:val="sk-SK"/>
        </w:rPr>
        <w:t xml:space="preserve">budú podliehať systematickým hodnoteniam </w:t>
      </w:r>
      <w:r w:rsidRPr="003F23AC">
        <w:rPr>
          <w:rFonts w:cs="Times New Roman"/>
          <w:i/>
          <w:noProof/>
          <w:lang w:val="sk-SK"/>
        </w:rPr>
        <w:t>ex post</w:t>
      </w:r>
      <w:r w:rsidRPr="003F23AC">
        <w:rPr>
          <w:rFonts w:cs="Times New Roman"/>
          <w:noProof/>
          <w:lang w:val="sk-SK"/>
        </w:rPr>
        <w:t>;</w:t>
      </w:r>
    </w:p>
    <w:p w14:paraId="53FEF5B8" w14:textId="131EC9E6" w:rsidR="00387C70" w:rsidRPr="003F23AC" w:rsidRDefault="000F5AA4" w:rsidP="003F23AC">
      <w:pPr>
        <w:pStyle w:val="P68B1DB1-Normal4"/>
        <w:numPr>
          <w:ilvl w:val="0"/>
          <w:numId w:val="61"/>
        </w:numPr>
        <w:spacing w:before="40" w:after="160" w:line="259" w:lineRule="auto"/>
        <w:contextualSpacing/>
        <w:jc w:val="both"/>
        <w:rPr>
          <w:rFonts w:eastAsiaTheme="minorEastAsia" w:cs="Times New Roman"/>
          <w:noProof/>
          <w:lang w:val="sk-SK"/>
        </w:rPr>
      </w:pPr>
      <w:r w:rsidRPr="003F23AC">
        <w:rPr>
          <w:rFonts w:cs="Times New Roman"/>
          <w:noProof/>
          <w:lang w:val="sk-SK"/>
        </w:rPr>
        <w:t>zlepšenie finančnej výkonnosti štátnych podnikov prostredníctvom väčšej transparentnosti, posilneného monitorovania</w:t>
      </w:r>
      <w:r w:rsidR="00A75B3C" w:rsidRPr="003F23AC">
        <w:rPr>
          <w:rFonts w:cs="Times New Roman"/>
          <w:noProof/>
          <w:lang w:val="sk-SK"/>
        </w:rPr>
        <w:t xml:space="preserve"> a </w:t>
      </w:r>
      <w:r w:rsidRPr="003F23AC">
        <w:rPr>
          <w:rFonts w:cs="Times New Roman"/>
          <w:noProof/>
          <w:lang w:val="sk-SK"/>
        </w:rPr>
        <w:t>silnejšej správy vecí verejných, pričom sa manažment stáva zodpovednejším</w:t>
      </w:r>
      <w:r w:rsidR="00A75B3C" w:rsidRPr="003F23AC">
        <w:rPr>
          <w:rFonts w:cs="Times New Roman"/>
          <w:noProof/>
          <w:lang w:val="sk-SK"/>
        </w:rPr>
        <w:t xml:space="preserve"> a </w:t>
      </w:r>
      <w:r w:rsidRPr="003F23AC">
        <w:rPr>
          <w:rFonts w:cs="Times New Roman"/>
          <w:noProof/>
          <w:lang w:val="sk-SK"/>
        </w:rPr>
        <w:t>viac zameraným na výkonnosť;</w:t>
      </w:r>
      <w:r w:rsidR="00A75B3C" w:rsidRPr="003F23AC">
        <w:rPr>
          <w:rFonts w:cs="Times New Roman"/>
          <w:noProof/>
          <w:lang w:val="sk-SK"/>
        </w:rPr>
        <w:t xml:space="preserve"> a </w:t>
      </w:r>
      <w:r w:rsidRPr="003F23AC">
        <w:rPr>
          <w:rFonts w:cs="Times New Roman"/>
          <w:noProof/>
          <w:lang w:val="sk-SK"/>
        </w:rPr>
        <w:t>zároveň</w:t>
      </w:r>
    </w:p>
    <w:p w14:paraId="77257493" w14:textId="79FFAE69" w:rsidR="00387C70" w:rsidRPr="008E475E" w:rsidRDefault="000F5AA4" w:rsidP="003F23AC">
      <w:pPr>
        <w:pStyle w:val="P68B1DB1-Normal4"/>
        <w:numPr>
          <w:ilvl w:val="0"/>
          <w:numId w:val="61"/>
        </w:numPr>
        <w:spacing w:before="40" w:after="160" w:line="259" w:lineRule="auto"/>
        <w:contextualSpacing/>
        <w:jc w:val="both"/>
        <w:rPr>
          <w:rFonts w:eastAsiaTheme="minorEastAsia" w:cs="Times New Roman"/>
          <w:noProof/>
          <w:spacing w:val="-10"/>
          <w:lang w:val="sk-SK"/>
        </w:rPr>
      </w:pPr>
      <w:r w:rsidRPr="008E475E">
        <w:rPr>
          <w:rFonts w:cs="Times New Roman"/>
          <w:noProof/>
          <w:spacing w:val="-10"/>
          <w:lang w:val="sk-SK"/>
        </w:rPr>
        <w:t>zvýšenie efektívnosti správy príjmov – vrátane daňovej</w:t>
      </w:r>
      <w:r w:rsidR="00A75B3C" w:rsidRPr="008E475E">
        <w:rPr>
          <w:rFonts w:cs="Times New Roman"/>
          <w:noProof/>
          <w:spacing w:val="-10"/>
          <w:lang w:val="sk-SK"/>
        </w:rPr>
        <w:t xml:space="preserve"> a </w:t>
      </w:r>
      <w:r w:rsidRPr="008E475E">
        <w:rPr>
          <w:rFonts w:cs="Times New Roman"/>
          <w:noProof/>
          <w:spacing w:val="-10"/>
          <w:lang w:val="sk-SK"/>
        </w:rPr>
        <w:t>colnej správy</w:t>
      </w:r>
      <w:r w:rsidR="00A75B3C" w:rsidRPr="008E475E">
        <w:rPr>
          <w:rFonts w:cs="Times New Roman"/>
          <w:noProof/>
          <w:spacing w:val="-10"/>
          <w:lang w:val="sk-SK"/>
        </w:rPr>
        <w:t xml:space="preserve"> a </w:t>
      </w:r>
      <w:r w:rsidRPr="008E475E">
        <w:rPr>
          <w:rFonts w:cs="Times New Roman"/>
          <w:noProof/>
          <w:spacing w:val="-10"/>
          <w:lang w:val="sk-SK"/>
        </w:rPr>
        <w:t>služieb sociálneho zabezpečenia – využívaním dostupného priestoru na väčšiu digitalizáciu</w:t>
      </w:r>
      <w:r w:rsidR="00A75B3C" w:rsidRPr="008E475E">
        <w:rPr>
          <w:rFonts w:cs="Times New Roman"/>
          <w:noProof/>
          <w:spacing w:val="-10"/>
          <w:lang w:val="sk-SK"/>
        </w:rPr>
        <w:t xml:space="preserve"> a </w:t>
      </w:r>
      <w:r w:rsidRPr="008E475E">
        <w:rPr>
          <w:rFonts w:cs="Times New Roman"/>
          <w:noProof/>
          <w:spacing w:val="-10"/>
          <w:lang w:val="sk-SK"/>
        </w:rPr>
        <w:t>ústretovosť pre podnikanie.</w:t>
      </w:r>
    </w:p>
    <w:p w14:paraId="0D3AD004" w14:textId="67493F32" w:rsidR="00387C70" w:rsidRPr="008E475E" w:rsidRDefault="000F5AA4" w:rsidP="003F23AC">
      <w:pPr>
        <w:pStyle w:val="P68B1DB1-Normal4"/>
        <w:spacing w:before="40" w:after="120" w:line="259" w:lineRule="auto"/>
        <w:jc w:val="both"/>
        <w:rPr>
          <w:rFonts w:eastAsiaTheme="minorEastAsia" w:cs="Times New Roman"/>
          <w:noProof/>
          <w:spacing w:val="-4"/>
          <w:lang w:val="sk-SK"/>
        </w:rPr>
      </w:pPr>
      <w:r w:rsidRPr="008E475E">
        <w:rPr>
          <w:rFonts w:cs="Times New Roman"/>
          <w:noProof/>
          <w:spacing w:val="-4"/>
          <w:lang w:val="sk-SK"/>
        </w:rPr>
        <w:t>Táto zložka prispieva</w:t>
      </w:r>
      <w:r w:rsidR="00A75B3C" w:rsidRPr="008E475E">
        <w:rPr>
          <w:rFonts w:cs="Times New Roman"/>
          <w:noProof/>
          <w:spacing w:val="-4"/>
          <w:lang w:val="sk-SK"/>
        </w:rPr>
        <w:t xml:space="preserve"> k </w:t>
      </w:r>
      <w:r w:rsidRPr="008E475E">
        <w:rPr>
          <w:rFonts w:cs="Times New Roman"/>
          <w:noProof/>
          <w:spacing w:val="-4"/>
          <w:lang w:val="sk-SK"/>
        </w:rPr>
        <w:t>plneniu odporúčania pre jednotlivé krajiny</w:t>
      </w:r>
      <w:r w:rsidR="00A75B3C" w:rsidRPr="008E475E">
        <w:rPr>
          <w:rFonts w:cs="Times New Roman"/>
          <w:noProof/>
          <w:spacing w:val="-4"/>
          <w:lang w:val="sk-SK"/>
        </w:rPr>
        <w:t xml:space="preserve"> s </w:t>
      </w:r>
      <w:r w:rsidRPr="008E475E">
        <w:rPr>
          <w:rFonts w:cs="Times New Roman"/>
          <w:noProof/>
          <w:spacing w:val="-4"/>
          <w:lang w:val="sk-SK"/>
        </w:rPr>
        <w:t>cieľom zlepšiť kvalitu verejných financií</w:t>
      </w:r>
      <w:r w:rsidR="00A75B3C" w:rsidRPr="008E475E">
        <w:rPr>
          <w:rFonts w:cs="Times New Roman"/>
          <w:noProof/>
          <w:spacing w:val="-4"/>
          <w:lang w:val="sk-SK"/>
        </w:rPr>
        <w:t xml:space="preserve"> a </w:t>
      </w:r>
      <w:r w:rsidRPr="008E475E">
        <w:rPr>
          <w:rFonts w:cs="Times New Roman"/>
          <w:noProof/>
          <w:spacing w:val="-4"/>
          <w:lang w:val="sk-SK"/>
        </w:rPr>
        <w:t>zároveň posilniť kontrolu celkových výdavkov, nákladovú efektívnosť</w:t>
      </w:r>
      <w:r w:rsidR="00A75B3C" w:rsidRPr="008E475E">
        <w:rPr>
          <w:rFonts w:cs="Times New Roman"/>
          <w:noProof/>
          <w:spacing w:val="-4"/>
          <w:lang w:val="sk-SK"/>
        </w:rPr>
        <w:t xml:space="preserve"> a </w:t>
      </w:r>
      <w:r w:rsidRPr="008E475E">
        <w:rPr>
          <w:rFonts w:cs="Times New Roman"/>
          <w:noProof/>
          <w:spacing w:val="-4"/>
          <w:lang w:val="sk-SK"/>
        </w:rPr>
        <w:t>primerané rozpočtovanie (odporúčanie pre jednotlivé krajiny 1 2019), odporúčanie zlepšiť finančnú udržateľnosť štátnych podnikov</w:t>
      </w:r>
      <w:r w:rsidR="00A75B3C" w:rsidRPr="008E475E">
        <w:rPr>
          <w:rFonts w:cs="Times New Roman"/>
          <w:noProof/>
          <w:spacing w:val="-4"/>
          <w:lang w:val="sk-SK"/>
        </w:rPr>
        <w:t xml:space="preserve"> a </w:t>
      </w:r>
      <w:r w:rsidRPr="008E475E">
        <w:rPr>
          <w:rFonts w:cs="Times New Roman"/>
          <w:noProof/>
          <w:spacing w:val="-4"/>
          <w:lang w:val="sk-SK"/>
        </w:rPr>
        <w:t>zároveň zabezpečiť včasnejšie, transparentnejšie</w:t>
      </w:r>
      <w:r w:rsidR="00A75B3C" w:rsidRPr="008E475E">
        <w:rPr>
          <w:rFonts w:cs="Times New Roman"/>
          <w:noProof/>
          <w:spacing w:val="-4"/>
          <w:lang w:val="sk-SK"/>
        </w:rPr>
        <w:t xml:space="preserve"> a </w:t>
      </w:r>
      <w:r w:rsidRPr="008E475E">
        <w:rPr>
          <w:rFonts w:cs="Times New Roman"/>
          <w:noProof/>
          <w:spacing w:val="-4"/>
          <w:lang w:val="sk-SK"/>
        </w:rPr>
        <w:t>komplexnejšie monitorovanie (odporúčanie pre jednotlivé krajiny 1 2019), odporúčanie, ak to hospodárske podmienky umožnia, vykonávať fiškálne politiky zamerané na dosiahnutie obozretnej strednodobej fiškálnej pozície</w:t>
      </w:r>
      <w:r w:rsidR="00A75B3C" w:rsidRPr="008E475E">
        <w:rPr>
          <w:rFonts w:cs="Times New Roman"/>
          <w:noProof/>
          <w:spacing w:val="-4"/>
          <w:lang w:val="sk-SK"/>
        </w:rPr>
        <w:t xml:space="preserve"> a </w:t>
      </w:r>
      <w:r w:rsidRPr="008E475E">
        <w:rPr>
          <w:rFonts w:cs="Times New Roman"/>
          <w:noProof/>
          <w:spacing w:val="-4"/>
          <w:lang w:val="sk-SK"/>
        </w:rPr>
        <w:t>zabezpečenie udržateľnosti dlhovej služby (odporúčanie 1 2020)</w:t>
      </w:r>
      <w:r w:rsidR="00A75B3C" w:rsidRPr="008E475E">
        <w:rPr>
          <w:rFonts w:cs="Times New Roman"/>
          <w:noProof/>
          <w:spacing w:val="-4"/>
          <w:lang w:val="sk-SK"/>
        </w:rPr>
        <w:t xml:space="preserve"> a </w:t>
      </w:r>
      <w:r w:rsidRPr="008E475E">
        <w:rPr>
          <w:rFonts w:cs="Times New Roman"/>
          <w:noProof/>
          <w:spacing w:val="-4"/>
          <w:lang w:val="sk-SK"/>
        </w:rPr>
        <w:t xml:space="preserve">odporúčanie zlepšiť účinnosť daňového systému, najmä uprednostňovaním zjednodušenia jeho rámca (odporúčanie pre jednotlivé krajiny </w:t>
      </w:r>
      <w:r w:rsidR="00A75B3C" w:rsidRPr="008E475E">
        <w:rPr>
          <w:rFonts w:cs="Times New Roman"/>
          <w:noProof/>
          <w:spacing w:val="-4"/>
          <w:lang w:val="sk-SK"/>
        </w:rPr>
        <w:t>č. </w:t>
      </w:r>
      <w:r w:rsidRPr="008E475E">
        <w:rPr>
          <w:rFonts w:cs="Times New Roman"/>
          <w:noProof/>
          <w:spacing w:val="-4"/>
          <w:lang w:val="sk-SK"/>
        </w:rPr>
        <w:t>1 2022</w:t>
      </w:r>
      <w:r w:rsidR="00A75B3C" w:rsidRPr="008E475E">
        <w:rPr>
          <w:rFonts w:cs="Times New Roman"/>
          <w:noProof/>
          <w:spacing w:val="-4"/>
          <w:lang w:val="sk-SK"/>
        </w:rPr>
        <w:t xml:space="preserve"> a </w:t>
      </w:r>
      <w:r w:rsidRPr="008E475E">
        <w:rPr>
          <w:rFonts w:cs="Times New Roman"/>
          <w:noProof/>
          <w:spacing w:val="-4"/>
          <w:lang w:val="sk-SK"/>
        </w:rPr>
        <w:t>2023). Táto zložka prispieva aj</w:t>
      </w:r>
      <w:r w:rsidR="00A75B3C" w:rsidRPr="008E475E">
        <w:rPr>
          <w:rFonts w:cs="Times New Roman"/>
          <w:noProof/>
          <w:spacing w:val="-4"/>
          <w:lang w:val="sk-SK"/>
        </w:rPr>
        <w:t xml:space="preserve"> k </w:t>
      </w:r>
      <w:r w:rsidRPr="008E475E">
        <w:rPr>
          <w:rFonts w:cs="Times New Roman"/>
          <w:noProof/>
          <w:spacing w:val="-4"/>
          <w:lang w:val="sk-SK"/>
        </w:rPr>
        <w:t>plneniu odporúčania pre jednotlivé krajiny, aby sa investície zamerali na digitálnu transformáciu (odporúčanie pre jednotlivé krajiny 3 2020).</w:t>
      </w:r>
    </w:p>
    <w:p w14:paraId="23F36B2A" w14:textId="5B5DC0D2" w:rsidR="00A75B3C" w:rsidRPr="008E475E" w:rsidRDefault="000F5AA4" w:rsidP="003F23AC">
      <w:pPr>
        <w:pStyle w:val="P68B1DB1-Normal4"/>
        <w:spacing w:before="40" w:after="120" w:line="259" w:lineRule="auto"/>
        <w:jc w:val="both"/>
        <w:rPr>
          <w:rFonts w:cs="Times New Roman"/>
          <w:noProof/>
          <w:spacing w:val="-4"/>
          <w:lang w:val="sk-SK"/>
        </w:rPr>
      </w:pPr>
      <w:r w:rsidRPr="008E475E">
        <w:rPr>
          <w:rFonts w:cs="Times New Roman"/>
          <w:noProof/>
          <w:spacing w:val="-4"/>
          <w:lang w:val="sk-SK"/>
        </w:rPr>
        <w:t>Očakáva sa, že žiadne opatrenie</w:t>
      </w:r>
      <w:r w:rsidR="00A75B3C" w:rsidRPr="008E475E">
        <w:rPr>
          <w:rFonts w:cs="Times New Roman"/>
          <w:noProof/>
          <w:spacing w:val="-4"/>
          <w:lang w:val="sk-SK"/>
        </w:rPr>
        <w:t xml:space="preserve"> v </w:t>
      </w:r>
      <w:r w:rsidRPr="008E475E">
        <w:rPr>
          <w:rFonts w:cs="Times New Roman"/>
          <w:noProof/>
          <w:spacing w:val="-4"/>
          <w:lang w:val="sk-SK"/>
        </w:rPr>
        <w:t>tejto zložke výrazne nenarúša plnenie environmentálnych cieľov</w:t>
      </w:r>
      <w:r w:rsidR="00A75B3C" w:rsidRPr="008E475E">
        <w:rPr>
          <w:rFonts w:cs="Times New Roman"/>
          <w:noProof/>
          <w:spacing w:val="-4"/>
          <w:lang w:val="sk-SK"/>
        </w:rPr>
        <w:t xml:space="preserve"> v </w:t>
      </w:r>
      <w:r w:rsidRPr="008E475E">
        <w:rPr>
          <w:rFonts w:cs="Times New Roman"/>
          <w:noProof/>
          <w:spacing w:val="-4"/>
          <w:lang w:val="sk-SK"/>
        </w:rPr>
        <w:t>zmysle článku 17 nariadenia (EÚ) 2020/852, pričom sa zohľadní opis opatrení</w:t>
      </w:r>
      <w:r w:rsidR="00A75B3C" w:rsidRPr="008E475E">
        <w:rPr>
          <w:rFonts w:cs="Times New Roman"/>
          <w:noProof/>
          <w:spacing w:val="-4"/>
          <w:lang w:val="sk-SK"/>
        </w:rPr>
        <w:t xml:space="preserve"> a </w:t>
      </w:r>
      <w:r w:rsidRPr="008E475E">
        <w:rPr>
          <w:rFonts w:cs="Times New Roman"/>
          <w:noProof/>
          <w:spacing w:val="-4"/>
          <w:lang w:val="sk-SK"/>
        </w:rPr>
        <w:t>zmierňujúce kroky stanovené</w:t>
      </w:r>
      <w:r w:rsidR="00A75B3C" w:rsidRPr="008E475E">
        <w:rPr>
          <w:rFonts w:cs="Times New Roman"/>
          <w:noProof/>
          <w:spacing w:val="-4"/>
          <w:lang w:val="sk-SK"/>
        </w:rPr>
        <w:t xml:space="preserve"> v </w:t>
      </w:r>
      <w:r w:rsidRPr="008E475E">
        <w:rPr>
          <w:rFonts w:cs="Times New Roman"/>
          <w:noProof/>
          <w:spacing w:val="-4"/>
          <w:lang w:val="sk-SK"/>
        </w:rPr>
        <w:t>pláne</w:t>
      </w:r>
      <w:r w:rsidR="00A75B3C" w:rsidRPr="008E475E">
        <w:rPr>
          <w:rFonts w:cs="Times New Roman"/>
          <w:noProof/>
          <w:spacing w:val="-4"/>
          <w:lang w:val="sk-SK"/>
        </w:rPr>
        <w:t xml:space="preserve"> v </w:t>
      </w:r>
      <w:r w:rsidRPr="008E475E">
        <w:rPr>
          <w:rFonts w:cs="Times New Roman"/>
          <w:noProof/>
          <w:spacing w:val="-4"/>
          <w:lang w:val="sk-SK"/>
        </w:rPr>
        <w:t>súlade</w:t>
      </w:r>
      <w:r w:rsidR="00A75B3C" w:rsidRPr="008E475E">
        <w:rPr>
          <w:rFonts w:cs="Times New Roman"/>
          <w:noProof/>
          <w:spacing w:val="-4"/>
          <w:lang w:val="sk-SK"/>
        </w:rPr>
        <w:t xml:space="preserve"> s </w:t>
      </w:r>
      <w:r w:rsidRPr="008E475E">
        <w:rPr>
          <w:rFonts w:cs="Times New Roman"/>
          <w:noProof/>
          <w:spacing w:val="-4"/>
          <w:lang w:val="sk-SK"/>
        </w:rPr>
        <w:t>technickým usmernením týkajúcim sa zásady „výrazne nenarušiť“ (2021/C58/01)</w:t>
      </w:r>
      <w:r w:rsidR="00A75B3C" w:rsidRPr="008E475E">
        <w:rPr>
          <w:rFonts w:cs="Times New Roman"/>
          <w:noProof/>
          <w:spacing w:val="-4"/>
          <w:lang w:val="sk-SK"/>
        </w:rPr>
        <w:t>.</w:t>
      </w:r>
    </w:p>
    <w:p w14:paraId="3248AA7D" w14:textId="7C7808B8" w:rsidR="00387C70" w:rsidRPr="003F23AC" w:rsidRDefault="00387C70" w:rsidP="003F23AC">
      <w:pPr>
        <w:spacing w:before="40" w:after="120" w:line="259" w:lineRule="auto"/>
        <w:jc w:val="both"/>
        <w:rPr>
          <w:rFonts w:ascii="Times New Roman" w:eastAsiaTheme="minorEastAsia" w:hAnsi="Times New Roman" w:cs="Times New Roman"/>
          <w:noProof/>
          <w:sz w:val="24"/>
          <w:lang w:val="sk-SK"/>
        </w:rPr>
      </w:pPr>
    </w:p>
    <w:p w14:paraId="28C15D2C" w14:textId="4664D79A" w:rsidR="00387C70" w:rsidRPr="003F23AC" w:rsidRDefault="00FF0A91"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1. štvrťrok</w:t>
      </w:r>
      <w:r w:rsidR="000F5AA4" w:rsidRPr="003F23AC">
        <w:rPr>
          <w:rFonts w:cs="Times New Roman"/>
          <w:noProof/>
          <w:lang w:val="sk-SK"/>
        </w:rPr>
        <w:t xml:space="preserve"> Opis reforiem</w:t>
      </w:r>
      <w:r w:rsidR="00A75B3C" w:rsidRPr="003F23AC">
        <w:rPr>
          <w:rFonts w:cs="Times New Roman"/>
          <w:noProof/>
          <w:lang w:val="sk-SK"/>
        </w:rPr>
        <w:t xml:space="preserve"> a </w:t>
      </w:r>
      <w:r w:rsidR="000F5AA4" w:rsidRPr="003F23AC">
        <w:rPr>
          <w:rFonts w:cs="Times New Roman"/>
          <w:noProof/>
          <w:lang w:val="sk-SK"/>
        </w:rPr>
        <w:t>investícií</w:t>
      </w:r>
      <w:r w:rsidR="00A75B3C" w:rsidRPr="003F23AC">
        <w:rPr>
          <w:rFonts w:cs="Times New Roman"/>
          <w:noProof/>
          <w:lang w:val="sk-SK"/>
        </w:rPr>
        <w:t xml:space="preserve"> v </w:t>
      </w:r>
      <w:r w:rsidR="000F5AA4" w:rsidRPr="003F23AC">
        <w:rPr>
          <w:rFonts w:cs="Times New Roman"/>
          <w:noProof/>
          <w:lang w:val="sk-SK"/>
        </w:rPr>
        <w:t>rámci nenávratnej finančnej podpory</w:t>
      </w:r>
    </w:p>
    <w:p w14:paraId="1D2019B5" w14:textId="6DCC5300" w:rsidR="00387C70" w:rsidRPr="003F23AC" w:rsidRDefault="000F5AA4" w:rsidP="003F23AC">
      <w:pPr>
        <w:pStyle w:val="P68B1DB1-Normal5"/>
        <w:spacing w:before="240" w:after="0" w:line="259" w:lineRule="auto"/>
        <w:ind w:left="851"/>
        <w:jc w:val="both"/>
        <w:outlineLvl w:val="2"/>
        <w:rPr>
          <w:rFonts w:eastAsia="Times New Roman" w:cs="Times New Roman"/>
          <w:noProof/>
          <w:lang w:val="sk-SK"/>
        </w:rPr>
      </w:pPr>
      <w:r w:rsidRPr="003F23AC">
        <w:rPr>
          <w:rFonts w:cs="Times New Roman"/>
          <w:noProof/>
          <w:lang w:val="sk-SK"/>
        </w:rPr>
        <w:t>Reforma TD-r32: Modernizácia</w:t>
      </w:r>
      <w:r w:rsidR="00A75B3C" w:rsidRPr="003F23AC">
        <w:rPr>
          <w:rFonts w:cs="Times New Roman"/>
          <w:noProof/>
          <w:lang w:val="sk-SK"/>
        </w:rPr>
        <w:t xml:space="preserve"> a </w:t>
      </w:r>
      <w:r w:rsidRPr="003F23AC">
        <w:rPr>
          <w:rFonts w:cs="Times New Roman"/>
          <w:noProof/>
          <w:lang w:val="sk-SK"/>
        </w:rPr>
        <w:t>zjednodušenie hospodárenia</w:t>
      </w:r>
      <w:r w:rsidR="00A75B3C" w:rsidRPr="003F23AC">
        <w:rPr>
          <w:rFonts w:cs="Times New Roman"/>
          <w:noProof/>
          <w:lang w:val="sk-SK"/>
        </w:rPr>
        <w:t xml:space="preserve"> s </w:t>
      </w:r>
      <w:r w:rsidRPr="003F23AC">
        <w:rPr>
          <w:rFonts w:cs="Times New Roman"/>
          <w:noProof/>
          <w:lang w:val="sk-SK"/>
        </w:rPr>
        <w:t>verejnými financiami</w:t>
      </w:r>
    </w:p>
    <w:p w14:paraId="7386FB7C" w14:textId="423A534F" w:rsidR="00387C70" w:rsidRPr="003F23AC" w:rsidRDefault="000F5AA4" w:rsidP="003F23AC">
      <w:pPr>
        <w:pStyle w:val="P68B1DB1-Normal4"/>
        <w:spacing w:before="40" w:after="120" w:line="259" w:lineRule="auto"/>
        <w:jc w:val="both"/>
        <w:rPr>
          <w:rFonts w:eastAsiaTheme="minorEastAsia" w:cs="Times New Roman"/>
          <w:noProof/>
          <w:lang w:val="sk-SK"/>
        </w:rPr>
      </w:pPr>
      <w:r w:rsidRPr="003F23AC">
        <w:rPr>
          <w:rFonts w:cs="Times New Roman"/>
          <w:noProof/>
          <w:lang w:val="sk-SK"/>
        </w:rPr>
        <w:t>Hlavným cieľom reformy je zlepšiť kvalitu</w:t>
      </w:r>
      <w:r w:rsidR="00A75B3C" w:rsidRPr="003F23AC">
        <w:rPr>
          <w:rFonts w:cs="Times New Roman"/>
          <w:noProof/>
          <w:lang w:val="sk-SK"/>
        </w:rPr>
        <w:t xml:space="preserve"> a </w:t>
      </w:r>
      <w:r w:rsidRPr="003F23AC">
        <w:rPr>
          <w:rFonts w:cs="Times New Roman"/>
          <w:noProof/>
          <w:lang w:val="sk-SK"/>
        </w:rPr>
        <w:t>udržateľnosť verejných financií,</w:t>
      </w:r>
      <w:r w:rsidR="00A75B3C" w:rsidRPr="003F23AC">
        <w:rPr>
          <w:rFonts w:cs="Times New Roman"/>
          <w:noProof/>
          <w:lang w:val="sk-SK"/>
        </w:rPr>
        <w:t xml:space="preserve"> a </w:t>
      </w:r>
      <w:r w:rsidRPr="003F23AC">
        <w:rPr>
          <w:rFonts w:cs="Times New Roman"/>
          <w:noProof/>
          <w:lang w:val="sk-SK"/>
        </w:rPr>
        <w:t>najmä posilniť kontrolu výdavkov</w:t>
      </w:r>
      <w:r w:rsidR="00A75B3C" w:rsidRPr="003F23AC">
        <w:rPr>
          <w:rFonts w:cs="Times New Roman"/>
          <w:noProof/>
          <w:lang w:val="sk-SK"/>
        </w:rPr>
        <w:t xml:space="preserve"> a </w:t>
      </w:r>
      <w:r w:rsidRPr="003F23AC">
        <w:rPr>
          <w:rFonts w:cs="Times New Roman"/>
          <w:noProof/>
          <w:lang w:val="sk-SK"/>
        </w:rPr>
        <w:t>primerané rozpočtovanie. Reforma sa zameriava aj na zvýšenie transparentnosti</w:t>
      </w:r>
      <w:r w:rsidR="00A75B3C" w:rsidRPr="003F23AC">
        <w:rPr>
          <w:rFonts w:cs="Times New Roman"/>
          <w:noProof/>
          <w:lang w:val="sk-SK"/>
        </w:rPr>
        <w:t xml:space="preserve"> a </w:t>
      </w:r>
      <w:r w:rsidRPr="003F23AC">
        <w:rPr>
          <w:rFonts w:cs="Times New Roman"/>
          <w:noProof/>
          <w:lang w:val="sk-SK"/>
        </w:rPr>
        <w:t>efektívnosti pri využívaní verejných zdrojov prostredníctvom integrovanejšieho riadenia administratívnych</w:t>
      </w:r>
      <w:r w:rsidR="00A75B3C" w:rsidRPr="003F23AC">
        <w:rPr>
          <w:rFonts w:cs="Times New Roman"/>
          <w:noProof/>
          <w:lang w:val="sk-SK"/>
        </w:rPr>
        <w:t xml:space="preserve"> a </w:t>
      </w:r>
      <w:r w:rsidRPr="003F23AC">
        <w:rPr>
          <w:rFonts w:cs="Times New Roman"/>
          <w:noProof/>
          <w:lang w:val="sk-SK"/>
        </w:rPr>
        <w:t>finančných procesov vo všetkých subjektoch verejnej správy.</w:t>
      </w:r>
    </w:p>
    <w:p w14:paraId="097F3459" w14:textId="77777777" w:rsidR="00A75B3C" w:rsidRPr="003F23AC" w:rsidRDefault="000F5AA4" w:rsidP="003F23AC">
      <w:pPr>
        <w:pStyle w:val="P68B1DB1-Normal4"/>
        <w:spacing w:before="40" w:after="120" w:line="259" w:lineRule="auto"/>
        <w:jc w:val="both"/>
        <w:rPr>
          <w:rFonts w:cs="Times New Roman"/>
          <w:noProof/>
          <w:lang w:val="sk-SK"/>
        </w:rPr>
      </w:pPr>
      <w:r w:rsidRPr="003F23AC">
        <w:rPr>
          <w:rFonts w:cs="Times New Roman"/>
          <w:noProof/>
          <w:lang w:val="sk-SK"/>
        </w:rPr>
        <w:t>Reforma je komplexnou fiškálno-štrukturálnou reformou, ktorá pozostáva zo vzájomne sa posilňujúcich iniciatív</w:t>
      </w:r>
      <w:r w:rsidR="00A75B3C" w:rsidRPr="003F23AC">
        <w:rPr>
          <w:rFonts w:cs="Times New Roman"/>
          <w:noProof/>
          <w:lang w:val="sk-SK"/>
        </w:rPr>
        <w:t>.</w:t>
      </w:r>
    </w:p>
    <w:p w14:paraId="43E9C02C" w14:textId="6191205D" w:rsidR="00387C70" w:rsidRPr="003F23AC" w:rsidRDefault="000F5AA4" w:rsidP="003F23AC">
      <w:pPr>
        <w:pStyle w:val="P68B1DB1-Normal4"/>
        <w:numPr>
          <w:ilvl w:val="0"/>
          <w:numId w:val="67"/>
        </w:numPr>
        <w:spacing w:before="40" w:after="120" w:line="259" w:lineRule="auto"/>
        <w:contextualSpacing/>
        <w:jc w:val="both"/>
        <w:rPr>
          <w:rFonts w:eastAsiaTheme="minorEastAsia" w:cs="Times New Roman"/>
          <w:noProof/>
          <w:lang w:val="sk-SK"/>
        </w:rPr>
      </w:pPr>
      <w:r w:rsidRPr="003F23AC">
        <w:rPr>
          <w:rFonts w:cs="Times New Roman"/>
          <w:noProof/>
          <w:lang w:val="sk-SK"/>
        </w:rPr>
        <w:t>Po prvé, postupné kroky prispejú</w:t>
      </w:r>
      <w:r w:rsidR="00A75B3C" w:rsidRPr="003F23AC">
        <w:rPr>
          <w:rFonts w:cs="Times New Roman"/>
          <w:noProof/>
          <w:lang w:val="sk-SK"/>
        </w:rPr>
        <w:t xml:space="preserve"> k </w:t>
      </w:r>
      <w:r w:rsidRPr="003F23AC">
        <w:rPr>
          <w:rFonts w:cs="Times New Roman"/>
          <w:noProof/>
          <w:lang w:val="sk-SK"/>
        </w:rPr>
        <w:t>úplnému</w:t>
      </w:r>
      <w:r w:rsidR="00A75B3C" w:rsidRPr="003F23AC">
        <w:rPr>
          <w:rFonts w:cs="Times New Roman"/>
          <w:noProof/>
          <w:lang w:val="sk-SK"/>
        </w:rPr>
        <w:t xml:space="preserve"> a </w:t>
      </w:r>
      <w:r w:rsidRPr="003F23AC">
        <w:rPr>
          <w:rFonts w:cs="Times New Roman"/>
          <w:noProof/>
          <w:lang w:val="sk-SK"/>
        </w:rPr>
        <w:t>účinnému vykonávaniu zákona</w:t>
      </w:r>
      <w:r w:rsidR="00A75B3C" w:rsidRPr="003F23AC">
        <w:rPr>
          <w:rFonts w:cs="Times New Roman"/>
          <w:noProof/>
          <w:lang w:val="sk-SK"/>
        </w:rPr>
        <w:t xml:space="preserve"> o </w:t>
      </w:r>
      <w:r w:rsidRPr="003F23AC">
        <w:rPr>
          <w:rFonts w:cs="Times New Roman"/>
          <w:noProof/>
          <w:lang w:val="sk-SK"/>
        </w:rPr>
        <w:t>rozpočtovom rámci na rok 2015. Tieto zahŕňajú vypracovanie programového rozpočtovania</w:t>
      </w:r>
      <w:r w:rsidR="00A75B3C" w:rsidRPr="003F23AC">
        <w:rPr>
          <w:rFonts w:cs="Times New Roman"/>
          <w:noProof/>
          <w:lang w:val="sk-SK"/>
        </w:rPr>
        <w:t xml:space="preserve"> a </w:t>
      </w:r>
      <w:r w:rsidRPr="003F23AC">
        <w:rPr>
          <w:rFonts w:cs="Times New Roman"/>
          <w:noProof/>
          <w:lang w:val="sk-SK"/>
        </w:rPr>
        <w:t>ich zahrnutie do rozpočtového plánovania</w:t>
      </w:r>
      <w:r w:rsidR="00A75B3C" w:rsidRPr="003F23AC">
        <w:rPr>
          <w:rFonts w:cs="Times New Roman"/>
          <w:noProof/>
          <w:lang w:val="sk-SK"/>
        </w:rPr>
        <w:t xml:space="preserve"> a </w:t>
      </w:r>
      <w:r w:rsidRPr="003F23AC">
        <w:rPr>
          <w:rFonts w:cs="Times New Roman"/>
          <w:noProof/>
          <w:lang w:val="sk-SK"/>
        </w:rPr>
        <w:t>monitorovania, ako aj nadobudnutie účinnosti právnych predpisov, ktoré nemajú základ pre štátny účtovný subjekt. Očakáva sa tiež, že plánovaná významná modernizácia informačných systémov pre riadenie verejných financií uľahčí dodržiavanie systému účtovania na základe časového rozlíšenia.</w:t>
      </w:r>
    </w:p>
    <w:p w14:paraId="7E378D78" w14:textId="1008311E" w:rsidR="00A75B3C" w:rsidRPr="003F23AC" w:rsidRDefault="000F5AA4" w:rsidP="003F23AC">
      <w:pPr>
        <w:pStyle w:val="P68B1DB1-Normal4"/>
        <w:numPr>
          <w:ilvl w:val="0"/>
          <w:numId w:val="67"/>
        </w:numPr>
        <w:spacing w:before="40" w:after="120" w:line="259" w:lineRule="auto"/>
        <w:contextualSpacing/>
        <w:jc w:val="both"/>
        <w:rPr>
          <w:rFonts w:cs="Times New Roman"/>
          <w:noProof/>
          <w:lang w:val="sk-SK"/>
        </w:rPr>
      </w:pPr>
      <w:r w:rsidRPr="003F23AC">
        <w:rPr>
          <w:rFonts w:cs="Times New Roman"/>
          <w:noProof/>
          <w:lang w:val="sk-SK"/>
        </w:rPr>
        <w:t>Po druhé, plánuje sa, že preskúmania výdavkov sa stanú štrukturálnym prvkom rozpočtového procesu Portugalska prostredníctvom ich lepšej integrácie do ročného rozpočtového cyklu</w:t>
      </w:r>
      <w:r w:rsidR="00A75B3C" w:rsidRPr="003F23AC">
        <w:rPr>
          <w:rFonts w:cs="Times New Roman"/>
          <w:noProof/>
          <w:lang w:val="sk-SK"/>
        </w:rPr>
        <w:t xml:space="preserve"> a </w:t>
      </w:r>
      <w:r w:rsidRPr="003F23AC">
        <w:rPr>
          <w:rFonts w:cs="Times New Roman"/>
          <w:noProof/>
          <w:lang w:val="sk-SK"/>
        </w:rPr>
        <w:t>následného hodnotenia možného zvýšenia efektívnosti</w:t>
      </w:r>
      <w:r w:rsidR="00A75B3C" w:rsidRPr="003F23AC">
        <w:rPr>
          <w:rFonts w:cs="Times New Roman"/>
          <w:noProof/>
          <w:lang w:val="sk-SK"/>
        </w:rPr>
        <w:t>.</w:t>
      </w:r>
    </w:p>
    <w:p w14:paraId="5B06EEA7" w14:textId="5F838839" w:rsidR="00A75B3C" w:rsidRPr="008E475E" w:rsidRDefault="000F5AA4" w:rsidP="003F23AC">
      <w:pPr>
        <w:pStyle w:val="P68B1DB1-Normal4"/>
        <w:numPr>
          <w:ilvl w:val="0"/>
          <w:numId w:val="67"/>
        </w:numPr>
        <w:spacing w:before="40" w:after="120" w:line="259" w:lineRule="auto"/>
        <w:contextualSpacing/>
        <w:jc w:val="both"/>
        <w:rPr>
          <w:rFonts w:cs="Times New Roman"/>
          <w:noProof/>
          <w:spacing w:val="-8"/>
          <w:lang w:val="sk-SK"/>
        </w:rPr>
      </w:pPr>
      <w:r w:rsidRPr="008E475E">
        <w:rPr>
          <w:rFonts w:cs="Times New Roman"/>
          <w:noProof/>
          <w:spacing w:val="-8"/>
          <w:lang w:val="sk-SK"/>
        </w:rPr>
        <w:t>Po tretie,</w:t>
      </w:r>
      <w:r w:rsidR="00A75B3C" w:rsidRPr="008E475E">
        <w:rPr>
          <w:rFonts w:cs="Times New Roman"/>
          <w:noProof/>
          <w:spacing w:val="-8"/>
          <w:lang w:val="sk-SK"/>
        </w:rPr>
        <w:t xml:space="preserve"> v </w:t>
      </w:r>
      <w:r w:rsidRPr="008E475E">
        <w:rPr>
          <w:rFonts w:cs="Times New Roman"/>
          <w:noProof/>
          <w:spacing w:val="-8"/>
          <w:lang w:val="sk-SK"/>
        </w:rPr>
        <w:t>záujme posilnenia efektívnosti sa zavedú zlepšenia</w:t>
      </w:r>
      <w:r w:rsidR="00A75B3C" w:rsidRPr="008E475E">
        <w:rPr>
          <w:rFonts w:cs="Times New Roman"/>
          <w:noProof/>
          <w:spacing w:val="-8"/>
          <w:lang w:val="sk-SK"/>
        </w:rPr>
        <w:t xml:space="preserve"> v </w:t>
      </w:r>
      <w:r w:rsidRPr="008E475E">
        <w:rPr>
          <w:rFonts w:cs="Times New Roman"/>
          <w:noProof/>
          <w:spacing w:val="-8"/>
          <w:lang w:val="sk-SK"/>
        </w:rPr>
        <w:t>oblasti centralizovaného obstarávania</w:t>
      </w:r>
      <w:r w:rsidR="00A75B3C" w:rsidRPr="008E475E">
        <w:rPr>
          <w:rFonts w:cs="Times New Roman"/>
          <w:noProof/>
          <w:spacing w:val="-8"/>
          <w:lang w:val="sk-SK"/>
        </w:rPr>
        <w:t>.</w:t>
      </w:r>
    </w:p>
    <w:p w14:paraId="68DBC2DB" w14:textId="6B0A9846" w:rsidR="00387C70" w:rsidRPr="008E475E" w:rsidRDefault="000F5AA4" w:rsidP="003F23AC">
      <w:pPr>
        <w:pStyle w:val="P68B1DB1-Normal4"/>
        <w:numPr>
          <w:ilvl w:val="0"/>
          <w:numId w:val="67"/>
        </w:numPr>
        <w:spacing w:before="40" w:after="120" w:line="259" w:lineRule="auto"/>
        <w:contextualSpacing/>
        <w:jc w:val="both"/>
        <w:rPr>
          <w:rFonts w:eastAsiaTheme="minorEastAsia" w:cs="Times New Roman"/>
          <w:noProof/>
          <w:spacing w:val="-8"/>
          <w:lang w:val="sk-SK"/>
        </w:rPr>
      </w:pPr>
      <w:r w:rsidRPr="008E475E">
        <w:rPr>
          <w:rFonts w:cs="Times New Roman"/>
          <w:noProof/>
          <w:spacing w:val="-8"/>
          <w:lang w:val="sk-SK"/>
        </w:rPr>
        <w:t>Po štvrté, pre štátom vlastnené podniky sa plánuje dvojstupňový prístup, pričom opatrenia na zvýšenie transparentnosti zverejňovania finančných údajov sa majú doplniť</w:t>
      </w:r>
      <w:r w:rsidR="00A75B3C" w:rsidRPr="008E475E">
        <w:rPr>
          <w:rFonts w:cs="Times New Roman"/>
          <w:noProof/>
          <w:spacing w:val="-8"/>
          <w:lang w:val="sk-SK"/>
        </w:rPr>
        <w:t xml:space="preserve"> o </w:t>
      </w:r>
      <w:r w:rsidRPr="008E475E">
        <w:rPr>
          <w:rFonts w:cs="Times New Roman"/>
          <w:noProof/>
          <w:spacing w:val="-8"/>
          <w:lang w:val="sk-SK"/>
        </w:rPr>
        <w:t>kroky na posilnenie správy,</w:t>
      </w:r>
      <w:r w:rsidR="00A75B3C" w:rsidRPr="008E475E">
        <w:rPr>
          <w:rFonts w:cs="Times New Roman"/>
          <w:noProof/>
          <w:spacing w:val="-8"/>
          <w:lang w:val="sk-SK"/>
        </w:rPr>
        <w:t xml:space="preserve"> a </w:t>
      </w:r>
      <w:r w:rsidRPr="008E475E">
        <w:rPr>
          <w:rFonts w:cs="Times New Roman"/>
          <w:noProof/>
          <w:spacing w:val="-8"/>
          <w:lang w:val="sk-SK"/>
        </w:rPr>
        <w:t>to aj prostredníctvom rozšírených zmlúv</w:t>
      </w:r>
      <w:r w:rsidR="00A75B3C" w:rsidRPr="008E475E">
        <w:rPr>
          <w:rFonts w:cs="Times New Roman"/>
          <w:noProof/>
          <w:spacing w:val="-8"/>
          <w:lang w:val="sk-SK"/>
        </w:rPr>
        <w:t xml:space="preserve"> o </w:t>
      </w:r>
      <w:r w:rsidRPr="008E475E">
        <w:rPr>
          <w:rFonts w:cs="Times New Roman"/>
          <w:noProof/>
          <w:spacing w:val="-8"/>
          <w:lang w:val="sk-SK"/>
        </w:rPr>
        <w:t>riadení</w:t>
      </w:r>
      <w:r w:rsidR="00A75B3C" w:rsidRPr="008E475E">
        <w:rPr>
          <w:rFonts w:cs="Times New Roman"/>
          <w:noProof/>
          <w:spacing w:val="-8"/>
          <w:lang w:val="sk-SK"/>
        </w:rPr>
        <w:t xml:space="preserve"> s </w:t>
      </w:r>
      <w:r w:rsidRPr="008E475E">
        <w:rPr>
          <w:rFonts w:cs="Times New Roman"/>
          <w:noProof/>
          <w:spacing w:val="-8"/>
          <w:lang w:val="sk-SK"/>
        </w:rPr>
        <w:t>cieľom podnietiť manažérske postupy založené na stimuloch,</w:t>
      </w:r>
      <w:r w:rsidR="00A75B3C" w:rsidRPr="008E475E">
        <w:rPr>
          <w:rFonts w:cs="Times New Roman"/>
          <w:noProof/>
          <w:spacing w:val="-8"/>
          <w:lang w:val="sk-SK"/>
        </w:rPr>
        <w:t xml:space="preserve"> a </w:t>
      </w:r>
      <w:r w:rsidRPr="008E475E">
        <w:rPr>
          <w:rFonts w:cs="Times New Roman"/>
          <w:noProof/>
          <w:spacing w:val="-8"/>
          <w:lang w:val="sk-SK"/>
        </w:rPr>
        <w:t>podpisovaním rozpočtových plánov</w:t>
      </w:r>
      <w:r w:rsidR="00A75B3C" w:rsidRPr="008E475E">
        <w:rPr>
          <w:rFonts w:cs="Times New Roman"/>
          <w:noProof/>
          <w:spacing w:val="-8"/>
          <w:lang w:val="sk-SK"/>
        </w:rPr>
        <w:t xml:space="preserve"> a </w:t>
      </w:r>
      <w:r w:rsidRPr="008E475E">
        <w:rPr>
          <w:rFonts w:cs="Times New Roman"/>
          <w:noProof/>
          <w:spacing w:val="-8"/>
          <w:lang w:val="sk-SK"/>
        </w:rPr>
        <w:t>plánov činnosti, ktoré umožnia väčšiu autonómiu</w:t>
      </w:r>
      <w:r w:rsidR="00A75B3C" w:rsidRPr="008E475E">
        <w:rPr>
          <w:rFonts w:cs="Times New Roman"/>
          <w:noProof/>
          <w:spacing w:val="-8"/>
          <w:lang w:val="sk-SK"/>
        </w:rPr>
        <w:t xml:space="preserve"> v </w:t>
      </w:r>
      <w:r w:rsidRPr="008E475E">
        <w:rPr>
          <w:rFonts w:cs="Times New Roman"/>
          <w:noProof/>
          <w:spacing w:val="-8"/>
          <w:lang w:val="sk-SK"/>
        </w:rPr>
        <w:t>kombinácii so silnejšou zodpovednosťou</w:t>
      </w:r>
      <w:r w:rsidR="00A75B3C" w:rsidRPr="008E475E">
        <w:rPr>
          <w:rFonts w:cs="Times New Roman"/>
          <w:noProof/>
          <w:spacing w:val="-8"/>
          <w:lang w:val="sk-SK"/>
        </w:rPr>
        <w:t xml:space="preserve"> a </w:t>
      </w:r>
      <w:r w:rsidRPr="008E475E">
        <w:rPr>
          <w:rFonts w:cs="Times New Roman"/>
          <w:noProof/>
          <w:spacing w:val="-8"/>
          <w:lang w:val="sk-SK"/>
        </w:rPr>
        <w:t>monitorovaním.</w:t>
      </w:r>
    </w:p>
    <w:p w14:paraId="51CF4504" w14:textId="53A42D57" w:rsidR="00387C70" w:rsidRPr="003F23AC" w:rsidRDefault="000F5AA4" w:rsidP="003F23AC">
      <w:pPr>
        <w:pStyle w:val="P68B1DB1-Normal4"/>
        <w:spacing w:before="40" w:after="120" w:line="259" w:lineRule="auto"/>
        <w:jc w:val="both"/>
        <w:rPr>
          <w:rFonts w:eastAsiaTheme="minorEastAsia" w:cs="Times New Roman"/>
          <w:noProof/>
          <w:lang w:val="sk-SK"/>
        </w:rPr>
      </w:pPr>
      <w:r w:rsidRPr="003F23AC">
        <w:rPr>
          <w:rFonts w:cs="Times New Roman"/>
          <w:noProof/>
          <w:lang w:val="sk-SK"/>
        </w:rPr>
        <w:t>Implementácia tejto reformy sa dokončí do 31</w:t>
      </w:r>
      <w:r w:rsidR="00A75B3C" w:rsidRPr="003F23AC">
        <w:rPr>
          <w:rFonts w:cs="Times New Roman"/>
          <w:noProof/>
          <w:lang w:val="sk-SK"/>
        </w:rPr>
        <w:t>. decembra</w:t>
      </w:r>
      <w:r w:rsidRPr="003F23AC">
        <w:rPr>
          <w:rFonts w:cs="Times New Roman"/>
          <w:noProof/>
          <w:lang w:val="sk-SK"/>
        </w:rPr>
        <w:t xml:space="preserve"> 2025.</w:t>
      </w:r>
    </w:p>
    <w:p w14:paraId="17979527" w14:textId="77777777" w:rsidR="00387C70" w:rsidRPr="003F23AC" w:rsidRDefault="000F5AA4" w:rsidP="003F23AC">
      <w:pPr>
        <w:pStyle w:val="P68B1DB1-Normal5"/>
        <w:spacing w:before="240" w:after="0" w:line="259" w:lineRule="auto"/>
        <w:ind w:left="851"/>
        <w:jc w:val="both"/>
        <w:outlineLvl w:val="2"/>
        <w:rPr>
          <w:rFonts w:eastAsia="Times New Roman" w:cs="Times New Roman"/>
          <w:noProof/>
          <w:lang w:val="sk-SK"/>
        </w:rPr>
      </w:pPr>
      <w:r w:rsidRPr="003F23AC">
        <w:rPr>
          <w:rFonts w:cs="Times New Roman"/>
          <w:noProof/>
          <w:lang w:val="sk-SK"/>
        </w:rPr>
        <w:t>Investície TD-C17-i01: Informačné systémy riadenia verejných financií</w:t>
      </w:r>
    </w:p>
    <w:p w14:paraId="2D41C5D2" w14:textId="3635C164" w:rsidR="00387C70" w:rsidRPr="003F23AC" w:rsidRDefault="000F5AA4" w:rsidP="003F23AC">
      <w:pPr>
        <w:pStyle w:val="P68B1DB1-Normal4"/>
        <w:spacing w:before="40" w:after="120" w:line="259" w:lineRule="auto"/>
        <w:jc w:val="both"/>
        <w:rPr>
          <w:rFonts w:eastAsia="Times New Roman" w:cs="Times New Roman"/>
          <w:noProof/>
          <w:lang w:val="sk-SK"/>
        </w:rPr>
      </w:pPr>
      <w:r w:rsidRPr="003F23AC">
        <w:rPr>
          <w:rFonts w:cs="Times New Roman"/>
          <w:noProof/>
          <w:lang w:val="sk-SK"/>
        </w:rPr>
        <w:t>Cieľom investície je sfunkčniť súvisiacu reformu riadenia verejných financií</w:t>
      </w:r>
      <w:r w:rsidR="00A75B3C" w:rsidRPr="003F23AC">
        <w:rPr>
          <w:rFonts w:cs="Times New Roman"/>
          <w:noProof/>
          <w:lang w:val="sk-SK"/>
        </w:rPr>
        <w:t xml:space="preserve"> s </w:t>
      </w:r>
      <w:r w:rsidRPr="003F23AC">
        <w:rPr>
          <w:rFonts w:cs="Times New Roman"/>
          <w:noProof/>
          <w:lang w:val="sk-SK"/>
        </w:rPr>
        <w:t>cieľom zlepšiť kvalitu</w:t>
      </w:r>
      <w:r w:rsidR="00A75B3C" w:rsidRPr="003F23AC">
        <w:rPr>
          <w:rFonts w:cs="Times New Roman"/>
          <w:noProof/>
          <w:lang w:val="sk-SK"/>
        </w:rPr>
        <w:t xml:space="preserve"> a </w:t>
      </w:r>
      <w:r w:rsidRPr="003F23AC">
        <w:rPr>
          <w:rFonts w:cs="Times New Roman"/>
          <w:noProof/>
          <w:lang w:val="sk-SK"/>
        </w:rPr>
        <w:t>udržateľnosť verejných financií. Investícia je mimoriadne dôležitá pre úplné</w:t>
      </w:r>
      <w:r w:rsidR="00A75B3C" w:rsidRPr="003F23AC">
        <w:rPr>
          <w:rFonts w:cs="Times New Roman"/>
          <w:noProof/>
          <w:lang w:val="sk-SK"/>
        </w:rPr>
        <w:t xml:space="preserve"> a </w:t>
      </w:r>
      <w:r w:rsidRPr="003F23AC">
        <w:rPr>
          <w:rFonts w:cs="Times New Roman"/>
          <w:noProof/>
          <w:lang w:val="sk-SK"/>
        </w:rPr>
        <w:t>účinné vykonávanie zákona</w:t>
      </w:r>
      <w:r w:rsidR="00A75B3C" w:rsidRPr="003F23AC">
        <w:rPr>
          <w:rFonts w:cs="Times New Roman"/>
          <w:noProof/>
          <w:lang w:val="sk-SK"/>
        </w:rPr>
        <w:t xml:space="preserve"> o </w:t>
      </w:r>
      <w:r w:rsidRPr="003F23AC">
        <w:rPr>
          <w:rFonts w:cs="Times New Roman"/>
          <w:noProof/>
          <w:lang w:val="sk-SK"/>
        </w:rPr>
        <w:t>rozpočtovom rámci na rok 2015.</w:t>
      </w:r>
    </w:p>
    <w:p w14:paraId="4F4EDC29" w14:textId="04B2D966" w:rsidR="00387C70" w:rsidRPr="003F23AC" w:rsidRDefault="000F5AA4" w:rsidP="003F23AC">
      <w:pPr>
        <w:pStyle w:val="P68B1DB1-Normal4"/>
        <w:spacing w:before="40" w:after="120" w:line="259" w:lineRule="auto"/>
        <w:jc w:val="both"/>
        <w:rPr>
          <w:rFonts w:eastAsia="Times New Roman"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doplnkových čiastkových investícií, ktoré by spolu mali prispievať</w:t>
      </w:r>
      <w:r w:rsidR="00A75B3C" w:rsidRPr="003F23AC">
        <w:rPr>
          <w:rFonts w:cs="Times New Roman"/>
          <w:noProof/>
          <w:lang w:val="sk-SK"/>
        </w:rPr>
        <w:t xml:space="preserve"> k </w:t>
      </w:r>
      <w:r w:rsidRPr="003F23AC">
        <w:rPr>
          <w:rFonts w:cs="Times New Roman"/>
          <w:noProof/>
          <w:lang w:val="sk-SK"/>
        </w:rPr>
        <w:t>integrovanému riadeniu verejných príjmov</w:t>
      </w:r>
      <w:r w:rsidR="00A75B3C" w:rsidRPr="003F23AC">
        <w:rPr>
          <w:rFonts w:cs="Times New Roman"/>
          <w:noProof/>
          <w:lang w:val="sk-SK"/>
        </w:rPr>
        <w:t xml:space="preserve"> a </w:t>
      </w:r>
      <w:r w:rsidRPr="003F23AC">
        <w:rPr>
          <w:rFonts w:cs="Times New Roman"/>
          <w:noProof/>
          <w:lang w:val="sk-SK"/>
        </w:rPr>
        <w:t>výdavkov. Po prvé, čiastkové investície sa zamerajú na riešenia</w:t>
      </w:r>
      <w:r w:rsidR="00A75B3C" w:rsidRPr="003F23AC">
        <w:rPr>
          <w:rFonts w:cs="Times New Roman"/>
          <w:noProof/>
          <w:lang w:val="sk-SK"/>
        </w:rPr>
        <w:t xml:space="preserve"> v </w:t>
      </w:r>
      <w:r w:rsidRPr="003F23AC">
        <w:rPr>
          <w:rFonts w:cs="Times New Roman"/>
          <w:noProof/>
          <w:lang w:val="sk-SK"/>
        </w:rPr>
        <w:t>oblasti informačných technológií, ktoré umožnia monitorovanie vládnych transakcií,</w:t>
      </w:r>
      <w:r w:rsidR="00A75B3C" w:rsidRPr="003F23AC">
        <w:rPr>
          <w:rFonts w:cs="Times New Roman"/>
          <w:noProof/>
          <w:lang w:val="sk-SK"/>
        </w:rPr>
        <w:t xml:space="preserve"> a </w:t>
      </w:r>
      <w:r w:rsidRPr="003F23AC">
        <w:rPr>
          <w:rFonts w:cs="Times New Roman"/>
          <w:noProof/>
          <w:lang w:val="sk-SK"/>
        </w:rPr>
        <w:t>to na základe digitalizácie procesov, automatizácie účtovníctva</w:t>
      </w:r>
      <w:r w:rsidR="00A75B3C" w:rsidRPr="003F23AC">
        <w:rPr>
          <w:rFonts w:cs="Times New Roman"/>
          <w:noProof/>
          <w:lang w:val="sk-SK"/>
        </w:rPr>
        <w:t xml:space="preserve"> a </w:t>
      </w:r>
      <w:r w:rsidRPr="003F23AC">
        <w:rPr>
          <w:rFonts w:cs="Times New Roman"/>
          <w:noProof/>
          <w:lang w:val="sk-SK"/>
        </w:rPr>
        <w:t>integrácie do centrálnych systémov na ministerstve financií, čo bude prínosom pre rozpočtové plánovanie, monitorovanie</w:t>
      </w:r>
      <w:r w:rsidR="00A75B3C" w:rsidRPr="003F23AC">
        <w:rPr>
          <w:rFonts w:cs="Times New Roman"/>
          <w:noProof/>
          <w:lang w:val="sk-SK"/>
        </w:rPr>
        <w:t xml:space="preserve"> a </w:t>
      </w:r>
      <w:r w:rsidRPr="003F23AC">
        <w:rPr>
          <w:rFonts w:cs="Times New Roman"/>
          <w:noProof/>
          <w:lang w:val="sk-SK"/>
        </w:rPr>
        <w:t>zodpovednosť. Tieto zahŕňajú vývoj riešení</w:t>
      </w:r>
      <w:r w:rsidR="00A75B3C" w:rsidRPr="003F23AC">
        <w:rPr>
          <w:rFonts w:cs="Times New Roman"/>
          <w:noProof/>
          <w:lang w:val="sk-SK"/>
        </w:rPr>
        <w:t xml:space="preserve"> v </w:t>
      </w:r>
      <w:r w:rsidRPr="003F23AC">
        <w:rPr>
          <w:rFonts w:cs="Times New Roman"/>
          <w:noProof/>
          <w:lang w:val="sk-SK"/>
        </w:rPr>
        <w:t>oblasti informačných technológií, ktoré umožnia integrované riadenie štátnej pokladnice prostredníctvom štátneho účtovného subjektu, ako aj podporu prípravy štátneho rozpočtu</w:t>
      </w:r>
      <w:r w:rsidR="00A75B3C" w:rsidRPr="003F23AC">
        <w:rPr>
          <w:rFonts w:cs="Times New Roman"/>
          <w:noProof/>
          <w:lang w:val="sk-SK"/>
        </w:rPr>
        <w:t xml:space="preserve"> a </w:t>
      </w:r>
      <w:r w:rsidRPr="003F23AC">
        <w:rPr>
          <w:rFonts w:cs="Times New Roman"/>
          <w:noProof/>
          <w:lang w:val="sk-SK"/>
        </w:rPr>
        <w:t>strednodobého rozpočtového plánovania prostredníctvom zavedenia programového rozpočtovania</w:t>
      </w:r>
      <w:r w:rsidR="00A75B3C" w:rsidRPr="003F23AC">
        <w:rPr>
          <w:rFonts w:cs="Times New Roman"/>
          <w:noProof/>
          <w:lang w:val="sk-SK"/>
        </w:rPr>
        <w:t xml:space="preserve"> a </w:t>
      </w:r>
      <w:r w:rsidRPr="003F23AC">
        <w:rPr>
          <w:rFonts w:cs="Times New Roman"/>
          <w:noProof/>
          <w:lang w:val="sk-SK"/>
        </w:rPr>
        <w:t>dodržiavania systému účtovania na základe časového rozlíšenia. Po druhé, dodatočné zlepšenia sa predpokladajú aj</w:t>
      </w:r>
      <w:r w:rsidR="00A75B3C" w:rsidRPr="003F23AC">
        <w:rPr>
          <w:rFonts w:cs="Times New Roman"/>
          <w:noProof/>
          <w:lang w:val="sk-SK"/>
        </w:rPr>
        <w:t xml:space="preserve"> v </w:t>
      </w:r>
      <w:r w:rsidRPr="003F23AC">
        <w:rPr>
          <w:rFonts w:cs="Times New Roman"/>
          <w:noProof/>
          <w:lang w:val="sk-SK"/>
        </w:rPr>
        <w:t>informačných systémoch pre centralizované obstarávanie, ako aj správu verejných vozidiel</w:t>
      </w:r>
      <w:r w:rsidR="00A75B3C" w:rsidRPr="003F23AC">
        <w:rPr>
          <w:rFonts w:cs="Times New Roman"/>
          <w:noProof/>
          <w:lang w:val="sk-SK"/>
        </w:rPr>
        <w:t xml:space="preserve"> a </w:t>
      </w:r>
      <w:r w:rsidRPr="003F23AC">
        <w:rPr>
          <w:rFonts w:cs="Times New Roman"/>
          <w:noProof/>
          <w:lang w:val="sk-SK"/>
        </w:rPr>
        <w:t>nehnuteľného majetku.</w:t>
      </w:r>
    </w:p>
    <w:p w14:paraId="1F60E6B1" w14:textId="342751D9"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637EC6F3" w14:textId="3DE089CE" w:rsidR="00387C70" w:rsidRPr="003F23AC" w:rsidRDefault="000F5AA4" w:rsidP="003F23AC">
      <w:pPr>
        <w:pStyle w:val="P68B1DB1-Normal5"/>
        <w:spacing w:before="240" w:after="0" w:line="259" w:lineRule="auto"/>
        <w:ind w:left="851"/>
        <w:jc w:val="both"/>
        <w:outlineLvl w:val="2"/>
        <w:rPr>
          <w:rFonts w:eastAsia="Times New Roman" w:cs="Times New Roman"/>
          <w:noProof/>
          <w:lang w:val="sk-SK"/>
        </w:rPr>
      </w:pPr>
      <w:r w:rsidRPr="003F23AC">
        <w:rPr>
          <w:rFonts w:cs="Times New Roman"/>
          <w:noProof/>
          <w:lang w:val="sk-SK"/>
        </w:rPr>
        <w:t>Investície TD-C17 – i02: Modernizácia informačných systémov Daňového</w:t>
      </w:r>
      <w:r w:rsidR="00A75B3C" w:rsidRPr="003F23AC">
        <w:rPr>
          <w:rFonts w:cs="Times New Roman"/>
          <w:noProof/>
          <w:lang w:val="sk-SK"/>
        </w:rPr>
        <w:t xml:space="preserve"> a </w:t>
      </w:r>
      <w:r w:rsidRPr="003F23AC">
        <w:rPr>
          <w:rFonts w:cs="Times New Roman"/>
          <w:noProof/>
          <w:lang w:val="sk-SK"/>
        </w:rPr>
        <w:t>colného úradu pre zdaňovanie vidieckeho majetku</w:t>
      </w:r>
    </w:p>
    <w:p w14:paraId="11A35064" w14:textId="2B67B9CA" w:rsidR="00387C70" w:rsidRPr="008E475E" w:rsidRDefault="000F5AA4" w:rsidP="003F23AC">
      <w:pPr>
        <w:pStyle w:val="P68B1DB1-Normal4"/>
        <w:spacing w:before="40" w:after="120" w:line="259" w:lineRule="auto"/>
        <w:jc w:val="both"/>
        <w:rPr>
          <w:rFonts w:eastAsia="Times New Roman" w:cs="Times New Roman"/>
          <w:noProof/>
          <w:spacing w:val="-4"/>
          <w:lang w:val="sk-SK"/>
        </w:rPr>
      </w:pPr>
      <w:r w:rsidRPr="008E475E">
        <w:rPr>
          <w:rFonts w:cs="Times New Roman"/>
          <w:noProof/>
          <w:spacing w:val="-4"/>
          <w:lang w:val="sk-SK"/>
        </w:rPr>
        <w:t>Cieľom investície je pokročiť</w:t>
      </w:r>
      <w:r w:rsidR="00A75B3C" w:rsidRPr="008E475E">
        <w:rPr>
          <w:rFonts w:cs="Times New Roman"/>
          <w:noProof/>
          <w:spacing w:val="-4"/>
          <w:lang w:val="sk-SK"/>
        </w:rPr>
        <w:t xml:space="preserve"> v </w:t>
      </w:r>
      <w:r w:rsidRPr="008E475E">
        <w:rPr>
          <w:rFonts w:cs="Times New Roman"/>
          <w:noProof/>
          <w:spacing w:val="-4"/>
          <w:lang w:val="sk-SK"/>
        </w:rPr>
        <w:t>digitalizácii všetkých procesov súvisiacich so zdaňovaním vidieckeho majetku, najmä pokiaľ ide</w:t>
      </w:r>
      <w:r w:rsidR="00A75B3C" w:rsidRPr="008E475E">
        <w:rPr>
          <w:rFonts w:cs="Times New Roman"/>
          <w:noProof/>
          <w:spacing w:val="-4"/>
          <w:lang w:val="sk-SK"/>
        </w:rPr>
        <w:t xml:space="preserve"> o </w:t>
      </w:r>
      <w:r w:rsidRPr="008E475E">
        <w:rPr>
          <w:rFonts w:cs="Times New Roman"/>
          <w:noProof/>
          <w:spacing w:val="-4"/>
          <w:lang w:val="sk-SK"/>
        </w:rPr>
        <w:t>súvisiace informácie – mapovanie</w:t>
      </w:r>
      <w:r w:rsidR="00A75B3C" w:rsidRPr="008E475E">
        <w:rPr>
          <w:rFonts w:cs="Times New Roman"/>
          <w:noProof/>
          <w:spacing w:val="-4"/>
          <w:lang w:val="sk-SK"/>
        </w:rPr>
        <w:t xml:space="preserve"> a </w:t>
      </w:r>
      <w:r w:rsidRPr="008E475E">
        <w:rPr>
          <w:rFonts w:cs="Times New Roman"/>
          <w:noProof/>
          <w:spacing w:val="-4"/>
          <w:lang w:val="sk-SK"/>
        </w:rPr>
        <w:t>súvisiace prvky (ako sú plodiny</w:t>
      </w:r>
      <w:r w:rsidR="00A75B3C" w:rsidRPr="008E475E">
        <w:rPr>
          <w:rFonts w:cs="Times New Roman"/>
          <w:noProof/>
          <w:spacing w:val="-4"/>
          <w:lang w:val="sk-SK"/>
        </w:rPr>
        <w:t xml:space="preserve"> a </w:t>
      </w:r>
      <w:r w:rsidRPr="008E475E">
        <w:rPr>
          <w:rFonts w:cs="Times New Roman"/>
          <w:noProof/>
          <w:spacing w:val="-4"/>
          <w:lang w:val="sk-SK"/>
        </w:rPr>
        <w:t>hospodársky potenciál) –</w:t>
      </w:r>
      <w:r w:rsidR="00A75B3C" w:rsidRPr="008E475E">
        <w:rPr>
          <w:rFonts w:cs="Times New Roman"/>
          <w:noProof/>
          <w:spacing w:val="-4"/>
          <w:lang w:val="sk-SK"/>
        </w:rPr>
        <w:t xml:space="preserve"> a </w:t>
      </w:r>
      <w:r w:rsidRPr="008E475E">
        <w:rPr>
          <w:rFonts w:cs="Times New Roman"/>
          <w:noProof/>
          <w:spacing w:val="-4"/>
          <w:lang w:val="sk-SK"/>
        </w:rPr>
        <w:t>zavádzanie predbežného plnenia osobitných deklaračných povinností.</w:t>
      </w:r>
    </w:p>
    <w:p w14:paraId="414FC653" w14:textId="3ED330B9" w:rsidR="00387C70" w:rsidRPr="003F23AC" w:rsidRDefault="000F5AA4" w:rsidP="003F23AC">
      <w:pPr>
        <w:pStyle w:val="P68B1DB1-Normal4"/>
        <w:spacing w:before="40" w:after="120" w:line="259" w:lineRule="auto"/>
        <w:jc w:val="both"/>
        <w:rPr>
          <w:rFonts w:eastAsia="Times New Roman"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niekoľkých čiastkových investícií, ktoré pozostávajú z: I) digitalizácia podporných informácií pre matrice nehnuteľností; II) posilnenie infraštruktúry informačných technológií na uchovávanie digitalizovaných informácií</w:t>
      </w:r>
      <w:r w:rsidR="00A75B3C" w:rsidRPr="003F23AC">
        <w:rPr>
          <w:rFonts w:cs="Times New Roman"/>
          <w:noProof/>
          <w:lang w:val="sk-SK"/>
        </w:rPr>
        <w:t xml:space="preserve"> o </w:t>
      </w:r>
      <w:r w:rsidRPr="003F23AC">
        <w:rPr>
          <w:rFonts w:cs="Times New Roman"/>
          <w:noProof/>
          <w:lang w:val="sk-SK"/>
        </w:rPr>
        <w:t>nehnuteľnostiach; vypracovanie konzultačných</w:t>
      </w:r>
      <w:r w:rsidR="00A75B3C" w:rsidRPr="003F23AC">
        <w:rPr>
          <w:rFonts w:cs="Times New Roman"/>
          <w:noProof/>
          <w:lang w:val="sk-SK"/>
        </w:rPr>
        <w:t xml:space="preserve"> a </w:t>
      </w:r>
      <w:r w:rsidRPr="003F23AC">
        <w:rPr>
          <w:rFonts w:cs="Times New Roman"/>
          <w:noProof/>
          <w:lang w:val="sk-SK"/>
        </w:rPr>
        <w:t>vizualizačných mechanizmov pre matrice nehnuteľností; IV) vývoj informačného systému na podporu zjednodušeného katastrálneho hodnotenia vidieckeho majetku; vývoj georeferenčného riešenia riadenia informácií;</w:t>
      </w:r>
      <w:r w:rsidR="00A75B3C" w:rsidRPr="003F23AC">
        <w:rPr>
          <w:rFonts w:cs="Times New Roman"/>
          <w:noProof/>
          <w:lang w:val="sk-SK"/>
        </w:rPr>
        <w:t xml:space="preserve"> a </w:t>
      </w:r>
      <w:r w:rsidRPr="003F23AC">
        <w:rPr>
          <w:rFonts w:cs="Times New Roman"/>
          <w:noProof/>
          <w:lang w:val="sk-SK"/>
        </w:rPr>
        <w:t>vi) rozvoj deklaračných služieb pred naplnením (najmä</w:t>
      </w:r>
      <w:r w:rsidR="00A75B3C" w:rsidRPr="003F23AC">
        <w:rPr>
          <w:rFonts w:cs="Times New Roman"/>
          <w:noProof/>
          <w:lang w:val="sk-SK"/>
        </w:rPr>
        <w:t xml:space="preserve"> v </w:t>
      </w:r>
      <w:r w:rsidRPr="003F23AC">
        <w:rPr>
          <w:rFonts w:cs="Times New Roman"/>
          <w:noProof/>
          <w:lang w:val="sk-SK"/>
        </w:rPr>
        <w:t>prípade zdaňovania nehnuteľností</w:t>
      </w:r>
      <w:r w:rsidR="00A75B3C" w:rsidRPr="003F23AC">
        <w:rPr>
          <w:rFonts w:cs="Times New Roman"/>
          <w:noProof/>
          <w:lang w:val="sk-SK"/>
        </w:rPr>
        <w:t xml:space="preserve"> a </w:t>
      </w:r>
      <w:r w:rsidRPr="003F23AC">
        <w:rPr>
          <w:rFonts w:cs="Times New Roman"/>
          <w:noProof/>
          <w:lang w:val="sk-SK"/>
        </w:rPr>
        <w:t>osobitných transakcií podliehajúcich kolkovej dani).</w:t>
      </w:r>
    </w:p>
    <w:p w14:paraId="2C782842" w14:textId="3E40DFA2"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18AD381B" w14:textId="77777777" w:rsidR="00387C70" w:rsidRPr="003F23AC" w:rsidRDefault="000F5AA4" w:rsidP="003F23AC">
      <w:pPr>
        <w:pStyle w:val="P68B1DB1-Normal5"/>
        <w:spacing w:before="240" w:after="0" w:line="259" w:lineRule="auto"/>
        <w:ind w:left="851"/>
        <w:jc w:val="both"/>
        <w:outlineLvl w:val="2"/>
        <w:rPr>
          <w:rFonts w:eastAsia="Times New Roman" w:cs="Times New Roman"/>
          <w:noProof/>
          <w:lang w:val="sk-SK"/>
        </w:rPr>
      </w:pPr>
      <w:r w:rsidRPr="003F23AC">
        <w:rPr>
          <w:rFonts w:cs="Times New Roman"/>
          <w:noProof/>
          <w:lang w:val="sk-SK"/>
        </w:rPr>
        <w:t>Investície TD-C17-i03: Digitálna transformácia služieb sociálneho zabezpečenia</w:t>
      </w:r>
    </w:p>
    <w:p w14:paraId="484E2C44" w14:textId="4A713D82" w:rsidR="00387C70" w:rsidRPr="003F23AC" w:rsidRDefault="000F5AA4" w:rsidP="003F23AC">
      <w:pPr>
        <w:pStyle w:val="P68B1DB1-Normal4"/>
        <w:spacing w:before="40" w:after="120" w:line="259" w:lineRule="auto"/>
        <w:jc w:val="both"/>
        <w:rPr>
          <w:rFonts w:eastAsia="Times New Roman" w:cs="Times New Roman"/>
          <w:noProof/>
          <w:lang w:val="sk-SK"/>
        </w:rPr>
      </w:pPr>
      <w:r w:rsidRPr="003F23AC">
        <w:rPr>
          <w:rFonts w:cs="Times New Roman"/>
          <w:noProof/>
          <w:lang w:val="sk-SK"/>
        </w:rPr>
        <w:t>Cieľom investície je urýchliť digitalizáciu služieb sociálneho zabezpečenia</w:t>
      </w:r>
      <w:r w:rsidR="00A75B3C" w:rsidRPr="003F23AC">
        <w:rPr>
          <w:rFonts w:cs="Times New Roman"/>
          <w:noProof/>
          <w:lang w:val="sk-SK"/>
        </w:rPr>
        <w:t xml:space="preserve"> s </w:t>
      </w:r>
      <w:r w:rsidRPr="003F23AC">
        <w:rPr>
          <w:rFonts w:cs="Times New Roman"/>
          <w:noProof/>
          <w:lang w:val="sk-SK"/>
        </w:rPr>
        <w:t>cieľom zlepšiť ich používateľsky ústretovosť, podporiť efektívnosť</w:t>
      </w:r>
      <w:r w:rsidR="00A75B3C" w:rsidRPr="003F23AC">
        <w:rPr>
          <w:rFonts w:cs="Times New Roman"/>
          <w:noProof/>
          <w:lang w:val="sk-SK"/>
        </w:rPr>
        <w:t xml:space="preserve"> a </w:t>
      </w:r>
      <w:r w:rsidRPr="003F23AC">
        <w:rPr>
          <w:rFonts w:cs="Times New Roman"/>
          <w:noProof/>
          <w:lang w:val="sk-SK"/>
        </w:rPr>
        <w:t>obmedziť podvody</w:t>
      </w:r>
      <w:r w:rsidR="00A75B3C" w:rsidRPr="003F23AC">
        <w:rPr>
          <w:rFonts w:cs="Times New Roman"/>
          <w:noProof/>
          <w:lang w:val="sk-SK"/>
        </w:rPr>
        <w:t xml:space="preserve"> a </w:t>
      </w:r>
      <w:r w:rsidRPr="003F23AC">
        <w:rPr>
          <w:rFonts w:cs="Times New Roman"/>
          <w:noProof/>
          <w:lang w:val="sk-SK"/>
        </w:rPr>
        <w:t>úniky.</w:t>
      </w:r>
    </w:p>
    <w:p w14:paraId="419110A5" w14:textId="660D5228" w:rsidR="00A75B3C" w:rsidRPr="008E475E" w:rsidRDefault="000F5AA4" w:rsidP="003F23AC">
      <w:pPr>
        <w:pStyle w:val="P68B1DB1-Normal4"/>
        <w:spacing w:before="40" w:after="120" w:line="259" w:lineRule="auto"/>
        <w:jc w:val="both"/>
        <w:rPr>
          <w:rFonts w:cs="Times New Roman"/>
          <w:noProof/>
          <w:spacing w:val="-4"/>
          <w:lang w:val="sk-SK"/>
        </w:rPr>
      </w:pPr>
      <w:r w:rsidRPr="008E475E">
        <w:rPr>
          <w:rFonts w:cs="Times New Roman"/>
          <w:noProof/>
          <w:spacing w:val="-4"/>
          <w:lang w:val="sk-SK"/>
        </w:rPr>
        <w:t>Investícia pozostáva</w:t>
      </w:r>
      <w:r w:rsidR="00A75B3C" w:rsidRPr="008E475E">
        <w:rPr>
          <w:rFonts w:cs="Times New Roman"/>
          <w:noProof/>
          <w:spacing w:val="-4"/>
          <w:lang w:val="sk-SK"/>
        </w:rPr>
        <w:t xml:space="preserve"> z </w:t>
      </w:r>
      <w:r w:rsidRPr="008E475E">
        <w:rPr>
          <w:rFonts w:cs="Times New Roman"/>
          <w:noProof/>
          <w:spacing w:val="-4"/>
          <w:lang w:val="sk-SK"/>
        </w:rPr>
        <w:t>krokov na: I) zlepšiť koncepciu</w:t>
      </w:r>
      <w:r w:rsidR="00A75B3C" w:rsidRPr="008E475E">
        <w:rPr>
          <w:rFonts w:cs="Times New Roman"/>
          <w:noProof/>
          <w:spacing w:val="-4"/>
          <w:lang w:val="sk-SK"/>
        </w:rPr>
        <w:t xml:space="preserve"> a </w:t>
      </w:r>
      <w:r w:rsidRPr="008E475E">
        <w:rPr>
          <w:rFonts w:cs="Times New Roman"/>
          <w:noProof/>
          <w:spacing w:val="-4"/>
          <w:lang w:val="sk-SK"/>
        </w:rPr>
        <w:t>organizáciu služieb sociálneho zabezpečenia na základe modernizácie základných informačných systémov</w:t>
      </w:r>
      <w:r w:rsidR="00A75B3C" w:rsidRPr="008E475E">
        <w:rPr>
          <w:rFonts w:cs="Times New Roman"/>
          <w:noProof/>
          <w:spacing w:val="-4"/>
          <w:lang w:val="sk-SK"/>
        </w:rPr>
        <w:t xml:space="preserve"> v </w:t>
      </w:r>
      <w:r w:rsidRPr="008E475E">
        <w:rPr>
          <w:rFonts w:cs="Times New Roman"/>
          <w:noProof/>
          <w:spacing w:val="-4"/>
          <w:lang w:val="sk-SK"/>
        </w:rPr>
        <w:t>oblasti sociálnych dávok, sociálnych príspevkov, predchádzania podvodom, riadenia informácií</w:t>
      </w:r>
      <w:r w:rsidR="00A75B3C" w:rsidRPr="008E475E">
        <w:rPr>
          <w:rFonts w:cs="Times New Roman"/>
          <w:noProof/>
          <w:spacing w:val="-4"/>
          <w:lang w:val="sk-SK"/>
        </w:rPr>
        <w:t xml:space="preserve"> a </w:t>
      </w:r>
      <w:r w:rsidRPr="008E475E">
        <w:rPr>
          <w:rFonts w:cs="Times New Roman"/>
          <w:noProof/>
          <w:spacing w:val="-4"/>
          <w:lang w:val="sk-SK"/>
        </w:rPr>
        <w:t>platobných kanálov; II) vyvinúť</w:t>
      </w:r>
      <w:r w:rsidR="00A75B3C" w:rsidRPr="008E475E">
        <w:rPr>
          <w:rFonts w:cs="Times New Roman"/>
          <w:noProof/>
          <w:spacing w:val="-4"/>
          <w:lang w:val="sk-SK"/>
        </w:rPr>
        <w:t xml:space="preserve"> a </w:t>
      </w:r>
      <w:r w:rsidRPr="008E475E">
        <w:rPr>
          <w:rFonts w:cs="Times New Roman"/>
          <w:noProof/>
          <w:spacing w:val="-4"/>
          <w:lang w:val="sk-SK"/>
        </w:rPr>
        <w:t>zaviesť nový model vzťahov, od ktorého sa očakáva integrácia rôznych kanálov interakcie medzi občanmi, podnikmi</w:t>
      </w:r>
      <w:r w:rsidR="00A75B3C" w:rsidRPr="008E475E">
        <w:rPr>
          <w:rFonts w:cs="Times New Roman"/>
          <w:noProof/>
          <w:spacing w:val="-4"/>
          <w:lang w:val="sk-SK"/>
        </w:rPr>
        <w:t xml:space="preserve"> a </w:t>
      </w:r>
      <w:r w:rsidRPr="008E475E">
        <w:rPr>
          <w:rFonts w:cs="Times New Roman"/>
          <w:noProof/>
          <w:spacing w:val="-4"/>
          <w:lang w:val="sk-SK"/>
        </w:rPr>
        <w:t>službami sociálneho zabezpečenia prostredníctvom komplexného prístupu; III) prispôsobiť pracoviská služieb sociálneho zabezpečenia tak, aby umožňovali pružnejšie formy organizácie práce, ako je práca na diaľku; IV) zaviesť infraštruktúru informačných technológií založenú na riešeniach cloud computingu, ktoré majú potenciál podporovať výkonnosť</w:t>
      </w:r>
      <w:r w:rsidR="00A75B3C" w:rsidRPr="008E475E">
        <w:rPr>
          <w:rFonts w:cs="Times New Roman"/>
          <w:noProof/>
          <w:spacing w:val="-4"/>
          <w:lang w:val="sk-SK"/>
        </w:rPr>
        <w:t xml:space="preserve"> a </w:t>
      </w:r>
      <w:r w:rsidRPr="008E475E">
        <w:rPr>
          <w:rFonts w:cs="Times New Roman"/>
          <w:noProof/>
          <w:spacing w:val="-4"/>
          <w:lang w:val="sk-SK"/>
        </w:rPr>
        <w:t>interoperabilitu;</w:t>
      </w:r>
      <w:r w:rsidR="00A75B3C" w:rsidRPr="008E475E">
        <w:rPr>
          <w:rFonts w:cs="Times New Roman"/>
          <w:noProof/>
          <w:spacing w:val="-4"/>
          <w:lang w:val="sk-SK"/>
        </w:rPr>
        <w:t xml:space="preserve"> a </w:t>
      </w:r>
      <w:r w:rsidRPr="008E475E">
        <w:rPr>
          <w:rFonts w:cs="Times New Roman"/>
          <w:noProof/>
          <w:spacing w:val="-4"/>
          <w:lang w:val="sk-SK"/>
        </w:rPr>
        <w:t>v) preskúmať vnútorné procesy</w:t>
      </w:r>
      <w:r w:rsidR="00A75B3C" w:rsidRPr="008E475E">
        <w:rPr>
          <w:rFonts w:cs="Times New Roman"/>
          <w:noProof/>
          <w:spacing w:val="-4"/>
          <w:lang w:val="sk-SK"/>
        </w:rPr>
        <w:t xml:space="preserve"> a </w:t>
      </w:r>
      <w:r w:rsidRPr="008E475E">
        <w:rPr>
          <w:rFonts w:cs="Times New Roman"/>
          <w:noProof/>
          <w:spacing w:val="-4"/>
          <w:lang w:val="sk-SK"/>
        </w:rPr>
        <w:t>vyškoliť pracovníkov sociálneho zabezpečenia</w:t>
      </w:r>
      <w:r w:rsidR="00A75B3C" w:rsidRPr="008E475E">
        <w:rPr>
          <w:rFonts w:cs="Times New Roman"/>
          <w:noProof/>
          <w:spacing w:val="-4"/>
          <w:lang w:val="sk-SK"/>
        </w:rPr>
        <w:t xml:space="preserve"> s </w:t>
      </w:r>
      <w:r w:rsidRPr="008E475E">
        <w:rPr>
          <w:rFonts w:cs="Times New Roman"/>
          <w:noProof/>
          <w:spacing w:val="-4"/>
          <w:lang w:val="sk-SK"/>
        </w:rPr>
        <w:t>cieľom podporiť bezproblémovú realizáciu uvedených investícií</w:t>
      </w:r>
      <w:r w:rsidR="00A75B3C" w:rsidRPr="008E475E">
        <w:rPr>
          <w:rFonts w:cs="Times New Roman"/>
          <w:noProof/>
          <w:spacing w:val="-4"/>
          <w:lang w:val="sk-SK"/>
        </w:rPr>
        <w:t xml:space="preserve"> a </w:t>
      </w:r>
      <w:r w:rsidRPr="008E475E">
        <w:rPr>
          <w:rFonts w:cs="Times New Roman"/>
          <w:noProof/>
          <w:spacing w:val="-4"/>
          <w:lang w:val="sk-SK"/>
        </w:rPr>
        <w:t>štrukturálnych zmien</w:t>
      </w:r>
      <w:r w:rsidR="00A75B3C" w:rsidRPr="008E475E">
        <w:rPr>
          <w:rFonts w:cs="Times New Roman"/>
          <w:noProof/>
          <w:spacing w:val="-4"/>
          <w:lang w:val="sk-SK"/>
        </w:rPr>
        <w:t>.</w:t>
      </w:r>
    </w:p>
    <w:p w14:paraId="1A95DF4E" w14:textId="1D8F1629" w:rsidR="00387C70" w:rsidRPr="003F23AC" w:rsidRDefault="000F5AA4" w:rsidP="003F23AC">
      <w:pPr>
        <w:pStyle w:val="P68B1DB1-Normal4"/>
        <w:spacing w:before="40" w:after="0" w:line="259" w:lineRule="auto"/>
        <w:jc w:val="both"/>
        <w:rPr>
          <w:rFonts w:eastAsia="Times New Roman"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711C99DF" w14:textId="77777777" w:rsidR="00A75B3C" w:rsidRPr="003F23AC" w:rsidRDefault="000F5AA4" w:rsidP="003F23AC">
      <w:pPr>
        <w:pStyle w:val="P68B1DB1-Normal5"/>
        <w:spacing w:before="240" w:after="0" w:line="259" w:lineRule="auto"/>
        <w:ind w:left="851"/>
        <w:jc w:val="both"/>
        <w:outlineLvl w:val="2"/>
        <w:rPr>
          <w:rFonts w:cs="Times New Roman"/>
          <w:noProof/>
          <w:lang w:val="sk-SK"/>
        </w:rPr>
      </w:pPr>
      <w:bookmarkStart w:id="32" w:name="_Toc137472472"/>
      <w:r w:rsidRPr="003F23AC">
        <w:rPr>
          <w:rFonts w:cs="Times New Roman"/>
          <w:noProof/>
          <w:lang w:val="sk-SK"/>
        </w:rPr>
        <w:t>Reforma TD-C17-r40: Zjednodušenie daňového systému</w:t>
      </w:r>
      <w:bookmarkEnd w:id="32"/>
    </w:p>
    <w:p w14:paraId="7BD4017E" w14:textId="7EBB4395" w:rsidR="00387C70" w:rsidRPr="003F23AC" w:rsidRDefault="000F5AA4" w:rsidP="003F23AC">
      <w:pPr>
        <w:spacing w:before="40" w:after="0" w:line="259" w:lineRule="auto"/>
        <w:jc w:val="both"/>
        <w:rPr>
          <w:rFonts w:ascii="Times New Roman" w:hAnsi="Times New Roman" w:cs="Times New Roman"/>
          <w:noProof/>
          <w:sz w:val="24"/>
          <w:lang w:val="sk-SK"/>
        </w:rPr>
      </w:pPr>
      <w:r w:rsidRPr="003F23AC">
        <w:rPr>
          <w:rFonts w:ascii="Times New Roman" w:hAnsi="Times New Roman" w:cs="Times New Roman"/>
          <w:noProof/>
          <w:sz w:val="24"/>
          <w:lang w:val="sk-SK"/>
        </w:rPr>
        <w:t>Cieľom tejto reformy je zlepšiť účinnosť portugalského daňového systému. Reformou sa zavedie stály systém na dôsledné monitorovanie</w:t>
      </w:r>
      <w:r w:rsidR="00A75B3C" w:rsidRPr="003F23AC">
        <w:rPr>
          <w:rFonts w:ascii="Times New Roman" w:hAnsi="Times New Roman" w:cs="Times New Roman"/>
          <w:noProof/>
          <w:sz w:val="24"/>
          <w:lang w:val="sk-SK"/>
        </w:rPr>
        <w:t xml:space="preserve"> a </w:t>
      </w:r>
      <w:r w:rsidRPr="003F23AC">
        <w:rPr>
          <w:rFonts w:ascii="Times New Roman" w:hAnsi="Times New Roman" w:cs="Times New Roman"/>
          <w:noProof/>
          <w:sz w:val="24"/>
          <w:lang w:val="sk-SK"/>
        </w:rPr>
        <w:t>hodnotenie nových</w:t>
      </w:r>
      <w:r w:rsidR="00A75B3C" w:rsidRPr="003F23AC">
        <w:rPr>
          <w:rFonts w:ascii="Times New Roman" w:hAnsi="Times New Roman" w:cs="Times New Roman"/>
          <w:noProof/>
          <w:sz w:val="24"/>
          <w:lang w:val="sk-SK"/>
        </w:rPr>
        <w:t xml:space="preserve"> a </w:t>
      </w:r>
      <w:r w:rsidRPr="003F23AC">
        <w:rPr>
          <w:rFonts w:ascii="Times New Roman" w:hAnsi="Times New Roman" w:cs="Times New Roman"/>
          <w:noProof/>
          <w:sz w:val="24"/>
          <w:lang w:val="sk-SK"/>
        </w:rPr>
        <w:t>existujúcich daňových výhod („</w:t>
      </w:r>
      <w:r w:rsidRPr="003F23AC">
        <w:rPr>
          <w:rFonts w:ascii="Times New Roman" w:hAnsi="Times New Roman" w:cs="Times New Roman"/>
          <w:i/>
          <w:noProof/>
          <w:sz w:val="24"/>
          <w:lang w:val="sk-SK"/>
        </w:rPr>
        <w:t>benefícios fiscais</w:t>
      </w:r>
      <w:r w:rsidRPr="003F23AC">
        <w:rPr>
          <w:rFonts w:ascii="Times New Roman" w:hAnsi="Times New Roman" w:cs="Times New Roman"/>
          <w:noProof/>
          <w:sz w:val="24"/>
          <w:lang w:val="sk-SK"/>
        </w:rPr>
        <w:t>“)</w:t>
      </w:r>
      <w:r w:rsidRPr="003F23AC">
        <w:rPr>
          <w:rStyle w:val="FootnoteReference"/>
          <w:rFonts w:ascii="Times New Roman" w:hAnsi="Times New Roman" w:cs="Times New Roman"/>
          <w:noProof/>
          <w:sz w:val="24"/>
          <w:lang w:val="sk-SK"/>
        </w:rPr>
        <w:footnoteReference w:id="76"/>
      </w:r>
      <w:r w:rsidRPr="003F23AC">
        <w:rPr>
          <w:rFonts w:ascii="Times New Roman" w:hAnsi="Times New Roman" w:cs="Times New Roman"/>
          <w:noProof/>
          <w:sz w:val="24"/>
          <w:lang w:val="sk-SK"/>
        </w:rPr>
        <w:t>. Výsledkom by malo byť zjednodušenie existujúceho rámca znížením počtu daňových výhod, obmedzením ich súvisiacich daňových výdavkov (ďalej len „</w:t>
      </w:r>
      <w:r w:rsidRPr="003F23AC">
        <w:rPr>
          <w:rFonts w:ascii="Times New Roman" w:hAnsi="Times New Roman" w:cs="Times New Roman"/>
          <w:i/>
          <w:noProof/>
          <w:sz w:val="24"/>
          <w:lang w:val="sk-SK"/>
        </w:rPr>
        <w:t>despesas fiscais</w:t>
      </w:r>
      <w:r w:rsidRPr="003F23AC">
        <w:rPr>
          <w:rFonts w:ascii="Times New Roman" w:hAnsi="Times New Roman" w:cs="Times New Roman"/>
          <w:noProof/>
          <w:sz w:val="24"/>
          <w:lang w:val="sk-SK"/>
        </w:rPr>
        <w:t>“)</w:t>
      </w:r>
      <w:r w:rsidR="00A75B3C" w:rsidRPr="003F23AC">
        <w:rPr>
          <w:rFonts w:ascii="Times New Roman" w:hAnsi="Times New Roman" w:cs="Times New Roman"/>
          <w:noProof/>
          <w:sz w:val="24"/>
          <w:lang w:val="sk-SK"/>
        </w:rPr>
        <w:t xml:space="preserve"> a </w:t>
      </w:r>
      <w:r w:rsidRPr="003F23AC">
        <w:rPr>
          <w:rFonts w:ascii="Times New Roman" w:hAnsi="Times New Roman" w:cs="Times New Roman"/>
          <w:noProof/>
          <w:sz w:val="24"/>
          <w:lang w:val="sk-SK"/>
        </w:rPr>
        <w:t>posilnením nákladovej efektívnosti tých daňových výhod, ktoré zostávajú.</w:t>
      </w:r>
    </w:p>
    <w:p w14:paraId="0F4A2EDF" w14:textId="6130E5C4" w:rsidR="00387C70" w:rsidRPr="008E475E" w:rsidRDefault="000F5AA4" w:rsidP="003F23AC">
      <w:pPr>
        <w:pStyle w:val="P68B1DB1-Normal4"/>
        <w:spacing w:before="40" w:after="0" w:line="259" w:lineRule="auto"/>
        <w:jc w:val="both"/>
        <w:rPr>
          <w:rFonts w:eastAsia="@MS Mincho" w:cs="Times New Roman"/>
          <w:noProof/>
          <w:spacing w:val="-8"/>
          <w:lang w:val="sk-SK"/>
        </w:rPr>
      </w:pPr>
      <w:r w:rsidRPr="008E475E">
        <w:rPr>
          <w:rFonts w:cs="Times New Roman"/>
          <w:noProof/>
          <w:spacing w:val="-8"/>
          <w:lang w:val="sk-SK"/>
        </w:rPr>
        <w:t>Reforma pozostáva</w:t>
      </w:r>
      <w:r w:rsidR="00A75B3C" w:rsidRPr="008E475E">
        <w:rPr>
          <w:rFonts w:cs="Times New Roman"/>
          <w:noProof/>
          <w:spacing w:val="-8"/>
          <w:lang w:val="sk-SK"/>
        </w:rPr>
        <w:t xml:space="preserve"> z </w:t>
      </w:r>
      <w:r w:rsidRPr="008E475E">
        <w:rPr>
          <w:rFonts w:cs="Times New Roman"/>
          <w:noProof/>
          <w:spacing w:val="-8"/>
          <w:lang w:val="sk-SK"/>
        </w:rPr>
        <w:t>právneho aktu, ktorým sa vytvorí stála technická jednotka daňovej politiky (</w:t>
      </w:r>
      <w:r w:rsidRPr="008E475E">
        <w:rPr>
          <w:rFonts w:cs="Times New Roman"/>
          <w:i/>
          <w:noProof/>
          <w:spacing w:val="-8"/>
          <w:lang w:val="sk-SK"/>
        </w:rPr>
        <w:t>Unidade Técnica de Avaliação Tributária e Aduaneira</w:t>
      </w:r>
      <w:r w:rsidRPr="008E475E">
        <w:rPr>
          <w:rFonts w:cs="Times New Roman"/>
          <w:noProof/>
          <w:spacing w:val="-8"/>
          <w:lang w:val="sk-SK"/>
        </w:rPr>
        <w:t>, známa aj ako U-TAX)</w:t>
      </w:r>
      <w:r w:rsidR="00A75B3C" w:rsidRPr="008E475E">
        <w:rPr>
          <w:rFonts w:cs="Times New Roman"/>
          <w:noProof/>
          <w:spacing w:val="-8"/>
          <w:lang w:val="sk-SK"/>
        </w:rPr>
        <w:t xml:space="preserve"> s </w:t>
      </w:r>
      <w:r w:rsidRPr="008E475E">
        <w:rPr>
          <w:rFonts w:cs="Times New Roman"/>
          <w:noProof/>
          <w:spacing w:val="-8"/>
          <w:lang w:val="sk-SK"/>
        </w:rPr>
        <w:t>mandátom systematicky monitorovať</w:t>
      </w:r>
      <w:r w:rsidR="00A75B3C" w:rsidRPr="008E475E">
        <w:rPr>
          <w:rFonts w:cs="Times New Roman"/>
          <w:noProof/>
          <w:spacing w:val="-8"/>
          <w:lang w:val="sk-SK"/>
        </w:rPr>
        <w:t xml:space="preserve"> a </w:t>
      </w:r>
      <w:r w:rsidRPr="008E475E">
        <w:rPr>
          <w:rFonts w:cs="Times New Roman"/>
          <w:noProof/>
          <w:spacing w:val="-8"/>
          <w:lang w:val="sk-SK"/>
        </w:rPr>
        <w:t>hodnotiť nové</w:t>
      </w:r>
      <w:r w:rsidR="00A75B3C" w:rsidRPr="008E475E">
        <w:rPr>
          <w:rFonts w:cs="Times New Roman"/>
          <w:noProof/>
          <w:spacing w:val="-8"/>
          <w:lang w:val="sk-SK"/>
        </w:rPr>
        <w:t xml:space="preserve"> a </w:t>
      </w:r>
      <w:r w:rsidRPr="008E475E">
        <w:rPr>
          <w:rFonts w:cs="Times New Roman"/>
          <w:noProof/>
          <w:spacing w:val="-8"/>
          <w:lang w:val="sk-SK"/>
        </w:rPr>
        <w:t>existujúce daňové výhody</w:t>
      </w:r>
      <w:r w:rsidR="00A75B3C" w:rsidRPr="008E475E">
        <w:rPr>
          <w:rFonts w:cs="Times New Roman"/>
          <w:noProof/>
          <w:spacing w:val="-8"/>
          <w:lang w:val="sk-SK"/>
        </w:rPr>
        <w:t xml:space="preserve"> a </w:t>
      </w:r>
      <w:r w:rsidRPr="008E475E">
        <w:rPr>
          <w:rFonts w:cs="Times New Roman"/>
          <w:noProof/>
          <w:spacing w:val="-8"/>
          <w:lang w:val="sk-SK"/>
        </w:rPr>
        <w:t>prispievať</w:t>
      </w:r>
      <w:r w:rsidR="00A75B3C" w:rsidRPr="008E475E">
        <w:rPr>
          <w:rFonts w:cs="Times New Roman"/>
          <w:noProof/>
          <w:spacing w:val="-8"/>
          <w:lang w:val="sk-SK"/>
        </w:rPr>
        <w:t xml:space="preserve"> k </w:t>
      </w:r>
      <w:r w:rsidRPr="008E475E">
        <w:rPr>
          <w:rFonts w:cs="Times New Roman"/>
          <w:noProof/>
          <w:spacing w:val="-8"/>
          <w:lang w:val="sk-SK"/>
        </w:rPr>
        <w:t>tvorbe, vykonávaniu</w:t>
      </w:r>
      <w:r w:rsidR="00A75B3C" w:rsidRPr="008E475E">
        <w:rPr>
          <w:rFonts w:cs="Times New Roman"/>
          <w:noProof/>
          <w:spacing w:val="-8"/>
          <w:lang w:val="sk-SK"/>
        </w:rPr>
        <w:t xml:space="preserve"> a </w:t>
      </w:r>
      <w:r w:rsidRPr="008E475E">
        <w:rPr>
          <w:rFonts w:cs="Times New Roman"/>
          <w:noProof/>
          <w:spacing w:val="-8"/>
          <w:lang w:val="sk-SK"/>
        </w:rPr>
        <w:t>hodnoteniu vplyvu daňových politík. Útvar daňovej politiky takisto prispieva</w:t>
      </w:r>
      <w:r w:rsidR="00A75B3C" w:rsidRPr="008E475E">
        <w:rPr>
          <w:rFonts w:cs="Times New Roman"/>
          <w:noProof/>
          <w:spacing w:val="-8"/>
          <w:lang w:val="sk-SK"/>
        </w:rPr>
        <w:t xml:space="preserve"> k </w:t>
      </w:r>
      <w:r w:rsidRPr="008E475E">
        <w:rPr>
          <w:rFonts w:cs="Times New Roman"/>
          <w:noProof/>
          <w:spacing w:val="-8"/>
          <w:lang w:val="sk-SK"/>
        </w:rPr>
        <w:t>príprave právnych aktov</w:t>
      </w:r>
      <w:r w:rsidR="00A75B3C" w:rsidRPr="008E475E">
        <w:rPr>
          <w:rFonts w:cs="Times New Roman"/>
          <w:noProof/>
          <w:spacing w:val="-8"/>
          <w:lang w:val="sk-SK"/>
        </w:rPr>
        <w:t xml:space="preserve"> v </w:t>
      </w:r>
      <w:r w:rsidRPr="008E475E">
        <w:rPr>
          <w:rFonts w:cs="Times New Roman"/>
          <w:noProof/>
          <w:spacing w:val="-8"/>
          <w:lang w:val="sk-SK"/>
        </w:rPr>
        <w:t>oblasti zdaňovania</w:t>
      </w:r>
      <w:r w:rsidR="00A75B3C" w:rsidRPr="008E475E">
        <w:rPr>
          <w:rFonts w:cs="Times New Roman"/>
          <w:noProof/>
          <w:spacing w:val="-8"/>
          <w:lang w:val="sk-SK"/>
        </w:rPr>
        <w:t xml:space="preserve"> v </w:t>
      </w:r>
      <w:r w:rsidRPr="008E475E">
        <w:rPr>
          <w:rFonts w:cs="Times New Roman"/>
          <w:noProof/>
          <w:spacing w:val="-8"/>
          <w:lang w:val="sk-SK"/>
        </w:rPr>
        <w:t>spolupráci</w:t>
      </w:r>
      <w:r w:rsidR="00A75B3C" w:rsidRPr="008E475E">
        <w:rPr>
          <w:rFonts w:cs="Times New Roman"/>
          <w:noProof/>
          <w:spacing w:val="-8"/>
          <w:lang w:val="sk-SK"/>
        </w:rPr>
        <w:t xml:space="preserve"> s </w:t>
      </w:r>
      <w:r w:rsidRPr="008E475E">
        <w:rPr>
          <w:rFonts w:cs="Times New Roman"/>
          <w:noProof/>
          <w:spacing w:val="-8"/>
          <w:lang w:val="sk-SK"/>
        </w:rPr>
        <w:t xml:space="preserve">inými príslušnými subjektmi, ako je </w:t>
      </w:r>
      <w:r w:rsidRPr="008E475E">
        <w:rPr>
          <w:rFonts w:cs="Times New Roman"/>
          <w:i/>
          <w:noProof/>
          <w:spacing w:val="-8"/>
          <w:lang w:val="sk-SK"/>
        </w:rPr>
        <w:t xml:space="preserve">Centro de Estudos Fiscais e Aduaneiros ( </w:t>
      </w:r>
      <w:r w:rsidRPr="008E475E">
        <w:rPr>
          <w:rFonts w:cs="Times New Roman"/>
          <w:noProof/>
          <w:spacing w:val="-8"/>
          <w:lang w:val="sk-SK"/>
        </w:rPr>
        <w:t>CEF).</w:t>
      </w:r>
      <w:r w:rsidR="00A75B3C" w:rsidRPr="008E475E">
        <w:rPr>
          <w:rFonts w:cs="Times New Roman"/>
          <w:noProof/>
          <w:spacing w:val="-8"/>
          <w:lang w:val="sk-SK"/>
        </w:rPr>
        <w:t xml:space="preserve"> V </w:t>
      </w:r>
      <w:r w:rsidRPr="008E475E">
        <w:rPr>
          <w:rFonts w:cs="Times New Roman"/>
          <w:noProof/>
          <w:spacing w:val="-8"/>
          <w:lang w:val="sk-SK"/>
        </w:rPr>
        <w:t>právnom akte sa stanoví formálna štruktúra U-TAX vrátane jeho organizačnej štruktúry, jej fungovania</w:t>
      </w:r>
      <w:r w:rsidR="00A75B3C" w:rsidRPr="008E475E">
        <w:rPr>
          <w:rFonts w:cs="Times New Roman"/>
          <w:noProof/>
          <w:spacing w:val="-8"/>
          <w:lang w:val="sk-SK"/>
        </w:rPr>
        <w:t xml:space="preserve"> a </w:t>
      </w:r>
      <w:r w:rsidRPr="008E475E">
        <w:rPr>
          <w:rFonts w:cs="Times New Roman"/>
          <w:noProof/>
          <w:spacing w:val="-8"/>
          <w:lang w:val="sk-SK"/>
        </w:rPr>
        <w:t>úloh. U-TAX je technicky nezávislý od daňovej</w:t>
      </w:r>
      <w:r w:rsidR="00A75B3C" w:rsidRPr="008E475E">
        <w:rPr>
          <w:rFonts w:cs="Times New Roman"/>
          <w:noProof/>
          <w:spacing w:val="-8"/>
          <w:lang w:val="sk-SK"/>
        </w:rPr>
        <w:t xml:space="preserve"> a </w:t>
      </w:r>
      <w:r w:rsidRPr="008E475E">
        <w:rPr>
          <w:rFonts w:cs="Times New Roman"/>
          <w:noProof/>
          <w:spacing w:val="-8"/>
          <w:lang w:val="sk-SK"/>
        </w:rPr>
        <w:t>colnej správy</w:t>
      </w:r>
      <w:r w:rsidR="00A75B3C" w:rsidRPr="008E475E">
        <w:rPr>
          <w:rFonts w:cs="Times New Roman"/>
          <w:noProof/>
          <w:spacing w:val="-8"/>
          <w:lang w:val="sk-SK"/>
        </w:rPr>
        <w:t xml:space="preserve"> a </w:t>
      </w:r>
      <w:r w:rsidRPr="008E475E">
        <w:rPr>
          <w:rFonts w:cs="Times New Roman"/>
          <w:noProof/>
          <w:spacing w:val="-8"/>
          <w:lang w:val="sk-SK"/>
        </w:rPr>
        <w:t>priamo odpovedať ministerstvu financií. U-TAX tvoria stáli technickí pracovníci</w:t>
      </w:r>
      <w:r w:rsidR="00A75B3C" w:rsidRPr="008E475E">
        <w:rPr>
          <w:rFonts w:cs="Times New Roman"/>
          <w:noProof/>
          <w:spacing w:val="-8"/>
          <w:lang w:val="sk-SK"/>
        </w:rPr>
        <w:t xml:space="preserve"> s </w:t>
      </w:r>
      <w:r w:rsidRPr="008E475E">
        <w:rPr>
          <w:rFonts w:cs="Times New Roman"/>
          <w:noProof/>
          <w:spacing w:val="-8"/>
          <w:lang w:val="sk-SK"/>
        </w:rPr>
        <w:t>odbornými znalosťami</w:t>
      </w:r>
      <w:r w:rsidR="00A75B3C" w:rsidRPr="008E475E">
        <w:rPr>
          <w:rFonts w:cs="Times New Roman"/>
          <w:noProof/>
          <w:spacing w:val="-8"/>
          <w:lang w:val="sk-SK"/>
        </w:rPr>
        <w:t xml:space="preserve"> v </w:t>
      </w:r>
      <w:r w:rsidRPr="008E475E">
        <w:rPr>
          <w:rFonts w:cs="Times New Roman"/>
          <w:noProof/>
          <w:spacing w:val="-8"/>
          <w:lang w:val="sk-SK"/>
        </w:rPr>
        <w:t>oblasti daňovej politiky.</w:t>
      </w:r>
      <w:r w:rsidR="00A75B3C" w:rsidRPr="008E475E">
        <w:rPr>
          <w:rFonts w:cs="Times New Roman"/>
          <w:noProof/>
          <w:spacing w:val="-8"/>
          <w:lang w:val="sk-SK"/>
        </w:rPr>
        <w:t xml:space="preserve"> V </w:t>
      </w:r>
      <w:r w:rsidRPr="008E475E">
        <w:rPr>
          <w:rFonts w:cs="Times New Roman"/>
          <w:noProof/>
          <w:spacing w:val="-8"/>
          <w:lang w:val="sk-SK"/>
        </w:rPr>
        <w:t>právnom akte sa vymedzia aj formálne interakcie medzi U-TAX</w:t>
      </w:r>
      <w:r w:rsidR="00A75B3C" w:rsidRPr="008E475E">
        <w:rPr>
          <w:rFonts w:cs="Times New Roman"/>
          <w:noProof/>
          <w:spacing w:val="-8"/>
          <w:lang w:val="sk-SK"/>
        </w:rPr>
        <w:t xml:space="preserve"> a </w:t>
      </w:r>
      <w:r w:rsidRPr="008E475E">
        <w:rPr>
          <w:rFonts w:cs="Times New Roman"/>
          <w:noProof/>
          <w:spacing w:val="-8"/>
          <w:lang w:val="sk-SK"/>
        </w:rPr>
        <w:t>inými príslušnými verejnými</w:t>
      </w:r>
      <w:r w:rsidR="00A75B3C" w:rsidRPr="008E475E">
        <w:rPr>
          <w:rFonts w:cs="Times New Roman"/>
          <w:noProof/>
          <w:spacing w:val="-8"/>
          <w:lang w:val="sk-SK"/>
        </w:rPr>
        <w:t xml:space="preserve"> a </w:t>
      </w:r>
      <w:r w:rsidRPr="008E475E">
        <w:rPr>
          <w:rFonts w:cs="Times New Roman"/>
          <w:noProof/>
          <w:spacing w:val="-8"/>
          <w:lang w:val="sk-SK"/>
        </w:rPr>
        <w:t>súkromnými subjektmi ako výskumnými</w:t>
      </w:r>
      <w:r w:rsidR="00A75B3C" w:rsidRPr="008E475E">
        <w:rPr>
          <w:rFonts w:cs="Times New Roman"/>
          <w:noProof/>
          <w:spacing w:val="-8"/>
          <w:lang w:val="sk-SK"/>
        </w:rPr>
        <w:t xml:space="preserve"> a </w:t>
      </w:r>
      <w:r w:rsidRPr="008E475E">
        <w:rPr>
          <w:rFonts w:cs="Times New Roman"/>
          <w:noProof/>
          <w:spacing w:val="-8"/>
          <w:lang w:val="sk-SK"/>
        </w:rPr>
        <w:t>akademickými inštitúciami</w:t>
      </w:r>
      <w:r w:rsidR="00A75B3C" w:rsidRPr="008E475E">
        <w:rPr>
          <w:rFonts w:cs="Times New Roman"/>
          <w:noProof/>
          <w:spacing w:val="-8"/>
          <w:lang w:val="sk-SK"/>
        </w:rPr>
        <w:t xml:space="preserve"> a </w:t>
      </w:r>
      <w:r w:rsidRPr="008E475E">
        <w:rPr>
          <w:rFonts w:cs="Times New Roman"/>
          <w:noProof/>
          <w:spacing w:val="-8"/>
          <w:lang w:val="sk-SK"/>
        </w:rPr>
        <w:t>stanoví sa vymedzenie dohôd</w:t>
      </w:r>
      <w:r w:rsidR="00A75B3C" w:rsidRPr="008E475E">
        <w:rPr>
          <w:rFonts w:cs="Times New Roman"/>
          <w:noProof/>
          <w:spacing w:val="-8"/>
          <w:lang w:val="sk-SK"/>
        </w:rPr>
        <w:t xml:space="preserve"> o </w:t>
      </w:r>
      <w:r w:rsidRPr="008E475E">
        <w:rPr>
          <w:rFonts w:cs="Times New Roman"/>
          <w:noProof/>
          <w:spacing w:val="-8"/>
          <w:lang w:val="sk-SK"/>
        </w:rPr>
        <w:t>spoločnom využívaní údajov medzi U-TAX</w:t>
      </w:r>
      <w:r w:rsidR="00A75B3C" w:rsidRPr="008E475E">
        <w:rPr>
          <w:rFonts w:cs="Times New Roman"/>
          <w:noProof/>
          <w:spacing w:val="-8"/>
          <w:lang w:val="sk-SK"/>
        </w:rPr>
        <w:t xml:space="preserve"> a </w:t>
      </w:r>
      <w:r w:rsidRPr="008E475E">
        <w:rPr>
          <w:rFonts w:cs="Times New Roman"/>
          <w:noProof/>
          <w:spacing w:val="-8"/>
          <w:lang w:val="sk-SK"/>
        </w:rPr>
        <w:t>príslušnými verejnými subjektmi ako daňovým</w:t>
      </w:r>
      <w:r w:rsidR="00A75B3C" w:rsidRPr="008E475E">
        <w:rPr>
          <w:rFonts w:cs="Times New Roman"/>
          <w:noProof/>
          <w:spacing w:val="-8"/>
          <w:lang w:val="sk-SK"/>
        </w:rPr>
        <w:t xml:space="preserve"> a </w:t>
      </w:r>
      <w:r w:rsidRPr="008E475E">
        <w:rPr>
          <w:rFonts w:cs="Times New Roman"/>
          <w:noProof/>
          <w:spacing w:val="-8"/>
          <w:lang w:val="sk-SK"/>
        </w:rPr>
        <w:t>colným úradom</w:t>
      </w:r>
      <w:r w:rsidR="00A75B3C" w:rsidRPr="008E475E">
        <w:rPr>
          <w:rFonts w:cs="Times New Roman"/>
          <w:noProof/>
          <w:spacing w:val="-8"/>
          <w:lang w:val="sk-SK"/>
        </w:rPr>
        <w:t xml:space="preserve"> a </w:t>
      </w:r>
      <w:r w:rsidRPr="008E475E">
        <w:rPr>
          <w:rFonts w:cs="Times New Roman"/>
          <w:noProof/>
          <w:spacing w:val="-8"/>
          <w:lang w:val="sk-SK"/>
        </w:rPr>
        <w:t>portugalským štatistickým úradom (INE). Právnym aktom sa zabezpečí aj záväzok U-TAX týkajúci sa kvality</w:t>
      </w:r>
      <w:r w:rsidR="00A75B3C" w:rsidRPr="008E475E">
        <w:rPr>
          <w:rFonts w:cs="Times New Roman"/>
          <w:noProof/>
          <w:spacing w:val="-8"/>
          <w:lang w:val="sk-SK"/>
        </w:rPr>
        <w:t xml:space="preserve"> a </w:t>
      </w:r>
      <w:r w:rsidRPr="008E475E">
        <w:rPr>
          <w:rFonts w:cs="Times New Roman"/>
          <w:noProof/>
          <w:spacing w:val="-8"/>
          <w:lang w:val="sk-SK"/>
        </w:rPr>
        <w:t>transparentnosti jej analytických správ</w:t>
      </w:r>
      <w:r w:rsidR="00A75B3C" w:rsidRPr="008E475E">
        <w:rPr>
          <w:rFonts w:cs="Times New Roman"/>
          <w:noProof/>
          <w:spacing w:val="-8"/>
          <w:lang w:val="sk-SK"/>
        </w:rPr>
        <w:t xml:space="preserve"> a </w:t>
      </w:r>
      <w:r w:rsidRPr="008E475E">
        <w:rPr>
          <w:rFonts w:cs="Times New Roman"/>
          <w:noProof/>
          <w:spacing w:val="-8"/>
          <w:lang w:val="sk-SK"/>
        </w:rPr>
        <w:t>zachovania noriem kvality údajov. Táto jednotka daňovej politiky uverejní hodnotiacu správu</w:t>
      </w:r>
      <w:r w:rsidR="00A75B3C" w:rsidRPr="008E475E">
        <w:rPr>
          <w:rFonts w:cs="Times New Roman"/>
          <w:noProof/>
          <w:spacing w:val="-8"/>
          <w:lang w:val="sk-SK"/>
        </w:rPr>
        <w:t xml:space="preserve"> s </w:t>
      </w:r>
      <w:r w:rsidRPr="008E475E">
        <w:rPr>
          <w:rFonts w:cs="Times New Roman"/>
          <w:noProof/>
          <w:spacing w:val="-8"/>
          <w:lang w:val="sk-SK"/>
        </w:rPr>
        <w:t>analýzou nákladov</w:t>
      </w:r>
      <w:r w:rsidR="00A75B3C" w:rsidRPr="008E475E">
        <w:rPr>
          <w:rFonts w:cs="Times New Roman"/>
          <w:noProof/>
          <w:spacing w:val="-8"/>
          <w:lang w:val="sk-SK"/>
        </w:rPr>
        <w:t xml:space="preserve"> a </w:t>
      </w:r>
      <w:r w:rsidRPr="008E475E">
        <w:rPr>
          <w:rFonts w:cs="Times New Roman"/>
          <w:noProof/>
          <w:spacing w:val="-8"/>
          <w:lang w:val="sk-SK"/>
        </w:rPr>
        <w:t>prínosov</w:t>
      </w:r>
      <w:r w:rsidR="00A75B3C" w:rsidRPr="008E475E">
        <w:rPr>
          <w:rFonts w:cs="Times New Roman"/>
          <w:noProof/>
          <w:spacing w:val="-8"/>
          <w:lang w:val="sk-SK"/>
        </w:rPr>
        <w:t xml:space="preserve"> o </w:t>
      </w:r>
      <w:r w:rsidRPr="008E475E">
        <w:rPr>
          <w:rFonts w:cs="Times New Roman"/>
          <w:noProof/>
          <w:spacing w:val="-8"/>
          <w:lang w:val="sk-SK"/>
        </w:rPr>
        <w:t>existujúcich daňových výhodách</w:t>
      </w:r>
      <w:r w:rsidR="00A75B3C" w:rsidRPr="008E475E">
        <w:rPr>
          <w:rFonts w:cs="Times New Roman"/>
          <w:noProof/>
          <w:spacing w:val="-8"/>
          <w:lang w:val="sk-SK"/>
        </w:rPr>
        <w:t xml:space="preserve"> s </w:t>
      </w:r>
      <w:r w:rsidRPr="008E475E">
        <w:rPr>
          <w:rFonts w:cs="Times New Roman"/>
          <w:noProof/>
          <w:spacing w:val="-8"/>
          <w:lang w:val="sk-SK"/>
        </w:rPr>
        <w:t>kritériami efektívnosti</w:t>
      </w:r>
      <w:r w:rsidR="00A75B3C" w:rsidRPr="008E475E">
        <w:rPr>
          <w:rFonts w:cs="Times New Roman"/>
          <w:noProof/>
          <w:spacing w:val="-8"/>
          <w:lang w:val="sk-SK"/>
        </w:rPr>
        <w:t xml:space="preserve"> a </w:t>
      </w:r>
      <w:r w:rsidRPr="008E475E">
        <w:rPr>
          <w:rFonts w:cs="Times New Roman"/>
          <w:noProof/>
          <w:spacing w:val="-8"/>
          <w:lang w:val="sk-SK"/>
        </w:rPr>
        <w:t>účinnosti</w:t>
      </w:r>
      <w:r w:rsidR="00A75B3C" w:rsidRPr="008E475E">
        <w:rPr>
          <w:rFonts w:cs="Times New Roman"/>
          <w:noProof/>
          <w:spacing w:val="-8"/>
          <w:lang w:val="sk-SK"/>
        </w:rPr>
        <w:t xml:space="preserve"> a </w:t>
      </w:r>
      <w:r w:rsidRPr="008E475E">
        <w:rPr>
          <w:rFonts w:cs="Times New Roman"/>
          <w:noProof/>
          <w:spacing w:val="-8"/>
          <w:lang w:val="sk-SK"/>
        </w:rPr>
        <w:t>environmentálnymi aspektmi. Po tomto posúdení sa vykoná revízia právneho rámca významného súboru daňových výhod.</w:t>
      </w:r>
    </w:p>
    <w:p w14:paraId="6901A2AB" w14:textId="63F474E4"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Vykonávanie tejto reformy sa dokončí do 31</w:t>
      </w:r>
      <w:r w:rsidR="00A75B3C" w:rsidRPr="003F23AC">
        <w:rPr>
          <w:rFonts w:cs="Times New Roman"/>
          <w:noProof/>
          <w:lang w:val="sk-SK"/>
        </w:rPr>
        <w:t>. marca</w:t>
      </w:r>
      <w:r w:rsidRPr="003F23AC">
        <w:rPr>
          <w:rFonts w:cs="Times New Roman"/>
          <w:noProof/>
          <w:lang w:val="sk-SK"/>
        </w:rPr>
        <w:t xml:space="preserve"> 2026.</w:t>
      </w:r>
    </w:p>
    <w:p w14:paraId="282DA7C3" w14:textId="77777777" w:rsidR="00387C70" w:rsidRPr="003F23AC" w:rsidRDefault="00387C70" w:rsidP="003F23AC">
      <w:pPr>
        <w:spacing w:before="40" w:after="0" w:line="259" w:lineRule="auto"/>
        <w:jc w:val="both"/>
        <w:rPr>
          <w:rFonts w:ascii="Times New Roman" w:eastAsia="Times New Roman" w:hAnsi="Times New Roman" w:cs="Times New Roman"/>
          <w:noProof/>
          <w:sz w:val="24"/>
          <w:lang w:val="sk-SK"/>
        </w:rPr>
      </w:pPr>
    </w:p>
    <w:p w14:paraId="03613E4E" w14:textId="75A6C9BA" w:rsidR="00387C70" w:rsidRPr="003F23AC" w:rsidRDefault="00387C70" w:rsidP="003F23AC">
      <w:pPr>
        <w:spacing w:before="40" w:after="0" w:line="259" w:lineRule="auto"/>
        <w:jc w:val="both"/>
        <w:rPr>
          <w:rFonts w:ascii="Times New Roman" w:eastAsia="Times New Roman" w:hAnsi="Times New Roman" w:cs="Times New Roman"/>
          <w:noProof/>
          <w:sz w:val="24"/>
          <w:lang w:val="sk-SK"/>
        </w:rPr>
        <w:sectPr w:rsidR="00387C70" w:rsidRPr="003F23AC" w:rsidSect="00E00EDD">
          <w:headerReference w:type="even" r:id="rId318"/>
          <w:headerReference w:type="default" r:id="rId319"/>
          <w:footerReference w:type="even" r:id="rId320"/>
          <w:footerReference w:type="default" r:id="rId321"/>
          <w:headerReference w:type="first" r:id="rId322"/>
          <w:footerReference w:type="first" r:id="rId323"/>
          <w:pgSz w:w="11907" w:h="16839"/>
          <w:pgMar w:top="1134" w:right="1134" w:bottom="1134" w:left="1134" w:header="567" w:footer="567" w:gutter="0"/>
          <w:cols w:space="720"/>
          <w:docGrid w:linePitch="360"/>
        </w:sectPr>
      </w:pPr>
    </w:p>
    <w:p w14:paraId="449FF56D" w14:textId="641579CF" w:rsidR="00387C70" w:rsidRPr="003F23AC" w:rsidRDefault="00FF0A91"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Q</w:t>
      </w:r>
      <w:r w:rsidR="000F5AA4" w:rsidRPr="003F23AC">
        <w:rPr>
          <w:rFonts w:cs="Times New Roman"/>
          <w:noProof/>
          <w:lang w:val="sk-SK"/>
        </w:rPr>
        <w:t>.2 Míľniky, ciele, ukazovatele</w:t>
      </w:r>
      <w:r w:rsidR="00A75B3C" w:rsidRPr="003F23AC">
        <w:rPr>
          <w:rFonts w:cs="Times New Roman"/>
          <w:noProof/>
          <w:lang w:val="sk-SK"/>
        </w:rPr>
        <w:t xml:space="preserve"> a </w:t>
      </w:r>
      <w:r w:rsidR="000F5AA4" w:rsidRPr="003F23AC">
        <w:rPr>
          <w:rFonts w:cs="Times New Roman"/>
          <w:noProof/>
          <w:lang w:val="sk-SK"/>
        </w:rPr>
        <w:t>harmonogram monitorovania</w:t>
      </w:r>
      <w:r w:rsidR="00A75B3C" w:rsidRPr="003F23AC">
        <w:rPr>
          <w:rFonts w:cs="Times New Roman"/>
          <w:noProof/>
          <w:lang w:val="sk-SK"/>
        </w:rPr>
        <w:t xml:space="preserve"> a </w:t>
      </w:r>
      <w:r w:rsidR="000F5AA4" w:rsidRPr="003F23AC">
        <w:rPr>
          <w:rFonts w:cs="Times New Roman"/>
          <w:noProof/>
          <w:lang w:val="sk-SK"/>
        </w:rPr>
        <w:t>realizácie pre nenávratnú finančnú podporu</w:t>
      </w:r>
    </w:p>
    <w:p w14:paraId="47972E30"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152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
        <w:gridCol w:w="1036"/>
        <w:gridCol w:w="1161"/>
        <w:gridCol w:w="1034"/>
        <w:gridCol w:w="1539"/>
        <w:gridCol w:w="1356"/>
        <w:gridCol w:w="909"/>
        <w:gridCol w:w="861"/>
        <w:gridCol w:w="704"/>
        <w:gridCol w:w="780"/>
        <w:gridCol w:w="406"/>
        <w:gridCol w:w="5456"/>
      </w:tblGrid>
      <w:tr w:rsidR="00387C70" w:rsidRPr="003F23AC" w14:paraId="0CC744D9" w14:textId="77777777" w:rsidTr="008E475E">
        <w:trPr>
          <w:trHeight w:val="910"/>
          <w:tblHeader/>
        </w:trPr>
        <w:tc>
          <w:tcPr>
            <w:tcW w:w="1043" w:type="dxa"/>
            <w:gridSpan w:val="2"/>
            <w:vMerge w:val="restart"/>
            <w:shd w:val="clear" w:color="auto" w:fill="BDD6EE"/>
            <w:tcMar>
              <w:left w:w="28" w:type="dxa"/>
              <w:right w:w="28" w:type="dxa"/>
            </w:tcMar>
            <w:vAlign w:val="center"/>
            <w:hideMark/>
          </w:tcPr>
          <w:p w14:paraId="0DD3CE3E"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161" w:type="dxa"/>
            <w:vMerge w:val="restart"/>
            <w:shd w:val="clear" w:color="auto" w:fill="BDD6EE"/>
            <w:tcMar>
              <w:left w:w="28" w:type="dxa"/>
              <w:right w:w="28" w:type="dxa"/>
            </w:tcMar>
            <w:vAlign w:val="center"/>
            <w:hideMark/>
          </w:tcPr>
          <w:p w14:paraId="119BDC18"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034" w:type="dxa"/>
            <w:vMerge w:val="restart"/>
            <w:shd w:val="clear" w:color="auto" w:fill="BDD6EE"/>
            <w:tcMar>
              <w:left w:w="28" w:type="dxa"/>
              <w:right w:w="28" w:type="dxa"/>
            </w:tcMar>
            <w:vAlign w:val="center"/>
            <w:hideMark/>
          </w:tcPr>
          <w:p w14:paraId="68B0DBF9"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Medzník/</w:t>
            </w:r>
          </w:p>
          <w:p w14:paraId="235747B5" w14:textId="63F3C043"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w:t>
            </w:r>
          </w:p>
        </w:tc>
        <w:tc>
          <w:tcPr>
            <w:tcW w:w="1539" w:type="dxa"/>
            <w:vMerge w:val="restart"/>
            <w:shd w:val="clear" w:color="auto" w:fill="BDD6EE"/>
            <w:tcMar>
              <w:left w:w="28" w:type="dxa"/>
              <w:right w:w="28" w:type="dxa"/>
            </w:tcMar>
            <w:vAlign w:val="center"/>
            <w:hideMark/>
          </w:tcPr>
          <w:p w14:paraId="6666AD1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356" w:type="dxa"/>
            <w:vMerge w:val="restart"/>
            <w:shd w:val="clear" w:color="auto" w:fill="BDD6EE"/>
            <w:tcMar>
              <w:left w:w="28" w:type="dxa"/>
              <w:right w:w="28" w:type="dxa"/>
            </w:tcMar>
            <w:vAlign w:val="center"/>
            <w:hideMark/>
          </w:tcPr>
          <w:p w14:paraId="0C0A3581"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474" w:type="dxa"/>
            <w:gridSpan w:val="3"/>
            <w:shd w:val="clear" w:color="auto" w:fill="BDD6EE"/>
            <w:tcMar>
              <w:left w:w="28" w:type="dxa"/>
              <w:right w:w="28" w:type="dxa"/>
            </w:tcMar>
            <w:vAlign w:val="center"/>
            <w:hideMark/>
          </w:tcPr>
          <w:p w14:paraId="7EB33E8C"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186" w:type="dxa"/>
            <w:gridSpan w:val="2"/>
            <w:shd w:val="clear" w:color="auto" w:fill="BDD6EE"/>
            <w:tcMar>
              <w:left w:w="28" w:type="dxa"/>
              <w:right w:w="28" w:type="dxa"/>
            </w:tcMar>
            <w:vAlign w:val="center"/>
            <w:hideMark/>
          </w:tcPr>
          <w:p w14:paraId="3D7372E7"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5456" w:type="dxa"/>
            <w:vMerge w:val="restart"/>
            <w:shd w:val="clear" w:color="auto" w:fill="BDD6EE"/>
            <w:noWrap/>
            <w:tcMar>
              <w:left w:w="28" w:type="dxa"/>
              <w:right w:w="28" w:type="dxa"/>
            </w:tcMar>
            <w:vAlign w:val="center"/>
            <w:hideMark/>
          </w:tcPr>
          <w:p w14:paraId="110BCD14" w14:textId="177DEA28"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26D58C7B" w14:textId="77777777" w:rsidTr="008E475E">
        <w:trPr>
          <w:trHeight w:val="521"/>
          <w:tblHeader/>
        </w:trPr>
        <w:tc>
          <w:tcPr>
            <w:tcW w:w="1043" w:type="dxa"/>
            <w:gridSpan w:val="2"/>
            <w:vMerge/>
            <w:tcMar>
              <w:left w:w="28" w:type="dxa"/>
              <w:right w:w="28" w:type="dxa"/>
            </w:tcMar>
            <w:vAlign w:val="center"/>
          </w:tcPr>
          <w:p w14:paraId="0A90FC04" w14:textId="77777777" w:rsidR="00387C70" w:rsidRPr="003F23AC" w:rsidRDefault="00387C70" w:rsidP="003F23AC">
            <w:pPr>
              <w:spacing w:after="0" w:line="240" w:lineRule="auto"/>
              <w:jc w:val="center"/>
              <w:rPr>
                <w:rFonts w:ascii="Times New Roman" w:eastAsia="Times New Roman" w:hAnsi="Times New Roman" w:cs="Times New Roman"/>
                <w:b/>
                <w:noProof/>
                <w:sz w:val="16"/>
                <w:lang w:val="sk-SK"/>
              </w:rPr>
            </w:pPr>
          </w:p>
        </w:tc>
        <w:tc>
          <w:tcPr>
            <w:tcW w:w="1161" w:type="dxa"/>
            <w:vMerge/>
            <w:noWrap/>
            <w:tcMar>
              <w:left w:w="28" w:type="dxa"/>
              <w:right w:w="28" w:type="dxa"/>
            </w:tcMar>
            <w:vAlign w:val="center"/>
          </w:tcPr>
          <w:p w14:paraId="7720E5AA"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1034" w:type="dxa"/>
            <w:vMerge/>
            <w:noWrap/>
            <w:tcMar>
              <w:left w:w="28" w:type="dxa"/>
              <w:right w:w="28" w:type="dxa"/>
            </w:tcMar>
            <w:vAlign w:val="center"/>
          </w:tcPr>
          <w:p w14:paraId="44179E26"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1539" w:type="dxa"/>
            <w:vMerge/>
            <w:noWrap/>
            <w:tcMar>
              <w:left w:w="28" w:type="dxa"/>
              <w:right w:w="28" w:type="dxa"/>
            </w:tcMar>
            <w:vAlign w:val="center"/>
          </w:tcPr>
          <w:p w14:paraId="591AE727"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1356" w:type="dxa"/>
            <w:vMerge/>
            <w:noWrap/>
            <w:tcMar>
              <w:left w:w="28" w:type="dxa"/>
              <w:right w:w="28" w:type="dxa"/>
            </w:tcMar>
            <w:vAlign w:val="center"/>
          </w:tcPr>
          <w:p w14:paraId="7822AAB7"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09" w:type="dxa"/>
            <w:shd w:val="clear" w:color="auto" w:fill="BDD6EE"/>
            <w:noWrap/>
            <w:tcMar>
              <w:left w:w="28" w:type="dxa"/>
              <w:right w:w="28" w:type="dxa"/>
            </w:tcMar>
            <w:vAlign w:val="center"/>
          </w:tcPr>
          <w:p w14:paraId="64FC2FBB" w14:textId="4031209A" w:rsidR="00387C70" w:rsidRPr="003F23AC" w:rsidRDefault="000F5AA4" w:rsidP="003F23AC">
            <w:pPr>
              <w:pStyle w:val="P68B1DB1-Normal6"/>
              <w:spacing w:after="0" w:line="240" w:lineRule="auto"/>
              <w:jc w:val="center"/>
              <w:rPr>
                <w:rFonts w:eastAsia="Times New Roman" w:cs="Times New Roman"/>
                <w:noProof/>
                <w:sz w:val="16"/>
                <w:lang w:val="sk-SK"/>
              </w:rPr>
            </w:pPr>
            <w:r w:rsidRPr="003F23AC">
              <w:rPr>
                <w:rFonts w:cs="Times New Roman"/>
                <w:noProof/>
                <w:lang w:val="sk-SK"/>
              </w:rPr>
              <w:t>Merná jednotka</w:t>
            </w:r>
          </w:p>
        </w:tc>
        <w:tc>
          <w:tcPr>
            <w:tcW w:w="861" w:type="dxa"/>
            <w:shd w:val="clear" w:color="auto" w:fill="BDD6EE"/>
            <w:noWrap/>
            <w:tcMar>
              <w:left w:w="28" w:type="dxa"/>
              <w:right w:w="28" w:type="dxa"/>
            </w:tcMar>
            <w:vAlign w:val="center"/>
          </w:tcPr>
          <w:p w14:paraId="39BFFF83" w14:textId="0DABB6D7" w:rsidR="00387C70" w:rsidRPr="003F23AC" w:rsidRDefault="00680FF6" w:rsidP="003F23AC">
            <w:pPr>
              <w:pStyle w:val="P68B1DB1-Normal6"/>
              <w:spacing w:after="0" w:line="240" w:lineRule="auto"/>
              <w:jc w:val="center"/>
              <w:rPr>
                <w:rFonts w:eastAsia="Times New Roman" w:cs="Times New Roman"/>
                <w:noProof/>
                <w:sz w:val="16"/>
                <w:lang w:val="sk-SK"/>
              </w:rPr>
            </w:pPr>
            <w:r w:rsidRPr="003F23AC">
              <w:rPr>
                <w:rFonts w:cs="Times New Roman"/>
                <w:noProof/>
                <w:lang w:val="sk-SK"/>
              </w:rPr>
              <w:t>Východisková hodnota</w:t>
            </w:r>
          </w:p>
        </w:tc>
        <w:tc>
          <w:tcPr>
            <w:tcW w:w="704" w:type="dxa"/>
            <w:shd w:val="clear" w:color="auto" w:fill="BDD6EE"/>
            <w:noWrap/>
            <w:tcMar>
              <w:left w:w="28" w:type="dxa"/>
              <w:right w:w="28" w:type="dxa"/>
            </w:tcMar>
            <w:vAlign w:val="center"/>
          </w:tcPr>
          <w:p w14:paraId="15BA119E" w14:textId="7007F127" w:rsidR="00387C70" w:rsidRPr="003F23AC" w:rsidRDefault="00680FF6" w:rsidP="003F23AC">
            <w:pPr>
              <w:pStyle w:val="P68B1DB1-Normal6"/>
              <w:spacing w:after="0" w:line="240" w:lineRule="auto"/>
              <w:jc w:val="center"/>
              <w:rPr>
                <w:rFonts w:eastAsia="Times New Roman" w:cs="Times New Roman"/>
                <w:noProof/>
                <w:sz w:val="16"/>
                <w:lang w:val="sk-SK"/>
              </w:rPr>
            </w:pPr>
            <w:r w:rsidRPr="003F23AC">
              <w:rPr>
                <w:rFonts w:cs="Times New Roman"/>
                <w:noProof/>
                <w:lang w:val="sk-SK"/>
              </w:rPr>
              <w:t>Cieľová hodnota</w:t>
            </w:r>
          </w:p>
        </w:tc>
        <w:tc>
          <w:tcPr>
            <w:tcW w:w="780" w:type="dxa"/>
            <w:shd w:val="clear" w:color="auto" w:fill="BDD6EE"/>
            <w:noWrap/>
            <w:tcMar>
              <w:left w:w="28" w:type="dxa"/>
              <w:right w:w="28" w:type="dxa"/>
            </w:tcMar>
            <w:vAlign w:val="center"/>
          </w:tcPr>
          <w:p w14:paraId="1E42A9C0" w14:textId="6FFDF62B" w:rsidR="00387C70" w:rsidRPr="003F23AC" w:rsidRDefault="00680FF6" w:rsidP="003F23AC">
            <w:pPr>
              <w:pStyle w:val="P68B1DB1-Normal6"/>
              <w:spacing w:after="0" w:line="240" w:lineRule="auto"/>
              <w:jc w:val="center"/>
              <w:rPr>
                <w:rFonts w:eastAsia="Times New Roman" w:cs="Times New Roman"/>
                <w:noProof/>
                <w:sz w:val="16"/>
                <w:lang w:val="sk-SK"/>
              </w:rPr>
            </w:pPr>
            <w:r w:rsidRPr="003F23AC">
              <w:rPr>
                <w:rFonts w:cs="Times New Roman"/>
                <w:noProof/>
                <w:lang w:val="sk-SK"/>
              </w:rPr>
              <w:t>Štvrťrok</w:t>
            </w:r>
          </w:p>
        </w:tc>
        <w:tc>
          <w:tcPr>
            <w:tcW w:w="406" w:type="dxa"/>
            <w:shd w:val="clear" w:color="auto" w:fill="BDD6EE"/>
            <w:noWrap/>
            <w:tcMar>
              <w:left w:w="28" w:type="dxa"/>
              <w:right w:w="28" w:type="dxa"/>
            </w:tcMar>
            <w:vAlign w:val="center"/>
          </w:tcPr>
          <w:p w14:paraId="7E76EBEF" w14:textId="6888EA5F" w:rsidR="00387C70" w:rsidRPr="003F23AC" w:rsidRDefault="000F5AA4" w:rsidP="003F23AC">
            <w:pPr>
              <w:pStyle w:val="P68B1DB1-Normal6"/>
              <w:spacing w:after="0" w:line="240" w:lineRule="auto"/>
              <w:jc w:val="center"/>
              <w:rPr>
                <w:rFonts w:eastAsia="Times New Roman" w:cs="Times New Roman"/>
                <w:noProof/>
                <w:sz w:val="16"/>
                <w:lang w:val="sk-SK"/>
              </w:rPr>
            </w:pPr>
            <w:r w:rsidRPr="003F23AC">
              <w:rPr>
                <w:rFonts w:cs="Times New Roman"/>
                <w:noProof/>
                <w:lang w:val="sk-SK"/>
              </w:rPr>
              <w:t>Rok</w:t>
            </w:r>
          </w:p>
        </w:tc>
        <w:tc>
          <w:tcPr>
            <w:tcW w:w="5456" w:type="dxa"/>
            <w:vMerge/>
            <w:noWrap/>
            <w:tcMar>
              <w:left w:w="28" w:type="dxa"/>
              <w:right w:w="28" w:type="dxa"/>
            </w:tcMar>
            <w:vAlign w:val="center"/>
          </w:tcPr>
          <w:p w14:paraId="33463114" w14:textId="77777777" w:rsidR="00387C70" w:rsidRPr="003F23AC" w:rsidRDefault="00387C70" w:rsidP="003F23AC">
            <w:pPr>
              <w:spacing w:after="0" w:line="240" w:lineRule="auto"/>
              <w:jc w:val="both"/>
              <w:rPr>
                <w:rFonts w:ascii="Times New Roman" w:eastAsia="Times New Roman" w:hAnsi="Times New Roman" w:cs="Times New Roman"/>
                <w:noProof/>
                <w:sz w:val="16"/>
                <w:lang w:val="sk-SK"/>
              </w:rPr>
            </w:pPr>
          </w:p>
        </w:tc>
      </w:tr>
      <w:tr w:rsidR="00387C70" w:rsidRPr="003F23AC" w14:paraId="7694BA31" w14:textId="77777777" w:rsidTr="008E475E">
        <w:trPr>
          <w:trHeight w:val="850"/>
        </w:trPr>
        <w:tc>
          <w:tcPr>
            <w:tcW w:w="1043" w:type="dxa"/>
            <w:gridSpan w:val="2"/>
            <w:shd w:val="clear" w:color="auto" w:fill="C4EFCE"/>
            <w:tcMar>
              <w:left w:w="28" w:type="dxa"/>
              <w:right w:w="28" w:type="dxa"/>
            </w:tcMar>
            <w:vAlign w:val="center"/>
            <w:hideMark/>
          </w:tcPr>
          <w:p w14:paraId="3E3FBA2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17.1</w:t>
            </w:r>
          </w:p>
        </w:tc>
        <w:tc>
          <w:tcPr>
            <w:tcW w:w="1161" w:type="dxa"/>
            <w:shd w:val="clear" w:color="auto" w:fill="C4EFCE"/>
            <w:noWrap/>
            <w:tcMar>
              <w:left w:w="28" w:type="dxa"/>
              <w:right w:w="28" w:type="dxa"/>
            </w:tcMar>
            <w:vAlign w:val="center"/>
            <w:hideMark/>
          </w:tcPr>
          <w:p w14:paraId="2DD63E9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TD-C17-r32</w:t>
            </w:r>
          </w:p>
        </w:tc>
        <w:tc>
          <w:tcPr>
            <w:tcW w:w="1034" w:type="dxa"/>
            <w:shd w:val="clear" w:color="auto" w:fill="C4EFCE"/>
            <w:noWrap/>
            <w:tcMar>
              <w:left w:w="28" w:type="dxa"/>
              <w:right w:w="28" w:type="dxa"/>
            </w:tcMar>
            <w:vAlign w:val="center"/>
            <w:hideMark/>
          </w:tcPr>
          <w:p w14:paraId="0F2B21F0" w14:textId="0F36AED4"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39" w:type="dxa"/>
            <w:shd w:val="clear" w:color="auto" w:fill="C4EFCE"/>
            <w:noWrap/>
            <w:tcMar>
              <w:left w:w="28" w:type="dxa"/>
              <w:right w:w="28" w:type="dxa"/>
            </w:tcMar>
            <w:vAlign w:val="center"/>
            <w:hideMark/>
          </w:tcPr>
          <w:p w14:paraId="04C19ED3" w14:textId="38E7941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Dokončiť návrh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vykonávanie nových modelov verejného obstarávania pre vnútroštátny centrálny systém verejného obstarávania, ako sa predpokladá</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strategickom pláne subjektu spoločných služieb verejnej správy na roky 2020 – 2023</w:t>
            </w:r>
          </w:p>
        </w:tc>
        <w:tc>
          <w:tcPr>
            <w:tcW w:w="1356" w:type="dxa"/>
            <w:shd w:val="clear" w:color="auto" w:fill="C4EFCE"/>
            <w:noWrap/>
            <w:tcMar>
              <w:left w:w="28" w:type="dxa"/>
              <w:right w:w="28" w:type="dxa"/>
            </w:tcMar>
            <w:vAlign w:val="center"/>
            <w:hideMark/>
          </w:tcPr>
          <w:p w14:paraId="12F6C5B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09" w:type="dxa"/>
            <w:shd w:val="clear" w:color="auto" w:fill="C4EFCE"/>
            <w:noWrap/>
            <w:tcMar>
              <w:left w:w="28" w:type="dxa"/>
              <w:right w:w="28" w:type="dxa"/>
            </w:tcMar>
            <w:vAlign w:val="center"/>
            <w:hideMark/>
          </w:tcPr>
          <w:p w14:paraId="200AE44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61" w:type="dxa"/>
            <w:shd w:val="clear" w:color="auto" w:fill="C4EFCE"/>
            <w:noWrap/>
            <w:tcMar>
              <w:left w:w="28" w:type="dxa"/>
              <w:right w:w="28" w:type="dxa"/>
            </w:tcMar>
            <w:vAlign w:val="center"/>
            <w:hideMark/>
          </w:tcPr>
          <w:p w14:paraId="5CE359F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4" w:type="dxa"/>
            <w:shd w:val="clear" w:color="auto" w:fill="C4EFCE"/>
            <w:noWrap/>
            <w:tcMar>
              <w:left w:w="28" w:type="dxa"/>
              <w:right w:w="28" w:type="dxa"/>
            </w:tcMar>
            <w:vAlign w:val="center"/>
            <w:hideMark/>
          </w:tcPr>
          <w:p w14:paraId="190050F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w:t>
            </w:r>
          </w:p>
        </w:tc>
        <w:tc>
          <w:tcPr>
            <w:tcW w:w="780" w:type="dxa"/>
            <w:shd w:val="clear" w:color="auto" w:fill="C4EFCE"/>
            <w:noWrap/>
            <w:tcMar>
              <w:left w:w="28" w:type="dxa"/>
              <w:right w:w="28" w:type="dxa"/>
            </w:tcMar>
            <w:vAlign w:val="center"/>
            <w:hideMark/>
          </w:tcPr>
          <w:p w14:paraId="3C2E2E6E" w14:textId="68F3D5A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52B7F59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5456" w:type="dxa"/>
            <w:shd w:val="clear" w:color="auto" w:fill="C4EFCE"/>
            <w:noWrap/>
            <w:tcMar>
              <w:left w:w="28" w:type="dxa"/>
              <w:right w:w="28" w:type="dxa"/>
            </w:tcMar>
            <w:vAlign w:val="center"/>
            <w:hideMark/>
          </w:tcPr>
          <w:p w14:paraId="7656AF6C" w14:textId="5B754BB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revidovaných rámcových dohôd</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modelov uzatvárania zmlúv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I) podporovať administratívne zjednodušenie; II) posilniť monitorovacie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kontrolné mechanizmy; III) podporovať nákladovú efektívnosť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racionalizáciu; IV) rozšíriť zoznam tovarov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služieb, ktoré podliehajú centralizovanému obstarávaniu;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 podporovať spoluprácu medzi internými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externými zainteresovanými stranami.</w:t>
            </w:r>
          </w:p>
        </w:tc>
      </w:tr>
      <w:tr w:rsidR="00387C70" w:rsidRPr="003F23AC" w14:paraId="5D6E4B31" w14:textId="77777777" w:rsidTr="008E475E">
        <w:trPr>
          <w:trHeight w:val="640"/>
        </w:trPr>
        <w:tc>
          <w:tcPr>
            <w:tcW w:w="1043" w:type="dxa"/>
            <w:gridSpan w:val="2"/>
            <w:shd w:val="clear" w:color="auto" w:fill="C4EFCE"/>
            <w:tcMar>
              <w:left w:w="28" w:type="dxa"/>
              <w:right w:w="28" w:type="dxa"/>
            </w:tcMar>
            <w:vAlign w:val="center"/>
            <w:hideMark/>
          </w:tcPr>
          <w:p w14:paraId="42B7E2A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17.2</w:t>
            </w:r>
          </w:p>
        </w:tc>
        <w:tc>
          <w:tcPr>
            <w:tcW w:w="1161" w:type="dxa"/>
            <w:shd w:val="clear" w:color="auto" w:fill="C4EFCE"/>
            <w:noWrap/>
            <w:tcMar>
              <w:left w:w="28" w:type="dxa"/>
              <w:right w:w="28" w:type="dxa"/>
            </w:tcMar>
            <w:vAlign w:val="center"/>
            <w:hideMark/>
          </w:tcPr>
          <w:p w14:paraId="237F46C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TD-C17-r32</w:t>
            </w:r>
          </w:p>
        </w:tc>
        <w:tc>
          <w:tcPr>
            <w:tcW w:w="1034" w:type="dxa"/>
            <w:shd w:val="clear" w:color="auto" w:fill="C4EFCE"/>
            <w:noWrap/>
            <w:tcMar>
              <w:left w:w="28" w:type="dxa"/>
              <w:right w:w="28" w:type="dxa"/>
            </w:tcMar>
            <w:vAlign w:val="center"/>
            <w:hideMark/>
          </w:tcPr>
          <w:p w14:paraId="64CB5B3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hideMark/>
          </w:tcPr>
          <w:p w14:paraId="68784BA3" w14:textId="4B6F9D2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právnych predpisov,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ktorých vychádza štátny účtovný subjekt</w:t>
            </w:r>
          </w:p>
        </w:tc>
        <w:tc>
          <w:tcPr>
            <w:tcW w:w="1356" w:type="dxa"/>
            <w:shd w:val="clear" w:color="auto" w:fill="C4EFCE"/>
            <w:noWrap/>
            <w:tcMar>
              <w:left w:w="28" w:type="dxa"/>
              <w:right w:w="28" w:type="dxa"/>
            </w:tcMar>
            <w:vAlign w:val="center"/>
            <w:hideMark/>
          </w:tcPr>
          <w:p w14:paraId="69FA9E8E" w14:textId="7C8FA4B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právnych predpisov,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ktorých vychádza štátny účtovný subjekt</w:t>
            </w:r>
          </w:p>
        </w:tc>
        <w:tc>
          <w:tcPr>
            <w:tcW w:w="909" w:type="dxa"/>
            <w:shd w:val="clear" w:color="auto" w:fill="C4EFCE"/>
            <w:noWrap/>
            <w:tcMar>
              <w:left w:w="28" w:type="dxa"/>
              <w:right w:w="28" w:type="dxa"/>
            </w:tcMar>
            <w:vAlign w:val="center"/>
            <w:hideMark/>
          </w:tcPr>
          <w:p w14:paraId="4EA18E7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61" w:type="dxa"/>
            <w:shd w:val="clear" w:color="auto" w:fill="C4EFCE"/>
            <w:noWrap/>
            <w:tcMar>
              <w:left w:w="28" w:type="dxa"/>
              <w:right w:w="28" w:type="dxa"/>
            </w:tcMar>
            <w:vAlign w:val="center"/>
            <w:hideMark/>
          </w:tcPr>
          <w:p w14:paraId="26E3661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4" w:type="dxa"/>
            <w:shd w:val="clear" w:color="auto" w:fill="C4EFCE"/>
            <w:noWrap/>
            <w:tcMar>
              <w:left w:w="28" w:type="dxa"/>
              <w:right w:w="28" w:type="dxa"/>
            </w:tcMar>
            <w:vAlign w:val="center"/>
            <w:hideMark/>
          </w:tcPr>
          <w:p w14:paraId="7CD13C2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0" w:type="dxa"/>
            <w:shd w:val="clear" w:color="auto" w:fill="C4EFCE"/>
            <w:noWrap/>
            <w:tcMar>
              <w:left w:w="28" w:type="dxa"/>
              <w:right w:w="28" w:type="dxa"/>
            </w:tcMar>
            <w:vAlign w:val="center"/>
            <w:hideMark/>
          </w:tcPr>
          <w:p w14:paraId="01FE7BCB" w14:textId="66DCDA3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1ADFCE8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5456" w:type="dxa"/>
            <w:shd w:val="clear" w:color="auto" w:fill="C4EFCE"/>
            <w:noWrap/>
            <w:tcMar>
              <w:left w:w="28" w:type="dxa"/>
              <w:right w:w="28" w:type="dxa"/>
            </w:tcMar>
            <w:vAlign w:val="center"/>
            <w:hideMark/>
          </w:tcPr>
          <w:p w14:paraId="1702B1DE" w14:textId="7912F5F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sekundárnych právnych predpisov (a/alebo administratívnych usmernení) na reguláciu toho, ktoré konkrétne príjmové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výdavkové položky sa zahrnú do rozpočtu štátneho účtovného subjektu,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plnom 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článkami 49</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55 zákona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rozpočtovom rámci na rok 2015.</w:t>
            </w:r>
          </w:p>
        </w:tc>
      </w:tr>
      <w:tr w:rsidR="00387C70" w:rsidRPr="003F23AC" w14:paraId="2670F13A" w14:textId="77777777" w:rsidTr="008E475E">
        <w:trPr>
          <w:trHeight w:val="640"/>
        </w:trPr>
        <w:tc>
          <w:tcPr>
            <w:tcW w:w="1043" w:type="dxa"/>
            <w:gridSpan w:val="2"/>
            <w:shd w:val="clear" w:color="auto" w:fill="C4EFCE"/>
            <w:tcMar>
              <w:left w:w="28" w:type="dxa"/>
              <w:right w:w="28" w:type="dxa"/>
            </w:tcMar>
            <w:vAlign w:val="center"/>
            <w:hideMark/>
          </w:tcPr>
          <w:p w14:paraId="6B4783D2"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17.3</w:t>
            </w:r>
          </w:p>
        </w:tc>
        <w:tc>
          <w:tcPr>
            <w:tcW w:w="1161" w:type="dxa"/>
            <w:shd w:val="clear" w:color="auto" w:fill="C4EFCE"/>
            <w:noWrap/>
            <w:tcMar>
              <w:left w:w="28" w:type="dxa"/>
              <w:right w:w="28" w:type="dxa"/>
            </w:tcMar>
            <w:vAlign w:val="center"/>
            <w:hideMark/>
          </w:tcPr>
          <w:p w14:paraId="3198F42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TD-C17-r32</w:t>
            </w:r>
          </w:p>
        </w:tc>
        <w:tc>
          <w:tcPr>
            <w:tcW w:w="1034" w:type="dxa"/>
            <w:shd w:val="clear" w:color="auto" w:fill="C4EFCE"/>
            <w:noWrap/>
            <w:tcMar>
              <w:left w:w="28" w:type="dxa"/>
              <w:right w:w="28" w:type="dxa"/>
            </w:tcMar>
            <w:vAlign w:val="center"/>
            <w:hideMark/>
          </w:tcPr>
          <w:p w14:paraId="53DAF5C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hideMark/>
          </w:tcPr>
          <w:p w14:paraId="12148275" w14:textId="531128A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schválenie modelu monitorovania rozpočtového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finančného plnenia verejnej správy</w:t>
            </w:r>
          </w:p>
        </w:tc>
        <w:tc>
          <w:tcPr>
            <w:tcW w:w="1356" w:type="dxa"/>
            <w:shd w:val="clear" w:color="auto" w:fill="C4EFCE"/>
            <w:noWrap/>
            <w:tcMar>
              <w:left w:w="28" w:type="dxa"/>
              <w:right w:w="28" w:type="dxa"/>
            </w:tcMar>
            <w:vAlign w:val="center"/>
            <w:hideMark/>
          </w:tcPr>
          <w:p w14:paraId="37DD72D5" w14:textId="3BB5F63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schválenie modelu monitorovania rozpočtového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finančného plnenia verejnej správy</w:t>
            </w:r>
          </w:p>
        </w:tc>
        <w:tc>
          <w:tcPr>
            <w:tcW w:w="909" w:type="dxa"/>
            <w:shd w:val="clear" w:color="auto" w:fill="C4EFCE"/>
            <w:noWrap/>
            <w:tcMar>
              <w:left w:w="28" w:type="dxa"/>
              <w:right w:w="28" w:type="dxa"/>
            </w:tcMar>
            <w:vAlign w:val="center"/>
            <w:hideMark/>
          </w:tcPr>
          <w:p w14:paraId="458B354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61" w:type="dxa"/>
            <w:shd w:val="clear" w:color="auto" w:fill="C4EFCE"/>
            <w:noWrap/>
            <w:tcMar>
              <w:left w:w="28" w:type="dxa"/>
              <w:right w:w="28" w:type="dxa"/>
            </w:tcMar>
            <w:vAlign w:val="center"/>
            <w:hideMark/>
          </w:tcPr>
          <w:p w14:paraId="08881E8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4" w:type="dxa"/>
            <w:shd w:val="clear" w:color="auto" w:fill="C4EFCE"/>
            <w:noWrap/>
            <w:tcMar>
              <w:left w:w="28" w:type="dxa"/>
              <w:right w:w="28" w:type="dxa"/>
            </w:tcMar>
            <w:vAlign w:val="center"/>
            <w:hideMark/>
          </w:tcPr>
          <w:p w14:paraId="690878F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0" w:type="dxa"/>
            <w:shd w:val="clear" w:color="auto" w:fill="C4EFCE"/>
            <w:noWrap/>
            <w:tcMar>
              <w:left w:w="28" w:type="dxa"/>
              <w:right w:w="28" w:type="dxa"/>
            </w:tcMar>
            <w:vAlign w:val="center"/>
            <w:hideMark/>
          </w:tcPr>
          <w:p w14:paraId="0516481F" w14:textId="021E651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42D9884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5456" w:type="dxa"/>
            <w:shd w:val="clear" w:color="auto" w:fill="C4EFCE"/>
            <w:noWrap/>
            <w:tcMar>
              <w:left w:w="28" w:type="dxa"/>
              <w:right w:w="28" w:type="dxa"/>
            </w:tcMar>
            <w:vAlign w:val="center"/>
            <w:hideMark/>
          </w:tcPr>
          <w:p w14:paraId="2E4EF746" w14:textId="51804AF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Dokončenie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schválenie modelu kontroly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monitorovania rozpočtového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finančného plnenia verejnej správy ministerstvom financií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plnom 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ustanoveniami rámcového zákona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rozpočte na rok 2015</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so zásadami účtovného štandardu verejnej správy založenými na časovom rozlíšení. </w:t>
            </w:r>
          </w:p>
        </w:tc>
      </w:tr>
      <w:tr w:rsidR="00387C70" w:rsidRPr="003F23AC" w14:paraId="5A197FDC" w14:textId="77777777" w:rsidTr="008E475E">
        <w:trPr>
          <w:trHeight w:val="640"/>
        </w:trPr>
        <w:tc>
          <w:tcPr>
            <w:tcW w:w="1043" w:type="dxa"/>
            <w:gridSpan w:val="2"/>
            <w:shd w:val="clear" w:color="auto" w:fill="C4EFCE"/>
            <w:tcMar>
              <w:left w:w="28" w:type="dxa"/>
              <w:right w:w="28" w:type="dxa"/>
            </w:tcMar>
            <w:vAlign w:val="center"/>
            <w:hideMark/>
          </w:tcPr>
          <w:p w14:paraId="55E30BC5"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17.4</w:t>
            </w:r>
          </w:p>
        </w:tc>
        <w:tc>
          <w:tcPr>
            <w:tcW w:w="1161" w:type="dxa"/>
            <w:shd w:val="clear" w:color="auto" w:fill="C4EFCE"/>
            <w:noWrap/>
            <w:tcMar>
              <w:left w:w="28" w:type="dxa"/>
              <w:right w:w="28" w:type="dxa"/>
            </w:tcMar>
            <w:vAlign w:val="center"/>
            <w:hideMark/>
          </w:tcPr>
          <w:p w14:paraId="02476C4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TD-C17-r32</w:t>
            </w:r>
          </w:p>
        </w:tc>
        <w:tc>
          <w:tcPr>
            <w:tcW w:w="1034" w:type="dxa"/>
            <w:shd w:val="clear" w:color="auto" w:fill="C4EFCE"/>
            <w:noWrap/>
            <w:tcMar>
              <w:left w:w="28" w:type="dxa"/>
              <w:right w:w="28" w:type="dxa"/>
            </w:tcMar>
            <w:vAlign w:val="center"/>
            <w:hideMark/>
          </w:tcPr>
          <w:p w14:paraId="0911558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hideMark/>
          </w:tcPr>
          <w:p w14:paraId="790AFA4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modelu výpočtu nákladov na programové rozpočtovanie</w:t>
            </w:r>
          </w:p>
        </w:tc>
        <w:tc>
          <w:tcPr>
            <w:tcW w:w="1356" w:type="dxa"/>
            <w:shd w:val="clear" w:color="auto" w:fill="C4EFCE"/>
            <w:noWrap/>
            <w:tcMar>
              <w:left w:w="28" w:type="dxa"/>
              <w:right w:w="28" w:type="dxa"/>
            </w:tcMar>
            <w:vAlign w:val="center"/>
            <w:hideMark/>
          </w:tcPr>
          <w:p w14:paraId="3531602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právnych predpisov týkajúcich sa modelu výpočtu nákladov na programové rozpočtovanie</w:t>
            </w:r>
          </w:p>
        </w:tc>
        <w:tc>
          <w:tcPr>
            <w:tcW w:w="909" w:type="dxa"/>
            <w:shd w:val="clear" w:color="auto" w:fill="C4EFCE"/>
            <w:noWrap/>
            <w:tcMar>
              <w:left w:w="28" w:type="dxa"/>
              <w:right w:w="28" w:type="dxa"/>
            </w:tcMar>
            <w:vAlign w:val="center"/>
            <w:hideMark/>
          </w:tcPr>
          <w:p w14:paraId="4241F94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61" w:type="dxa"/>
            <w:shd w:val="clear" w:color="auto" w:fill="C4EFCE"/>
            <w:noWrap/>
            <w:tcMar>
              <w:left w:w="28" w:type="dxa"/>
              <w:right w:w="28" w:type="dxa"/>
            </w:tcMar>
            <w:vAlign w:val="center"/>
            <w:hideMark/>
          </w:tcPr>
          <w:p w14:paraId="7805EFF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4" w:type="dxa"/>
            <w:shd w:val="clear" w:color="auto" w:fill="C4EFCE"/>
            <w:noWrap/>
            <w:tcMar>
              <w:left w:w="28" w:type="dxa"/>
              <w:right w:w="28" w:type="dxa"/>
            </w:tcMar>
            <w:vAlign w:val="center"/>
            <w:hideMark/>
          </w:tcPr>
          <w:p w14:paraId="16D3AD4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0" w:type="dxa"/>
            <w:shd w:val="clear" w:color="auto" w:fill="C4EFCE"/>
            <w:noWrap/>
            <w:tcMar>
              <w:left w:w="28" w:type="dxa"/>
              <w:right w:w="28" w:type="dxa"/>
            </w:tcMar>
            <w:vAlign w:val="center"/>
            <w:hideMark/>
          </w:tcPr>
          <w:p w14:paraId="51AB287A" w14:textId="53C415A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2E3CA63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5456" w:type="dxa"/>
            <w:shd w:val="clear" w:color="auto" w:fill="C4EFCE"/>
            <w:noWrap/>
            <w:tcMar>
              <w:left w:w="28" w:type="dxa"/>
              <w:right w:w="28" w:type="dxa"/>
            </w:tcMar>
            <w:vAlign w:val="center"/>
            <w:hideMark/>
          </w:tcPr>
          <w:p w14:paraId="67C05F6B" w14:textId="53E4D47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Prijatie sekundárnych právnych predpisov (a/alebo administratívnych usmernení)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stanoviť zásady výpočtu nákladov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monitorovania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ukazovateľmi založenými na výkonnosti vymedzenými pre každý rozpočtový program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verejnú politiku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nadobudnúť účinnosť do 1. štvrťroka 2027.</w:t>
            </w:r>
          </w:p>
        </w:tc>
      </w:tr>
      <w:tr w:rsidR="00387C70" w:rsidRPr="003F23AC" w14:paraId="38313B89" w14:textId="77777777" w:rsidTr="008E475E">
        <w:trPr>
          <w:trHeight w:val="420"/>
        </w:trPr>
        <w:tc>
          <w:tcPr>
            <w:tcW w:w="1043" w:type="dxa"/>
            <w:gridSpan w:val="2"/>
            <w:shd w:val="clear" w:color="auto" w:fill="C4EFCE"/>
            <w:tcMar>
              <w:left w:w="28" w:type="dxa"/>
              <w:right w:w="28" w:type="dxa"/>
            </w:tcMar>
            <w:vAlign w:val="center"/>
            <w:hideMark/>
          </w:tcPr>
          <w:p w14:paraId="1F4AFBA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17.5</w:t>
            </w:r>
          </w:p>
        </w:tc>
        <w:tc>
          <w:tcPr>
            <w:tcW w:w="1161" w:type="dxa"/>
            <w:shd w:val="clear" w:color="auto" w:fill="C4EFCE"/>
            <w:noWrap/>
            <w:tcMar>
              <w:left w:w="28" w:type="dxa"/>
              <w:right w:w="28" w:type="dxa"/>
            </w:tcMar>
            <w:vAlign w:val="center"/>
            <w:hideMark/>
          </w:tcPr>
          <w:p w14:paraId="1AA5229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TD-C17-r32</w:t>
            </w:r>
          </w:p>
        </w:tc>
        <w:tc>
          <w:tcPr>
            <w:tcW w:w="1034" w:type="dxa"/>
            <w:shd w:val="clear" w:color="auto" w:fill="C4EFCE"/>
            <w:noWrap/>
            <w:tcMar>
              <w:left w:w="28" w:type="dxa"/>
              <w:right w:w="28" w:type="dxa"/>
            </w:tcMar>
            <w:vAlign w:val="center"/>
            <w:hideMark/>
          </w:tcPr>
          <w:p w14:paraId="4C2DBEE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hideMark/>
          </w:tcPr>
          <w:p w14:paraId="12022E1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Zavedenie mechanizmov na začlenenie preskúmania výdavkov do riadneho rozpočtového procesu vrátane následného hodnotenia úspor efektívnosti</w:t>
            </w:r>
          </w:p>
        </w:tc>
        <w:tc>
          <w:tcPr>
            <w:tcW w:w="1356" w:type="dxa"/>
            <w:shd w:val="clear" w:color="auto" w:fill="C4EFCE"/>
            <w:noWrap/>
            <w:tcMar>
              <w:left w:w="28" w:type="dxa"/>
              <w:right w:w="28" w:type="dxa"/>
            </w:tcMar>
            <w:vAlign w:val="center"/>
            <w:hideMark/>
          </w:tcPr>
          <w:p w14:paraId="78ADFCD7" w14:textId="1162F02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začlenení preskúmaní výdavkov do riadneho rozpočtového procesu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ich hodnotenia ex post</w:t>
            </w:r>
          </w:p>
        </w:tc>
        <w:tc>
          <w:tcPr>
            <w:tcW w:w="909" w:type="dxa"/>
            <w:shd w:val="clear" w:color="auto" w:fill="C4EFCE"/>
            <w:noWrap/>
            <w:tcMar>
              <w:left w:w="28" w:type="dxa"/>
              <w:right w:w="28" w:type="dxa"/>
            </w:tcMar>
            <w:vAlign w:val="center"/>
            <w:hideMark/>
          </w:tcPr>
          <w:p w14:paraId="45C9CCED" w14:textId="5C00014C"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61" w:type="dxa"/>
            <w:shd w:val="clear" w:color="auto" w:fill="C4EFCE"/>
            <w:noWrap/>
            <w:tcMar>
              <w:left w:w="28" w:type="dxa"/>
              <w:right w:w="28" w:type="dxa"/>
            </w:tcMar>
            <w:vAlign w:val="center"/>
            <w:hideMark/>
          </w:tcPr>
          <w:p w14:paraId="69C76DA5" w14:textId="073E9F9F"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4" w:type="dxa"/>
            <w:shd w:val="clear" w:color="auto" w:fill="C4EFCE"/>
            <w:noWrap/>
            <w:tcMar>
              <w:left w:w="28" w:type="dxa"/>
              <w:right w:w="28" w:type="dxa"/>
            </w:tcMar>
            <w:vAlign w:val="center"/>
            <w:hideMark/>
          </w:tcPr>
          <w:p w14:paraId="22C65312" w14:textId="087E5688"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80" w:type="dxa"/>
            <w:shd w:val="clear" w:color="auto" w:fill="C4EFCE"/>
            <w:noWrap/>
            <w:tcMar>
              <w:left w:w="28" w:type="dxa"/>
              <w:right w:w="28" w:type="dxa"/>
            </w:tcMar>
            <w:vAlign w:val="center"/>
            <w:hideMark/>
          </w:tcPr>
          <w:p w14:paraId="2D6DA43E" w14:textId="5836ED06"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6242BC0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5456" w:type="dxa"/>
            <w:shd w:val="clear" w:color="auto" w:fill="C4EFCE"/>
            <w:noWrap/>
            <w:tcMar>
              <w:left w:w="28" w:type="dxa"/>
              <w:right w:w="28" w:type="dxa"/>
            </w:tcMar>
            <w:vAlign w:val="center"/>
            <w:hideMark/>
          </w:tcPr>
          <w:p w14:paraId="7ECF713B" w14:textId="67D8B02D"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Na preskúmanie výdavkov sa vypracuje štrukturálny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inštitucionálny rámec</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plne ich začleniť do ročného rozpočtového procesu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strednodobého rozpočtového rámca Portugalska</w:t>
            </w:r>
            <w:r w:rsidR="00A75B3C" w:rsidRPr="003F23AC">
              <w:rPr>
                <w:rFonts w:ascii="Times New Roman" w:hAnsi="Times New Roman" w:cs="Times New Roman"/>
                <w:noProof/>
                <w:lang w:val="sk-SK"/>
              </w:rPr>
              <w:t>.</w:t>
            </w:r>
          </w:p>
          <w:p w14:paraId="0D6B1F45" w14:textId="346522D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Tento proces zahŕňa diagnostiku, navrhovanie riešení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vymedzenie modelu, ktorý umožňuje zvýšenie efektívnosti pri poskytovaní verejných služieb, podporu rozšírenia preskúmania výdavkov na ďalšie sektory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verejnej správy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uvoľnenie zdrojov na digitálnu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zelenú transformáciu prostredníctvom zvýšenia efektívnosti.</w:t>
            </w:r>
          </w:p>
          <w:p w14:paraId="3534731F" w14:textId="331F18A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Okrem začlenenia preskúmaní výdavkov do ročného rozpočtového postupu podliehajú účinnému ročnému následnému hodnoteniu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zistiť dosiahnuté zvýšenie efektívnosti. Tento postup môže zahŕňať väčšie využívanie spoločných služieb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centralizované verejné obstarávanie založené na využívaní technologických platforiem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spoločných zdrojov.</w:t>
            </w:r>
          </w:p>
        </w:tc>
      </w:tr>
      <w:tr w:rsidR="00387C70" w:rsidRPr="003F23AC" w14:paraId="621F6AC1" w14:textId="77777777" w:rsidTr="008E475E">
        <w:trPr>
          <w:trHeight w:val="640"/>
        </w:trPr>
        <w:tc>
          <w:tcPr>
            <w:tcW w:w="1043" w:type="dxa"/>
            <w:gridSpan w:val="2"/>
            <w:shd w:val="clear" w:color="auto" w:fill="C4EFCE"/>
            <w:tcMar>
              <w:left w:w="28" w:type="dxa"/>
              <w:right w:w="28" w:type="dxa"/>
            </w:tcMar>
            <w:vAlign w:val="center"/>
            <w:hideMark/>
          </w:tcPr>
          <w:p w14:paraId="47662CD7"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17.6</w:t>
            </w:r>
          </w:p>
        </w:tc>
        <w:tc>
          <w:tcPr>
            <w:tcW w:w="1161" w:type="dxa"/>
            <w:shd w:val="clear" w:color="auto" w:fill="C4EFCE"/>
            <w:noWrap/>
            <w:tcMar>
              <w:left w:w="28" w:type="dxa"/>
              <w:right w:w="28" w:type="dxa"/>
            </w:tcMar>
            <w:vAlign w:val="center"/>
            <w:hideMark/>
          </w:tcPr>
          <w:p w14:paraId="35D3078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TD-C17-r32</w:t>
            </w:r>
          </w:p>
        </w:tc>
        <w:tc>
          <w:tcPr>
            <w:tcW w:w="1034" w:type="dxa"/>
            <w:shd w:val="clear" w:color="auto" w:fill="C4EFCE"/>
            <w:noWrap/>
            <w:tcMar>
              <w:left w:w="28" w:type="dxa"/>
              <w:right w:w="28" w:type="dxa"/>
            </w:tcMar>
            <w:vAlign w:val="center"/>
            <w:hideMark/>
          </w:tcPr>
          <w:p w14:paraId="7BD399B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hideMark/>
          </w:tcPr>
          <w:p w14:paraId="7FBC9748" w14:textId="06A9674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vzoru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výkone správy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nového systému stimulov/sankcií pre riadenie štátom vlastnených podnikov</w:t>
            </w:r>
          </w:p>
        </w:tc>
        <w:tc>
          <w:tcPr>
            <w:tcW w:w="1356" w:type="dxa"/>
            <w:shd w:val="clear" w:color="auto" w:fill="C4EFCE"/>
            <w:noWrap/>
            <w:tcMar>
              <w:left w:w="28" w:type="dxa"/>
              <w:right w:w="28" w:type="dxa"/>
            </w:tcMar>
            <w:vAlign w:val="center"/>
            <w:hideMark/>
          </w:tcPr>
          <w:p w14:paraId="01049FF8" w14:textId="75DF59D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vzoru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výkone správy</w:t>
            </w:r>
          </w:p>
        </w:tc>
        <w:tc>
          <w:tcPr>
            <w:tcW w:w="909" w:type="dxa"/>
            <w:shd w:val="clear" w:color="auto" w:fill="C4EFCE"/>
            <w:noWrap/>
            <w:tcMar>
              <w:left w:w="28" w:type="dxa"/>
              <w:right w:w="28" w:type="dxa"/>
            </w:tcMar>
            <w:vAlign w:val="center"/>
            <w:hideMark/>
          </w:tcPr>
          <w:p w14:paraId="2979957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61" w:type="dxa"/>
            <w:shd w:val="clear" w:color="auto" w:fill="C4EFCE"/>
            <w:noWrap/>
            <w:tcMar>
              <w:left w:w="28" w:type="dxa"/>
              <w:right w:w="28" w:type="dxa"/>
            </w:tcMar>
            <w:vAlign w:val="center"/>
            <w:hideMark/>
          </w:tcPr>
          <w:p w14:paraId="386865D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4" w:type="dxa"/>
            <w:shd w:val="clear" w:color="auto" w:fill="C4EFCE"/>
            <w:noWrap/>
            <w:tcMar>
              <w:left w:w="28" w:type="dxa"/>
              <w:right w:w="28" w:type="dxa"/>
            </w:tcMar>
            <w:vAlign w:val="center"/>
            <w:hideMark/>
          </w:tcPr>
          <w:p w14:paraId="18183D3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0" w:type="dxa"/>
            <w:shd w:val="clear" w:color="auto" w:fill="C4EFCE"/>
            <w:noWrap/>
            <w:tcMar>
              <w:left w:w="28" w:type="dxa"/>
              <w:right w:w="28" w:type="dxa"/>
            </w:tcMar>
            <w:vAlign w:val="center"/>
            <w:hideMark/>
          </w:tcPr>
          <w:p w14:paraId="74F04CA0" w14:textId="2096591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41B88F6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5456" w:type="dxa"/>
            <w:shd w:val="clear" w:color="auto" w:fill="C4EFCE"/>
            <w:noWrap/>
            <w:tcMar>
              <w:left w:w="28" w:type="dxa"/>
              <w:right w:w="28" w:type="dxa"/>
            </w:tcMar>
            <w:vAlign w:val="center"/>
            <w:hideMark/>
          </w:tcPr>
          <w:p w14:paraId="60637229" w14:textId="1156C93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vzoru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riadení, ktorá sa má podpísať</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verejnými manažérmi vymenovanými do predstavenstiev štátnych podnikov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zvýšiť zodpovednosť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zodpovednosť pri riadení verejných zdrojov prostredníctvom nového systému stimulov/sankcií zameraných na výkonnosť.</w:t>
            </w:r>
          </w:p>
        </w:tc>
      </w:tr>
      <w:tr w:rsidR="00387C70" w:rsidRPr="003F23AC" w14:paraId="05E11610" w14:textId="77777777" w:rsidTr="008E475E">
        <w:trPr>
          <w:trHeight w:val="640"/>
        </w:trPr>
        <w:tc>
          <w:tcPr>
            <w:tcW w:w="1043" w:type="dxa"/>
            <w:gridSpan w:val="2"/>
            <w:shd w:val="clear" w:color="auto" w:fill="C4EFCE"/>
            <w:tcMar>
              <w:left w:w="28" w:type="dxa"/>
              <w:right w:w="28" w:type="dxa"/>
            </w:tcMar>
            <w:vAlign w:val="center"/>
            <w:hideMark/>
          </w:tcPr>
          <w:p w14:paraId="6A4F627A"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17.7</w:t>
            </w:r>
          </w:p>
        </w:tc>
        <w:tc>
          <w:tcPr>
            <w:tcW w:w="1161" w:type="dxa"/>
            <w:shd w:val="clear" w:color="auto" w:fill="C4EFCE"/>
            <w:noWrap/>
            <w:tcMar>
              <w:left w:w="28" w:type="dxa"/>
              <w:right w:w="28" w:type="dxa"/>
            </w:tcMar>
            <w:vAlign w:val="center"/>
            <w:hideMark/>
          </w:tcPr>
          <w:p w14:paraId="0281BF8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TD-C17-r32</w:t>
            </w:r>
          </w:p>
        </w:tc>
        <w:tc>
          <w:tcPr>
            <w:tcW w:w="1034" w:type="dxa"/>
            <w:shd w:val="clear" w:color="auto" w:fill="C4EFCE"/>
            <w:noWrap/>
            <w:tcMar>
              <w:left w:w="28" w:type="dxa"/>
              <w:right w:w="28" w:type="dxa"/>
            </w:tcMar>
            <w:vAlign w:val="center"/>
            <w:hideMark/>
          </w:tcPr>
          <w:p w14:paraId="469D9CB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hideMark/>
          </w:tcPr>
          <w:p w14:paraId="27932B26" w14:textId="51479EC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nového modelu analýzy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zverejňovania finančnej situácie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výkonnosti štátom vlastnených podnikov</w:t>
            </w:r>
          </w:p>
        </w:tc>
        <w:tc>
          <w:tcPr>
            <w:tcW w:w="1356" w:type="dxa"/>
            <w:shd w:val="clear" w:color="auto" w:fill="C4EFCE"/>
            <w:noWrap/>
            <w:tcMar>
              <w:left w:w="28" w:type="dxa"/>
              <w:right w:w="28" w:type="dxa"/>
            </w:tcMar>
            <w:vAlign w:val="center"/>
            <w:hideMark/>
          </w:tcPr>
          <w:p w14:paraId="53EB2087" w14:textId="41CD26A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novej správy,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ktorej sa podrobne opisuje finančná situácia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výkonnosť štátom vlastnených podnikov</w:t>
            </w:r>
          </w:p>
        </w:tc>
        <w:tc>
          <w:tcPr>
            <w:tcW w:w="909" w:type="dxa"/>
            <w:shd w:val="clear" w:color="auto" w:fill="C4EFCE"/>
            <w:noWrap/>
            <w:tcMar>
              <w:left w:w="28" w:type="dxa"/>
              <w:right w:w="28" w:type="dxa"/>
            </w:tcMar>
            <w:vAlign w:val="center"/>
            <w:hideMark/>
          </w:tcPr>
          <w:p w14:paraId="7E4BBF1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61" w:type="dxa"/>
            <w:shd w:val="clear" w:color="auto" w:fill="C4EFCE"/>
            <w:noWrap/>
            <w:tcMar>
              <w:left w:w="28" w:type="dxa"/>
              <w:right w:w="28" w:type="dxa"/>
            </w:tcMar>
            <w:vAlign w:val="center"/>
            <w:hideMark/>
          </w:tcPr>
          <w:p w14:paraId="3AEE023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4" w:type="dxa"/>
            <w:shd w:val="clear" w:color="auto" w:fill="C4EFCE"/>
            <w:noWrap/>
            <w:tcMar>
              <w:left w:w="28" w:type="dxa"/>
              <w:right w:w="28" w:type="dxa"/>
            </w:tcMar>
            <w:vAlign w:val="center"/>
            <w:hideMark/>
          </w:tcPr>
          <w:p w14:paraId="57D6AD9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0" w:type="dxa"/>
            <w:shd w:val="clear" w:color="auto" w:fill="C4EFCE"/>
            <w:noWrap/>
            <w:tcMar>
              <w:left w:w="28" w:type="dxa"/>
              <w:right w:w="28" w:type="dxa"/>
            </w:tcMar>
            <w:vAlign w:val="center"/>
            <w:hideMark/>
          </w:tcPr>
          <w:p w14:paraId="61CEAF54" w14:textId="5F6957DE"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5129272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5456" w:type="dxa"/>
            <w:shd w:val="clear" w:color="auto" w:fill="C4EFCE"/>
            <w:noWrap/>
            <w:tcMar>
              <w:left w:w="28" w:type="dxa"/>
              <w:right w:w="28" w:type="dxa"/>
            </w:tcMar>
            <w:vAlign w:val="center"/>
            <w:hideMark/>
          </w:tcPr>
          <w:p w14:paraId="32D08DEA" w14:textId="28ED6C5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novej správy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podrobnými údajmi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finančnej situácii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výkonnosti štátom vlastnených podnikov na pravidelnom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včasnom základe, ktorá zahŕňa finančné údaje zozbierané prostredníctvom nového informačného systému pre sektor štátom vlastnených podnikov.</w:t>
            </w:r>
          </w:p>
        </w:tc>
      </w:tr>
      <w:tr w:rsidR="00387C70" w:rsidRPr="003F23AC" w14:paraId="67B2B5AF" w14:textId="77777777" w:rsidTr="008E475E">
        <w:trPr>
          <w:trHeight w:val="1060"/>
        </w:trPr>
        <w:tc>
          <w:tcPr>
            <w:tcW w:w="1043" w:type="dxa"/>
            <w:gridSpan w:val="2"/>
            <w:shd w:val="clear" w:color="auto" w:fill="C4EFCE"/>
            <w:tcMar>
              <w:left w:w="28" w:type="dxa"/>
              <w:right w:w="28" w:type="dxa"/>
            </w:tcMar>
            <w:vAlign w:val="center"/>
            <w:hideMark/>
          </w:tcPr>
          <w:p w14:paraId="2718254D"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17.8</w:t>
            </w:r>
          </w:p>
        </w:tc>
        <w:tc>
          <w:tcPr>
            <w:tcW w:w="1161" w:type="dxa"/>
            <w:shd w:val="clear" w:color="auto" w:fill="C4EFCE"/>
            <w:noWrap/>
            <w:tcMar>
              <w:left w:w="28" w:type="dxa"/>
              <w:right w:w="28" w:type="dxa"/>
            </w:tcMar>
            <w:vAlign w:val="center"/>
            <w:hideMark/>
          </w:tcPr>
          <w:p w14:paraId="645BCB5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TD-C17-r32</w:t>
            </w:r>
          </w:p>
        </w:tc>
        <w:tc>
          <w:tcPr>
            <w:tcW w:w="1034" w:type="dxa"/>
            <w:shd w:val="clear" w:color="auto" w:fill="C4EFCE"/>
            <w:noWrap/>
            <w:tcMar>
              <w:left w:w="28" w:type="dxa"/>
              <w:right w:w="28" w:type="dxa"/>
            </w:tcMar>
            <w:vAlign w:val="center"/>
            <w:hideMark/>
          </w:tcPr>
          <w:p w14:paraId="3095D188" w14:textId="371CE234"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39" w:type="dxa"/>
            <w:shd w:val="clear" w:color="auto" w:fill="C4EFCE"/>
            <w:noWrap/>
            <w:tcMar>
              <w:left w:w="28" w:type="dxa"/>
              <w:right w:w="28" w:type="dxa"/>
            </w:tcMar>
            <w:vAlign w:val="center"/>
            <w:hideMark/>
          </w:tcPr>
          <w:p w14:paraId="7E9415F6" w14:textId="188DBAA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 rozpočtových plánov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plánov činností štátom vlastnených podnikov, ktoré dôsledne schvaľuje minister financií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príslušný vedúci minister(-i)</w:t>
            </w:r>
          </w:p>
        </w:tc>
        <w:tc>
          <w:tcPr>
            <w:tcW w:w="1356" w:type="dxa"/>
            <w:shd w:val="clear" w:color="auto" w:fill="C4EFCE"/>
            <w:noWrap/>
            <w:tcMar>
              <w:left w:w="28" w:type="dxa"/>
              <w:right w:w="28" w:type="dxa"/>
            </w:tcMar>
            <w:vAlign w:val="center"/>
            <w:hideMark/>
          </w:tcPr>
          <w:p w14:paraId="121B6A1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09" w:type="dxa"/>
            <w:shd w:val="clear" w:color="auto" w:fill="C4EFCE"/>
            <w:noWrap/>
            <w:tcMar>
              <w:left w:w="28" w:type="dxa"/>
              <w:right w:w="28" w:type="dxa"/>
            </w:tcMar>
            <w:vAlign w:val="center"/>
            <w:hideMark/>
          </w:tcPr>
          <w:p w14:paraId="40C2BC2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61" w:type="dxa"/>
            <w:shd w:val="clear" w:color="auto" w:fill="C4EFCE"/>
            <w:noWrap/>
            <w:tcMar>
              <w:left w:w="28" w:type="dxa"/>
              <w:right w:w="28" w:type="dxa"/>
            </w:tcMar>
            <w:vAlign w:val="center"/>
            <w:hideMark/>
          </w:tcPr>
          <w:p w14:paraId="09B98B1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74</w:t>
            </w:r>
          </w:p>
        </w:tc>
        <w:tc>
          <w:tcPr>
            <w:tcW w:w="704" w:type="dxa"/>
            <w:shd w:val="clear" w:color="auto" w:fill="C4EFCE"/>
            <w:noWrap/>
            <w:tcMar>
              <w:left w:w="28" w:type="dxa"/>
              <w:right w:w="28" w:type="dxa"/>
            </w:tcMar>
            <w:vAlign w:val="center"/>
            <w:hideMark/>
          </w:tcPr>
          <w:p w14:paraId="2E1A10E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136</w:t>
            </w:r>
          </w:p>
        </w:tc>
        <w:tc>
          <w:tcPr>
            <w:tcW w:w="780" w:type="dxa"/>
            <w:shd w:val="clear" w:color="auto" w:fill="C4EFCE"/>
            <w:noWrap/>
            <w:tcMar>
              <w:left w:w="28" w:type="dxa"/>
              <w:right w:w="28" w:type="dxa"/>
            </w:tcMar>
            <w:vAlign w:val="center"/>
            <w:hideMark/>
          </w:tcPr>
          <w:p w14:paraId="39065690" w14:textId="6DA346C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4333AF7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5456" w:type="dxa"/>
            <w:shd w:val="clear" w:color="auto" w:fill="C4EFCE"/>
            <w:noWrap/>
            <w:tcMar>
              <w:left w:w="28" w:type="dxa"/>
              <w:right w:w="28" w:type="dxa"/>
            </w:tcMar>
            <w:vAlign w:val="center"/>
            <w:hideMark/>
          </w:tcPr>
          <w:p w14:paraId="30DEA027" w14:textId="34DE388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Včas posúdiť rozpočet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plány činností štátnych podnikov.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trojročné strategické plány riadenia,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ktorých štátne podniky vymedzujú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rokujú</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ministrom financií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príslušným ministrom (príslušnými líniami)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svojich hlavných smeroch činnosti, portfóliu služieb, ľudských zdrojov, investičnom pláne, úrovni činnosti pomoci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hospodárskom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finančnom výkaze na obdobie troch rokov, ako aj vysvetľujú zvýšenie efektívnosti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produktivity, ktorými sa zabezpečí ich finančná udržateľnosť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strednodobom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dlhodobom horizonte.</w:t>
            </w:r>
          </w:p>
        </w:tc>
      </w:tr>
      <w:tr w:rsidR="00387C70" w:rsidRPr="003F23AC" w14:paraId="17BCAA4C" w14:textId="77777777" w:rsidTr="008E475E">
        <w:trPr>
          <w:trHeight w:val="430"/>
        </w:trPr>
        <w:tc>
          <w:tcPr>
            <w:tcW w:w="1043" w:type="dxa"/>
            <w:gridSpan w:val="2"/>
            <w:shd w:val="clear" w:color="auto" w:fill="C4EFCE"/>
            <w:tcMar>
              <w:left w:w="28" w:type="dxa"/>
              <w:right w:w="28" w:type="dxa"/>
            </w:tcMar>
            <w:vAlign w:val="center"/>
            <w:hideMark/>
          </w:tcPr>
          <w:p w14:paraId="4DF0D948" w14:textId="41156502"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17.9</w:t>
            </w:r>
          </w:p>
        </w:tc>
        <w:tc>
          <w:tcPr>
            <w:tcW w:w="1161" w:type="dxa"/>
            <w:shd w:val="clear" w:color="auto" w:fill="C4EFCE"/>
            <w:noWrap/>
            <w:tcMar>
              <w:left w:w="28" w:type="dxa"/>
              <w:right w:w="28" w:type="dxa"/>
            </w:tcMar>
            <w:vAlign w:val="center"/>
            <w:hideMark/>
          </w:tcPr>
          <w:p w14:paraId="2BCC8FC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TD-C17-i01</w:t>
            </w:r>
          </w:p>
        </w:tc>
        <w:tc>
          <w:tcPr>
            <w:tcW w:w="1034" w:type="dxa"/>
            <w:shd w:val="clear" w:color="auto" w:fill="C4EFCE"/>
            <w:noWrap/>
            <w:tcMar>
              <w:left w:w="28" w:type="dxa"/>
              <w:right w:w="28" w:type="dxa"/>
            </w:tcMar>
            <w:vAlign w:val="center"/>
            <w:hideMark/>
          </w:tcPr>
          <w:p w14:paraId="61B478F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hideMark/>
          </w:tcPr>
          <w:p w14:paraId="63928ED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implementácie štátneho účtovného subjektu</w:t>
            </w:r>
          </w:p>
        </w:tc>
        <w:tc>
          <w:tcPr>
            <w:tcW w:w="1356" w:type="dxa"/>
            <w:shd w:val="clear" w:color="auto" w:fill="C4EFCE"/>
            <w:noWrap/>
            <w:tcMar>
              <w:left w:w="28" w:type="dxa"/>
              <w:right w:w="28" w:type="dxa"/>
            </w:tcMar>
            <w:vAlign w:val="center"/>
            <w:hideMark/>
          </w:tcPr>
          <w:p w14:paraId="087F0E3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implementácie štátneho účtovného subjektu</w:t>
            </w:r>
          </w:p>
        </w:tc>
        <w:tc>
          <w:tcPr>
            <w:tcW w:w="909" w:type="dxa"/>
            <w:shd w:val="clear" w:color="auto" w:fill="C4EFCE"/>
            <w:noWrap/>
            <w:tcMar>
              <w:left w:w="28" w:type="dxa"/>
              <w:right w:w="28" w:type="dxa"/>
            </w:tcMar>
            <w:vAlign w:val="center"/>
            <w:hideMark/>
          </w:tcPr>
          <w:p w14:paraId="0D51700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61" w:type="dxa"/>
            <w:shd w:val="clear" w:color="auto" w:fill="C4EFCE"/>
            <w:noWrap/>
            <w:tcMar>
              <w:left w:w="28" w:type="dxa"/>
              <w:right w:w="28" w:type="dxa"/>
            </w:tcMar>
            <w:vAlign w:val="center"/>
            <w:hideMark/>
          </w:tcPr>
          <w:p w14:paraId="0844B0A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4" w:type="dxa"/>
            <w:shd w:val="clear" w:color="auto" w:fill="C4EFCE"/>
            <w:noWrap/>
            <w:tcMar>
              <w:left w:w="28" w:type="dxa"/>
              <w:right w:w="28" w:type="dxa"/>
            </w:tcMar>
            <w:vAlign w:val="center"/>
            <w:hideMark/>
          </w:tcPr>
          <w:p w14:paraId="4E39381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0" w:type="dxa"/>
            <w:shd w:val="clear" w:color="auto" w:fill="C4EFCE"/>
            <w:noWrap/>
            <w:tcMar>
              <w:left w:w="28" w:type="dxa"/>
              <w:right w:w="28" w:type="dxa"/>
            </w:tcMar>
            <w:vAlign w:val="center"/>
            <w:hideMark/>
          </w:tcPr>
          <w:p w14:paraId="042A23F4" w14:textId="6FB3335C"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06" w:type="dxa"/>
            <w:shd w:val="clear" w:color="auto" w:fill="C4EFCE"/>
            <w:noWrap/>
            <w:tcMar>
              <w:left w:w="28" w:type="dxa"/>
              <w:right w:w="28" w:type="dxa"/>
            </w:tcMar>
            <w:vAlign w:val="center"/>
            <w:hideMark/>
          </w:tcPr>
          <w:p w14:paraId="5FB1E755" w14:textId="64553DD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5456" w:type="dxa"/>
            <w:shd w:val="clear" w:color="auto" w:fill="C4EFCE"/>
            <w:noWrap/>
            <w:tcMar>
              <w:left w:w="28" w:type="dxa"/>
              <w:right w:w="28" w:type="dxa"/>
            </w:tcMar>
            <w:vAlign w:val="center"/>
            <w:hideMark/>
          </w:tcPr>
          <w:p w14:paraId="4704A1B6" w14:textId="20D3021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Dokončiť implementáciu štátneho účtovného subjektu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plnom 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článkami 49</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55 zákona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rozpočtovom rámci na rok 2015.</w:t>
            </w:r>
          </w:p>
        </w:tc>
      </w:tr>
      <w:tr w:rsidR="00387C70" w:rsidRPr="003F23AC" w14:paraId="162E15E3" w14:textId="77777777" w:rsidTr="008E475E">
        <w:trPr>
          <w:trHeight w:val="640"/>
        </w:trPr>
        <w:tc>
          <w:tcPr>
            <w:tcW w:w="1043" w:type="dxa"/>
            <w:gridSpan w:val="2"/>
            <w:shd w:val="clear" w:color="auto" w:fill="C4EFCE"/>
            <w:tcMar>
              <w:left w:w="28" w:type="dxa"/>
              <w:right w:w="28" w:type="dxa"/>
            </w:tcMar>
            <w:vAlign w:val="center"/>
            <w:hideMark/>
          </w:tcPr>
          <w:p w14:paraId="3BDDDDA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17.10</w:t>
            </w:r>
          </w:p>
        </w:tc>
        <w:tc>
          <w:tcPr>
            <w:tcW w:w="1161" w:type="dxa"/>
            <w:shd w:val="clear" w:color="auto" w:fill="C4EFCE"/>
            <w:noWrap/>
            <w:tcMar>
              <w:left w:w="28" w:type="dxa"/>
              <w:right w:w="28" w:type="dxa"/>
            </w:tcMar>
            <w:vAlign w:val="center"/>
            <w:hideMark/>
          </w:tcPr>
          <w:p w14:paraId="498D4AC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TD-C17-i01</w:t>
            </w:r>
          </w:p>
        </w:tc>
        <w:tc>
          <w:tcPr>
            <w:tcW w:w="1034" w:type="dxa"/>
            <w:shd w:val="clear" w:color="auto" w:fill="C4EFCE"/>
            <w:noWrap/>
            <w:tcMar>
              <w:left w:w="28" w:type="dxa"/>
              <w:right w:w="28" w:type="dxa"/>
            </w:tcMar>
            <w:vAlign w:val="center"/>
            <w:hideMark/>
          </w:tcPr>
          <w:p w14:paraId="4C7A787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hideMark/>
          </w:tcPr>
          <w:p w14:paraId="116CC567" w14:textId="5CDAB7A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Sprevádzkovanie informačného systému na prepracovanie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vykonávanie rozpočtového postupu, ktorý zahŕňa programové rozpočtovanie</w:t>
            </w:r>
          </w:p>
        </w:tc>
        <w:tc>
          <w:tcPr>
            <w:tcW w:w="1356" w:type="dxa"/>
            <w:shd w:val="clear" w:color="auto" w:fill="C4EFCE"/>
            <w:noWrap/>
            <w:tcMar>
              <w:left w:w="28" w:type="dxa"/>
              <w:right w:w="28" w:type="dxa"/>
            </w:tcMar>
            <w:vAlign w:val="center"/>
            <w:hideMark/>
          </w:tcPr>
          <w:p w14:paraId="14DDB52C" w14:textId="0D7F4B9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Uvedenie informačného systému do prevádzky na prepracovanie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vykonávanie rozpočtového postupu</w:t>
            </w:r>
          </w:p>
        </w:tc>
        <w:tc>
          <w:tcPr>
            <w:tcW w:w="909" w:type="dxa"/>
            <w:shd w:val="clear" w:color="auto" w:fill="C4EFCE"/>
            <w:noWrap/>
            <w:tcMar>
              <w:left w:w="28" w:type="dxa"/>
              <w:right w:w="28" w:type="dxa"/>
            </w:tcMar>
            <w:vAlign w:val="center"/>
            <w:hideMark/>
          </w:tcPr>
          <w:p w14:paraId="187C07A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61" w:type="dxa"/>
            <w:shd w:val="clear" w:color="auto" w:fill="C4EFCE"/>
            <w:noWrap/>
            <w:tcMar>
              <w:left w:w="28" w:type="dxa"/>
              <w:right w:w="28" w:type="dxa"/>
            </w:tcMar>
            <w:vAlign w:val="center"/>
            <w:hideMark/>
          </w:tcPr>
          <w:p w14:paraId="693EE4D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4" w:type="dxa"/>
            <w:shd w:val="clear" w:color="auto" w:fill="C4EFCE"/>
            <w:noWrap/>
            <w:tcMar>
              <w:left w:w="28" w:type="dxa"/>
              <w:right w:w="28" w:type="dxa"/>
            </w:tcMar>
            <w:vAlign w:val="center"/>
            <w:hideMark/>
          </w:tcPr>
          <w:p w14:paraId="2CDCFA8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0" w:type="dxa"/>
            <w:shd w:val="clear" w:color="auto" w:fill="C4EFCE"/>
            <w:noWrap/>
            <w:tcMar>
              <w:left w:w="28" w:type="dxa"/>
              <w:right w:w="28" w:type="dxa"/>
            </w:tcMar>
            <w:vAlign w:val="center"/>
            <w:hideMark/>
          </w:tcPr>
          <w:p w14:paraId="34839CEE" w14:textId="41D39DD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38281D6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5456" w:type="dxa"/>
            <w:shd w:val="clear" w:color="auto" w:fill="C4EFCE"/>
            <w:noWrap/>
            <w:tcMar>
              <w:left w:w="28" w:type="dxa"/>
              <w:right w:w="28" w:type="dxa"/>
            </w:tcMar>
            <w:vAlign w:val="center"/>
            <w:hideMark/>
          </w:tcPr>
          <w:p w14:paraId="75FD6C3B" w14:textId="2754376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Sprevádzkovanie informačného systému na zabezpečenie predkladania rozpočtových/účtovných informácií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novými formátmi stanovenými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zákone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rozpočtovom rámci na rok 2015 všetkými subjektmi verejnej správy,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to aj pokiaľ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nové rozpočtové programy založené na výkonnosti.</w:t>
            </w:r>
          </w:p>
        </w:tc>
      </w:tr>
      <w:tr w:rsidR="00387C70" w:rsidRPr="003F23AC" w14:paraId="6E9D296B" w14:textId="77777777" w:rsidTr="008E475E">
        <w:trPr>
          <w:trHeight w:val="640"/>
        </w:trPr>
        <w:tc>
          <w:tcPr>
            <w:tcW w:w="1043" w:type="dxa"/>
            <w:gridSpan w:val="2"/>
            <w:shd w:val="clear" w:color="auto" w:fill="C4EFCE"/>
            <w:tcMar>
              <w:left w:w="28" w:type="dxa"/>
              <w:right w:w="28" w:type="dxa"/>
            </w:tcMar>
            <w:vAlign w:val="center"/>
            <w:hideMark/>
          </w:tcPr>
          <w:p w14:paraId="010A621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17.11</w:t>
            </w:r>
          </w:p>
        </w:tc>
        <w:tc>
          <w:tcPr>
            <w:tcW w:w="1161" w:type="dxa"/>
            <w:shd w:val="clear" w:color="auto" w:fill="C4EFCE"/>
            <w:noWrap/>
            <w:tcMar>
              <w:left w:w="28" w:type="dxa"/>
              <w:right w:w="28" w:type="dxa"/>
            </w:tcMar>
            <w:vAlign w:val="center"/>
            <w:hideMark/>
          </w:tcPr>
          <w:p w14:paraId="0661977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TD-C17-i01</w:t>
            </w:r>
          </w:p>
        </w:tc>
        <w:tc>
          <w:tcPr>
            <w:tcW w:w="1034" w:type="dxa"/>
            <w:shd w:val="clear" w:color="auto" w:fill="C4EFCE"/>
            <w:noWrap/>
            <w:tcMar>
              <w:left w:w="28" w:type="dxa"/>
              <w:right w:w="28" w:type="dxa"/>
            </w:tcMar>
            <w:vAlign w:val="center"/>
            <w:hideMark/>
          </w:tcPr>
          <w:p w14:paraId="68FBC5C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hideMark/>
          </w:tcPr>
          <w:p w14:paraId="1DDE848B" w14:textId="617FCFF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Sprevádzkovanie podporného informačného systému pre nový model rozpočtovej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finančnej kontroly</w:t>
            </w:r>
          </w:p>
        </w:tc>
        <w:tc>
          <w:tcPr>
            <w:tcW w:w="1356" w:type="dxa"/>
            <w:shd w:val="clear" w:color="auto" w:fill="C4EFCE"/>
            <w:noWrap/>
            <w:tcMar>
              <w:left w:w="28" w:type="dxa"/>
              <w:right w:w="28" w:type="dxa"/>
            </w:tcMar>
            <w:vAlign w:val="center"/>
            <w:hideMark/>
          </w:tcPr>
          <w:p w14:paraId="7C8F93A5" w14:textId="767690B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Informačný systém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prevádzke</w:t>
            </w:r>
          </w:p>
        </w:tc>
        <w:tc>
          <w:tcPr>
            <w:tcW w:w="909" w:type="dxa"/>
            <w:shd w:val="clear" w:color="auto" w:fill="C4EFCE"/>
            <w:noWrap/>
            <w:tcMar>
              <w:left w:w="28" w:type="dxa"/>
              <w:right w:w="28" w:type="dxa"/>
            </w:tcMar>
            <w:vAlign w:val="center"/>
            <w:hideMark/>
          </w:tcPr>
          <w:p w14:paraId="2B20284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61" w:type="dxa"/>
            <w:shd w:val="clear" w:color="auto" w:fill="C4EFCE"/>
            <w:noWrap/>
            <w:tcMar>
              <w:left w:w="28" w:type="dxa"/>
              <w:right w:w="28" w:type="dxa"/>
            </w:tcMar>
            <w:vAlign w:val="center"/>
            <w:hideMark/>
          </w:tcPr>
          <w:p w14:paraId="0BB56DF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4" w:type="dxa"/>
            <w:shd w:val="clear" w:color="auto" w:fill="C4EFCE"/>
            <w:noWrap/>
            <w:tcMar>
              <w:left w:w="28" w:type="dxa"/>
              <w:right w:w="28" w:type="dxa"/>
            </w:tcMar>
            <w:vAlign w:val="center"/>
            <w:hideMark/>
          </w:tcPr>
          <w:p w14:paraId="4A48EF4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0" w:type="dxa"/>
            <w:shd w:val="clear" w:color="auto" w:fill="C4EFCE"/>
            <w:noWrap/>
            <w:tcMar>
              <w:left w:w="28" w:type="dxa"/>
              <w:right w:w="28" w:type="dxa"/>
            </w:tcMar>
            <w:vAlign w:val="center"/>
            <w:hideMark/>
          </w:tcPr>
          <w:p w14:paraId="6B10605D" w14:textId="22AA9EFD"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6E4DCD5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5456" w:type="dxa"/>
            <w:shd w:val="clear" w:color="auto" w:fill="C4EFCE"/>
            <w:noWrap/>
            <w:tcMar>
              <w:left w:w="28" w:type="dxa"/>
              <w:right w:w="28" w:type="dxa"/>
            </w:tcMar>
            <w:vAlign w:val="center"/>
            <w:hideMark/>
          </w:tcPr>
          <w:p w14:paraId="39CC531C" w14:textId="1E9EA34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Sprevádzkovanie podporného informačného systému na zabezpečenie kontroly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monitorovania rozpočtových/účtovných informácií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novými formátmi stanovenými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zákone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rozpočtovom rámci na rok 2015 všetkými subjektmi verejnej správy.</w:t>
            </w:r>
          </w:p>
        </w:tc>
      </w:tr>
      <w:tr w:rsidR="00387C70" w:rsidRPr="003F23AC" w14:paraId="0407FA88" w14:textId="77777777" w:rsidTr="008E475E">
        <w:trPr>
          <w:trHeight w:val="1060"/>
        </w:trPr>
        <w:tc>
          <w:tcPr>
            <w:tcW w:w="1043" w:type="dxa"/>
            <w:gridSpan w:val="2"/>
            <w:shd w:val="clear" w:color="auto" w:fill="C4EFCE"/>
            <w:tcMar>
              <w:left w:w="28" w:type="dxa"/>
              <w:right w:w="28" w:type="dxa"/>
            </w:tcMar>
            <w:vAlign w:val="center"/>
            <w:hideMark/>
          </w:tcPr>
          <w:p w14:paraId="1E4ADC51"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17.12</w:t>
            </w:r>
          </w:p>
        </w:tc>
        <w:tc>
          <w:tcPr>
            <w:tcW w:w="1161" w:type="dxa"/>
            <w:shd w:val="clear" w:color="auto" w:fill="C4EFCE"/>
            <w:noWrap/>
            <w:tcMar>
              <w:left w:w="28" w:type="dxa"/>
              <w:right w:w="28" w:type="dxa"/>
            </w:tcMar>
            <w:vAlign w:val="center"/>
            <w:hideMark/>
          </w:tcPr>
          <w:p w14:paraId="38F2DF6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TD-C17-i01</w:t>
            </w:r>
          </w:p>
        </w:tc>
        <w:tc>
          <w:tcPr>
            <w:tcW w:w="1034" w:type="dxa"/>
            <w:shd w:val="clear" w:color="auto" w:fill="C4EFCE"/>
            <w:noWrap/>
            <w:tcMar>
              <w:left w:w="28" w:type="dxa"/>
              <w:right w:w="28" w:type="dxa"/>
            </w:tcMar>
            <w:vAlign w:val="center"/>
            <w:hideMark/>
          </w:tcPr>
          <w:p w14:paraId="58703872" w14:textId="385F9F6B"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39" w:type="dxa"/>
            <w:shd w:val="clear" w:color="auto" w:fill="C4EFCE"/>
            <w:noWrap/>
            <w:tcMar>
              <w:left w:w="28" w:type="dxa"/>
              <w:right w:w="28" w:type="dxa"/>
            </w:tcMar>
            <w:vAlign w:val="center"/>
            <w:hideMark/>
          </w:tcPr>
          <w:p w14:paraId="64324DB2" w14:textId="119995B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Dokončiť modernizáciu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zjednodušenie informačných systémov vnútroštátneho centrálneho systému verejného obstarávania</w:t>
            </w:r>
          </w:p>
        </w:tc>
        <w:tc>
          <w:tcPr>
            <w:tcW w:w="1356" w:type="dxa"/>
            <w:shd w:val="clear" w:color="auto" w:fill="C4EFCE"/>
            <w:noWrap/>
            <w:tcMar>
              <w:left w:w="28" w:type="dxa"/>
              <w:right w:w="28" w:type="dxa"/>
            </w:tcMar>
            <w:vAlign w:val="center"/>
            <w:hideMark/>
          </w:tcPr>
          <w:p w14:paraId="78DB8F29"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09" w:type="dxa"/>
            <w:shd w:val="clear" w:color="auto" w:fill="C4EFCE"/>
            <w:noWrap/>
            <w:tcMar>
              <w:left w:w="28" w:type="dxa"/>
              <w:right w:w="28" w:type="dxa"/>
            </w:tcMar>
            <w:vAlign w:val="center"/>
            <w:hideMark/>
          </w:tcPr>
          <w:p w14:paraId="1A100E8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61" w:type="dxa"/>
            <w:shd w:val="clear" w:color="auto" w:fill="C4EFCE"/>
            <w:noWrap/>
            <w:tcMar>
              <w:left w:w="28" w:type="dxa"/>
              <w:right w:w="28" w:type="dxa"/>
            </w:tcMar>
            <w:vAlign w:val="center"/>
            <w:hideMark/>
          </w:tcPr>
          <w:p w14:paraId="7509596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4" w:type="dxa"/>
            <w:shd w:val="clear" w:color="auto" w:fill="C4EFCE"/>
            <w:noWrap/>
            <w:tcMar>
              <w:left w:w="28" w:type="dxa"/>
              <w:right w:w="28" w:type="dxa"/>
            </w:tcMar>
            <w:vAlign w:val="center"/>
            <w:hideMark/>
          </w:tcPr>
          <w:p w14:paraId="02B6DB5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11</w:t>
            </w:r>
          </w:p>
        </w:tc>
        <w:tc>
          <w:tcPr>
            <w:tcW w:w="780" w:type="dxa"/>
            <w:shd w:val="clear" w:color="auto" w:fill="C4EFCE"/>
            <w:noWrap/>
            <w:tcMar>
              <w:left w:w="28" w:type="dxa"/>
              <w:right w:w="28" w:type="dxa"/>
            </w:tcMar>
            <w:vAlign w:val="center"/>
            <w:hideMark/>
          </w:tcPr>
          <w:p w14:paraId="3C0A8C2D" w14:textId="13375E4F"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7BB06AD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5456" w:type="dxa"/>
            <w:shd w:val="clear" w:color="auto" w:fill="C4EFCE"/>
            <w:noWrap/>
            <w:tcMar>
              <w:left w:w="28" w:type="dxa"/>
              <w:right w:w="28" w:type="dxa"/>
            </w:tcMar>
            <w:vAlign w:val="center"/>
            <w:hideMark/>
          </w:tcPr>
          <w:p w14:paraId="39FEEE47" w14:textId="040B5EF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modernizovaných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zjednodušených informačných systémov národného centrálneho systému verejného obstarávania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I) podporovať administratívne zjednodušenie; II) posilniť monitorovacie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kontrolné mechanizmy; III) podporovať nákladovú efektívnosť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racionalizáciu; IV) rozšíriť zoznam tovarov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služieb, ktoré podliehajú centralizovanému obstarávaniu;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 podporovať spoluprácu medzi internými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externými zainteresovanými stranami. Dosiahnutie tohto cieľa sa meria počtom nových informačných systémov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prevádzke.</w:t>
            </w:r>
          </w:p>
        </w:tc>
      </w:tr>
      <w:tr w:rsidR="00387C70" w:rsidRPr="003F23AC" w14:paraId="305B2486" w14:textId="77777777" w:rsidTr="008E475E">
        <w:trPr>
          <w:trHeight w:val="300"/>
        </w:trPr>
        <w:tc>
          <w:tcPr>
            <w:tcW w:w="1043" w:type="dxa"/>
            <w:gridSpan w:val="2"/>
            <w:shd w:val="clear" w:color="auto" w:fill="C4EFCE"/>
            <w:tcMar>
              <w:left w:w="28" w:type="dxa"/>
              <w:right w:w="28" w:type="dxa"/>
            </w:tcMar>
            <w:vAlign w:val="center"/>
            <w:hideMark/>
          </w:tcPr>
          <w:p w14:paraId="4122D3A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17.13</w:t>
            </w:r>
          </w:p>
        </w:tc>
        <w:tc>
          <w:tcPr>
            <w:tcW w:w="1161" w:type="dxa"/>
            <w:shd w:val="clear" w:color="auto" w:fill="C4EFCE"/>
            <w:noWrap/>
            <w:tcMar>
              <w:left w:w="28" w:type="dxa"/>
              <w:right w:w="28" w:type="dxa"/>
            </w:tcMar>
            <w:vAlign w:val="center"/>
            <w:hideMark/>
          </w:tcPr>
          <w:p w14:paraId="701D7F0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TD-C17-i01</w:t>
            </w:r>
          </w:p>
        </w:tc>
        <w:tc>
          <w:tcPr>
            <w:tcW w:w="1034" w:type="dxa"/>
            <w:shd w:val="clear" w:color="auto" w:fill="C4EFCE"/>
            <w:noWrap/>
            <w:tcMar>
              <w:left w:w="28" w:type="dxa"/>
              <w:right w:w="28" w:type="dxa"/>
            </w:tcMar>
            <w:vAlign w:val="center"/>
            <w:hideMark/>
          </w:tcPr>
          <w:p w14:paraId="369E606B" w14:textId="353377B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hideMark/>
          </w:tcPr>
          <w:p w14:paraId="74E5C9E6" w14:textId="262D33C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Dokončenie implementácie </w:t>
            </w:r>
            <w:r w:rsidRPr="003F23AC">
              <w:rPr>
                <w:rFonts w:ascii="Times New Roman" w:hAnsi="Times New Roman" w:cs="Times New Roman"/>
                <w:i/>
                <w:noProof/>
                <w:lang w:val="sk-SK"/>
              </w:rPr>
              <w:t>Sistema de Gestão de Património Imobiliário Público</w:t>
            </w:r>
            <w:r w:rsidRPr="003F23AC">
              <w:rPr>
                <w:rFonts w:ascii="Times New Roman" w:hAnsi="Times New Roman" w:cs="Times New Roman"/>
                <w:noProof/>
                <w:lang w:val="sk-SK"/>
              </w:rPr>
              <w:t xml:space="preserve"> (SIGPIP)</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modernizácia informačných systémov pre vozidlá vo vlastníctve štátu</w:t>
            </w:r>
          </w:p>
        </w:tc>
        <w:tc>
          <w:tcPr>
            <w:tcW w:w="1356" w:type="dxa"/>
            <w:shd w:val="clear" w:color="auto" w:fill="C4EFCE"/>
            <w:noWrap/>
            <w:tcMar>
              <w:left w:w="28" w:type="dxa"/>
              <w:right w:w="28" w:type="dxa"/>
            </w:tcMar>
            <w:vAlign w:val="center"/>
            <w:hideMark/>
          </w:tcPr>
          <w:p w14:paraId="2E7F8560" w14:textId="0B1D2ABF"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Dokončená implementácia SIGPIP</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uvedenie informačných systémov pre štátne vozidlá do prevádzky</w:t>
            </w:r>
          </w:p>
        </w:tc>
        <w:tc>
          <w:tcPr>
            <w:tcW w:w="909" w:type="dxa"/>
            <w:shd w:val="clear" w:color="auto" w:fill="C4EFCE"/>
            <w:noWrap/>
            <w:tcMar>
              <w:left w:w="28" w:type="dxa"/>
              <w:right w:w="28" w:type="dxa"/>
            </w:tcMar>
            <w:vAlign w:val="center"/>
            <w:hideMark/>
          </w:tcPr>
          <w:p w14:paraId="6D2C816C" w14:textId="04080BA1"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61" w:type="dxa"/>
            <w:shd w:val="clear" w:color="auto" w:fill="C4EFCE"/>
            <w:noWrap/>
            <w:tcMar>
              <w:left w:w="28" w:type="dxa"/>
              <w:right w:w="28" w:type="dxa"/>
            </w:tcMar>
            <w:vAlign w:val="center"/>
            <w:hideMark/>
          </w:tcPr>
          <w:p w14:paraId="5F6E0C5C" w14:textId="43B2C062"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4" w:type="dxa"/>
            <w:shd w:val="clear" w:color="auto" w:fill="C4EFCE"/>
            <w:noWrap/>
            <w:tcMar>
              <w:left w:w="28" w:type="dxa"/>
              <w:right w:w="28" w:type="dxa"/>
            </w:tcMar>
            <w:vAlign w:val="center"/>
            <w:hideMark/>
          </w:tcPr>
          <w:p w14:paraId="1BDD16A4" w14:textId="3B8B3F7A"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80" w:type="dxa"/>
            <w:shd w:val="clear" w:color="auto" w:fill="C4EFCE"/>
            <w:noWrap/>
            <w:tcMar>
              <w:left w:w="28" w:type="dxa"/>
              <w:right w:w="28" w:type="dxa"/>
            </w:tcMar>
            <w:vAlign w:val="center"/>
            <w:hideMark/>
          </w:tcPr>
          <w:p w14:paraId="0BBA56AA" w14:textId="7ADC1E3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06" w:type="dxa"/>
            <w:shd w:val="clear" w:color="auto" w:fill="C4EFCE"/>
            <w:noWrap/>
            <w:tcMar>
              <w:left w:w="28" w:type="dxa"/>
              <w:right w:w="28" w:type="dxa"/>
            </w:tcMar>
            <w:vAlign w:val="center"/>
            <w:hideMark/>
          </w:tcPr>
          <w:p w14:paraId="069B7D5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5456" w:type="dxa"/>
            <w:shd w:val="clear" w:color="auto" w:fill="C4EFCE"/>
            <w:noWrap/>
            <w:tcMar>
              <w:left w:w="28" w:type="dxa"/>
              <w:right w:w="28" w:type="dxa"/>
            </w:tcMar>
            <w:vAlign w:val="center"/>
            <w:hideMark/>
          </w:tcPr>
          <w:p w14:paraId="3639D3BD" w14:textId="067CE0AD"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Dokončila implementáciu „</w:t>
            </w:r>
            <w:r w:rsidRPr="003F23AC">
              <w:rPr>
                <w:rFonts w:ascii="Times New Roman" w:hAnsi="Times New Roman" w:cs="Times New Roman"/>
                <w:i/>
                <w:noProof/>
                <w:lang w:val="sk-SK"/>
              </w:rPr>
              <w:t>Sistema de Gestão de Património Imobiliário Público“</w:t>
            </w:r>
            <w:r w:rsidRPr="003F23AC">
              <w:rPr>
                <w:rFonts w:ascii="Times New Roman" w:hAnsi="Times New Roman" w:cs="Times New Roman"/>
                <w:noProof/>
                <w:lang w:val="sk-SK"/>
              </w:rPr>
              <w:t xml:space="preserve"> (SIGPIP), ktorá spravuje informácie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verejnom majetku</w:t>
            </w:r>
            <w:r w:rsidR="00A75B3C" w:rsidRPr="003F23AC">
              <w:rPr>
                <w:rFonts w:ascii="Times New Roman" w:hAnsi="Times New Roman" w:cs="Times New Roman"/>
                <w:noProof/>
                <w:lang w:val="sk-SK"/>
              </w:rPr>
              <w:t>.</w:t>
            </w:r>
          </w:p>
          <w:p w14:paraId="16254F2D" w14:textId="35FF348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Dva nové informačné systémy, ktoré sú</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prevádzke na inventarizáciu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monitorovanie vozidiel vo vlastníctve štátu.</w:t>
            </w:r>
          </w:p>
        </w:tc>
      </w:tr>
      <w:tr w:rsidR="00387C70" w:rsidRPr="003F23AC" w14:paraId="29D028EC" w14:textId="77777777" w:rsidTr="008E475E">
        <w:trPr>
          <w:trHeight w:val="430"/>
        </w:trPr>
        <w:tc>
          <w:tcPr>
            <w:tcW w:w="1043" w:type="dxa"/>
            <w:gridSpan w:val="2"/>
            <w:shd w:val="clear" w:color="auto" w:fill="C4EFCE"/>
            <w:tcMar>
              <w:left w:w="28" w:type="dxa"/>
              <w:right w:w="28" w:type="dxa"/>
            </w:tcMar>
            <w:vAlign w:val="center"/>
            <w:hideMark/>
          </w:tcPr>
          <w:p w14:paraId="339504D8" w14:textId="62CAECE8"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17.14</w:t>
            </w:r>
          </w:p>
        </w:tc>
        <w:tc>
          <w:tcPr>
            <w:tcW w:w="1161" w:type="dxa"/>
            <w:shd w:val="clear" w:color="auto" w:fill="C4EFCE"/>
            <w:noWrap/>
            <w:tcMar>
              <w:left w:w="28" w:type="dxa"/>
              <w:right w:w="28" w:type="dxa"/>
            </w:tcMar>
            <w:vAlign w:val="center"/>
            <w:hideMark/>
          </w:tcPr>
          <w:p w14:paraId="76E795F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TD-C17-i01</w:t>
            </w:r>
          </w:p>
        </w:tc>
        <w:tc>
          <w:tcPr>
            <w:tcW w:w="1034" w:type="dxa"/>
            <w:shd w:val="clear" w:color="auto" w:fill="C4EFCE"/>
            <w:noWrap/>
            <w:tcMar>
              <w:left w:w="28" w:type="dxa"/>
              <w:right w:w="28" w:type="dxa"/>
            </w:tcMar>
            <w:vAlign w:val="center"/>
            <w:hideMark/>
          </w:tcPr>
          <w:p w14:paraId="2D718AE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hideMark/>
          </w:tcPr>
          <w:p w14:paraId="77EAE67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Dokončiť realizáciu bezpečnostného operačného centra</w:t>
            </w:r>
          </w:p>
        </w:tc>
        <w:tc>
          <w:tcPr>
            <w:tcW w:w="1356" w:type="dxa"/>
            <w:shd w:val="clear" w:color="auto" w:fill="C4EFCE"/>
            <w:noWrap/>
            <w:tcMar>
              <w:left w:w="28" w:type="dxa"/>
              <w:right w:w="28" w:type="dxa"/>
            </w:tcMar>
            <w:vAlign w:val="center"/>
            <w:hideMark/>
          </w:tcPr>
          <w:p w14:paraId="0998F4B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realizácie bezpečnostného operačného centra</w:t>
            </w:r>
          </w:p>
        </w:tc>
        <w:tc>
          <w:tcPr>
            <w:tcW w:w="909" w:type="dxa"/>
            <w:shd w:val="clear" w:color="auto" w:fill="C4EFCE"/>
            <w:noWrap/>
            <w:tcMar>
              <w:left w:w="28" w:type="dxa"/>
              <w:right w:w="28" w:type="dxa"/>
            </w:tcMar>
            <w:vAlign w:val="center"/>
            <w:hideMark/>
          </w:tcPr>
          <w:p w14:paraId="4BF1106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61" w:type="dxa"/>
            <w:shd w:val="clear" w:color="auto" w:fill="C4EFCE"/>
            <w:noWrap/>
            <w:tcMar>
              <w:left w:w="28" w:type="dxa"/>
              <w:right w:w="28" w:type="dxa"/>
            </w:tcMar>
            <w:vAlign w:val="center"/>
            <w:hideMark/>
          </w:tcPr>
          <w:p w14:paraId="7A0E5BC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4" w:type="dxa"/>
            <w:shd w:val="clear" w:color="auto" w:fill="C4EFCE"/>
            <w:noWrap/>
            <w:tcMar>
              <w:left w:w="28" w:type="dxa"/>
              <w:right w:w="28" w:type="dxa"/>
            </w:tcMar>
            <w:vAlign w:val="center"/>
            <w:hideMark/>
          </w:tcPr>
          <w:p w14:paraId="13E331B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0" w:type="dxa"/>
            <w:shd w:val="clear" w:color="auto" w:fill="C4EFCE"/>
            <w:noWrap/>
            <w:tcMar>
              <w:left w:w="28" w:type="dxa"/>
              <w:right w:w="28" w:type="dxa"/>
            </w:tcMar>
            <w:vAlign w:val="center"/>
            <w:hideMark/>
          </w:tcPr>
          <w:p w14:paraId="0DF70649" w14:textId="311BF73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58B8D8F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5456" w:type="dxa"/>
            <w:shd w:val="clear" w:color="auto" w:fill="C4EFCE"/>
            <w:noWrap/>
            <w:tcMar>
              <w:left w:w="28" w:type="dxa"/>
              <w:right w:w="28" w:type="dxa"/>
            </w:tcMar>
            <w:vAlign w:val="center"/>
            <w:hideMark/>
          </w:tcPr>
          <w:p w14:paraId="46684948" w14:textId="2104E42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Dokončenie realizácie bezpečnostného operačného centra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umožniť zvýšenú informačnú bezpečnosť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údajom, ako aj vykonávanie bezpečnostných politík</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riešení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kybernetickej bezpečnosti.</w:t>
            </w:r>
          </w:p>
        </w:tc>
      </w:tr>
      <w:tr w:rsidR="00387C70" w:rsidRPr="003F23AC" w14:paraId="5362F69D" w14:textId="77777777" w:rsidTr="008E475E">
        <w:trPr>
          <w:trHeight w:val="640"/>
        </w:trPr>
        <w:tc>
          <w:tcPr>
            <w:tcW w:w="1043" w:type="dxa"/>
            <w:gridSpan w:val="2"/>
            <w:shd w:val="clear" w:color="auto" w:fill="C4EFCE"/>
            <w:tcMar>
              <w:left w:w="28" w:type="dxa"/>
              <w:right w:w="28" w:type="dxa"/>
            </w:tcMar>
            <w:vAlign w:val="center"/>
            <w:hideMark/>
          </w:tcPr>
          <w:p w14:paraId="31BEB070" w14:textId="6A625FBD"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17.15</w:t>
            </w:r>
          </w:p>
        </w:tc>
        <w:tc>
          <w:tcPr>
            <w:tcW w:w="1161" w:type="dxa"/>
            <w:shd w:val="clear" w:color="auto" w:fill="C4EFCE"/>
            <w:noWrap/>
            <w:tcMar>
              <w:left w:w="28" w:type="dxa"/>
              <w:right w:w="28" w:type="dxa"/>
            </w:tcMar>
            <w:vAlign w:val="center"/>
            <w:hideMark/>
          </w:tcPr>
          <w:p w14:paraId="7B83963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TD-C17-i02</w:t>
            </w:r>
          </w:p>
        </w:tc>
        <w:tc>
          <w:tcPr>
            <w:tcW w:w="1034" w:type="dxa"/>
            <w:shd w:val="clear" w:color="auto" w:fill="C4EFCE"/>
            <w:noWrap/>
            <w:tcMar>
              <w:left w:w="28" w:type="dxa"/>
              <w:right w:w="28" w:type="dxa"/>
            </w:tcMar>
            <w:vAlign w:val="center"/>
            <w:hideMark/>
          </w:tcPr>
          <w:p w14:paraId="0225F06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hideMark/>
          </w:tcPr>
          <w:p w14:paraId="04838897" w14:textId="51BB67A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Dokončiť predbežné vyplnenie vyhlásenia vo vzore 1 komunálnej dane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nehnuteľností (IMI) na základe údajov dostupných daňovému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colnému úradu</w:t>
            </w:r>
          </w:p>
        </w:tc>
        <w:tc>
          <w:tcPr>
            <w:tcW w:w="1356" w:type="dxa"/>
            <w:shd w:val="clear" w:color="auto" w:fill="C4EFCE"/>
            <w:noWrap/>
            <w:tcMar>
              <w:left w:w="28" w:type="dxa"/>
              <w:right w:w="28" w:type="dxa"/>
            </w:tcMar>
            <w:vAlign w:val="center"/>
            <w:hideMark/>
          </w:tcPr>
          <w:p w14:paraId="451BCA0C" w14:textId="38FA109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Dokončiť predbežné vyplnenie vyhlásenia vo vzore 1 komunálnej dane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nehnuteľností (IMI)</w:t>
            </w:r>
          </w:p>
        </w:tc>
        <w:tc>
          <w:tcPr>
            <w:tcW w:w="909" w:type="dxa"/>
            <w:shd w:val="clear" w:color="auto" w:fill="C4EFCE"/>
            <w:noWrap/>
            <w:tcMar>
              <w:left w:w="28" w:type="dxa"/>
              <w:right w:w="28" w:type="dxa"/>
            </w:tcMar>
            <w:vAlign w:val="center"/>
            <w:hideMark/>
          </w:tcPr>
          <w:p w14:paraId="5622F9E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61" w:type="dxa"/>
            <w:shd w:val="clear" w:color="auto" w:fill="C4EFCE"/>
            <w:noWrap/>
            <w:tcMar>
              <w:left w:w="28" w:type="dxa"/>
              <w:right w:w="28" w:type="dxa"/>
            </w:tcMar>
            <w:vAlign w:val="center"/>
            <w:hideMark/>
          </w:tcPr>
          <w:p w14:paraId="16D8FAE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4" w:type="dxa"/>
            <w:shd w:val="clear" w:color="auto" w:fill="C4EFCE"/>
            <w:noWrap/>
            <w:tcMar>
              <w:left w:w="28" w:type="dxa"/>
              <w:right w:w="28" w:type="dxa"/>
            </w:tcMar>
            <w:vAlign w:val="center"/>
            <w:hideMark/>
          </w:tcPr>
          <w:p w14:paraId="1D1DC19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0" w:type="dxa"/>
            <w:shd w:val="clear" w:color="auto" w:fill="C4EFCE"/>
            <w:noWrap/>
            <w:tcMar>
              <w:left w:w="28" w:type="dxa"/>
              <w:right w:w="28" w:type="dxa"/>
            </w:tcMar>
            <w:vAlign w:val="center"/>
            <w:hideMark/>
          </w:tcPr>
          <w:p w14:paraId="19997423" w14:textId="57D294F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06" w:type="dxa"/>
            <w:shd w:val="clear" w:color="auto" w:fill="C4EFCE"/>
            <w:noWrap/>
            <w:tcMar>
              <w:left w:w="28" w:type="dxa"/>
              <w:right w:w="28" w:type="dxa"/>
            </w:tcMar>
            <w:vAlign w:val="center"/>
            <w:hideMark/>
          </w:tcPr>
          <w:p w14:paraId="2F091CD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5456" w:type="dxa"/>
            <w:shd w:val="clear" w:color="auto" w:fill="C4EFCE"/>
            <w:noWrap/>
            <w:tcMar>
              <w:left w:w="28" w:type="dxa"/>
              <w:right w:w="28" w:type="dxa"/>
            </w:tcMar>
            <w:vAlign w:val="center"/>
            <w:hideMark/>
          </w:tcPr>
          <w:p w14:paraId="0BA4FBF7" w14:textId="49CB6B2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Výmena údajov medzi daňovým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colným úradom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obcami na predbežné vyplnenie vyhlásenia vo vzore 1 obecnej dane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nehnuteľností („</w:t>
            </w:r>
            <w:r w:rsidRPr="003F23AC">
              <w:rPr>
                <w:rFonts w:ascii="Times New Roman" w:hAnsi="Times New Roman" w:cs="Times New Roman"/>
                <w:i/>
                <w:noProof/>
                <w:lang w:val="sk-SK"/>
              </w:rPr>
              <w:t>Imosto Municipal sobre Imóveis</w:t>
            </w:r>
            <w:r w:rsidRPr="003F23AC">
              <w:rPr>
                <w:rFonts w:ascii="Times New Roman" w:hAnsi="Times New Roman" w:cs="Times New Roman"/>
                <w:noProof/>
                <w:lang w:val="sk-SK"/>
              </w:rPr>
              <w:t>“, IMI)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využitím existujúcich informácií</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nehnuteľnostiach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príslušných informačných systémoch.</w:t>
            </w:r>
          </w:p>
        </w:tc>
      </w:tr>
      <w:tr w:rsidR="00387C70" w:rsidRPr="003F23AC" w14:paraId="0B05BC3F" w14:textId="77777777" w:rsidTr="008E475E">
        <w:trPr>
          <w:trHeight w:val="640"/>
        </w:trPr>
        <w:tc>
          <w:tcPr>
            <w:tcW w:w="1043" w:type="dxa"/>
            <w:gridSpan w:val="2"/>
            <w:shd w:val="clear" w:color="auto" w:fill="C4EFCE"/>
            <w:tcMar>
              <w:left w:w="28" w:type="dxa"/>
              <w:right w:w="28" w:type="dxa"/>
            </w:tcMar>
            <w:vAlign w:val="center"/>
          </w:tcPr>
          <w:p w14:paraId="62EFB6DD" w14:textId="15BA45D9"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17.21</w:t>
            </w:r>
          </w:p>
        </w:tc>
        <w:tc>
          <w:tcPr>
            <w:tcW w:w="1161" w:type="dxa"/>
            <w:shd w:val="clear" w:color="auto" w:fill="C4EFCE"/>
            <w:noWrap/>
            <w:tcMar>
              <w:left w:w="28" w:type="dxa"/>
              <w:right w:w="28" w:type="dxa"/>
            </w:tcMar>
            <w:vAlign w:val="center"/>
          </w:tcPr>
          <w:p w14:paraId="21471993" w14:textId="2900E5A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TD-C17-i02</w:t>
            </w:r>
          </w:p>
        </w:tc>
        <w:tc>
          <w:tcPr>
            <w:tcW w:w="1034" w:type="dxa"/>
            <w:shd w:val="clear" w:color="auto" w:fill="C4EFCE"/>
            <w:noWrap/>
            <w:tcMar>
              <w:left w:w="28" w:type="dxa"/>
              <w:right w:w="28" w:type="dxa"/>
            </w:tcMar>
            <w:vAlign w:val="center"/>
          </w:tcPr>
          <w:p w14:paraId="3FACD559" w14:textId="22769DF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tcPr>
          <w:p w14:paraId="648192F8" w14:textId="3B97015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Dokončiť vykonávanie predbežného plnenia konkrétnej transakcie podliehajúcej kolkovej dani</w:t>
            </w:r>
          </w:p>
        </w:tc>
        <w:tc>
          <w:tcPr>
            <w:tcW w:w="1356" w:type="dxa"/>
            <w:shd w:val="clear" w:color="auto" w:fill="C4EFCE"/>
            <w:noWrap/>
            <w:tcMar>
              <w:left w:w="28" w:type="dxa"/>
              <w:right w:w="28" w:type="dxa"/>
            </w:tcMar>
            <w:vAlign w:val="center"/>
          </w:tcPr>
          <w:p w14:paraId="59F0138D" w14:textId="2B1A728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Ukončenie vykonávania predbežného plnenia konkrétnej transakcie podliehajúcej kolkovej dani</w:t>
            </w:r>
          </w:p>
        </w:tc>
        <w:tc>
          <w:tcPr>
            <w:tcW w:w="909" w:type="dxa"/>
            <w:shd w:val="clear" w:color="auto" w:fill="C4EFCE"/>
            <w:noWrap/>
            <w:tcMar>
              <w:left w:w="28" w:type="dxa"/>
              <w:right w:w="28" w:type="dxa"/>
            </w:tcMar>
            <w:vAlign w:val="center"/>
          </w:tcPr>
          <w:p w14:paraId="6A2AF1CB"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61" w:type="dxa"/>
            <w:shd w:val="clear" w:color="auto" w:fill="C4EFCE"/>
            <w:noWrap/>
            <w:tcMar>
              <w:left w:w="28" w:type="dxa"/>
              <w:right w:w="28" w:type="dxa"/>
            </w:tcMar>
            <w:vAlign w:val="center"/>
          </w:tcPr>
          <w:p w14:paraId="0C8AF654"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4" w:type="dxa"/>
            <w:shd w:val="clear" w:color="auto" w:fill="C4EFCE"/>
            <w:noWrap/>
            <w:tcMar>
              <w:left w:w="28" w:type="dxa"/>
              <w:right w:w="28" w:type="dxa"/>
            </w:tcMar>
            <w:vAlign w:val="center"/>
          </w:tcPr>
          <w:p w14:paraId="4A18B87A"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80" w:type="dxa"/>
            <w:shd w:val="clear" w:color="auto" w:fill="C4EFCE"/>
            <w:noWrap/>
            <w:tcMar>
              <w:left w:w="28" w:type="dxa"/>
              <w:right w:w="28" w:type="dxa"/>
            </w:tcMar>
            <w:vAlign w:val="center"/>
          </w:tcPr>
          <w:p w14:paraId="3169F07F" w14:textId="1FFD224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tcPr>
          <w:p w14:paraId="483BF940" w14:textId="6003A4D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5456" w:type="dxa"/>
            <w:shd w:val="clear" w:color="auto" w:fill="C4EFCE"/>
            <w:noWrap/>
            <w:tcMar>
              <w:left w:w="28" w:type="dxa"/>
              <w:right w:w="28" w:type="dxa"/>
            </w:tcMar>
            <w:vAlign w:val="center"/>
          </w:tcPr>
          <w:p w14:paraId="3FD5E02C" w14:textId="48D4BDA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Dokončiť vykonávanie služieb predbežného plnenia pri transakciách týkajúcich sa nehnuteľností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prevodov vozidiel podliehajúcich kolkovej dani (ďalej len</w:t>
            </w:r>
            <w:r w:rsidRPr="003F23AC">
              <w:rPr>
                <w:rFonts w:ascii="Times New Roman" w:hAnsi="Times New Roman" w:cs="Times New Roman"/>
                <w:i/>
                <w:noProof/>
                <w:lang w:val="sk-SK"/>
              </w:rPr>
              <w:t>„Imposto de Selo</w:t>
            </w:r>
            <w:r w:rsidRPr="003F23AC">
              <w:rPr>
                <w:rFonts w:ascii="Times New Roman" w:hAnsi="Times New Roman" w:cs="Times New Roman"/>
                <w:noProof/>
                <w:lang w:val="sk-SK"/>
              </w:rPr>
              <w:t>“), pričom sa využijú existujúce informácie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nehnuteľnostiach, ktoré majú</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dispozícii daňové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colné orgány, Inštitút pre mobilitu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dopravu</w:t>
            </w:r>
            <w:r w:rsidRPr="003F23AC">
              <w:rPr>
                <w:rFonts w:ascii="Times New Roman" w:hAnsi="Times New Roman" w:cs="Times New Roman"/>
                <w:i/>
                <w:noProof/>
                <w:lang w:val="sk-SK"/>
              </w:rPr>
              <w:t xml:space="preserve">. </w:t>
            </w:r>
            <w:r w:rsidRPr="003F23AC">
              <w:rPr>
                <w:rFonts w:ascii="Times New Roman" w:hAnsi="Times New Roman" w:cs="Times New Roman"/>
                <w:noProof/>
                <w:lang w:val="sk-SK"/>
              </w:rPr>
              <w:t>(IMT)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Inštitút pre registre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notárov (IRN).</w:t>
            </w:r>
          </w:p>
        </w:tc>
      </w:tr>
      <w:tr w:rsidR="00387C70" w:rsidRPr="003F23AC" w14:paraId="5A586D67" w14:textId="77777777" w:rsidTr="008E475E">
        <w:trPr>
          <w:trHeight w:val="430"/>
        </w:trPr>
        <w:tc>
          <w:tcPr>
            <w:tcW w:w="1043" w:type="dxa"/>
            <w:gridSpan w:val="2"/>
            <w:shd w:val="clear" w:color="auto" w:fill="C4EFCE"/>
            <w:tcMar>
              <w:left w:w="28" w:type="dxa"/>
              <w:right w:w="28" w:type="dxa"/>
            </w:tcMar>
            <w:vAlign w:val="center"/>
            <w:hideMark/>
          </w:tcPr>
          <w:p w14:paraId="169BD49B" w14:textId="22DC1B0C"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17.16</w:t>
            </w:r>
          </w:p>
        </w:tc>
        <w:tc>
          <w:tcPr>
            <w:tcW w:w="1161" w:type="dxa"/>
            <w:shd w:val="clear" w:color="auto" w:fill="C4EFCE"/>
            <w:noWrap/>
            <w:tcMar>
              <w:left w:w="28" w:type="dxa"/>
              <w:right w:w="28" w:type="dxa"/>
            </w:tcMar>
            <w:vAlign w:val="center"/>
            <w:hideMark/>
          </w:tcPr>
          <w:p w14:paraId="7338038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TD-C17-i02</w:t>
            </w:r>
          </w:p>
        </w:tc>
        <w:tc>
          <w:tcPr>
            <w:tcW w:w="1034" w:type="dxa"/>
            <w:shd w:val="clear" w:color="auto" w:fill="C4EFCE"/>
            <w:noWrap/>
            <w:tcMar>
              <w:left w:w="28" w:type="dxa"/>
              <w:right w:w="28" w:type="dxa"/>
            </w:tcMar>
            <w:vAlign w:val="center"/>
            <w:hideMark/>
          </w:tcPr>
          <w:p w14:paraId="46ECBF0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hideMark/>
          </w:tcPr>
          <w:p w14:paraId="0369D0DB" w14:textId="4C3D617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Poskytnutie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sprevádzkovanie konečnej verzie informačného systému na podporu zjednodušeného posudzovania vidieckych nehnuteľností</w:t>
            </w:r>
          </w:p>
        </w:tc>
        <w:tc>
          <w:tcPr>
            <w:tcW w:w="1356" w:type="dxa"/>
            <w:shd w:val="clear" w:color="auto" w:fill="C4EFCE"/>
            <w:noWrap/>
            <w:tcMar>
              <w:left w:w="28" w:type="dxa"/>
              <w:right w:w="28" w:type="dxa"/>
            </w:tcMar>
            <w:vAlign w:val="center"/>
            <w:hideMark/>
          </w:tcPr>
          <w:p w14:paraId="0D7E1C75" w14:textId="794BBA1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Poskytnutie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sprevádzkovanie konečnej verzie informačného systému na podporu zjednodušeného posudzovania vidieckych nehnuteľností</w:t>
            </w:r>
          </w:p>
        </w:tc>
        <w:tc>
          <w:tcPr>
            <w:tcW w:w="909" w:type="dxa"/>
            <w:shd w:val="clear" w:color="auto" w:fill="C4EFCE"/>
            <w:noWrap/>
            <w:tcMar>
              <w:left w:w="28" w:type="dxa"/>
              <w:right w:w="28" w:type="dxa"/>
            </w:tcMar>
            <w:vAlign w:val="center"/>
            <w:hideMark/>
          </w:tcPr>
          <w:p w14:paraId="3A165F2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61" w:type="dxa"/>
            <w:shd w:val="clear" w:color="auto" w:fill="C4EFCE"/>
            <w:noWrap/>
            <w:tcMar>
              <w:left w:w="28" w:type="dxa"/>
              <w:right w:w="28" w:type="dxa"/>
            </w:tcMar>
            <w:vAlign w:val="center"/>
            <w:hideMark/>
          </w:tcPr>
          <w:p w14:paraId="074CA91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04" w:type="dxa"/>
            <w:shd w:val="clear" w:color="auto" w:fill="C4EFCE"/>
            <w:noWrap/>
            <w:tcMar>
              <w:left w:w="28" w:type="dxa"/>
              <w:right w:w="28" w:type="dxa"/>
            </w:tcMar>
            <w:vAlign w:val="center"/>
            <w:hideMark/>
          </w:tcPr>
          <w:p w14:paraId="2300B0D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80" w:type="dxa"/>
            <w:shd w:val="clear" w:color="auto" w:fill="C4EFCE"/>
            <w:noWrap/>
            <w:tcMar>
              <w:left w:w="28" w:type="dxa"/>
              <w:right w:w="28" w:type="dxa"/>
            </w:tcMar>
            <w:vAlign w:val="center"/>
            <w:hideMark/>
          </w:tcPr>
          <w:p w14:paraId="6C8D6393" w14:textId="3E14E04E"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0731EA1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5456" w:type="dxa"/>
            <w:shd w:val="clear" w:color="auto" w:fill="C4EFCE"/>
            <w:noWrap/>
            <w:tcMar>
              <w:left w:w="28" w:type="dxa"/>
              <w:right w:w="28" w:type="dxa"/>
            </w:tcMar>
            <w:vAlign w:val="center"/>
            <w:hideMark/>
          </w:tcPr>
          <w:p w14:paraId="20EDB57E" w14:textId="470479B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Poskytnutie informačného systému podporujúceho zjednodušené posudzovanie vidieckeho majetku ako pomocného opatrenia</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všeobecnému prehodnoteniu tohto druhu nehnuteľností.</w:t>
            </w:r>
          </w:p>
        </w:tc>
      </w:tr>
      <w:tr w:rsidR="00387C70" w:rsidRPr="003F23AC" w14:paraId="4384BCD2" w14:textId="77777777" w:rsidTr="008E475E">
        <w:trPr>
          <w:trHeight w:val="640"/>
        </w:trPr>
        <w:tc>
          <w:tcPr>
            <w:tcW w:w="1043" w:type="dxa"/>
            <w:gridSpan w:val="2"/>
            <w:shd w:val="clear" w:color="auto" w:fill="C4EFCE"/>
            <w:tcMar>
              <w:left w:w="28" w:type="dxa"/>
              <w:right w:w="28" w:type="dxa"/>
            </w:tcMar>
            <w:vAlign w:val="center"/>
            <w:hideMark/>
          </w:tcPr>
          <w:p w14:paraId="0D69DEF7" w14:textId="1C27A11A"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17.17</w:t>
            </w:r>
          </w:p>
        </w:tc>
        <w:tc>
          <w:tcPr>
            <w:tcW w:w="1161" w:type="dxa"/>
            <w:shd w:val="clear" w:color="auto" w:fill="C4EFCE"/>
            <w:noWrap/>
            <w:tcMar>
              <w:left w:w="28" w:type="dxa"/>
              <w:right w:w="28" w:type="dxa"/>
            </w:tcMar>
            <w:vAlign w:val="center"/>
            <w:hideMark/>
          </w:tcPr>
          <w:p w14:paraId="319B555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TD-C17-i02</w:t>
            </w:r>
          </w:p>
        </w:tc>
        <w:tc>
          <w:tcPr>
            <w:tcW w:w="1034" w:type="dxa"/>
            <w:shd w:val="clear" w:color="auto" w:fill="C4EFCE"/>
            <w:noWrap/>
            <w:tcMar>
              <w:left w:w="28" w:type="dxa"/>
              <w:right w:w="28" w:type="dxa"/>
            </w:tcMar>
            <w:vAlign w:val="center"/>
            <w:hideMark/>
          </w:tcPr>
          <w:p w14:paraId="2F25B982" w14:textId="37BDAA6A"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39" w:type="dxa"/>
            <w:shd w:val="clear" w:color="auto" w:fill="C4EFCE"/>
            <w:noWrap/>
            <w:tcMar>
              <w:left w:w="28" w:type="dxa"/>
              <w:right w:w="28" w:type="dxa"/>
            </w:tcMar>
            <w:vAlign w:val="center"/>
            <w:hideMark/>
          </w:tcPr>
          <w:p w14:paraId="554A6DF7" w14:textId="51E5345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Dokončiť charakterizáciu edafo-klimatomorfologických (pôd</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podnebie)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posúdenie ekonomického potenciálu vidieckych vlastností</w:t>
            </w:r>
          </w:p>
        </w:tc>
        <w:tc>
          <w:tcPr>
            <w:tcW w:w="1356" w:type="dxa"/>
            <w:shd w:val="clear" w:color="auto" w:fill="C4EFCE"/>
            <w:noWrap/>
            <w:tcMar>
              <w:left w:w="28" w:type="dxa"/>
              <w:right w:w="28" w:type="dxa"/>
            </w:tcMar>
            <w:vAlign w:val="center"/>
            <w:hideMark/>
          </w:tcPr>
          <w:p w14:paraId="23699059" w14:textId="77777777" w:rsidR="00387C70" w:rsidRPr="003F23AC" w:rsidRDefault="000F5AA4" w:rsidP="003F23AC">
            <w:pPr>
              <w:pStyle w:val="P68B1DB1-Normal9"/>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09" w:type="dxa"/>
            <w:shd w:val="clear" w:color="auto" w:fill="C4EFCE"/>
            <w:noWrap/>
            <w:tcMar>
              <w:left w:w="28" w:type="dxa"/>
              <w:right w:w="28" w:type="dxa"/>
            </w:tcMar>
            <w:vAlign w:val="center"/>
            <w:hideMark/>
          </w:tcPr>
          <w:p w14:paraId="23D3643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w:t>
            </w:r>
          </w:p>
        </w:tc>
        <w:tc>
          <w:tcPr>
            <w:tcW w:w="861" w:type="dxa"/>
            <w:shd w:val="clear" w:color="auto" w:fill="C4EFCE"/>
            <w:noWrap/>
            <w:tcMar>
              <w:left w:w="28" w:type="dxa"/>
              <w:right w:w="28" w:type="dxa"/>
            </w:tcMar>
            <w:vAlign w:val="center"/>
            <w:hideMark/>
          </w:tcPr>
          <w:p w14:paraId="7FB8B9E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4" w:type="dxa"/>
            <w:shd w:val="clear" w:color="auto" w:fill="C4EFCE"/>
            <w:noWrap/>
            <w:tcMar>
              <w:left w:w="28" w:type="dxa"/>
              <w:right w:w="28" w:type="dxa"/>
            </w:tcMar>
            <w:vAlign w:val="center"/>
            <w:hideMark/>
          </w:tcPr>
          <w:p w14:paraId="6CC0623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90</w:t>
            </w:r>
          </w:p>
        </w:tc>
        <w:tc>
          <w:tcPr>
            <w:tcW w:w="780" w:type="dxa"/>
            <w:shd w:val="clear" w:color="auto" w:fill="C4EFCE"/>
            <w:noWrap/>
            <w:tcMar>
              <w:left w:w="28" w:type="dxa"/>
              <w:right w:w="28" w:type="dxa"/>
            </w:tcMar>
            <w:vAlign w:val="center"/>
            <w:hideMark/>
          </w:tcPr>
          <w:p w14:paraId="2B8440D4" w14:textId="5C6372DE"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0BB7DA1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5456" w:type="dxa"/>
            <w:shd w:val="clear" w:color="auto" w:fill="C4EFCE"/>
            <w:noWrap/>
            <w:tcMar>
              <w:left w:w="28" w:type="dxa"/>
              <w:right w:w="28" w:type="dxa"/>
            </w:tcMar>
            <w:vAlign w:val="center"/>
            <w:hideMark/>
          </w:tcPr>
          <w:p w14:paraId="27355182" w14:textId="75DBE32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Percentuálny podiel vidieckej oblasti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kontinentálnom Portugalsku, ktorej charakterizácia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posúdenie hospodárskeho potenciálu edafo-klimato-morfologické (pôda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podnebie) sa doplní, pričom sa podporí vypracovaním georeferenčného riešenia riadenia informácií.</w:t>
            </w:r>
          </w:p>
        </w:tc>
      </w:tr>
      <w:tr w:rsidR="00387C70" w:rsidRPr="003F23AC" w14:paraId="636011DB" w14:textId="77777777" w:rsidTr="008E475E">
        <w:trPr>
          <w:trHeight w:val="1270"/>
        </w:trPr>
        <w:tc>
          <w:tcPr>
            <w:tcW w:w="1043" w:type="dxa"/>
            <w:gridSpan w:val="2"/>
            <w:shd w:val="clear" w:color="auto" w:fill="C4EFCE"/>
            <w:tcMar>
              <w:left w:w="28" w:type="dxa"/>
              <w:right w:w="28" w:type="dxa"/>
            </w:tcMar>
            <w:vAlign w:val="center"/>
            <w:hideMark/>
          </w:tcPr>
          <w:p w14:paraId="564CA0E6" w14:textId="3B2D5A91"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17.18</w:t>
            </w:r>
          </w:p>
        </w:tc>
        <w:tc>
          <w:tcPr>
            <w:tcW w:w="1161" w:type="dxa"/>
            <w:shd w:val="clear" w:color="auto" w:fill="C4EFCE"/>
            <w:noWrap/>
            <w:tcMar>
              <w:left w:w="28" w:type="dxa"/>
              <w:right w:w="28" w:type="dxa"/>
            </w:tcMar>
            <w:vAlign w:val="center"/>
            <w:hideMark/>
          </w:tcPr>
          <w:p w14:paraId="54C584E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TD-C17-i03</w:t>
            </w:r>
          </w:p>
        </w:tc>
        <w:tc>
          <w:tcPr>
            <w:tcW w:w="1034" w:type="dxa"/>
            <w:shd w:val="clear" w:color="auto" w:fill="C4EFCE"/>
            <w:noWrap/>
            <w:tcMar>
              <w:left w:w="28" w:type="dxa"/>
              <w:right w:w="28" w:type="dxa"/>
            </w:tcMar>
            <w:vAlign w:val="center"/>
            <w:hideMark/>
          </w:tcPr>
          <w:p w14:paraId="38875FBD" w14:textId="5866336F"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39" w:type="dxa"/>
            <w:shd w:val="clear" w:color="auto" w:fill="C4EFCE"/>
            <w:noWrap/>
            <w:tcMar>
              <w:left w:w="28" w:type="dxa"/>
              <w:right w:w="28" w:type="dxa"/>
            </w:tcMar>
            <w:vAlign w:val="center"/>
            <w:hideMark/>
          </w:tcPr>
          <w:p w14:paraId="3C70B1B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Rozšírenie funkcií webového sídla </w:t>
            </w:r>
            <w:r w:rsidRPr="003F23AC">
              <w:rPr>
                <w:rFonts w:ascii="Times New Roman" w:hAnsi="Times New Roman" w:cs="Times New Roman"/>
                <w:i/>
                <w:noProof/>
                <w:lang w:val="sk-SK"/>
              </w:rPr>
              <w:t>Segurança Social</w:t>
            </w:r>
            <w:r w:rsidRPr="003F23AC">
              <w:rPr>
                <w:rFonts w:ascii="Times New Roman" w:hAnsi="Times New Roman" w:cs="Times New Roman"/>
                <w:noProof/>
                <w:lang w:val="sk-SK"/>
              </w:rPr>
              <w:t xml:space="preserve"> Direta pridaním piatich nových online služieb</w:t>
            </w:r>
          </w:p>
        </w:tc>
        <w:tc>
          <w:tcPr>
            <w:tcW w:w="1356" w:type="dxa"/>
            <w:shd w:val="clear" w:color="auto" w:fill="C4EFCE"/>
            <w:noWrap/>
            <w:tcMar>
              <w:left w:w="28" w:type="dxa"/>
              <w:right w:w="28" w:type="dxa"/>
            </w:tcMar>
            <w:vAlign w:val="center"/>
            <w:hideMark/>
          </w:tcPr>
          <w:p w14:paraId="4A5FCF4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09" w:type="dxa"/>
            <w:shd w:val="clear" w:color="auto" w:fill="C4EFCE"/>
            <w:noWrap/>
            <w:tcMar>
              <w:left w:w="28" w:type="dxa"/>
              <w:right w:w="28" w:type="dxa"/>
            </w:tcMar>
            <w:vAlign w:val="center"/>
            <w:hideMark/>
          </w:tcPr>
          <w:p w14:paraId="58A0411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61" w:type="dxa"/>
            <w:shd w:val="clear" w:color="auto" w:fill="C4EFCE"/>
            <w:noWrap/>
            <w:tcMar>
              <w:left w:w="28" w:type="dxa"/>
              <w:right w:w="28" w:type="dxa"/>
            </w:tcMar>
            <w:vAlign w:val="center"/>
            <w:hideMark/>
          </w:tcPr>
          <w:p w14:paraId="16EE0F3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w:t>
            </w:r>
          </w:p>
        </w:tc>
        <w:tc>
          <w:tcPr>
            <w:tcW w:w="704" w:type="dxa"/>
            <w:shd w:val="clear" w:color="auto" w:fill="C4EFCE"/>
            <w:noWrap/>
            <w:tcMar>
              <w:left w:w="28" w:type="dxa"/>
              <w:right w:w="28" w:type="dxa"/>
            </w:tcMar>
            <w:vAlign w:val="center"/>
            <w:hideMark/>
          </w:tcPr>
          <w:p w14:paraId="45C9534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w:t>
            </w:r>
          </w:p>
        </w:tc>
        <w:tc>
          <w:tcPr>
            <w:tcW w:w="780" w:type="dxa"/>
            <w:shd w:val="clear" w:color="auto" w:fill="C4EFCE"/>
            <w:noWrap/>
            <w:tcMar>
              <w:left w:w="28" w:type="dxa"/>
              <w:right w:w="28" w:type="dxa"/>
            </w:tcMar>
            <w:vAlign w:val="center"/>
            <w:hideMark/>
          </w:tcPr>
          <w:p w14:paraId="578C45B2" w14:textId="582562F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3B5AB06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5456" w:type="dxa"/>
            <w:shd w:val="clear" w:color="auto" w:fill="C4EFCE"/>
            <w:noWrap/>
            <w:tcMar>
              <w:left w:w="28" w:type="dxa"/>
              <w:right w:w="28" w:type="dxa"/>
            </w:tcMar>
            <w:vAlign w:val="center"/>
            <w:hideMark/>
          </w:tcPr>
          <w:p w14:paraId="212D569A" w14:textId="55567E7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Počet nových online služieb pridaných na webovom sídle </w:t>
            </w:r>
            <w:r w:rsidRPr="003F23AC">
              <w:rPr>
                <w:rFonts w:ascii="Times New Roman" w:hAnsi="Times New Roman" w:cs="Times New Roman"/>
                <w:i/>
                <w:noProof/>
                <w:lang w:val="sk-SK"/>
              </w:rPr>
              <w:t>Segurança Social Direta</w:t>
            </w:r>
            <w:r w:rsidR="00A75B3C" w:rsidRPr="003F23AC">
              <w:rPr>
                <w:rFonts w:ascii="Times New Roman" w:hAnsi="Times New Roman" w:cs="Times New Roman"/>
                <w:i/>
                <w:noProof/>
                <w:lang w:val="sk-SK"/>
              </w:rPr>
              <w:t xml:space="preserve"> s </w:t>
            </w:r>
            <w:r w:rsidRPr="003F23AC">
              <w:rPr>
                <w:rFonts w:ascii="Times New Roman" w:hAnsi="Times New Roman" w:cs="Times New Roman"/>
                <w:noProof/>
                <w:lang w:val="sk-SK"/>
              </w:rPr>
              <w:t>cieľom rozšíriť jej funkcie, konkrétne: I) informačný systém technickej pomoci pre súdy – proces občianskoprávneho poručníctva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proces podpory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ochrany; II) doplnkové dávky – vyhlásenie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stave nezamestnanosti; III) </w:t>
            </w:r>
            <w:r w:rsidRPr="003F23AC">
              <w:rPr>
                <w:rFonts w:ascii="Times New Roman" w:hAnsi="Times New Roman" w:cs="Times New Roman"/>
                <w:i/>
                <w:noProof/>
                <w:lang w:val="sk-SK"/>
              </w:rPr>
              <w:t>rodinné dávky – prehodnotenie</w:t>
            </w:r>
            <w:r w:rsidRPr="003F23AC">
              <w:rPr>
                <w:rFonts w:ascii="Times New Roman" w:hAnsi="Times New Roman" w:cs="Times New Roman"/>
                <w:noProof/>
                <w:lang w:val="sk-SK"/>
              </w:rPr>
              <w:t>; IV) dotácie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dôvodu pozastavenia činnosti;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v) pozostalostný dôchodok. Cieľom je zvýšiť relatívnu váhu </w:t>
            </w:r>
            <w:r w:rsidRPr="003F23AC">
              <w:rPr>
                <w:rFonts w:ascii="Times New Roman" w:hAnsi="Times New Roman" w:cs="Times New Roman"/>
                <w:i/>
                <w:noProof/>
                <w:lang w:val="sk-SK"/>
              </w:rPr>
              <w:t>Segurança Social Direta vo</w:t>
            </w:r>
            <w:r w:rsidRPr="003F23AC">
              <w:rPr>
                <w:rFonts w:ascii="Times New Roman" w:hAnsi="Times New Roman" w:cs="Times New Roman"/>
                <w:noProof/>
                <w:lang w:val="sk-SK"/>
              </w:rPr>
              <w:t xml:space="preserve"> všetkých komunikačných kanáloch so sociálnym zabezpečením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kontexte zavedenia 360° plánu vízie.</w:t>
            </w:r>
          </w:p>
        </w:tc>
      </w:tr>
      <w:tr w:rsidR="00387C70" w:rsidRPr="003F23AC" w14:paraId="67757C18" w14:textId="77777777" w:rsidTr="008E475E">
        <w:trPr>
          <w:trHeight w:val="850"/>
        </w:trPr>
        <w:tc>
          <w:tcPr>
            <w:tcW w:w="1043" w:type="dxa"/>
            <w:gridSpan w:val="2"/>
            <w:shd w:val="clear" w:color="auto" w:fill="C4EFCE"/>
            <w:tcMar>
              <w:left w:w="28" w:type="dxa"/>
              <w:right w:w="28" w:type="dxa"/>
            </w:tcMar>
            <w:vAlign w:val="center"/>
            <w:hideMark/>
          </w:tcPr>
          <w:p w14:paraId="7799FC6F" w14:textId="77E3C44D"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17.19</w:t>
            </w:r>
          </w:p>
        </w:tc>
        <w:tc>
          <w:tcPr>
            <w:tcW w:w="1161" w:type="dxa"/>
            <w:shd w:val="clear" w:color="auto" w:fill="C4EFCE"/>
            <w:noWrap/>
            <w:tcMar>
              <w:left w:w="28" w:type="dxa"/>
              <w:right w:w="28" w:type="dxa"/>
            </w:tcMar>
            <w:vAlign w:val="center"/>
            <w:hideMark/>
          </w:tcPr>
          <w:p w14:paraId="6976348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TD-C17-i03</w:t>
            </w:r>
          </w:p>
        </w:tc>
        <w:tc>
          <w:tcPr>
            <w:tcW w:w="1034" w:type="dxa"/>
            <w:shd w:val="clear" w:color="auto" w:fill="C4EFCE"/>
            <w:noWrap/>
            <w:tcMar>
              <w:left w:w="28" w:type="dxa"/>
              <w:right w:w="28" w:type="dxa"/>
            </w:tcMar>
            <w:vAlign w:val="center"/>
            <w:hideMark/>
          </w:tcPr>
          <w:p w14:paraId="76C9B871" w14:textId="40F629D3"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39" w:type="dxa"/>
            <w:shd w:val="clear" w:color="auto" w:fill="C4EFCE"/>
            <w:noWrap/>
            <w:tcMar>
              <w:left w:w="28" w:type="dxa"/>
              <w:right w:w="28" w:type="dxa"/>
            </w:tcMar>
            <w:vAlign w:val="center"/>
            <w:hideMark/>
          </w:tcPr>
          <w:p w14:paraId="33B5B6FF" w14:textId="344613C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Zníženie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80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priemerného počtu dní potrebných na priznanie sociálnych dávok príspevkovej povahy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tých, ktorí majú priemernú dobu poskytovania dávok dlhšiu ako 10 dní</w:t>
            </w:r>
          </w:p>
        </w:tc>
        <w:tc>
          <w:tcPr>
            <w:tcW w:w="1356" w:type="dxa"/>
            <w:shd w:val="clear" w:color="auto" w:fill="C4EFCE"/>
            <w:noWrap/>
            <w:tcMar>
              <w:left w:w="28" w:type="dxa"/>
              <w:right w:w="28" w:type="dxa"/>
            </w:tcMar>
            <w:vAlign w:val="center"/>
            <w:hideMark/>
          </w:tcPr>
          <w:p w14:paraId="5D3A167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09" w:type="dxa"/>
            <w:shd w:val="clear" w:color="auto" w:fill="C4EFCE"/>
            <w:noWrap/>
            <w:tcMar>
              <w:left w:w="28" w:type="dxa"/>
              <w:right w:w="28" w:type="dxa"/>
            </w:tcMar>
            <w:vAlign w:val="center"/>
            <w:hideMark/>
          </w:tcPr>
          <w:p w14:paraId="187DF96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61" w:type="dxa"/>
            <w:shd w:val="clear" w:color="auto" w:fill="C4EFCE"/>
            <w:noWrap/>
            <w:tcMar>
              <w:left w:w="28" w:type="dxa"/>
              <w:right w:w="28" w:type="dxa"/>
            </w:tcMar>
            <w:vAlign w:val="center"/>
            <w:hideMark/>
          </w:tcPr>
          <w:p w14:paraId="33D4BFA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109</w:t>
            </w:r>
          </w:p>
        </w:tc>
        <w:tc>
          <w:tcPr>
            <w:tcW w:w="704" w:type="dxa"/>
            <w:shd w:val="clear" w:color="auto" w:fill="C4EFCE"/>
            <w:noWrap/>
            <w:tcMar>
              <w:left w:w="28" w:type="dxa"/>
              <w:right w:w="28" w:type="dxa"/>
            </w:tcMar>
            <w:vAlign w:val="center"/>
            <w:hideMark/>
          </w:tcPr>
          <w:p w14:paraId="03C9331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w:t>
            </w:r>
          </w:p>
        </w:tc>
        <w:tc>
          <w:tcPr>
            <w:tcW w:w="780" w:type="dxa"/>
            <w:shd w:val="clear" w:color="auto" w:fill="C4EFCE"/>
            <w:noWrap/>
            <w:tcMar>
              <w:left w:w="28" w:type="dxa"/>
              <w:right w:w="28" w:type="dxa"/>
            </w:tcMar>
            <w:vAlign w:val="center"/>
            <w:hideMark/>
          </w:tcPr>
          <w:p w14:paraId="58BA2038" w14:textId="60BC2A2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7772F1E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5456" w:type="dxa"/>
            <w:shd w:val="clear" w:color="auto" w:fill="C4EFCE"/>
            <w:noWrap/>
            <w:tcMar>
              <w:left w:w="28" w:type="dxa"/>
              <w:right w:w="28" w:type="dxa"/>
            </w:tcMar>
            <w:vAlign w:val="center"/>
            <w:hideMark/>
          </w:tcPr>
          <w:p w14:paraId="0FB680BD" w14:textId="577926F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Zníženie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80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priemerného počtu dní, ktoré sú potrebné na priznanie sociálnych dávok príspevkovej povahy tým, ktorí majú priemerný čas poskytovania dávok dlhší ako 10 dní,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dôsledku zlepšení zavedených na </w:t>
            </w:r>
            <w:r w:rsidRPr="003F23AC">
              <w:rPr>
                <w:rFonts w:ascii="Times New Roman" w:hAnsi="Times New Roman" w:cs="Times New Roman"/>
                <w:i/>
                <w:noProof/>
                <w:lang w:val="sk-SK"/>
              </w:rPr>
              <w:t>webovej stránke Segurança Social Direta</w:t>
            </w:r>
            <w:r w:rsidRPr="003F23AC">
              <w:rPr>
                <w:rFonts w:ascii="Times New Roman" w:hAnsi="Times New Roman" w:cs="Times New Roman"/>
                <w:noProof/>
                <w:lang w:val="sk-SK"/>
              </w:rPr>
              <w:t xml:space="preserve"> (týkajúcej sa starobných dôchodkov pre dôchodcov, ktorí majú kariéru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prispievaní len</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Portugalsku).</w:t>
            </w:r>
          </w:p>
        </w:tc>
      </w:tr>
      <w:tr w:rsidR="00387C70" w:rsidRPr="003F23AC" w14:paraId="4C7418F3" w14:textId="77777777" w:rsidTr="008E475E">
        <w:trPr>
          <w:gridBefore w:val="1"/>
          <w:wBefore w:w="7" w:type="dxa"/>
          <w:trHeight w:val="1480"/>
        </w:trPr>
        <w:tc>
          <w:tcPr>
            <w:tcW w:w="1036" w:type="dxa"/>
            <w:shd w:val="clear" w:color="auto" w:fill="C4EFCE"/>
            <w:tcMar>
              <w:left w:w="28" w:type="dxa"/>
              <w:right w:w="28" w:type="dxa"/>
            </w:tcMar>
            <w:vAlign w:val="center"/>
            <w:hideMark/>
          </w:tcPr>
          <w:p w14:paraId="21268FB8" w14:textId="1D9AEF2B"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17.20</w:t>
            </w:r>
          </w:p>
        </w:tc>
        <w:tc>
          <w:tcPr>
            <w:tcW w:w="1161" w:type="dxa"/>
            <w:shd w:val="clear" w:color="auto" w:fill="C4EFCE"/>
            <w:noWrap/>
            <w:tcMar>
              <w:left w:w="28" w:type="dxa"/>
              <w:right w:w="28" w:type="dxa"/>
            </w:tcMar>
            <w:vAlign w:val="center"/>
            <w:hideMark/>
          </w:tcPr>
          <w:p w14:paraId="5F64480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TD-C17-i03</w:t>
            </w:r>
          </w:p>
        </w:tc>
        <w:tc>
          <w:tcPr>
            <w:tcW w:w="1034" w:type="dxa"/>
            <w:shd w:val="clear" w:color="auto" w:fill="C4EFCE"/>
            <w:noWrap/>
            <w:tcMar>
              <w:left w:w="28" w:type="dxa"/>
              <w:right w:w="28" w:type="dxa"/>
            </w:tcMar>
            <w:vAlign w:val="center"/>
            <w:hideMark/>
          </w:tcPr>
          <w:p w14:paraId="252B371D" w14:textId="6A154BC3"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39" w:type="dxa"/>
            <w:shd w:val="clear" w:color="auto" w:fill="C4EFCE"/>
            <w:noWrap/>
            <w:tcMar>
              <w:left w:w="28" w:type="dxa"/>
              <w:right w:w="28" w:type="dxa"/>
            </w:tcMar>
            <w:vAlign w:val="center"/>
            <w:hideMark/>
          </w:tcPr>
          <w:p w14:paraId="05EE2AD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Zavedenie inteligentných modelov dohľadu na podporu prevencie podvodov na základe procesov strojového učenia</w:t>
            </w:r>
          </w:p>
        </w:tc>
        <w:tc>
          <w:tcPr>
            <w:tcW w:w="1356" w:type="dxa"/>
            <w:shd w:val="clear" w:color="auto" w:fill="C4EFCE"/>
            <w:noWrap/>
            <w:tcMar>
              <w:left w:w="28" w:type="dxa"/>
              <w:right w:w="28" w:type="dxa"/>
            </w:tcMar>
            <w:vAlign w:val="center"/>
            <w:hideMark/>
          </w:tcPr>
          <w:p w14:paraId="1CEDD1F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09" w:type="dxa"/>
            <w:shd w:val="clear" w:color="auto" w:fill="C4EFCE"/>
            <w:noWrap/>
            <w:tcMar>
              <w:left w:w="28" w:type="dxa"/>
              <w:right w:w="28" w:type="dxa"/>
            </w:tcMar>
            <w:vAlign w:val="center"/>
            <w:hideMark/>
          </w:tcPr>
          <w:p w14:paraId="6A9BFCF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61" w:type="dxa"/>
            <w:shd w:val="clear" w:color="auto" w:fill="C4EFCE"/>
            <w:noWrap/>
            <w:tcMar>
              <w:left w:w="28" w:type="dxa"/>
              <w:right w:w="28" w:type="dxa"/>
            </w:tcMar>
            <w:vAlign w:val="center"/>
            <w:hideMark/>
          </w:tcPr>
          <w:p w14:paraId="7D44779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04" w:type="dxa"/>
            <w:shd w:val="clear" w:color="auto" w:fill="C4EFCE"/>
            <w:noWrap/>
            <w:tcMar>
              <w:left w:w="28" w:type="dxa"/>
              <w:right w:w="28" w:type="dxa"/>
            </w:tcMar>
            <w:vAlign w:val="center"/>
            <w:hideMark/>
          </w:tcPr>
          <w:p w14:paraId="46AC5F8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w:t>
            </w:r>
          </w:p>
        </w:tc>
        <w:tc>
          <w:tcPr>
            <w:tcW w:w="780" w:type="dxa"/>
            <w:shd w:val="clear" w:color="auto" w:fill="C4EFCE"/>
            <w:noWrap/>
            <w:tcMar>
              <w:left w:w="28" w:type="dxa"/>
              <w:right w:w="28" w:type="dxa"/>
            </w:tcMar>
            <w:vAlign w:val="center"/>
            <w:hideMark/>
          </w:tcPr>
          <w:p w14:paraId="5DD99422" w14:textId="0643540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hideMark/>
          </w:tcPr>
          <w:p w14:paraId="7F14D13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5456" w:type="dxa"/>
            <w:shd w:val="clear" w:color="auto" w:fill="C4EFCE"/>
            <w:noWrap/>
            <w:tcMar>
              <w:left w:w="28" w:type="dxa"/>
              <w:right w:w="28" w:type="dxa"/>
            </w:tcMar>
            <w:vAlign w:val="center"/>
            <w:hideMark/>
          </w:tcPr>
          <w:p w14:paraId="5CABF8C9" w14:textId="7717D69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Musia sa dodať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uviesť do prevádzky dva inteligentné modely sledovania využívajúce procesy strojového učenia. Dva modely, ktoré sa majú vytvoriť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zaviesť, sú: I) prediktívny model, ktorý môže označovať subjekty, ktoré sa majú kontrolovať na základe výsledkov vyučovacích algoritmov,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použitím historických údajov zo subsystému informácií</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dohľade informačného systému sociálneho zabezpečenia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vykonávať cielenejšie opatrenia dohľadu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menším prevádzkovým úsilím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asertívnejšími výsledkami, zvýšiť účinnosť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efektívnosť systému dohľadu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využiť iné zdroje informácií; II) model rizikových indexov pre príjemcov sociálnych dávok.</w:t>
            </w:r>
          </w:p>
        </w:tc>
      </w:tr>
      <w:tr w:rsidR="00387C70" w:rsidRPr="003F23AC" w14:paraId="69E96EC0" w14:textId="77777777" w:rsidTr="008E475E">
        <w:trPr>
          <w:gridBefore w:val="1"/>
          <w:wBefore w:w="7" w:type="dxa"/>
          <w:trHeight w:val="1480"/>
        </w:trPr>
        <w:tc>
          <w:tcPr>
            <w:tcW w:w="1036" w:type="dxa"/>
            <w:shd w:val="clear" w:color="auto" w:fill="C4EFCE"/>
            <w:tcMar>
              <w:left w:w="28" w:type="dxa"/>
              <w:right w:w="28" w:type="dxa"/>
            </w:tcMar>
            <w:vAlign w:val="center"/>
          </w:tcPr>
          <w:p w14:paraId="01D7CF90" w14:textId="67468CFC"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17.22</w:t>
            </w:r>
          </w:p>
        </w:tc>
        <w:tc>
          <w:tcPr>
            <w:tcW w:w="1161" w:type="dxa"/>
            <w:shd w:val="clear" w:color="auto" w:fill="C4EFCE"/>
            <w:noWrap/>
            <w:tcMar>
              <w:left w:w="28" w:type="dxa"/>
              <w:right w:w="28" w:type="dxa"/>
            </w:tcMar>
            <w:vAlign w:val="center"/>
          </w:tcPr>
          <w:p w14:paraId="4F426F40" w14:textId="196A5CF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TD-C17-r40</w:t>
            </w:r>
          </w:p>
        </w:tc>
        <w:tc>
          <w:tcPr>
            <w:tcW w:w="1034" w:type="dxa"/>
            <w:shd w:val="clear" w:color="auto" w:fill="C4EFCE"/>
            <w:noWrap/>
            <w:tcMar>
              <w:left w:w="28" w:type="dxa"/>
              <w:right w:w="28" w:type="dxa"/>
            </w:tcMar>
            <w:vAlign w:val="center"/>
          </w:tcPr>
          <w:p w14:paraId="42B2BCF9" w14:textId="55495B1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tcPr>
          <w:p w14:paraId="5E087B51" w14:textId="7A377310"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právneho aktu, ktorým sa mení právny rámec vybraných daňových výhod</w:t>
            </w:r>
          </w:p>
        </w:tc>
        <w:tc>
          <w:tcPr>
            <w:tcW w:w="1356" w:type="dxa"/>
            <w:shd w:val="clear" w:color="auto" w:fill="C4EFCE"/>
            <w:noWrap/>
            <w:tcMar>
              <w:left w:w="28" w:type="dxa"/>
              <w:right w:w="28" w:type="dxa"/>
            </w:tcMar>
            <w:vAlign w:val="center"/>
          </w:tcPr>
          <w:p w14:paraId="066FAA9F" w14:textId="59BF4A5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Ustanovenie právneho aktu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nadobudnutí účinnosti právneho aktu </w:t>
            </w:r>
          </w:p>
        </w:tc>
        <w:tc>
          <w:tcPr>
            <w:tcW w:w="909" w:type="dxa"/>
            <w:shd w:val="clear" w:color="auto" w:fill="C4EFCE"/>
            <w:noWrap/>
            <w:tcMar>
              <w:left w:w="28" w:type="dxa"/>
              <w:right w:w="28" w:type="dxa"/>
            </w:tcMar>
            <w:vAlign w:val="center"/>
          </w:tcPr>
          <w:p w14:paraId="04F14139"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61" w:type="dxa"/>
            <w:shd w:val="clear" w:color="auto" w:fill="C4EFCE"/>
            <w:noWrap/>
            <w:tcMar>
              <w:left w:w="28" w:type="dxa"/>
              <w:right w:w="28" w:type="dxa"/>
            </w:tcMar>
            <w:vAlign w:val="center"/>
          </w:tcPr>
          <w:p w14:paraId="365FE8AC"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4" w:type="dxa"/>
            <w:shd w:val="clear" w:color="auto" w:fill="C4EFCE"/>
            <w:noWrap/>
            <w:tcMar>
              <w:left w:w="28" w:type="dxa"/>
              <w:right w:w="28" w:type="dxa"/>
            </w:tcMar>
            <w:vAlign w:val="center"/>
          </w:tcPr>
          <w:p w14:paraId="186DD47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80" w:type="dxa"/>
            <w:shd w:val="clear" w:color="auto" w:fill="C4EFCE"/>
            <w:noWrap/>
            <w:tcMar>
              <w:left w:w="28" w:type="dxa"/>
              <w:right w:w="28" w:type="dxa"/>
            </w:tcMar>
            <w:vAlign w:val="center"/>
          </w:tcPr>
          <w:p w14:paraId="487CCC18" w14:textId="3C5A3C2F"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06" w:type="dxa"/>
            <w:shd w:val="clear" w:color="auto" w:fill="C4EFCE"/>
            <w:noWrap/>
            <w:tcMar>
              <w:left w:w="28" w:type="dxa"/>
              <w:right w:w="28" w:type="dxa"/>
            </w:tcMar>
            <w:vAlign w:val="center"/>
          </w:tcPr>
          <w:p w14:paraId="76AEA003" w14:textId="7985F81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5456" w:type="dxa"/>
            <w:shd w:val="clear" w:color="auto" w:fill="C4EFCE"/>
            <w:noWrap/>
            <w:tcMar>
              <w:left w:w="28" w:type="dxa"/>
              <w:right w:w="28" w:type="dxa"/>
            </w:tcMar>
            <w:vAlign w:val="center"/>
          </w:tcPr>
          <w:p w14:paraId="243D977D" w14:textId="663F1D7A"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právneho aktu, ktorým sa odstráni alebo rozšíri cielený súbor daňových výhod. Právny akt zahŕňa daňové výhody, ktorých platnosť uplynie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nasledujúcom roku po nadobudnutí jeho účinnosti, ktoré už nie sú</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jeho pôvodným cieľom verejnej politiky alebo majú nízky počet príjemcov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ktoré potenciálne poškodzujú životné prostredie. </w:t>
            </w:r>
          </w:p>
        </w:tc>
      </w:tr>
      <w:tr w:rsidR="00387C70" w:rsidRPr="003F23AC" w14:paraId="7D159597" w14:textId="77777777" w:rsidTr="008E475E">
        <w:trPr>
          <w:gridBefore w:val="1"/>
          <w:wBefore w:w="7" w:type="dxa"/>
          <w:trHeight w:val="1480"/>
        </w:trPr>
        <w:tc>
          <w:tcPr>
            <w:tcW w:w="1036" w:type="dxa"/>
            <w:shd w:val="clear" w:color="auto" w:fill="C4EFCE"/>
            <w:tcMar>
              <w:left w:w="28" w:type="dxa"/>
              <w:right w:w="28" w:type="dxa"/>
            </w:tcMar>
            <w:vAlign w:val="center"/>
          </w:tcPr>
          <w:p w14:paraId="4663EF1C" w14:textId="69D49F94"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17.23</w:t>
            </w:r>
          </w:p>
        </w:tc>
        <w:tc>
          <w:tcPr>
            <w:tcW w:w="1161" w:type="dxa"/>
            <w:shd w:val="clear" w:color="auto" w:fill="C4EFCE"/>
            <w:noWrap/>
            <w:tcMar>
              <w:left w:w="28" w:type="dxa"/>
              <w:right w:w="28" w:type="dxa"/>
            </w:tcMar>
            <w:vAlign w:val="center"/>
          </w:tcPr>
          <w:p w14:paraId="02D8E2E9" w14:textId="1591905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TD-C17-r40</w:t>
            </w:r>
          </w:p>
        </w:tc>
        <w:tc>
          <w:tcPr>
            <w:tcW w:w="1034" w:type="dxa"/>
            <w:shd w:val="clear" w:color="auto" w:fill="C4EFCE"/>
            <w:noWrap/>
            <w:tcMar>
              <w:left w:w="28" w:type="dxa"/>
              <w:right w:w="28" w:type="dxa"/>
            </w:tcMar>
            <w:vAlign w:val="center"/>
          </w:tcPr>
          <w:p w14:paraId="5585C109" w14:textId="6D8FEF48"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tcPr>
          <w:p w14:paraId="074B5F8D" w14:textId="45DB912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Nadobudnutie účinnosti právneho aktu, ktorým sa zriaďuje stála technická daňová jednotka </w:t>
            </w:r>
            <w:r w:rsidRPr="003F23AC">
              <w:rPr>
                <w:rFonts w:ascii="Times New Roman" w:hAnsi="Times New Roman" w:cs="Times New Roman"/>
                <w:i/>
                <w:noProof/>
                <w:lang w:val="sk-SK"/>
              </w:rPr>
              <w:t>Unidade Técnica de Avaliação Tributária e Aduaneira</w:t>
            </w:r>
            <w:r w:rsidRPr="003F23AC">
              <w:rPr>
                <w:rFonts w:ascii="Times New Roman" w:hAnsi="Times New Roman" w:cs="Times New Roman"/>
                <w:noProof/>
                <w:lang w:val="sk-SK"/>
              </w:rPr>
              <w:t xml:space="preserve"> (U-TAX)</w:t>
            </w:r>
          </w:p>
        </w:tc>
        <w:tc>
          <w:tcPr>
            <w:tcW w:w="1356" w:type="dxa"/>
            <w:shd w:val="clear" w:color="auto" w:fill="C4EFCE"/>
            <w:noWrap/>
            <w:tcMar>
              <w:left w:w="28" w:type="dxa"/>
              <w:right w:w="28" w:type="dxa"/>
            </w:tcMar>
            <w:vAlign w:val="center"/>
          </w:tcPr>
          <w:p w14:paraId="719D5034" w14:textId="1D6445E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Ustanovenie právneho aktu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nadobudnutí účinnosti právneho aktu</w:t>
            </w:r>
          </w:p>
        </w:tc>
        <w:tc>
          <w:tcPr>
            <w:tcW w:w="909" w:type="dxa"/>
            <w:shd w:val="clear" w:color="auto" w:fill="C4EFCE"/>
            <w:noWrap/>
            <w:tcMar>
              <w:left w:w="28" w:type="dxa"/>
              <w:right w:w="28" w:type="dxa"/>
            </w:tcMar>
            <w:vAlign w:val="center"/>
          </w:tcPr>
          <w:p w14:paraId="3B1ACCA2"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61" w:type="dxa"/>
            <w:shd w:val="clear" w:color="auto" w:fill="C4EFCE"/>
            <w:noWrap/>
            <w:tcMar>
              <w:left w:w="28" w:type="dxa"/>
              <w:right w:w="28" w:type="dxa"/>
            </w:tcMar>
            <w:vAlign w:val="center"/>
          </w:tcPr>
          <w:p w14:paraId="0E29328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4" w:type="dxa"/>
            <w:shd w:val="clear" w:color="auto" w:fill="C4EFCE"/>
            <w:noWrap/>
            <w:tcMar>
              <w:left w:w="28" w:type="dxa"/>
              <w:right w:w="28" w:type="dxa"/>
            </w:tcMar>
            <w:vAlign w:val="center"/>
          </w:tcPr>
          <w:p w14:paraId="5D83358F"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80" w:type="dxa"/>
            <w:shd w:val="clear" w:color="auto" w:fill="C4EFCE"/>
            <w:noWrap/>
            <w:tcMar>
              <w:left w:w="28" w:type="dxa"/>
              <w:right w:w="28" w:type="dxa"/>
            </w:tcMar>
            <w:vAlign w:val="center"/>
          </w:tcPr>
          <w:p w14:paraId="0DAA9FB8" w14:textId="55BB09B5"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06" w:type="dxa"/>
            <w:shd w:val="clear" w:color="auto" w:fill="C4EFCE"/>
            <w:noWrap/>
            <w:tcMar>
              <w:left w:w="28" w:type="dxa"/>
              <w:right w:w="28" w:type="dxa"/>
            </w:tcMar>
            <w:vAlign w:val="center"/>
          </w:tcPr>
          <w:p w14:paraId="65BE177B" w14:textId="2FA41D5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5456" w:type="dxa"/>
            <w:shd w:val="clear" w:color="auto" w:fill="C4EFCE"/>
            <w:noWrap/>
            <w:tcMar>
              <w:left w:w="28" w:type="dxa"/>
              <w:right w:w="28" w:type="dxa"/>
            </w:tcMar>
            <w:vAlign w:val="center"/>
          </w:tcPr>
          <w:p w14:paraId="4897A805" w14:textId="581A7D2B" w:rsidR="00387C70" w:rsidRPr="003F23AC" w:rsidRDefault="000F5AA4" w:rsidP="003F23AC">
            <w:pPr>
              <w:pStyle w:val="P68B1DB1-Bodytext1013"/>
              <w:rPr>
                <w:rFonts w:ascii="Times New Roman" w:hAnsi="Times New Roman" w:cs="Times New Roman"/>
                <w:noProof/>
                <w:lang w:val="sk-SK"/>
              </w:rPr>
            </w:pPr>
            <w:r w:rsidRPr="003F23AC">
              <w:rPr>
                <w:rFonts w:ascii="Times New Roman" w:hAnsi="Times New Roman" w:cs="Times New Roman"/>
                <w:noProof/>
                <w:lang w:val="sk-SK"/>
              </w:rPr>
              <w:t>Nadobudnutie účinnosti právneho aktu, ktorým sa vytvorí stála technická jednotka daňovej politiky U-TAX.</w:t>
            </w:r>
          </w:p>
        </w:tc>
      </w:tr>
      <w:tr w:rsidR="00387C70" w:rsidRPr="003F23AC" w14:paraId="0837937C" w14:textId="77777777" w:rsidTr="008E475E">
        <w:trPr>
          <w:gridBefore w:val="1"/>
          <w:wBefore w:w="7" w:type="dxa"/>
          <w:trHeight w:val="1480"/>
        </w:trPr>
        <w:tc>
          <w:tcPr>
            <w:tcW w:w="1036" w:type="dxa"/>
            <w:shd w:val="clear" w:color="auto" w:fill="C4EFCE"/>
            <w:tcMar>
              <w:left w:w="28" w:type="dxa"/>
              <w:right w:w="28" w:type="dxa"/>
            </w:tcMar>
            <w:vAlign w:val="center"/>
          </w:tcPr>
          <w:p w14:paraId="3233421E" w14:textId="76C741D0"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17.24</w:t>
            </w:r>
          </w:p>
        </w:tc>
        <w:tc>
          <w:tcPr>
            <w:tcW w:w="1161" w:type="dxa"/>
            <w:shd w:val="clear" w:color="auto" w:fill="C4EFCE"/>
            <w:noWrap/>
            <w:tcMar>
              <w:left w:w="28" w:type="dxa"/>
              <w:right w:w="28" w:type="dxa"/>
            </w:tcMar>
            <w:vAlign w:val="center"/>
          </w:tcPr>
          <w:p w14:paraId="737C50B6" w14:textId="0F8480B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TD-C17-r40</w:t>
            </w:r>
          </w:p>
        </w:tc>
        <w:tc>
          <w:tcPr>
            <w:tcW w:w="1034" w:type="dxa"/>
            <w:shd w:val="clear" w:color="auto" w:fill="C4EFCE"/>
            <w:noWrap/>
            <w:tcMar>
              <w:left w:w="28" w:type="dxa"/>
              <w:right w:w="28" w:type="dxa"/>
            </w:tcMar>
            <w:vAlign w:val="center"/>
          </w:tcPr>
          <w:p w14:paraId="033151D4" w14:textId="6185ABF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tcPr>
          <w:p w14:paraId="161CE14C" w14:textId="311301F1" w:rsidR="00387C70" w:rsidRPr="003F23AC" w:rsidRDefault="000F5AA4" w:rsidP="003F23AC">
            <w:pPr>
              <w:pStyle w:val="P68B1DB1-Bodytext1013"/>
              <w:rPr>
                <w:rFonts w:ascii="Times New Roman" w:hAnsi="Times New Roman" w:cs="Times New Roman"/>
                <w:noProof/>
                <w:lang w:val="sk-SK"/>
              </w:rPr>
            </w:pPr>
            <w:r w:rsidRPr="003F23AC">
              <w:rPr>
                <w:rFonts w:ascii="Times New Roman" w:hAnsi="Times New Roman" w:cs="Times New Roman"/>
                <w:noProof/>
                <w:lang w:val="sk-SK"/>
              </w:rPr>
              <w:t>Uverejnenie hodnotiacej správy U-TAX</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existujúcich daňových výhodách</w:t>
            </w:r>
          </w:p>
        </w:tc>
        <w:tc>
          <w:tcPr>
            <w:tcW w:w="1356" w:type="dxa"/>
            <w:shd w:val="clear" w:color="auto" w:fill="C4EFCE"/>
            <w:noWrap/>
            <w:tcMar>
              <w:left w:w="28" w:type="dxa"/>
              <w:right w:w="28" w:type="dxa"/>
            </w:tcMar>
            <w:vAlign w:val="center"/>
          </w:tcPr>
          <w:p w14:paraId="6CFBEBB0" w14:textId="37037DA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Uverejnenie hodnotiacej správy U-TAX</w:t>
            </w:r>
          </w:p>
        </w:tc>
        <w:tc>
          <w:tcPr>
            <w:tcW w:w="909" w:type="dxa"/>
            <w:shd w:val="clear" w:color="auto" w:fill="C4EFCE"/>
            <w:noWrap/>
            <w:tcMar>
              <w:left w:w="28" w:type="dxa"/>
              <w:right w:w="28" w:type="dxa"/>
            </w:tcMar>
            <w:vAlign w:val="center"/>
          </w:tcPr>
          <w:p w14:paraId="178DAFEF"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61" w:type="dxa"/>
            <w:shd w:val="clear" w:color="auto" w:fill="C4EFCE"/>
            <w:noWrap/>
            <w:tcMar>
              <w:left w:w="28" w:type="dxa"/>
              <w:right w:w="28" w:type="dxa"/>
            </w:tcMar>
            <w:vAlign w:val="center"/>
          </w:tcPr>
          <w:p w14:paraId="31A3140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4" w:type="dxa"/>
            <w:shd w:val="clear" w:color="auto" w:fill="C4EFCE"/>
            <w:noWrap/>
            <w:tcMar>
              <w:left w:w="28" w:type="dxa"/>
              <w:right w:w="28" w:type="dxa"/>
            </w:tcMar>
            <w:vAlign w:val="center"/>
          </w:tcPr>
          <w:p w14:paraId="58433C55"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80" w:type="dxa"/>
            <w:shd w:val="clear" w:color="auto" w:fill="C4EFCE"/>
            <w:noWrap/>
            <w:tcMar>
              <w:left w:w="28" w:type="dxa"/>
              <w:right w:w="28" w:type="dxa"/>
            </w:tcMar>
            <w:vAlign w:val="center"/>
          </w:tcPr>
          <w:p w14:paraId="266E7E25" w14:textId="2910C212"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06" w:type="dxa"/>
            <w:shd w:val="clear" w:color="auto" w:fill="C4EFCE"/>
            <w:noWrap/>
            <w:tcMar>
              <w:left w:w="28" w:type="dxa"/>
              <w:right w:w="28" w:type="dxa"/>
            </w:tcMar>
            <w:vAlign w:val="center"/>
          </w:tcPr>
          <w:p w14:paraId="77EA0F2E" w14:textId="13F6F2D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5456" w:type="dxa"/>
            <w:shd w:val="clear" w:color="auto" w:fill="C4EFCE"/>
            <w:noWrap/>
            <w:tcMar>
              <w:left w:w="28" w:type="dxa"/>
              <w:right w:w="28" w:type="dxa"/>
            </w:tcMar>
            <w:vAlign w:val="center"/>
          </w:tcPr>
          <w:p w14:paraId="45BC7354" w14:textId="4596B2F1" w:rsidR="00A75B3C" w:rsidRPr="003F23AC" w:rsidRDefault="000F5AA4" w:rsidP="003F23AC">
            <w:pPr>
              <w:pStyle w:val="P68B1DB1-Bodytext1013"/>
              <w:spacing w:after="0"/>
              <w:rPr>
                <w:rFonts w:ascii="Times New Roman" w:hAnsi="Times New Roman" w:cs="Times New Roman"/>
                <w:noProof/>
                <w:lang w:val="sk-SK"/>
              </w:rPr>
            </w:pPr>
            <w:r w:rsidRPr="003F23AC">
              <w:rPr>
                <w:rFonts w:ascii="Times New Roman" w:hAnsi="Times New Roman" w:cs="Times New Roman"/>
                <w:noProof/>
                <w:lang w:val="sk-SK"/>
              </w:rPr>
              <w:t>Uverejnenie hodnotiacej správy U-TAX</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existujúcich daňových výhodách. Správa obsahuje analýzu nákladov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prínosov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kritériami účinnosti daňových výhod so zreteľom na ich pôvodný cieľ verejnej politiky, ekonomickú efektívnosť vzniknutých daňových výdavkov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environmentálne aspekty</w:t>
            </w:r>
            <w:r w:rsidR="00A75B3C" w:rsidRPr="003F23AC">
              <w:rPr>
                <w:rFonts w:ascii="Times New Roman" w:hAnsi="Times New Roman" w:cs="Times New Roman"/>
                <w:noProof/>
                <w:lang w:val="sk-SK"/>
              </w:rPr>
              <w:t>.</w:t>
            </w:r>
          </w:p>
          <w:p w14:paraId="6953EA0A" w14:textId="71C17CB7" w:rsidR="00A75B3C" w:rsidRPr="003F23AC" w:rsidRDefault="000F5AA4" w:rsidP="003F23AC">
            <w:pPr>
              <w:pStyle w:val="P68B1DB1-Bodytext1013"/>
              <w:spacing w:after="0"/>
              <w:rPr>
                <w:rFonts w:ascii="Times New Roman" w:hAnsi="Times New Roman" w:cs="Times New Roman"/>
                <w:noProof/>
                <w:lang w:val="sk-SK"/>
              </w:rPr>
            </w:pPr>
            <w:r w:rsidRPr="003F23AC">
              <w:rPr>
                <w:rFonts w:ascii="Times New Roman" w:hAnsi="Times New Roman" w:cs="Times New Roman"/>
                <w:noProof/>
                <w:lang w:val="sk-SK"/>
              </w:rPr>
              <w:t>Hodnotiaca správa sa vzťahuje na daňové výhody, ktorých platnosť uplynie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roku nasledujúcom po jej uverejnení, ako aj značný súbor daňových výhod,</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to aj mimo </w:t>
            </w:r>
            <w:r w:rsidRPr="003F23AC">
              <w:rPr>
                <w:rFonts w:ascii="Times New Roman" w:hAnsi="Times New Roman" w:cs="Times New Roman"/>
                <w:i/>
                <w:noProof/>
                <w:lang w:val="sk-SK"/>
              </w:rPr>
              <w:t>Estatuto dos Benefícios Fiscais</w:t>
            </w:r>
            <w:r w:rsidR="00A75B3C" w:rsidRPr="003F23AC">
              <w:rPr>
                <w:rFonts w:ascii="Times New Roman" w:hAnsi="Times New Roman" w:cs="Times New Roman"/>
                <w:noProof/>
                <w:lang w:val="sk-SK"/>
              </w:rPr>
              <w:t>.</w:t>
            </w:r>
          </w:p>
          <w:p w14:paraId="3165E0FB" w14:textId="24A296C7" w:rsidR="00387C70" w:rsidRPr="003F23AC" w:rsidRDefault="000F5AA4" w:rsidP="003F23AC">
            <w:pPr>
              <w:pStyle w:val="P68B1DB1-Bodytext1013"/>
              <w:spacing w:after="0"/>
              <w:rPr>
                <w:rFonts w:ascii="Times New Roman" w:hAnsi="Times New Roman" w:cs="Times New Roman"/>
                <w:noProof/>
                <w:lang w:val="sk-SK"/>
              </w:rPr>
            </w:pPr>
            <w:r w:rsidRPr="003F23AC">
              <w:rPr>
                <w:rFonts w:ascii="Times New Roman" w:hAnsi="Times New Roman" w:cs="Times New Roman"/>
                <w:noProof/>
                <w:lang w:val="sk-SK"/>
              </w:rPr>
              <w:t>Podstatný súbor daňových výhod sa vymedzuje podľa reprezentatívnosti súvisiacich daňových výdavkov so zameraním na tie, ktoré súvisia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daňou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pridanej hodnoty, daňou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príjmu fyzických osôb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daňou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príjmov právnických osôb.</w:t>
            </w:r>
          </w:p>
          <w:p w14:paraId="4EB1314C" w14:textId="07DEBC26" w:rsidR="00A75B3C" w:rsidRPr="003F23AC" w:rsidRDefault="000F5AA4" w:rsidP="003F23AC">
            <w:pPr>
              <w:pStyle w:val="P68B1DB1-Normal12"/>
              <w:rPr>
                <w:rFonts w:ascii="Times New Roman" w:hAnsi="Times New Roman" w:cs="Times New Roman"/>
                <w:noProof/>
                <w:lang w:val="sk-SK"/>
              </w:rPr>
            </w:pPr>
            <w:r w:rsidRPr="003F23AC">
              <w:rPr>
                <w:rFonts w:ascii="Times New Roman" w:hAnsi="Times New Roman" w:cs="Times New Roman"/>
                <w:noProof/>
                <w:lang w:val="sk-SK"/>
              </w:rPr>
              <w:t>U-TAX môže zo svojej analýzy vylúčiť portugalské daňové výhody, ktoré už pred jej vytvorením vyhodnotili osobitné pracovné skupiny, ako aj portugalské daňové výhody hodnotené nezávislými verejnými inštitúciami za predpokladu, že táto uverejnená analýza je aktuálna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kritériami vymedzenými vyššie pre analýzu nákladov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prínosov</w:t>
            </w:r>
            <w:r w:rsidR="00A75B3C" w:rsidRPr="003F23AC">
              <w:rPr>
                <w:rFonts w:ascii="Times New Roman" w:hAnsi="Times New Roman" w:cs="Times New Roman"/>
                <w:noProof/>
                <w:lang w:val="sk-SK"/>
              </w:rPr>
              <w:t>.</w:t>
            </w:r>
          </w:p>
          <w:p w14:paraId="69554B53" w14:textId="53466583"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Hodnotiaca správa obsahuje odporúčania, na základe ktorých daňových výhod, na ktoré sa vzťahuje, sa odstránia, rozšíria alebo zmenia.</w:t>
            </w:r>
          </w:p>
        </w:tc>
      </w:tr>
      <w:tr w:rsidR="00387C70" w:rsidRPr="003F23AC" w14:paraId="014DEF92" w14:textId="77777777" w:rsidTr="008E475E">
        <w:trPr>
          <w:gridBefore w:val="1"/>
          <w:wBefore w:w="7" w:type="dxa"/>
          <w:trHeight w:val="1480"/>
        </w:trPr>
        <w:tc>
          <w:tcPr>
            <w:tcW w:w="1036" w:type="dxa"/>
            <w:shd w:val="clear" w:color="auto" w:fill="C4EFCE"/>
            <w:tcMar>
              <w:left w:w="28" w:type="dxa"/>
              <w:right w:w="28" w:type="dxa"/>
            </w:tcMar>
            <w:vAlign w:val="center"/>
          </w:tcPr>
          <w:p w14:paraId="5B5FBA47" w14:textId="374B26BF"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17.25</w:t>
            </w:r>
          </w:p>
        </w:tc>
        <w:tc>
          <w:tcPr>
            <w:tcW w:w="1161" w:type="dxa"/>
            <w:shd w:val="clear" w:color="auto" w:fill="C4EFCE"/>
            <w:noWrap/>
            <w:tcMar>
              <w:left w:w="28" w:type="dxa"/>
              <w:right w:w="28" w:type="dxa"/>
            </w:tcMar>
            <w:vAlign w:val="center"/>
          </w:tcPr>
          <w:p w14:paraId="027A26B7" w14:textId="7BDDCBF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TD-C17-r40</w:t>
            </w:r>
          </w:p>
        </w:tc>
        <w:tc>
          <w:tcPr>
            <w:tcW w:w="1034" w:type="dxa"/>
            <w:shd w:val="clear" w:color="auto" w:fill="C4EFCE"/>
            <w:noWrap/>
            <w:tcMar>
              <w:left w:w="28" w:type="dxa"/>
              <w:right w:w="28" w:type="dxa"/>
            </w:tcMar>
            <w:vAlign w:val="center"/>
          </w:tcPr>
          <w:p w14:paraId="232BE3B1" w14:textId="451A1F8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39" w:type="dxa"/>
            <w:shd w:val="clear" w:color="auto" w:fill="C4EFCE"/>
            <w:noWrap/>
            <w:tcMar>
              <w:left w:w="28" w:type="dxa"/>
              <w:right w:w="28" w:type="dxa"/>
            </w:tcMar>
            <w:vAlign w:val="center"/>
          </w:tcPr>
          <w:p w14:paraId="65CAD365" w14:textId="6762582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právneho aktu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daňových výhodách </w:t>
            </w:r>
          </w:p>
        </w:tc>
        <w:tc>
          <w:tcPr>
            <w:tcW w:w="1356" w:type="dxa"/>
            <w:shd w:val="clear" w:color="auto" w:fill="C4EFCE"/>
            <w:noWrap/>
            <w:tcMar>
              <w:left w:w="28" w:type="dxa"/>
              <w:right w:w="28" w:type="dxa"/>
            </w:tcMar>
            <w:vAlign w:val="center"/>
          </w:tcPr>
          <w:p w14:paraId="311CAF38" w14:textId="40F58F0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Ustanovenie právneho aktu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nadobudnutí účinnosti právneho aktu </w:t>
            </w:r>
          </w:p>
        </w:tc>
        <w:tc>
          <w:tcPr>
            <w:tcW w:w="909" w:type="dxa"/>
            <w:shd w:val="clear" w:color="auto" w:fill="C4EFCE"/>
            <w:noWrap/>
            <w:tcMar>
              <w:left w:w="28" w:type="dxa"/>
              <w:right w:w="28" w:type="dxa"/>
            </w:tcMar>
            <w:vAlign w:val="center"/>
          </w:tcPr>
          <w:p w14:paraId="347AD5E7"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61" w:type="dxa"/>
            <w:shd w:val="clear" w:color="auto" w:fill="C4EFCE"/>
            <w:noWrap/>
            <w:tcMar>
              <w:left w:w="28" w:type="dxa"/>
              <w:right w:w="28" w:type="dxa"/>
            </w:tcMar>
            <w:vAlign w:val="center"/>
          </w:tcPr>
          <w:p w14:paraId="676CE199"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04" w:type="dxa"/>
            <w:shd w:val="clear" w:color="auto" w:fill="C4EFCE"/>
            <w:noWrap/>
            <w:tcMar>
              <w:left w:w="28" w:type="dxa"/>
              <w:right w:w="28" w:type="dxa"/>
            </w:tcMar>
            <w:vAlign w:val="center"/>
          </w:tcPr>
          <w:p w14:paraId="57178CE3"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80" w:type="dxa"/>
            <w:shd w:val="clear" w:color="auto" w:fill="C4EFCE"/>
            <w:noWrap/>
            <w:tcMar>
              <w:left w:w="28" w:type="dxa"/>
              <w:right w:w="28" w:type="dxa"/>
            </w:tcMar>
            <w:vAlign w:val="center"/>
          </w:tcPr>
          <w:p w14:paraId="3D84C64B" w14:textId="355AA2E8"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06" w:type="dxa"/>
            <w:shd w:val="clear" w:color="auto" w:fill="C4EFCE"/>
            <w:noWrap/>
            <w:tcMar>
              <w:left w:w="28" w:type="dxa"/>
              <w:right w:w="28" w:type="dxa"/>
            </w:tcMar>
            <w:vAlign w:val="center"/>
          </w:tcPr>
          <w:p w14:paraId="29B7FF51" w14:textId="261A5E1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5456" w:type="dxa"/>
            <w:shd w:val="clear" w:color="auto" w:fill="C4EFCE"/>
            <w:noWrap/>
            <w:tcMar>
              <w:left w:w="28" w:type="dxa"/>
              <w:right w:w="28" w:type="dxa"/>
            </w:tcMar>
            <w:vAlign w:val="center"/>
          </w:tcPr>
          <w:p w14:paraId="12CA98A0" w14:textId="0F145186" w:rsidR="00387C70" w:rsidRPr="003F23AC" w:rsidRDefault="000F5AA4" w:rsidP="003F23AC">
            <w:pPr>
              <w:pStyle w:val="P68B1DB1-Bodytext1013"/>
              <w:spacing w:after="0"/>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právneho aktu, ktorým sa zjednodušuje systém daňových výhod znížením počtu existujúcich daňových výhod, pričom sa zohľadnia odporúčania hodnotiacej správy U-TAX</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inej analýzy, ako sa uvádza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míľniku 17.24.</w:t>
            </w:r>
          </w:p>
        </w:tc>
      </w:tr>
    </w:tbl>
    <w:p w14:paraId="7340E1CC"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u w:val="single"/>
          <w:lang w:val="sk-SK"/>
        </w:rPr>
      </w:pPr>
    </w:p>
    <w:p w14:paraId="1B2345CC"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u w:val="single"/>
          <w:lang w:val="sk-SK"/>
        </w:rPr>
      </w:pPr>
    </w:p>
    <w:p w14:paraId="6123A23C"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sectPr w:rsidR="00387C70" w:rsidRPr="003F23AC" w:rsidSect="00E00EDD">
          <w:headerReference w:type="even" r:id="rId324"/>
          <w:headerReference w:type="default" r:id="rId325"/>
          <w:footerReference w:type="even" r:id="rId326"/>
          <w:footerReference w:type="default" r:id="rId327"/>
          <w:headerReference w:type="first" r:id="rId328"/>
          <w:footerReference w:type="first" r:id="rId329"/>
          <w:pgSz w:w="16839" w:h="11907" w:orient="landscape"/>
          <w:pgMar w:top="1134" w:right="1134" w:bottom="1134" w:left="1134" w:header="567" w:footer="567" w:gutter="0"/>
          <w:cols w:space="720"/>
          <w:docGrid w:linePitch="360"/>
        </w:sectPr>
      </w:pPr>
    </w:p>
    <w:p w14:paraId="2F13BED3" w14:textId="72C6B8DF"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R. KOMPONENT 18: Hospodárska spravodlivosť</w:t>
      </w:r>
      <w:r w:rsidR="00A75B3C" w:rsidRPr="003F23AC">
        <w:rPr>
          <w:rFonts w:cs="Times New Roman"/>
          <w:noProof/>
          <w:lang w:val="sk-SK"/>
        </w:rPr>
        <w:t xml:space="preserve"> a </w:t>
      </w:r>
      <w:r w:rsidRPr="003F23AC">
        <w:rPr>
          <w:rFonts w:cs="Times New Roman"/>
          <w:noProof/>
          <w:lang w:val="sk-SK"/>
        </w:rPr>
        <w:t>podnikateľské prostredie</w:t>
      </w:r>
    </w:p>
    <w:p w14:paraId="6B76453A" w14:textId="27334232"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zložka sa zaoberá problémom neefektívnosti portugalského justičného systému, ako aj pretrvávajúcimi prekážkami pri udeľovaní licencií pre podniky. Dĺžka administratívnych</w:t>
      </w:r>
      <w:r w:rsidR="00A75B3C" w:rsidRPr="003F23AC">
        <w:rPr>
          <w:rFonts w:cs="Times New Roman"/>
          <w:noProof/>
          <w:lang w:val="sk-SK"/>
        </w:rPr>
        <w:t xml:space="preserve"> a </w:t>
      </w:r>
      <w:r w:rsidRPr="003F23AC">
        <w:rPr>
          <w:rFonts w:cs="Times New Roman"/>
          <w:noProof/>
          <w:lang w:val="sk-SK"/>
        </w:rPr>
        <w:t>daňových konaní sa</w:t>
      </w:r>
      <w:r w:rsidR="00A75B3C" w:rsidRPr="003F23AC">
        <w:rPr>
          <w:rFonts w:cs="Times New Roman"/>
          <w:noProof/>
          <w:lang w:val="sk-SK"/>
        </w:rPr>
        <w:t xml:space="preserve"> v </w:t>
      </w:r>
      <w:r w:rsidRPr="003F23AC">
        <w:rPr>
          <w:rFonts w:cs="Times New Roman"/>
          <w:noProof/>
          <w:lang w:val="sk-SK"/>
        </w:rPr>
        <w:t>posledných rokoch zlepšuje, zostáva však jednou</w:t>
      </w:r>
      <w:r w:rsidR="00A75B3C" w:rsidRPr="003F23AC">
        <w:rPr>
          <w:rFonts w:cs="Times New Roman"/>
          <w:noProof/>
          <w:lang w:val="sk-SK"/>
        </w:rPr>
        <w:t xml:space="preserve"> z </w:t>
      </w:r>
      <w:r w:rsidRPr="003F23AC">
        <w:rPr>
          <w:rFonts w:cs="Times New Roman"/>
          <w:noProof/>
          <w:lang w:val="sk-SK"/>
        </w:rPr>
        <w:t>najvyšších</w:t>
      </w:r>
      <w:r w:rsidR="00A75B3C" w:rsidRPr="003F23AC">
        <w:rPr>
          <w:rFonts w:cs="Times New Roman"/>
          <w:noProof/>
          <w:lang w:val="sk-SK"/>
        </w:rPr>
        <w:t xml:space="preserve"> v </w:t>
      </w:r>
      <w:r w:rsidRPr="003F23AC">
        <w:rPr>
          <w:rFonts w:cs="Times New Roman"/>
          <w:noProof/>
          <w:lang w:val="sk-SK"/>
        </w:rPr>
        <w:t>EÚ</w:t>
      </w:r>
      <w:r w:rsidR="00A75B3C" w:rsidRPr="003F23AC">
        <w:rPr>
          <w:rFonts w:cs="Times New Roman"/>
          <w:noProof/>
          <w:lang w:val="sk-SK"/>
        </w:rPr>
        <w:t xml:space="preserve"> a </w:t>
      </w:r>
      <w:r w:rsidRPr="003F23AC">
        <w:rPr>
          <w:rFonts w:cs="Times New Roman"/>
          <w:noProof/>
          <w:lang w:val="sk-SK"/>
        </w:rPr>
        <w:t>počet nevyriešených prípadov (nevybavených prípadov) zostáva pomerne vysoký. Podnikateľskému prostrediu bráni aj nízka účinnosť zákonov</w:t>
      </w:r>
      <w:r w:rsidR="00A75B3C" w:rsidRPr="003F23AC">
        <w:rPr>
          <w:rFonts w:cs="Times New Roman"/>
          <w:noProof/>
          <w:lang w:val="sk-SK"/>
        </w:rPr>
        <w:t xml:space="preserve"> o </w:t>
      </w:r>
      <w:r w:rsidRPr="003F23AC">
        <w:rPr>
          <w:rFonts w:cs="Times New Roman"/>
          <w:noProof/>
          <w:lang w:val="sk-SK"/>
        </w:rPr>
        <w:t>zábezpeke</w:t>
      </w:r>
      <w:r w:rsidR="00A75B3C" w:rsidRPr="003F23AC">
        <w:rPr>
          <w:rFonts w:cs="Times New Roman"/>
          <w:noProof/>
          <w:lang w:val="sk-SK"/>
        </w:rPr>
        <w:t xml:space="preserve"> a </w:t>
      </w:r>
      <w:r w:rsidRPr="003F23AC">
        <w:rPr>
          <w:rFonts w:cs="Times New Roman"/>
          <w:noProof/>
          <w:lang w:val="sk-SK"/>
        </w:rPr>
        <w:t>konkurze</w:t>
      </w:r>
      <w:r w:rsidR="00A75B3C" w:rsidRPr="003F23AC">
        <w:rPr>
          <w:rFonts w:cs="Times New Roman"/>
          <w:noProof/>
          <w:lang w:val="sk-SK"/>
        </w:rPr>
        <w:t xml:space="preserve"> a </w:t>
      </w:r>
      <w:r w:rsidRPr="003F23AC">
        <w:rPr>
          <w:rFonts w:cs="Times New Roman"/>
          <w:noProof/>
          <w:lang w:val="sk-SK"/>
        </w:rPr>
        <w:t>náročné licenčné konania</w:t>
      </w:r>
      <w:r w:rsidR="00A75B3C" w:rsidRPr="003F23AC">
        <w:rPr>
          <w:rFonts w:cs="Times New Roman"/>
          <w:noProof/>
          <w:lang w:val="sk-SK"/>
        </w:rPr>
        <w:t xml:space="preserve"> v </w:t>
      </w:r>
      <w:r w:rsidRPr="003F23AC">
        <w:rPr>
          <w:rFonts w:cs="Times New Roman"/>
          <w:noProof/>
          <w:lang w:val="sk-SK"/>
        </w:rPr>
        <w:t>niektorých sektoroch</w:t>
      </w:r>
      <w:r w:rsidR="00A75B3C" w:rsidRPr="003F23AC">
        <w:rPr>
          <w:rFonts w:cs="Times New Roman"/>
          <w:noProof/>
          <w:lang w:val="sk-SK"/>
        </w:rPr>
        <w:t>.</w:t>
      </w:r>
    </w:p>
    <w:p w14:paraId="533D2982" w14:textId="6551B5E9"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zložky je posilniť</w:t>
      </w:r>
      <w:r w:rsidR="00A75B3C" w:rsidRPr="003F23AC">
        <w:rPr>
          <w:rFonts w:cs="Times New Roman"/>
          <w:noProof/>
          <w:lang w:val="sk-SK"/>
        </w:rPr>
        <w:t xml:space="preserve"> a </w:t>
      </w:r>
      <w:r w:rsidRPr="003F23AC">
        <w:rPr>
          <w:rFonts w:cs="Times New Roman"/>
          <w:noProof/>
          <w:lang w:val="sk-SK"/>
        </w:rPr>
        <w:t>zefektívniť vzťahy medzi občanmi</w:t>
      </w:r>
      <w:r w:rsidR="00A75B3C" w:rsidRPr="003F23AC">
        <w:rPr>
          <w:rFonts w:cs="Times New Roman"/>
          <w:noProof/>
          <w:lang w:val="sk-SK"/>
        </w:rPr>
        <w:t xml:space="preserve"> a </w:t>
      </w:r>
      <w:r w:rsidRPr="003F23AC">
        <w:rPr>
          <w:rFonts w:cs="Times New Roman"/>
          <w:noProof/>
          <w:lang w:val="sk-SK"/>
        </w:rPr>
        <w:t>spoločnosťami so štátom, ako aj znížiť zaťaženie</w:t>
      </w:r>
      <w:r w:rsidR="00A75B3C" w:rsidRPr="003F23AC">
        <w:rPr>
          <w:rFonts w:cs="Times New Roman"/>
          <w:noProof/>
          <w:lang w:val="sk-SK"/>
        </w:rPr>
        <w:t xml:space="preserve"> a </w:t>
      </w:r>
      <w:r w:rsidRPr="003F23AC">
        <w:rPr>
          <w:rFonts w:cs="Times New Roman"/>
          <w:noProof/>
          <w:lang w:val="sk-SK"/>
        </w:rPr>
        <w:t>zložitosť, ktoré brzdia podnikateľskú činnosť</w:t>
      </w:r>
      <w:r w:rsidR="00A75B3C" w:rsidRPr="003F23AC">
        <w:rPr>
          <w:rFonts w:cs="Times New Roman"/>
          <w:noProof/>
          <w:lang w:val="sk-SK"/>
        </w:rPr>
        <w:t xml:space="preserve"> a </w:t>
      </w:r>
      <w:r w:rsidRPr="003F23AC">
        <w:rPr>
          <w:rFonts w:cs="Times New Roman"/>
          <w:noProof/>
          <w:lang w:val="sk-SK"/>
        </w:rPr>
        <w:t>ovplyvňujú produktivitu. Zaoberá sa dvoma dlhodobými otázkami: prekážky pri získavaní obchodných licencií</w:t>
      </w:r>
      <w:r w:rsidR="00A75B3C" w:rsidRPr="003F23AC">
        <w:rPr>
          <w:rFonts w:cs="Times New Roman"/>
          <w:noProof/>
          <w:lang w:val="sk-SK"/>
        </w:rPr>
        <w:t xml:space="preserve"> a </w:t>
      </w:r>
      <w:r w:rsidRPr="003F23AC">
        <w:rPr>
          <w:rFonts w:cs="Times New Roman"/>
          <w:noProof/>
          <w:lang w:val="sk-SK"/>
        </w:rPr>
        <w:t>neefektívnosť justičného systému, ako aj prijatie paradigmy „digitálne už vo svojej podstate“</w:t>
      </w:r>
      <w:r w:rsidR="00A75B3C" w:rsidRPr="003F23AC">
        <w:rPr>
          <w:rFonts w:cs="Times New Roman"/>
          <w:noProof/>
          <w:lang w:val="sk-SK"/>
        </w:rPr>
        <w:t xml:space="preserve"> v </w:t>
      </w:r>
      <w:r w:rsidRPr="003F23AC">
        <w:rPr>
          <w:rFonts w:cs="Times New Roman"/>
          <w:noProof/>
          <w:lang w:val="sk-SK"/>
        </w:rPr>
        <w:t>justičnom systéme</w:t>
      </w:r>
      <w:r w:rsidR="00A75B3C" w:rsidRPr="003F23AC">
        <w:rPr>
          <w:rFonts w:cs="Times New Roman"/>
          <w:noProof/>
          <w:lang w:val="sk-SK"/>
        </w:rPr>
        <w:t xml:space="preserve"> a </w:t>
      </w:r>
      <w:r w:rsidRPr="003F23AC">
        <w:rPr>
          <w:rFonts w:cs="Times New Roman"/>
          <w:noProof/>
          <w:lang w:val="sk-SK"/>
        </w:rPr>
        <w:t>jeho presadzovanie</w:t>
      </w:r>
      <w:r w:rsidR="00A75B3C" w:rsidRPr="003F23AC">
        <w:rPr>
          <w:rFonts w:cs="Times New Roman"/>
          <w:noProof/>
          <w:lang w:val="sk-SK"/>
        </w:rPr>
        <w:t xml:space="preserve"> v </w:t>
      </w:r>
      <w:r w:rsidRPr="003F23AC">
        <w:rPr>
          <w:rFonts w:cs="Times New Roman"/>
          <w:noProof/>
          <w:lang w:val="sk-SK"/>
        </w:rPr>
        <w:t>licenčných konaniach, pokiaľ ide</w:t>
      </w:r>
      <w:r w:rsidR="00A75B3C" w:rsidRPr="003F23AC">
        <w:rPr>
          <w:rFonts w:cs="Times New Roman"/>
          <w:noProof/>
          <w:lang w:val="sk-SK"/>
        </w:rPr>
        <w:t xml:space="preserve"> o </w:t>
      </w:r>
      <w:r w:rsidRPr="003F23AC">
        <w:rPr>
          <w:rFonts w:cs="Times New Roman"/>
          <w:noProof/>
          <w:lang w:val="sk-SK"/>
        </w:rPr>
        <w:t>fungovanie súdov, ako aj</w:t>
      </w:r>
      <w:r w:rsidR="00A75B3C" w:rsidRPr="003F23AC">
        <w:rPr>
          <w:rFonts w:cs="Times New Roman"/>
          <w:noProof/>
          <w:lang w:val="sk-SK"/>
        </w:rPr>
        <w:t xml:space="preserve"> o </w:t>
      </w:r>
      <w:r w:rsidRPr="003F23AC">
        <w:rPr>
          <w:rFonts w:cs="Times New Roman"/>
          <w:noProof/>
          <w:lang w:val="sk-SK"/>
        </w:rPr>
        <w:t>interakciu so zainteresovanými stranami</w:t>
      </w:r>
      <w:r w:rsidR="00A75B3C" w:rsidRPr="003F23AC">
        <w:rPr>
          <w:rFonts w:cs="Times New Roman"/>
          <w:noProof/>
          <w:lang w:val="sk-SK"/>
        </w:rPr>
        <w:t>.</w:t>
      </w:r>
    </w:p>
    <w:p w14:paraId="76272F78" w14:textId="398B9E08"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tejto zložky je riešiť rôzne výzvy identifikované</w:t>
      </w:r>
      <w:r w:rsidR="00A75B3C" w:rsidRPr="003F23AC">
        <w:rPr>
          <w:rFonts w:cs="Times New Roman"/>
          <w:noProof/>
          <w:lang w:val="sk-SK"/>
        </w:rPr>
        <w:t xml:space="preserve"> v </w:t>
      </w:r>
      <w:r w:rsidRPr="003F23AC">
        <w:rPr>
          <w:rFonts w:cs="Times New Roman"/>
          <w:noProof/>
          <w:lang w:val="sk-SK"/>
        </w:rPr>
        <w:t>odporúčaniach pre jednotlivé krajiny (odporúčanie pre jednotlivé krajiny 4 2019</w:t>
      </w:r>
      <w:r w:rsidR="00A75B3C" w:rsidRPr="003F23AC">
        <w:rPr>
          <w:rFonts w:cs="Times New Roman"/>
          <w:noProof/>
          <w:lang w:val="sk-SK"/>
        </w:rPr>
        <w:t xml:space="preserve"> a </w:t>
      </w:r>
      <w:r w:rsidRPr="003F23AC">
        <w:rPr>
          <w:rFonts w:cs="Times New Roman"/>
          <w:noProof/>
          <w:lang w:val="sk-SK"/>
        </w:rPr>
        <w:t>2020), konkrétne zostávajúce nedostatky</w:t>
      </w:r>
      <w:r w:rsidR="00A75B3C" w:rsidRPr="003F23AC">
        <w:rPr>
          <w:rFonts w:cs="Times New Roman"/>
          <w:noProof/>
          <w:lang w:val="sk-SK"/>
        </w:rPr>
        <w:t xml:space="preserve"> v </w:t>
      </w:r>
      <w:r w:rsidRPr="003F23AC">
        <w:rPr>
          <w:rFonts w:cs="Times New Roman"/>
          <w:noProof/>
          <w:lang w:val="sk-SK"/>
        </w:rPr>
        <w:t>oblasti insolvenčných konaní</w:t>
      </w:r>
      <w:r w:rsidR="00A75B3C" w:rsidRPr="003F23AC">
        <w:rPr>
          <w:rFonts w:cs="Times New Roman"/>
          <w:noProof/>
          <w:lang w:val="sk-SK"/>
        </w:rPr>
        <w:t xml:space="preserve"> a </w:t>
      </w:r>
      <w:r w:rsidRPr="003F23AC">
        <w:rPr>
          <w:rFonts w:cs="Times New Roman"/>
          <w:noProof/>
          <w:lang w:val="sk-SK"/>
        </w:rPr>
        <w:t>správnych</w:t>
      </w:r>
      <w:r w:rsidR="00A75B3C" w:rsidRPr="003F23AC">
        <w:rPr>
          <w:rFonts w:cs="Times New Roman"/>
          <w:noProof/>
          <w:lang w:val="sk-SK"/>
        </w:rPr>
        <w:t xml:space="preserve"> a </w:t>
      </w:r>
      <w:r w:rsidRPr="003F23AC">
        <w:rPr>
          <w:rFonts w:cs="Times New Roman"/>
          <w:noProof/>
          <w:lang w:val="sk-SK"/>
        </w:rPr>
        <w:t>daňových súdov,</w:t>
      </w:r>
      <w:r w:rsidR="00A75B3C" w:rsidRPr="003F23AC">
        <w:rPr>
          <w:rFonts w:cs="Times New Roman"/>
          <w:noProof/>
          <w:lang w:val="sk-SK"/>
        </w:rPr>
        <w:t xml:space="preserve"> a </w:t>
      </w:r>
      <w:r w:rsidRPr="003F23AC">
        <w:rPr>
          <w:rFonts w:cs="Times New Roman"/>
          <w:noProof/>
          <w:lang w:val="sk-SK"/>
        </w:rPr>
        <w:t>riešiť otázku licenčných požiadaviek pre podniky, pričom sa dotýkajú rámca pre regulované povolania (tiež zahrnuté do tých istých odporúčaní pre jednotlivé krajiny), hoci sa obmedzuje na povolanie správcov konkurznej podstaty (problém regulovaných povolaní sa rieši</w:t>
      </w:r>
      <w:r w:rsidR="00A75B3C" w:rsidRPr="003F23AC">
        <w:rPr>
          <w:rFonts w:cs="Times New Roman"/>
          <w:noProof/>
          <w:lang w:val="sk-SK"/>
        </w:rPr>
        <w:t xml:space="preserve"> v </w:t>
      </w:r>
      <w:r w:rsidRPr="003F23AC">
        <w:rPr>
          <w:rFonts w:cs="Times New Roman"/>
          <w:noProof/>
          <w:lang w:val="sk-SK"/>
        </w:rPr>
        <w:t>zložke 6). Táto zložka prispieva aj</w:t>
      </w:r>
      <w:r w:rsidR="00A75B3C" w:rsidRPr="003F23AC">
        <w:rPr>
          <w:rFonts w:cs="Times New Roman"/>
          <w:noProof/>
          <w:lang w:val="sk-SK"/>
        </w:rPr>
        <w:t xml:space="preserve"> k </w:t>
      </w:r>
      <w:r w:rsidRPr="003F23AC">
        <w:rPr>
          <w:rFonts w:cs="Times New Roman"/>
          <w:noProof/>
          <w:lang w:val="sk-SK"/>
        </w:rPr>
        <w:t>plneniu odporúčania pre jednotlivé krajiny, aby sa investície zamerali na digitálnu transformáciu (odporúčanie pre jednotlivé krajiny 3 2020).</w:t>
      </w:r>
    </w:p>
    <w:p w14:paraId="5854FAB7" w14:textId="25F561B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p>
    <w:p w14:paraId="1109CC39"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3FEC5922" w14:textId="5A4204B4"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 xml:space="preserve">R.1. </w:t>
      </w:r>
      <w:r w:rsidRPr="003F23AC">
        <w:rPr>
          <w:rFonts w:cs="Times New Roman"/>
          <w:noProof/>
          <w:lang w:val="sk-SK"/>
        </w:rPr>
        <w:tab/>
        <w:t>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6924508E" w14:textId="791E4ECD"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Reforma TD-C18-r33: Hospodárska spravodlivosť</w:t>
      </w:r>
      <w:r w:rsidR="00A75B3C" w:rsidRPr="003F23AC">
        <w:rPr>
          <w:rFonts w:cs="Times New Roman"/>
          <w:noProof/>
          <w:lang w:val="sk-SK"/>
        </w:rPr>
        <w:t xml:space="preserve"> a </w:t>
      </w:r>
      <w:r w:rsidRPr="003F23AC">
        <w:rPr>
          <w:rFonts w:cs="Times New Roman"/>
          <w:noProof/>
          <w:lang w:val="sk-SK"/>
        </w:rPr>
        <w:t>podnikateľské prostredie</w:t>
      </w:r>
    </w:p>
    <w:p w14:paraId="3133444F" w14:textId="4A13C592"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Reforma zahŕňa identifikáciu prekážok brániacich investíciám</w:t>
      </w:r>
      <w:r w:rsidR="00A75B3C" w:rsidRPr="003F23AC">
        <w:rPr>
          <w:rFonts w:cs="Times New Roman"/>
          <w:noProof/>
          <w:lang w:val="sk-SK"/>
        </w:rPr>
        <w:t xml:space="preserve"> v </w:t>
      </w:r>
      <w:r w:rsidRPr="003F23AC">
        <w:rPr>
          <w:rFonts w:cs="Times New Roman"/>
          <w:noProof/>
          <w:lang w:val="sk-SK"/>
        </w:rPr>
        <w:t>oblasti udeľovania licencií</w:t>
      </w:r>
      <w:r w:rsidR="00A75B3C" w:rsidRPr="003F23AC">
        <w:rPr>
          <w:rFonts w:cs="Times New Roman"/>
          <w:noProof/>
          <w:lang w:val="sk-SK"/>
        </w:rPr>
        <w:t xml:space="preserve"> s </w:t>
      </w:r>
      <w:r w:rsidRPr="003F23AC">
        <w:rPr>
          <w:rFonts w:cs="Times New Roman"/>
          <w:noProof/>
          <w:lang w:val="sk-SK"/>
        </w:rPr>
        <w:t>cieľom znížiť procedurálnu neefektívnosť</w:t>
      </w:r>
      <w:r w:rsidR="00A75B3C" w:rsidRPr="003F23AC">
        <w:rPr>
          <w:rFonts w:cs="Times New Roman"/>
          <w:noProof/>
          <w:lang w:val="sk-SK"/>
        </w:rPr>
        <w:t xml:space="preserve"> a </w:t>
      </w:r>
      <w:r w:rsidRPr="003F23AC">
        <w:rPr>
          <w:rFonts w:cs="Times New Roman"/>
          <w:noProof/>
          <w:lang w:val="sk-SK"/>
        </w:rPr>
        <w:t>využiť výhody digitalizácie</w:t>
      </w:r>
      <w:r w:rsidR="00A75B3C" w:rsidRPr="003F23AC">
        <w:rPr>
          <w:rFonts w:cs="Times New Roman"/>
          <w:noProof/>
          <w:lang w:val="sk-SK"/>
        </w:rPr>
        <w:t xml:space="preserve"> a </w:t>
      </w:r>
      <w:r w:rsidRPr="003F23AC">
        <w:rPr>
          <w:rFonts w:cs="Times New Roman"/>
          <w:noProof/>
          <w:lang w:val="sk-SK"/>
        </w:rPr>
        <w:t>interoperability medzi službami, pričom sa zavedie zásada „len raz“ ako kľúčové zameranie reformy, pokiaľ ide</w:t>
      </w:r>
      <w:r w:rsidR="00A75B3C" w:rsidRPr="003F23AC">
        <w:rPr>
          <w:rFonts w:cs="Times New Roman"/>
          <w:noProof/>
          <w:lang w:val="sk-SK"/>
        </w:rPr>
        <w:t xml:space="preserve"> o </w:t>
      </w:r>
      <w:r w:rsidRPr="003F23AC">
        <w:rPr>
          <w:rFonts w:cs="Times New Roman"/>
          <w:noProof/>
          <w:lang w:val="sk-SK"/>
        </w:rPr>
        <w:t>podnikateľské prostredie. Zmeny právneho rámca, ktorými sa takéto prekážky odstránia, by mali nadobudnúť účinnosť do tretieho štvrťroka 2025.</w:t>
      </w:r>
    </w:p>
    <w:p w14:paraId="5BDBCE2A" w14:textId="7DEA31C2"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V oblasti spravodlivosti sa reforma zameriava na zvýšenie efektívnosti správnych</w:t>
      </w:r>
      <w:r w:rsidR="00A75B3C" w:rsidRPr="003F23AC">
        <w:rPr>
          <w:rFonts w:cs="Times New Roman"/>
          <w:noProof/>
          <w:lang w:val="sk-SK"/>
        </w:rPr>
        <w:t xml:space="preserve"> a </w:t>
      </w:r>
      <w:r w:rsidRPr="003F23AC">
        <w:rPr>
          <w:rFonts w:cs="Times New Roman"/>
          <w:noProof/>
          <w:lang w:val="sk-SK"/>
        </w:rPr>
        <w:t>daňových súdov vytvorením právneho rámca na podporu mimosúdneho vyrovnania</w:t>
      </w:r>
      <w:r w:rsidR="00A75B3C" w:rsidRPr="003F23AC">
        <w:rPr>
          <w:rFonts w:cs="Times New Roman"/>
          <w:noProof/>
          <w:lang w:val="sk-SK"/>
        </w:rPr>
        <w:t xml:space="preserve"> a </w:t>
      </w:r>
      <w:r w:rsidRPr="003F23AC">
        <w:rPr>
          <w:rFonts w:cs="Times New Roman"/>
          <w:noProof/>
          <w:lang w:val="sk-SK"/>
        </w:rPr>
        <w:t>vytvorenia špecializovaných komôr na vyšších súdoch, pričom preskúmanie rámca pre platobnú neschopnosť zahŕňa posilnenie úlohy správcov, preskúmanie právneho rámca na posilnenie práv veriteľa</w:t>
      </w:r>
      <w:r w:rsidR="00A75B3C" w:rsidRPr="003F23AC">
        <w:rPr>
          <w:rFonts w:cs="Times New Roman"/>
          <w:noProof/>
          <w:lang w:val="sk-SK"/>
        </w:rPr>
        <w:t xml:space="preserve"> a </w:t>
      </w:r>
      <w:r w:rsidRPr="003F23AC">
        <w:rPr>
          <w:rFonts w:cs="Times New Roman"/>
          <w:noProof/>
          <w:lang w:val="sk-SK"/>
        </w:rPr>
        <w:t>zavedenie povinného čiastočného rozdelenia</w:t>
      </w:r>
      <w:r w:rsidR="00A75B3C" w:rsidRPr="003F23AC">
        <w:rPr>
          <w:rFonts w:cs="Times New Roman"/>
          <w:noProof/>
          <w:lang w:val="sk-SK"/>
        </w:rPr>
        <w:t xml:space="preserve"> v </w:t>
      </w:r>
      <w:r w:rsidRPr="003F23AC">
        <w:rPr>
          <w:rFonts w:cs="Times New Roman"/>
          <w:noProof/>
          <w:lang w:val="sk-SK"/>
        </w:rPr>
        <w:t>osobitných prípadoch</w:t>
      </w:r>
      <w:r w:rsidR="00A75B3C" w:rsidRPr="003F23AC">
        <w:rPr>
          <w:rFonts w:cs="Times New Roman"/>
          <w:noProof/>
          <w:lang w:val="sk-SK"/>
        </w:rPr>
        <w:t>.</w:t>
      </w:r>
    </w:p>
    <w:p w14:paraId="64979870" w14:textId="7F5794CF"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Okrem toho plánovaná reforma poskytne právny základ pre digitalizáciu procesov</w:t>
      </w:r>
      <w:r w:rsidR="00A75B3C" w:rsidRPr="003F23AC">
        <w:rPr>
          <w:rFonts w:cs="Times New Roman"/>
          <w:noProof/>
          <w:lang w:val="sk-SK"/>
        </w:rPr>
        <w:t xml:space="preserve"> a </w:t>
      </w:r>
      <w:r w:rsidRPr="003F23AC">
        <w:rPr>
          <w:rFonts w:cs="Times New Roman"/>
          <w:noProof/>
          <w:lang w:val="sk-SK"/>
        </w:rPr>
        <w:t>postupov</w:t>
      </w:r>
      <w:r w:rsidR="00A75B3C" w:rsidRPr="003F23AC">
        <w:rPr>
          <w:rFonts w:cs="Times New Roman"/>
          <w:noProof/>
          <w:lang w:val="sk-SK"/>
        </w:rPr>
        <w:t xml:space="preserve"> v </w:t>
      </w:r>
      <w:r w:rsidRPr="003F23AC">
        <w:rPr>
          <w:rFonts w:cs="Times New Roman"/>
          <w:noProof/>
          <w:lang w:val="sk-SK"/>
        </w:rPr>
        <w:t>celom justičnom systéme,</w:t>
      </w:r>
      <w:r w:rsidR="00A75B3C" w:rsidRPr="003F23AC">
        <w:rPr>
          <w:rFonts w:cs="Times New Roman"/>
          <w:noProof/>
          <w:lang w:val="sk-SK"/>
        </w:rPr>
        <w:t xml:space="preserve"> a </w:t>
      </w:r>
      <w:r w:rsidRPr="003F23AC">
        <w:rPr>
          <w:rFonts w:cs="Times New Roman"/>
          <w:noProof/>
          <w:lang w:val="sk-SK"/>
        </w:rPr>
        <w:t>to aj</w:t>
      </w:r>
      <w:r w:rsidR="00A75B3C" w:rsidRPr="003F23AC">
        <w:rPr>
          <w:rFonts w:cs="Times New Roman"/>
          <w:noProof/>
          <w:lang w:val="sk-SK"/>
        </w:rPr>
        <w:t xml:space="preserve"> v </w:t>
      </w:r>
      <w:r w:rsidRPr="003F23AC">
        <w:rPr>
          <w:rFonts w:cs="Times New Roman"/>
          <w:noProof/>
          <w:lang w:val="sk-SK"/>
        </w:rPr>
        <w:t>oblasti forenzného vyšetrovania</w:t>
      </w:r>
      <w:r w:rsidR="00A75B3C" w:rsidRPr="003F23AC">
        <w:rPr>
          <w:rFonts w:cs="Times New Roman"/>
          <w:noProof/>
          <w:lang w:val="sk-SK"/>
        </w:rPr>
        <w:t xml:space="preserve"> a </w:t>
      </w:r>
      <w:r w:rsidRPr="003F23AC">
        <w:rPr>
          <w:rFonts w:cs="Times New Roman"/>
          <w:noProof/>
          <w:lang w:val="sk-SK"/>
        </w:rPr>
        <w:t>vyšetrovania trestných činov</w:t>
      </w:r>
      <w:r w:rsidR="00A75B3C" w:rsidRPr="003F23AC">
        <w:rPr>
          <w:rFonts w:cs="Times New Roman"/>
          <w:noProof/>
          <w:lang w:val="sk-SK"/>
        </w:rPr>
        <w:t>.</w:t>
      </w:r>
    </w:p>
    <w:p w14:paraId="62C04DD3" w14:textId="24C51F32"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reformy sa dokončí do 30</w:t>
      </w:r>
      <w:r w:rsidR="00A75B3C" w:rsidRPr="003F23AC">
        <w:rPr>
          <w:rFonts w:cs="Times New Roman"/>
          <w:noProof/>
          <w:lang w:val="sk-SK"/>
        </w:rPr>
        <w:t>. septembra</w:t>
      </w:r>
      <w:r w:rsidRPr="003F23AC">
        <w:rPr>
          <w:rFonts w:cs="Times New Roman"/>
          <w:noProof/>
          <w:lang w:val="sk-SK"/>
        </w:rPr>
        <w:t xml:space="preserve"> 2025.</w:t>
      </w:r>
    </w:p>
    <w:p w14:paraId="0242038B"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067684AD" w14:textId="13FBD970" w:rsidR="00387C70" w:rsidRPr="003F23AC" w:rsidRDefault="000F5AA4" w:rsidP="008E475E">
      <w:pPr>
        <w:pStyle w:val="P68B1DB1-Normal5"/>
        <w:keepNext/>
        <w:keepLines/>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TD-C18-i01: Hospodárska spravodlivosť</w:t>
      </w:r>
      <w:r w:rsidR="00A75B3C" w:rsidRPr="003F23AC">
        <w:rPr>
          <w:rFonts w:cs="Times New Roman"/>
          <w:noProof/>
          <w:lang w:val="sk-SK"/>
        </w:rPr>
        <w:t xml:space="preserve"> a </w:t>
      </w:r>
      <w:r w:rsidRPr="003F23AC">
        <w:rPr>
          <w:rFonts w:cs="Times New Roman"/>
          <w:noProof/>
          <w:lang w:val="sk-SK"/>
        </w:rPr>
        <w:t>podnikateľské prostredie</w:t>
      </w:r>
    </w:p>
    <w:p w14:paraId="0BCC9F57" w14:textId="1BED02D6" w:rsidR="00387C70" w:rsidRPr="003F23AC" w:rsidRDefault="000F5AA4" w:rsidP="008E475E">
      <w:pPr>
        <w:pStyle w:val="P68B1DB1-Normal4"/>
        <w:keepNext/>
        <w:keepLines/>
        <w:spacing w:before="40" w:after="0" w:line="259" w:lineRule="auto"/>
        <w:jc w:val="both"/>
        <w:rPr>
          <w:rFonts w:eastAsiaTheme="minorEastAsia" w:cs="Times New Roman"/>
          <w:noProof/>
          <w:lang w:val="sk-SK"/>
        </w:rPr>
      </w:pPr>
      <w:r w:rsidRPr="003F23AC">
        <w:rPr>
          <w:rFonts w:cs="Times New Roman"/>
          <w:noProof/>
          <w:lang w:val="sk-SK"/>
        </w:rPr>
        <w:t>Cieľom investície je zabezpečiť digitálnu transformáciu</w:t>
      </w:r>
      <w:r w:rsidR="00A75B3C" w:rsidRPr="003F23AC">
        <w:rPr>
          <w:rFonts w:cs="Times New Roman"/>
          <w:noProof/>
          <w:lang w:val="sk-SK"/>
        </w:rPr>
        <w:t xml:space="preserve"> a </w:t>
      </w:r>
      <w:r w:rsidRPr="003F23AC">
        <w:rPr>
          <w:rFonts w:cs="Times New Roman"/>
          <w:noProof/>
          <w:lang w:val="sk-SK"/>
        </w:rPr>
        <w:t>odolnosť portugalských justičných informačných systémov. Jeho cieľom je začleniť paradigmu „digitálneho prístupu už vo svojej podstate“ do súdnictva</w:t>
      </w:r>
      <w:r w:rsidR="00A75B3C" w:rsidRPr="003F23AC">
        <w:rPr>
          <w:rFonts w:cs="Times New Roman"/>
          <w:noProof/>
          <w:lang w:val="sk-SK"/>
        </w:rPr>
        <w:t xml:space="preserve"> a </w:t>
      </w:r>
      <w:r w:rsidRPr="003F23AC">
        <w:rPr>
          <w:rFonts w:cs="Times New Roman"/>
          <w:noProof/>
          <w:lang w:val="sk-SK"/>
        </w:rPr>
        <w:t>súdnych úradníkov,</w:t>
      </w:r>
      <w:r w:rsidR="00A75B3C" w:rsidRPr="003F23AC">
        <w:rPr>
          <w:rFonts w:cs="Times New Roman"/>
          <w:noProof/>
          <w:lang w:val="sk-SK"/>
        </w:rPr>
        <w:t xml:space="preserve"> a </w:t>
      </w:r>
      <w:r w:rsidRPr="003F23AC">
        <w:rPr>
          <w:rFonts w:cs="Times New Roman"/>
          <w:noProof/>
          <w:lang w:val="sk-SK"/>
        </w:rPr>
        <w:t>to aj pokiaľ ide</w:t>
      </w:r>
      <w:r w:rsidR="00A75B3C" w:rsidRPr="003F23AC">
        <w:rPr>
          <w:rFonts w:cs="Times New Roman"/>
          <w:noProof/>
          <w:lang w:val="sk-SK"/>
        </w:rPr>
        <w:t xml:space="preserve"> o </w:t>
      </w:r>
      <w:r w:rsidRPr="003F23AC">
        <w:rPr>
          <w:rFonts w:cs="Times New Roman"/>
          <w:noProof/>
          <w:lang w:val="sk-SK"/>
        </w:rPr>
        <w:t>interakcie</w:t>
      </w:r>
      <w:r w:rsidR="00A75B3C" w:rsidRPr="003F23AC">
        <w:rPr>
          <w:rFonts w:cs="Times New Roman"/>
          <w:noProof/>
          <w:lang w:val="sk-SK"/>
        </w:rPr>
        <w:t xml:space="preserve"> s </w:t>
      </w:r>
      <w:r w:rsidRPr="003F23AC">
        <w:rPr>
          <w:rFonts w:cs="Times New Roman"/>
          <w:noProof/>
          <w:lang w:val="sk-SK"/>
        </w:rPr>
        <w:t>občanmi</w:t>
      </w:r>
      <w:r w:rsidR="00A75B3C" w:rsidRPr="003F23AC">
        <w:rPr>
          <w:rFonts w:cs="Times New Roman"/>
          <w:noProof/>
          <w:lang w:val="sk-SK"/>
        </w:rPr>
        <w:t xml:space="preserve"> a </w:t>
      </w:r>
      <w:r w:rsidRPr="003F23AC">
        <w:rPr>
          <w:rFonts w:cs="Times New Roman"/>
          <w:noProof/>
          <w:lang w:val="sk-SK"/>
        </w:rPr>
        <w:t>podnikmi.</w:t>
      </w:r>
    </w:p>
    <w:p w14:paraId="440992D0" w14:textId="77777777" w:rsidR="00387C70" w:rsidRPr="003F23AC" w:rsidRDefault="000F5AA4" w:rsidP="008E475E">
      <w:pPr>
        <w:pStyle w:val="P68B1DB1-Normal4"/>
        <w:keepNext/>
        <w:keepLines/>
        <w:spacing w:before="40" w:after="0" w:line="259" w:lineRule="auto"/>
        <w:jc w:val="both"/>
        <w:rPr>
          <w:rFonts w:eastAsiaTheme="minorEastAsia" w:cs="Times New Roman"/>
          <w:noProof/>
          <w:lang w:val="sk-SK"/>
        </w:rPr>
      </w:pPr>
      <w:r w:rsidRPr="003F23AC">
        <w:rPr>
          <w:rFonts w:cs="Times New Roman"/>
          <w:noProof/>
          <w:lang w:val="sk-SK"/>
        </w:rPr>
        <w:t>Digitálna transformácia je odrazovým mostíkom pre túto investíciu, ktorá sa zameriava na justičný systém, ktorý je rozdelený do piatich klastrov:</w:t>
      </w:r>
    </w:p>
    <w:p w14:paraId="3E5216F8" w14:textId="709CAA85" w:rsidR="00387C70" w:rsidRPr="003F23AC" w:rsidRDefault="000F5AA4" w:rsidP="003F23AC">
      <w:pPr>
        <w:pStyle w:val="P68B1DB1-Normal4"/>
        <w:numPr>
          <w:ilvl w:val="0"/>
          <w:numId w:val="35"/>
        </w:numPr>
        <w:spacing w:before="40" w:after="160" w:line="259" w:lineRule="auto"/>
        <w:contextualSpacing/>
        <w:jc w:val="both"/>
        <w:rPr>
          <w:rFonts w:eastAsiaTheme="minorEastAsia" w:cs="Times New Roman"/>
          <w:noProof/>
          <w:lang w:val="sk-SK"/>
        </w:rPr>
      </w:pPr>
      <w:r w:rsidRPr="003F23AC">
        <w:rPr>
          <w:rFonts w:cs="Times New Roman"/>
          <w:noProof/>
          <w:lang w:val="sk-SK"/>
        </w:rPr>
        <w:t>Rozvoj</w:t>
      </w:r>
      <w:r w:rsidR="00A75B3C" w:rsidRPr="003F23AC">
        <w:rPr>
          <w:rFonts w:cs="Times New Roman"/>
          <w:noProof/>
          <w:lang w:val="sk-SK"/>
        </w:rPr>
        <w:t xml:space="preserve"> a </w:t>
      </w:r>
      <w:r w:rsidRPr="003F23AC">
        <w:rPr>
          <w:rFonts w:cs="Times New Roman"/>
          <w:noProof/>
          <w:lang w:val="sk-SK"/>
        </w:rPr>
        <w:t>zavádzanie digitálnych platforiem justičného systému (zahŕňajúcich všetky súdy), ktorých cieľom je podporovať digitalizáciu všetkých súdnych procesov</w:t>
      </w:r>
      <w:r w:rsidR="00A75B3C" w:rsidRPr="003F23AC">
        <w:rPr>
          <w:rFonts w:cs="Times New Roman"/>
          <w:noProof/>
          <w:lang w:val="sk-SK"/>
        </w:rPr>
        <w:t xml:space="preserve"> a </w:t>
      </w:r>
      <w:r w:rsidRPr="003F23AC">
        <w:rPr>
          <w:rFonts w:cs="Times New Roman"/>
          <w:noProof/>
          <w:lang w:val="sk-SK"/>
        </w:rPr>
        <w:t>postupov</w:t>
      </w:r>
      <w:r w:rsidR="00A75B3C" w:rsidRPr="003F23AC">
        <w:rPr>
          <w:rFonts w:cs="Times New Roman"/>
          <w:noProof/>
          <w:lang w:val="sk-SK"/>
        </w:rPr>
        <w:t xml:space="preserve"> a </w:t>
      </w:r>
      <w:r w:rsidRPr="003F23AC">
        <w:rPr>
          <w:rFonts w:cs="Times New Roman"/>
          <w:noProof/>
          <w:lang w:val="sk-SK"/>
        </w:rPr>
        <w:t>využívať výhody vyplývajúce</w:t>
      </w:r>
      <w:r w:rsidR="00A75B3C" w:rsidRPr="003F23AC">
        <w:rPr>
          <w:rFonts w:cs="Times New Roman"/>
          <w:noProof/>
          <w:lang w:val="sk-SK"/>
        </w:rPr>
        <w:t xml:space="preserve"> z </w:t>
      </w:r>
      <w:r w:rsidRPr="003F23AC">
        <w:rPr>
          <w:rFonts w:cs="Times New Roman"/>
          <w:noProof/>
          <w:lang w:val="sk-SK"/>
        </w:rPr>
        <w:t>prirodzeného zvýšenia efektívnosti na riešenie existujúcich nevybavených prípadov. Okrem toho sa vyvinú nové rozhrania pre interakciu</w:t>
      </w:r>
      <w:r w:rsidR="00A75B3C" w:rsidRPr="003F23AC">
        <w:rPr>
          <w:rFonts w:cs="Times New Roman"/>
          <w:noProof/>
          <w:lang w:val="sk-SK"/>
        </w:rPr>
        <w:t xml:space="preserve"> s </w:t>
      </w:r>
      <w:r w:rsidRPr="003F23AC">
        <w:rPr>
          <w:rFonts w:cs="Times New Roman"/>
          <w:noProof/>
          <w:lang w:val="sk-SK"/>
        </w:rPr>
        <w:t>príslušnými zainteresovanými stranami;</w:t>
      </w:r>
    </w:p>
    <w:p w14:paraId="6E480707" w14:textId="4B317412" w:rsidR="00387C70" w:rsidRPr="003F23AC" w:rsidRDefault="000F5AA4" w:rsidP="003F23AC">
      <w:pPr>
        <w:pStyle w:val="P68B1DB1-Normal4"/>
        <w:numPr>
          <w:ilvl w:val="0"/>
          <w:numId w:val="35"/>
        </w:numPr>
        <w:spacing w:before="40" w:after="160" w:line="259" w:lineRule="auto"/>
        <w:contextualSpacing/>
        <w:jc w:val="both"/>
        <w:rPr>
          <w:rFonts w:eastAsiaTheme="minorEastAsia" w:cs="Times New Roman"/>
          <w:noProof/>
          <w:lang w:val="sk-SK"/>
        </w:rPr>
      </w:pPr>
      <w:r w:rsidRPr="003F23AC">
        <w:rPr>
          <w:rFonts w:cs="Times New Roman"/>
          <w:noProof/>
          <w:lang w:val="sk-SK"/>
        </w:rPr>
        <w:t>Rozvoj digitálnych platforiem pre občanov</w:t>
      </w:r>
      <w:r w:rsidR="00A75B3C" w:rsidRPr="003F23AC">
        <w:rPr>
          <w:rFonts w:cs="Times New Roman"/>
          <w:noProof/>
          <w:lang w:val="sk-SK"/>
        </w:rPr>
        <w:t xml:space="preserve"> a </w:t>
      </w:r>
      <w:r w:rsidRPr="003F23AC">
        <w:rPr>
          <w:rFonts w:cs="Times New Roman"/>
          <w:noProof/>
          <w:lang w:val="sk-SK"/>
        </w:rPr>
        <w:t>podniky (vrátane migrácie údajov), sprístupňovanie nových služieb online</w:t>
      </w:r>
      <w:r w:rsidR="00A75B3C" w:rsidRPr="003F23AC">
        <w:rPr>
          <w:rFonts w:cs="Times New Roman"/>
          <w:noProof/>
          <w:lang w:val="sk-SK"/>
        </w:rPr>
        <w:t xml:space="preserve"> a </w:t>
      </w:r>
      <w:r w:rsidRPr="003F23AC">
        <w:rPr>
          <w:rFonts w:cs="Times New Roman"/>
          <w:noProof/>
          <w:lang w:val="sk-SK"/>
        </w:rPr>
        <w:t>zabezpečenie úplnej dematerializácie niektorých služieb. Cieľom tejto investície je poskytovať integrované platformy služieb pre podniky</w:t>
      </w:r>
      <w:r w:rsidR="00A75B3C" w:rsidRPr="003F23AC">
        <w:rPr>
          <w:rFonts w:cs="Times New Roman"/>
          <w:noProof/>
          <w:lang w:val="sk-SK"/>
        </w:rPr>
        <w:t xml:space="preserve"> a </w:t>
      </w:r>
      <w:r w:rsidRPr="003F23AC">
        <w:rPr>
          <w:rFonts w:cs="Times New Roman"/>
          <w:noProof/>
          <w:lang w:val="sk-SK"/>
        </w:rPr>
        <w:t>občanov počas celého ich životného cyklu vrátane všetkých rôznych registrátorov (nehnuteľnosti, vozidlá, štátna príslušnosť, obchodný register</w:t>
      </w:r>
      <w:r w:rsidR="00A75B3C" w:rsidRPr="003F23AC">
        <w:rPr>
          <w:rFonts w:cs="Times New Roman"/>
          <w:noProof/>
          <w:lang w:val="sk-SK"/>
        </w:rPr>
        <w:t xml:space="preserve"> a </w:t>
      </w:r>
      <w:r w:rsidRPr="003F23AC">
        <w:rPr>
          <w:rFonts w:cs="Times New Roman"/>
          <w:noProof/>
          <w:lang w:val="sk-SK"/>
        </w:rPr>
        <w:t>register trestov</w:t>
      </w:r>
      <w:r w:rsidR="00A75B3C" w:rsidRPr="003F23AC">
        <w:rPr>
          <w:rFonts w:cs="Times New Roman"/>
          <w:noProof/>
          <w:lang w:val="sk-SK"/>
        </w:rPr>
        <w:t xml:space="preserve"> a </w:t>
      </w:r>
      <w:r w:rsidRPr="003F23AC">
        <w:rPr>
          <w:rFonts w:cs="Times New Roman"/>
          <w:noProof/>
          <w:lang w:val="sk-SK"/>
        </w:rPr>
        <w:t>registrácia</w:t>
      </w:r>
      <w:r w:rsidR="00A75B3C" w:rsidRPr="003F23AC">
        <w:rPr>
          <w:rFonts w:cs="Times New Roman"/>
          <w:noProof/>
          <w:lang w:val="sk-SK"/>
        </w:rPr>
        <w:t xml:space="preserve"> a </w:t>
      </w:r>
      <w:r w:rsidRPr="003F23AC">
        <w:rPr>
          <w:rFonts w:cs="Times New Roman"/>
          <w:noProof/>
          <w:lang w:val="sk-SK"/>
        </w:rPr>
        <w:t>overovanie patentov);</w:t>
      </w:r>
    </w:p>
    <w:p w14:paraId="451B125F" w14:textId="77777777" w:rsidR="00A75B3C" w:rsidRPr="003F23AC" w:rsidRDefault="000F5AA4" w:rsidP="003F23AC">
      <w:pPr>
        <w:pStyle w:val="P68B1DB1-Normal4"/>
        <w:numPr>
          <w:ilvl w:val="0"/>
          <w:numId w:val="35"/>
        </w:numPr>
        <w:spacing w:before="40" w:after="160" w:line="259" w:lineRule="auto"/>
        <w:contextualSpacing/>
        <w:jc w:val="both"/>
        <w:rPr>
          <w:rFonts w:cs="Times New Roman"/>
          <w:noProof/>
          <w:lang w:val="sk-SK"/>
        </w:rPr>
      </w:pPr>
      <w:r w:rsidRPr="003F23AC">
        <w:rPr>
          <w:rFonts w:cs="Times New Roman"/>
          <w:noProof/>
          <w:lang w:val="sk-SK"/>
        </w:rPr>
        <w:t>Digitálne platformy pre vyšetrovanie trestných činov</w:t>
      </w:r>
      <w:r w:rsidR="00A75B3C" w:rsidRPr="003F23AC">
        <w:rPr>
          <w:rFonts w:cs="Times New Roman"/>
          <w:noProof/>
          <w:lang w:val="sk-SK"/>
        </w:rPr>
        <w:t xml:space="preserve"> a </w:t>
      </w:r>
      <w:r w:rsidRPr="003F23AC">
        <w:rPr>
          <w:rFonts w:cs="Times New Roman"/>
          <w:noProof/>
          <w:lang w:val="sk-SK"/>
        </w:rPr>
        <w:t>forenznú analýzu, rozvoj</w:t>
      </w:r>
      <w:r w:rsidR="00A75B3C" w:rsidRPr="003F23AC">
        <w:rPr>
          <w:rFonts w:cs="Times New Roman"/>
          <w:noProof/>
          <w:lang w:val="sk-SK"/>
        </w:rPr>
        <w:t xml:space="preserve"> a </w:t>
      </w:r>
      <w:r w:rsidRPr="003F23AC">
        <w:rPr>
          <w:rFonts w:cs="Times New Roman"/>
          <w:noProof/>
          <w:lang w:val="sk-SK"/>
        </w:rPr>
        <w:t>modernizáciu informačných systémov</w:t>
      </w:r>
      <w:r w:rsidR="00A75B3C" w:rsidRPr="003F23AC">
        <w:rPr>
          <w:rFonts w:cs="Times New Roman"/>
          <w:noProof/>
          <w:lang w:val="sk-SK"/>
        </w:rPr>
        <w:t xml:space="preserve"> a </w:t>
      </w:r>
      <w:r w:rsidRPr="003F23AC">
        <w:rPr>
          <w:rFonts w:cs="Times New Roman"/>
          <w:noProof/>
          <w:lang w:val="sk-SK"/>
        </w:rPr>
        <w:t>zabezpečenie prepojenia</w:t>
      </w:r>
      <w:r w:rsidR="00A75B3C" w:rsidRPr="003F23AC">
        <w:rPr>
          <w:rFonts w:cs="Times New Roman"/>
          <w:noProof/>
          <w:lang w:val="sk-SK"/>
        </w:rPr>
        <w:t xml:space="preserve"> s </w:t>
      </w:r>
      <w:r w:rsidRPr="003F23AC">
        <w:rPr>
          <w:rFonts w:cs="Times New Roman"/>
          <w:noProof/>
          <w:lang w:val="sk-SK"/>
        </w:rPr>
        <w:t>európskymi sieťami,</w:t>
      </w:r>
    </w:p>
    <w:p w14:paraId="7CD0A53D" w14:textId="45436233" w:rsidR="00387C70" w:rsidRPr="003F23AC" w:rsidRDefault="000F5AA4" w:rsidP="003F23AC">
      <w:pPr>
        <w:pStyle w:val="P68B1DB1-Normal4"/>
        <w:numPr>
          <w:ilvl w:val="0"/>
          <w:numId w:val="35"/>
        </w:numPr>
        <w:spacing w:before="40" w:after="160" w:line="259" w:lineRule="auto"/>
        <w:contextualSpacing/>
        <w:jc w:val="both"/>
        <w:rPr>
          <w:rFonts w:eastAsiaTheme="minorEastAsia" w:cs="Times New Roman"/>
          <w:noProof/>
          <w:lang w:val="sk-SK"/>
        </w:rPr>
      </w:pPr>
      <w:r w:rsidRPr="003F23AC">
        <w:rPr>
          <w:rFonts w:cs="Times New Roman"/>
          <w:noProof/>
          <w:lang w:val="sk-SK"/>
        </w:rPr>
        <w:t>Rozvoj</w:t>
      </w:r>
      <w:r w:rsidR="00A75B3C" w:rsidRPr="003F23AC">
        <w:rPr>
          <w:rFonts w:cs="Times New Roman"/>
          <w:noProof/>
          <w:lang w:val="sk-SK"/>
        </w:rPr>
        <w:t xml:space="preserve"> a </w:t>
      </w:r>
      <w:r w:rsidRPr="003F23AC">
        <w:rPr>
          <w:rFonts w:cs="Times New Roman"/>
          <w:noProof/>
          <w:lang w:val="sk-SK"/>
        </w:rPr>
        <w:t>zavádzanie platforiem riadenia znalostí</w:t>
      </w:r>
      <w:r w:rsidR="00A75B3C" w:rsidRPr="003F23AC">
        <w:rPr>
          <w:rFonts w:cs="Times New Roman"/>
          <w:noProof/>
          <w:lang w:val="sk-SK"/>
        </w:rPr>
        <w:t xml:space="preserve"> v </w:t>
      </w:r>
      <w:r w:rsidRPr="003F23AC">
        <w:rPr>
          <w:rFonts w:cs="Times New Roman"/>
          <w:noProof/>
          <w:lang w:val="sk-SK"/>
        </w:rPr>
        <w:t>oblasti justície vrátane spoločnej platformy spoločných služieb, správy dokumentov, rozvoja platformy na zostavovanie štatistík</w:t>
      </w:r>
      <w:r w:rsidR="00A75B3C" w:rsidRPr="003F23AC">
        <w:rPr>
          <w:rFonts w:cs="Times New Roman"/>
          <w:noProof/>
          <w:lang w:val="sk-SK"/>
        </w:rPr>
        <w:t xml:space="preserve"> a </w:t>
      </w:r>
      <w:r w:rsidRPr="003F23AC">
        <w:rPr>
          <w:rFonts w:cs="Times New Roman"/>
          <w:noProof/>
          <w:lang w:val="sk-SK"/>
        </w:rPr>
        <w:t>ukazovateľov</w:t>
      </w:r>
      <w:r w:rsidR="00A75B3C" w:rsidRPr="003F23AC">
        <w:rPr>
          <w:rFonts w:cs="Times New Roman"/>
          <w:noProof/>
          <w:lang w:val="sk-SK"/>
        </w:rPr>
        <w:t xml:space="preserve"> a </w:t>
      </w:r>
      <w:r w:rsidRPr="003F23AC">
        <w:rPr>
          <w:rFonts w:cs="Times New Roman"/>
          <w:noProof/>
          <w:lang w:val="sk-SK"/>
        </w:rPr>
        <w:t>zjednodušenia jazyka používaného</w:t>
      </w:r>
      <w:r w:rsidR="00A75B3C" w:rsidRPr="003F23AC">
        <w:rPr>
          <w:rFonts w:cs="Times New Roman"/>
          <w:noProof/>
          <w:lang w:val="sk-SK"/>
        </w:rPr>
        <w:t xml:space="preserve"> v </w:t>
      </w:r>
      <w:r w:rsidRPr="003F23AC">
        <w:rPr>
          <w:rFonts w:cs="Times New Roman"/>
          <w:noProof/>
          <w:lang w:val="sk-SK"/>
        </w:rPr>
        <w:t>komunikácii</w:t>
      </w:r>
      <w:r w:rsidR="00A75B3C" w:rsidRPr="003F23AC">
        <w:rPr>
          <w:rFonts w:cs="Times New Roman"/>
          <w:noProof/>
          <w:lang w:val="sk-SK"/>
        </w:rPr>
        <w:t xml:space="preserve"> a </w:t>
      </w:r>
      <w:r w:rsidRPr="003F23AC">
        <w:rPr>
          <w:rFonts w:cs="Times New Roman"/>
          <w:noProof/>
          <w:lang w:val="sk-SK"/>
        </w:rPr>
        <w:t>digitálnych službách</w:t>
      </w:r>
      <w:r w:rsidR="00A75B3C" w:rsidRPr="003F23AC">
        <w:rPr>
          <w:rFonts w:cs="Times New Roman"/>
          <w:noProof/>
          <w:lang w:val="sk-SK"/>
        </w:rPr>
        <w:t xml:space="preserve"> v </w:t>
      </w:r>
      <w:r w:rsidRPr="003F23AC">
        <w:rPr>
          <w:rFonts w:cs="Times New Roman"/>
          <w:noProof/>
          <w:lang w:val="sk-SK"/>
        </w:rPr>
        <w:t>interakciách</w:t>
      </w:r>
      <w:r w:rsidR="00A75B3C" w:rsidRPr="003F23AC">
        <w:rPr>
          <w:rFonts w:cs="Times New Roman"/>
          <w:noProof/>
          <w:lang w:val="sk-SK"/>
        </w:rPr>
        <w:t xml:space="preserve"> s </w:t>
      </w:r>
      <w:r w:rsidRPr="003F23AC">
        <w:rPr>
          <w:rFonts w:cs="Times New Roman"/>
          <w:noProof/>
          <w:lang w:val="sk-SK"/>
        </w:rPr>
        <w:t>občanmi</w:t>
      </w:r>
      <w:r w:rsidR="00A75B3C" w:rsidRPr="003F23AC">
        <w:rPr>
          <w:rFonts w:cs="Times New Roman"/>
          <w:noProof/>
          <w:lang w:val="sk-SK"/>
        </w:rPr>
        <w:t xml:space="preserve"> a </w:t>
      </w:r>
      <w:r w:rsidRPr="003F23AC">
        <w:rPr>
          <w:rFonts w:cs="Times New Roman"/>
          <w:noProof/>
          <w:lang w:val="sk-SK"/>
        </w:rPr>
        <w:t>podnikmi (vrátane elektronických oznámení);</w:t>
      </w:r>
    </w:p>
    <w:p w14:paraId="6B600ACC" w14:textId="32AF0D06" w:rsidR="00387C70" w:rsidRPr="003F23AC" w:rsidRDefault="000F5AA4" w:rsidP="003F23AC">
      <w:pPr>
        <w:pStyle w:val="P68B1DB1-Normal4"/>
        <w:numPr>
          <w:ilvl w:val="0"/>
          <w:numId w:val="35"/>
        </w:numPr>
        <w:spacing w:before="40" w:after="160" w:line="259" w:lineRule="auto"/>
        <w:contextualSpacing/>
        <w:jc w:val="both"/>
        <w:rPr>
          <w:rFonts w:eastAsiaTheme="minorEastAsia" w:cs="Times New Roman"/>
          <w:noProof/>
          <w:lang w:val="sk-SK"/>
        </w:rPr>
      </w:pPr>
      <w:r w:rsidRPr="003F23AC">
        <w:rPr>
          <w:rFonts w:cs="Times New Roman"/>
          <w:noProof/>
          <w:lang w:val="sk-SK"/>
        </w:rPr>
        <w:t>Zlepšenie technologickej infraštruktúry</w:t>
      </w:r>
      <w:r w:rsidR="00A75B3C" w:rsidRPr="003F23AC">
        <w:rPr>
          <w:rFonts w:cs="Times New Roman"/>
          <w:noProof/>
          <w:lang w:val="sk-SK"/>
        </w:rPr>
        <w:t xml:space="preserve"> a </w:t>
      </w:r>
      <w:r w:rsidRPr="003F23AC">
        <w:rPr>
          <w:rFonts w:cs="Times New Roman"/>
          <w:noProof/>
          <w:lang w:val="sk-SK"/>
        </w:rPr>
        <w:t>vybavenia vrátane dátového centra, zariadenia pre katastrofy/obnovu, digitálnych archívov, platformy otvorených údajov, správy digitálnej identity</w:t>
      </w:r>
      <w:r w:rsidR="00A75B3C" w:rsidRPr="003F23AC">
        <w:rPr>
          <w:rFonts w:cs="Times New Roman"/>
          <w:noProof/>
          <w:lang w:val="sk-SK"/>
        </w:rPr>
        <w:t xml:space="preserve"> a </w:t>
      </w:r>
      <w:r w:rsidRPr="003F23AC">
        <w:rPr>
          <w:rFonts w:cs="Times New Roman"/>
          <w:noProof/>
          <w:lang w:val="sk-SK"/>
        </w:rPr>
        <w:t>vytvorenia digitálneho kontaktného centra</w:t>
      </w:r>
      <w:r w:rsidR="00A75B3C" w:rsidRPr="003F23AC">
        <w:rPr>
          <w:rFonts w:cs="Times New Roman"/>
          <w:noProof/>
          <w:lang w:val="sk-SK"/>
        </w:rPr>
        <w:t xml:space="preserve"> a </w:t>
      </w:r>
      <w:r w:rsidRPr="003F23AC">
        <w:rPr>
          <w:rFonts w:cs="Times New Roman"/>
          <w:noProof/>
          <w:lang w:val="sk-SK"/>
        </w:rPr>
        <w:t>servisnej kancelárie</w:t>
      </w:r>
      <w:r w:rsidR="00A75B3C" w:rsidRPr="003F23AC">
        <w:rPr>
          <w:rFonts w:cs="Times New Roman"/>
          <w:noProof/>
          <w:lang w:val="sk-SK"/>
        </w:rPr>
        <w:t xml:space="preserve"> v </w:t>
      </w:r>
      <w:r w:rsidRPr="003F23AC">
        <w:rPr>
          <w:rFonts w:cs="Times New Roman"/>
          <w:noProof/>
          <w:lang w:val="sk-SK"/>
        </w:rPr>
        <w:t>oblasti spravodlivosti.</w:t>
      </w:r>
    </w:p>
    <w:p w14:paraId="2B17E8BB" w14:textId="78868C1F"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Tieto investície ťažia zo silných synergií so zložkou 19 – digitálna verejná správa, ktorou sa zavádza paradigma „digitálneho prístupu už vo svojej podstate“</w:t>
      </w:r>
      <w:r w:rsidR="00A75B3C" w:rsidRPr="003F23AC">
        <w:rPr>
          <w:rFonts w:cs="Times New Roman"/>
          <w:noProof/>
          <w:lang w:val="sk-SK"/>
        </w:rPr>
        <w:t xml:space="preserve"> a </w:t>
      </w:r>
      <w:r w:rsidRPr="003F23AC">
        <w:rPr>
          <w:rFonts w:cs="Times New Roman"/>
          <w:noProof/>
          <w:lang w:val="sk-SK"/>
        </w:rPr>
        <w:t>zabezpečuje sa súlad</w:t>
      </w:r>
      <w:r w:rsidR="00A75B3C" w:rsidRPr="003F23AC">
        <w:rPr>
          <w:rFonts w:cs="Times New Roman"/>
          <w:noProof/>
          <w:lang w:val="sk-SK"/>
        </w:rPr>
        <w:t xml:space="preserve"> s </w:t>
      </w:r>
      <w:r w:rsidRPr="003F23AC">
        <w:rPr>
          <w:rFonts w:cs="Times New Roman"/>
          <w:noProof/>
          <w:lang w:val="sk-SK"/>
        </w:rPr>
        <w:t>národnou stratégiou kybernetickej bezpečnosti</w:t>
      </w:r>
      <w:r w:rsidR="00A75B3C" w:rsidRPr="003F23AC">
        <w:rPr>
          <w:rFonts w:cs="Times New Roman"/>
          <w:noProof/>
          <w:lang w:val="sk-SK"/>
        </w:rPr>
        <w:t xml:space="preserve"> a </w:t>
      </w:r>
      <w:r w:rsidRPr="003F23AC">
        <w:rPr>
          <w:rFonts w:cs="Times New Roman"/>
          <w:noProof/>
          <w:lang w:val="sk-SK"/>
        </w:rPr>
        <w:t>stratégiou cloud computingu</w:t>
      </w:r>
      <w:r w:rsidR="00A75B3C" w:rsidRPr="003F23AC">
        <w:rPr>
          <w:rFonts w:cs="Times New Roman"/>
          <w:noProof/>
          <w:lang w:val="sk-SK"/>
        </w:rPr>
        <w:t>.</w:t>
      </w:r>
    </w:p>
    <w:p w14:paraId="4A4D4017" w14:textId="506B8685" w:rsidR="00387C70" w:rsidRPr="003F23AC" w:rsidRDefault="000F5AA4" w:rsidP="003F23AC">
      <w:pPr>
        <w:pStyle w:val="P68B1DB1-Normal4"/>
        <w:spacing w:before="40" w:after="0" w:line="259" w:lineRule="auto"/>
        <w:jc w:val="both"/>
        <w:rPr>
          <w:rFonts w:eastAsiaTheme="minorEastAsia" w:cs="Times New Roman"/>
          <w:noProof/>
          <w:lang w:val="sk-SK"/>
        </w:rPr>
        <w:sectPr w:rsidR="00387C70" w:rsidRPr="003F23AC" w:rsidSect="00E00EDD">
          <w:headerReference w:type="even" r:id="rId330"/>
          <w:headerReference w:type="default" r:id="rId331"/>
          <w:footerReference w:type="even" r:id="rId332"/>
          <w:footerReference w:type="default" r:id="rId333"/>
          <w:headerReference w:type="first" r:id="rId334"/>
          <w:footerReference w:type="first" r:id="rId335"/>
          <w:pgSz w:w="11907" w:h="16839"/>
          <w:pgMar w:top="1134" w:right="1134" w:bottom="1134" w:left="1134" w:header="567" w:footer="567" w:gutter="0"/>
          <w:cols w:space="720"/>
          <w:docGrid w:linePitch="360"/>
        </w:sect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10A08022" w14:textId="2AF6E213"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 xml:space="preserve">R.2. </w:t>
      </w:r>
      <w:r w:rsidRPr="003F23AC">
        <w:rPr>
          <w:rFonts w:cs="Times New Roman"/>
          <w:noProof/>
          <w:lang w:val="sk-SK"/>
        </w:rPr>
        <w:tab/>
        <w:t>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p w14:paraId="786060A7"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1616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5"/>
        <w:gridCol w:w="993"/>
        <w:gridCol w:w="1521"/>
        <w:gridCol w:w="6"/>
        <w:gridCol w:w="1633"/>
        <w:gridCol w:w="1659"/>
        <w:gridCol w:w="992"/>
        <w:gridCol w:w="777"/>
        <w:gridCol w:w="759"/>
        <w:gridCol w:w="388"/>
        <w:gridCol w:w="4880"/>
      </w:tblGrid>
      <w:tr w:rsidR="00387C70" w:rsidRPr="003F23AC" w14:paraId="10258B68" w14:textId="77777777" w:rsidTr="008E475E">
        <w:trPr>
          <w:trHeight w:val="910"/>
          <w:tblHeader/>
        </w:trPr>
        <w:tc>
          <w:tcPr>
            <w:tcW w:w="1277" w:type="dxa"/>
            <w:vMerge w:val="restart"/>
            <w:shd w:val="clear" w:color="auto" w:fill="BDD6EE"/>
            <w:tcMar>
              <w:left w:w="28" w:type="dxa"/>
              <w:right w:w="28" w:type="dxa"/>
            </w:tcMar>
            <w:vAlign w:val="center"/>
          </w:tcPr>
          <w:p w14:paraId="690E97EE"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75" w:type="dxa"/>
            <w:vMerge w:val="restart"/>
            <w:shd w:val="clear" w:color="auto" w:fill="BDD6EE"/>
            <w:tcMar>
              <w:left w:w="28" w:type="dxa"/>
              <w:right w:w="28" w:type="dxa"/>
            </w:tcMar>
            <w:vAlign w:val="center"/>
            <w:hideMark/>
          </w:tcPr>
          <w:p w14:paraId="6FE76F1B"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993" w:type="dxa"/>
            <w:vMerge w:val="restart"/>
            <w:shd w:val="clear" w:color="auto" w:fill="BDD6EE"/>
            <w:tcMar>
              <w:left w:w="28" w:type="dxa"/>
              <w:right w:w="28" w:type="dxa"/>
            </w:tcMar>
            <w:vAlign w:val="center"/>
            <w:hideMark/>
          </w:tcPr>
          <w:p w14:paraId="1C9E635C" w14:textId="1CAE8360"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1521" w:type="dxa"/>
            <w:vMerge w:val="restart"/>
            <w:shd w:val="clear" w:color="auto" w:fill="BDD6EE"/>
            <w:tcMar>
              <w:left w:w="28" w:type="dxa"/>
              <w:right w:w="28" w:type="dxa"/>
            </w:tcMar>
            <w:vAlign w:val="center"/>
            <w:hideMark/>
          </w:tcPr>
          <w:p w14:paraId="03568057"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639" w:type="dxa"/>
            <w:gridSpan w:val="2"/>
            <w:vMerge w:val="restart"/>
            <w:shd w:val="clear" w:color="auto" w:fill="BDD6EE"/>
            <w:tcMar>
              <w:left w:w="28" w:type="dxa"/>
              <w:right w:w="28" w:type="dxa"/>
            </w:tcMar>
            <w:vAlign w:val="center"/>
            <w:hideMark/>
          </w:tcPr>
          <w:p w14:paraId="28863AC3"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3428" w:type="dxa"/>
            <w:gridSpan w:val="3"/>
            <w:shd w:val="clear" w:color="auto" w:fill="BDD6EE"/>
            <w:tcMar>
              <w:left w:w="28" w:type="dxa"/>
              <w:right w:w="28" w:type="dxa"/>
            </w:tcMar>
            <w:vAlign w:val="center"/>
            <w:hideMark/>
          </w:tcPr>
          <w:p w14:paraId="4089044F"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147" w:type="dxa"/>
            <w:gridSpan w:val="2"/>
            <w:shd w:val="clear" w:color="auto" w:fill="BDD6EE"/>
            <w:tcMar>
              <w:left w:w="28" w:type="dxa"/>
              <w:right w:w="28" w:type="dxa"/>
            </w:tcMar>
            <w:vAlign w:val="center"/>
            <w:hideMark/>
          </w:tcPr>
          <w:p w14:paraId="637730C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4880" w:type="dxa"/>
            <w:vMerge w:val="restart"/>
            <w:shd w:val="clear" w:color="auto" w:fill="BDD6EE"/>
            <w:noWrap/>
            <w:tcMar>
              <w:left w:w="28" w:type="dxa"/>
              <w:right w:w="28" w:type="dxa"/>
            </w:tcMar>
            <w:vAlign w:val="center"/>
            <w:hideMark/>
          </w:tcPr>
          <w:p w14:paraId="6E961EB9" w14:textId="5FA5727F"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259DC459" w14:textId="77777777" w:rsidTr="008E475E">
        <w:trPr>
          <w:trHeight w:val="470"/>
          <w:tblHeader/>
        </w:trPr>
        <w:tc>
          <w:tcPr>
            <w:tcW w:w="1277" w:type="dxa"/>
            <w:vMerge/>
            <w:tcMar>
              <w:left w:w="28" w:type="dxa"/>
              <w:right w:w="28" w:type="dxa"/>
            </w:tcMar>
          </w:tcPr>
          <w:p w14:paraId="0B61D35A"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5" w:type="dxa"/>
            <w:vMerge/>
            <w:tcMar>
              <w:left w:w="28" w:type="dxa"/>
              <w:right w:w="28" w:type="dxa"/>
            </w:tcMar>
            <w:vAlign w:val="center"/>
            <w:hideMark/>
          </w:tcPr>
          <w:p w14:paraId="42F5CA82"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993" w:type="dxa"/>
            <w:vMerge/>
            <w:tcMar>
              <w:left w:w="28" w:type="dxa"/>
              <w:right w:w="28" w:type="dxa"/>
            </w:tcMar>
            <w:vAlign w:val="center"/>
            <w:hideMark/>
          </w:tcPr>
          <w:p w14:paraId="6A66BA83" w14:textId="5098E0F5"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521" w:type="dxa"/>
            <w:vMerge/>
            <w:tcMar>
              <w:left w:w="28" w:type="dxa"/>
              <w:right w:w="28" w:type="dxa"/>
            </w:tcMar>
            <w:vAlign w:val="center"/>
            <w:hideMark/>
          </w:tcPr>
          <w:p w14:paraId="020E12E7"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639" w:type="dxa"/>
            <w:gridSpan w:val="2"/>
            <w:vMerge/>
            <w:tcMar>
              <w:left w:w="28" w:type="dxa"/>
              <w:right w:w="28" w:type="dxa"/>
            </w:tcMar>
            <w:vAlign w:val="center"/>
            <w:hideMark/>
          </w:tcPr>
          <w:p w14:paraId="70F7DD30"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659" w:type="dxa"/>
            <w:shd w:val="clear" w:color="auto" w:fill="BDD6EE"/>
            <w:tcMar>
              <w:left w:w="28" w:type="dxa"/>
              <w:right w:w="28" w:type="dxa"/>
            </w:tcMar>
            <w:vAlign w:val="center"/>
            <w:hideMark/>
          </w:tcPr>
          <w:p w14:paraId="6FED8042"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992" w:type="dxa"/>
            <w:shd w:val="clear" w:color="auto" w:fill="BDD6EE"/>
            <w:tcMar>
              <w:left w:w="28" w:type="dxa"/>
              <w:right w:w="28" w:type="dxa"/>
            </w:tcMar>
            <w:vAlign w:val="center"/>
            <w:hideMark/>
          </w:tcPr>
          <w:p w14:paraId="055E64A2" w14:textId="6F24DAB5"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777" w:type="dxa"/>
            <w:shd w:val="clear" w:color="auto" w:fill="BDD6EE"/>
            <w:tcMar>
              <w:left w:w="28" w:type="dxa"/>
              <w:right w:w="28" w:type="dxa"/>
            </w:tcMar>
            <w:vAlign w:val="center"/>
            <w:hideMark/>
          </w:tcPr>
          <w:p w14:paraId="114749AF" w14:textId="5C8C1D85"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759" w:type="dxa"/>
            <w:shd w:val="clear" w:color="auto" w:fill="BDD6EE"/>
            <w:tcMar>
              <w:left w:w="28" w:type="dxa"/>
              <w:right w:w="28" w:type="dxa"/>
            </w:tcMar>
            <w:vAlign w:val="center"/>
            <w:hideMark/>
          </w:tcPr>
          <w:p w14:paraId="76E28634" w14:textId="47E7875A"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388" w:type="dxa"/>
            <w:shd w:val="clear" w:color="auto" w:fill="BDD6EE"/>
            <w:tcMar>
              <w:left w:w="28" w:type="dxa"/>
              <w:right w:w="28" w:type="dxa"/>
            </w:tcMar>
            <w:vAlign w:val="center"/>
            <w:hideMark/>
          </w:tcPr>
          <w:p w14:paraId="6B436B9B"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4880" w:type="dxa"/>
            <w:vMerge/>
            <w:tcMar>
              <w:left w:w="28" w:type="dxa"/>
              <w:right w:w="28" w:type="dxa"/>
            </w:tcMar>
            <w:vAlign w:val="center"/>
            <w:hideMark/>
          </w:tcPr>
          <w:p w14:paraId="1483F6BF"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0704287E" w14:textId="77777777" w:rsidTr="008E475E">
        <w:trPr>
          <w:trHeight w:val="1038"/>
        </w:trPr>
        <w:tc>
          <w:tcPr>
            <w:tcW w:w="1277" w:type="dxa"/>
            <w:shd w:val="clear" w:color="auto" w:fill="C4EFCE"/>
            <w:tcMar>
              <w:left w:w="28" w:type="dxa"/>
              <w:right w:w="28" w:type="dxa"/>
            </w:tcMar>
            <w:vAlign w:val="center"/>
          </w:tcPr>
          <w:p w14:paraId="30823E55"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18.1</w:t>
            </w:r>
          </w:p>
        </w:tc>
        <w:tc>
          <w:tcPr>
            <w:tcW w:w="1275" w:type="dxa"/>
            <w:shd w:val="clear" w:color="auto" w:fill="C4EFCE"/>
            <w:noWrap/>
            <w:tcMar>
              <w:left w:w="28" w:type="dxa"/>
              <w:right w:w="28" w:type="dxa"/>
            </w:tcMar>
            <w:vAlign w:val="center"/>
            <w:hideMark/>
          </w:tcPr>
          <w:p w14:paraId="0F9E1EF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TD-C18-r33</w:t>
            </w:r>
          </w:p>
        </w:tc>
        <w:tc>
          <w:tcPr>
            <w:tcW w:w="993" w:type="dxa"/>
            <w:shd w:val="clear" w:color="auto" w:fill="C4EFCE"/>
            <w:noWrap/>
            <w:tcMar>
              <w:left w:w="28" w:type="dxa"/>
              <w:right w:w="28" w:type="dxa"/>
            </w:tcMar>
            <w:vAlign w:val="center"/>
            <w:hideMark/>
          </w:tcPr>
          <w:p w14:paraId="4016CCA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27" w:type="dxa"/>
            <w:gridSpan w:val="2"/>
            <w:shd w:val="clear" w:color="auto" w:fill="C4EFCE"/>
            <w:noWrap/>
            <w:tcMar>
              <w:left w:w="28" w:type="dxa"/>
              <w:right w:w="28" w:type="dxa"/>
            </w:tcMar>
            <w:vAlign w:val="center"/>
            <w:hideMark/>
          </w:tcPr>
          <w:p w14:paraId="45B55A10" w14:textId="02118FE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Vytvorenie špecializovaných komôr na správnych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daňových vyšších súdoch</w:t>
            </w:r>
          </w:p>
        </w:tc>
        <w:tc>
          <w:tcPr>
            <w:tcW w:w="1633" w:type="dxa"/>
            <w:shd w:val="clear" w:color="auto" w:fill="C4EFCE"/>
            <w:noWrap/>
            <w:tcMar>
              <w:left w:w="28" w:type="dxa"/>
              <w:right w:w="28" w:type="dxa"/>
            </w:tcMar>
            <w:vAlign w:val="center"/>
            <w:hideMark/>
          </w:tcPr>
          <w:p w14:paraId="594CF147" w14:textId="3084BEA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Vytvorenie špecializovaných komôr na správnych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daňových vyšších súdoch</w:t>
            </w:r>
          </w:p>
        </w:tc>
        <w:tc>
          <w:tcPr>
            <w:tcW w:w="1659" w:type="dxa"/>
            <w:shd w:val="clear" w:color="auto" w:fill="C4EFCE"/>
            <w:noWrap/>
            <w:tcMar>
              <w:left w:w="28" w:type="dxa"/>
              <w:right w:w="28" w:type="dxa"/>
            </w:tcMar>
            <w:vAlign w:val="center"/>
            <w:hideMark/>
          </w:tcPr>
          <w:p w14:paraId="77D105F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28DF828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7" w:type="dxa"/>
            <w:shd w:val="clear" w:color="auto" w:fill="C4EFCE"/>
            <w:noWrap/>
            <w:tcMar>
              <w:left w:w="28" w:type="dxa"/>
              <w:right w:w="28" w:type="dxa"/>
            </w:tcMar>
            <w:vAlign w:val="center"/>
            <w:hideMark/>
          </w:tcPr>
          <w:p w14:paraId="219FDAD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59" w:type="dxa"/>
            <w:shd w:val="clear" w:color="auto" w:fill="C4EFCE"/>
            <w:noWrap/>
            <w:tcMar>
              <w:left w:w="28" w:type="dxa"/>
              <w:right w:w="28" w:type="dxa"/>
            </w:tcMar>
            <w:vAlign w:val="center"/>
            <w:hideMark/>
          </w:tcPr>
          <w:p w14:paraId="0C9B9432" w14:textId="256E7B1E"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388" w:type="dxa"/>
            <w:shd w:val="clear" w:color="auto" w:fill="C4EFCE"/>
            <w:noWrap/>
            <w:tcMar>
              <w:left w:w="28" w:type="dxa"/>
              <w:right w:w="28" w:type="dxa"/>
            </w:tcMar>
            <w:vAlign w:val="center"/>
            <w:hideMark/>
          </w:tcPr>
          <w:p w14:paraId="4791021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880" w:type="dxa"/>
            <w:shd w:val="clear" w:color="auto" w:fill="C4EFCE"/>
            <w:tcMar>
              <w:left w:w="28" w:type="dxa"/>
              <w:right w:w="28" w:type="dxa"/>
            </w:tcMar>
            <w:vAlign w:val="center"/>
            <w:hideMark/>
          </w:tcPr>
          <w:p w14:paraId="210990C9" w14:textId="5EAB824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Vytvorenie špecializovaných komôr na správnych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daňových vyšších súdoch: bežné správne rozsudky, správne rozsudky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sociálnej oblasti, rozsudky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verejnom obstarávaní, bežné daňové rozhodnutia, rozhodnutia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vymáhaní daní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správnych deliktoch</w:t>
            </w:r>
          </w:p>
        </w:tc>
      </w:tr>
      <w:tr w:rsidR="00387C70" w:rsidRPr="003F23AC" w14:paraId="5EA37799" w14:textId="77777777" w:rsidTr="008E475E">
        <w:trPr>
          <w:trHeight w:val="2570"/>
        </w:trPr>
        <w:tc>
          <w:tcPr>
            <w:tcW w:w="1277" w:type="dxa"/>
            <w:shd w:val="clear" w:color="auto" w:fill="C4EFCE"/>
            <w:tcMar>
              <w:left w:w="28" w:type="dxa"/>
              <w:right w:w="28" w:type="dxa"/>
            </w:tcMar>
            <w:vAlign w:val="center"/>
          </w:tcPr>
          <w:p w14:paraId="4592297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18.2</w:t>
            </w:r>
          </w:p>
        </w:tc>
        <w:tc>
          <w:tcPr>
            <w:tcW w:w="1275" w:type="dxa"/>
            <w:shd w:val="clear" w:color="auto" w:fill="C4EFCE"/>
            <w:noWrap/>
            <w:tcMar>
              <w:left w:w="28" w:type="dxa"/>
              <w:right w:w="28" w:type="dxa"/>
            </w:tcMar>
            <w:vAlign w:val="center"/>
          </w:tcPr>
          <w:p w14:paraId="134D7CD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TD-C18-r33</w:t>
            </w:r>
          </w:p>
        </w:tc>
        <w:tc>
          <w:tcPr>
            <w:tcW w:w="993" w:type="dxa"/>
            <w:shd w:val="clear" w:color="auto" w:fill="C4EFCE"/>
            <w:noWrap/>
            <w:tcMar>
              <w:left w:w="28" w:type="dxa"/>
              <w:right w:w="28" w:type="dxa"/>
            </w:tcMar>
            <w:vAlign w:val="center"/>
          </w:tcPr>
          <w:p w14:paraId="1EBB304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27" w:type="dxa"/>
            <w:gridSpan w:val="2"/>
            <w:shd w:val="clear" w:color="auto" w:fill="C4EFCE"/>
            <w:noWrap/>
            <w:tcMar>
              <w:left w:w="28" w:type="dxa"/>
              <w:right w:w="28" w:type="dxa"/>
            </w:tcMar>
            <w:vAlign w:val="center"/>
          </w:tcPr>
          <w:p w14:paraId="0E38DEE8" w14:textId="0265D15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právneho režimu na podporu mimosúdneho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mimosúdneho vyrovnania</w:t>
            </w:r>
          </w:p>
          <w:p w14:paraId="36CC111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1633" w:type="dxa"/>
            <w:shd w:val="clear" w:color="auto" w:fill="C4EFCE"/>
            <w:noWrap/>
            <w:tcMar>
              <w:left w:w="28" w:type="dxa"/>
              <w:right w:w="28" w:type="dxa"/>
            </w:tcMar>
            <w:vAlign w:val="center"/>
          </w:tcPr>
          <w:p w14:paraId="4DB8A301" w14:textId="5FC1DF3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právneho režimu na podporu mimosúdneho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mimosúdneho vyrovnania</w:t>
            </w:r>
          </w:p>
        </w:tc>
        <w:tc>
          <w:tcPr>
            <w:tcW w:w="1659" w:type="dxa"/>
            <w:shd w:val="clear" w:color="auto" w:fill="C4EFCE"/>
            <w:noWrap/>
            <w:tcMar>
              <w:left w:w="28" w:type="dxa"/>
              <w:right w:w="28" w:type="dxa"/>
            </w:tcMar>
            <w:vAlign w:val="center"/>
          </w:tcPr>
          <w:p w14:paraId="3F523CAC" w14:textId="77777777" w:rsidR="00387C70" w:rsidRPr="003F23AC" w:rsidRDefault="00387C70" w:rsidP="003F23AC">
            <w:pPr>
              <w:spacing w:after="0" w:line="240" w:lineRule="auto"/>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50EE6E1F"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7" w:type="dxa"/>
            <w:shd w:val="clear" w:color="auto" w:fill="C4EFCE"/>
            <w:noWrap/>
            <w:tcMar>
              <w:left w:w="28" w:type="dxa"/>
              <w:right w:w="28" w:type="dxa"/>
            </w:tcMar>
            <w:vAlign w:val="center"/>
          </w:tcPr>
          <w:p w14:paraId="66037AB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59" w:type="dxa"/>
            <w:shd w:val="clear" w:color="auto" w:fill="C4EFCE"/>
            <w:noWrap/>
            <w:tcMar>
              <w:left w:w="28" w:type="dxa"/>
              <w:right w:w="28" w:type="dxa"/>
            </w:tcMar>
            <w:vAlign w:val="center"/>
          </w:tcPr>
          <w:p w14:paraId="2E87CE6B" w14:textId="3C78765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388" w:type="dxa"/>
            <w:shd w:val="clear" w:color="auto" w:fill="C4EFCE"/>
            <w:noWrap/>
            <w:tcMar>
              <w:left w:w="28" w:type="dxa"/>
              <w:right w:w="28" w:type="dxa"/>
            </w:tcMar>
            <w:vAlign w:val="center"/>
          </w:tcPr>
          <w:p w14:paraId="2B06B61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880" w:type="dxa"/>
            <w:shd w:val="clear" w:color="auto" w:fill="C4EFCE"/>
            <w:tcMar>
              <w:left w:w="28" w:type="dxa"/>
              <w:right w:w="28" w:type="dxa"/>
            </w:tcMar>
            <w:vAlign w:val="center"/>
          </w:tcPr>
          <w:p w14:paraId="3B845451" w14:textId="5714CCE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právneho režimu, ktorým sa vytvára zákonný systém stimulov na ukončenie konania prostredníctvom súdneho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mimosúdneho vyrovnania</w:t>
            </w:r>
          </w:p>
        </w:tc>
      </w:tr>
      <w:tr w:rsidR="00387C70" w:rsidRPr="003F23AC" w14:paraId="63E4A25B" w14:textId="77777777" w:rsidTr="008E475E">
        <w:trPr>
          <w:trHeight w:val="5929"/>
        </w:trPr>
        <w:tc>
          <w:tcPr>
            <w:tcW w:w="1277" w:type="dxa"/>
            <w:shd w:val="clear" w:color="auto" w:fill="C4EFCE"/>
            <w:tcMar>
              <w:left w:w="28" w:type="dxa"/>
              <w:right w:w="28" w:type="dxa"/>
            </w:tcMar>
            <w:vAlign w:val="center"/>
          </w:tcPr>
          <w:p w14:paraId="4030100F"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18.3</w:t>
            </w:r>
          </w:p>
        </w:tc>
        <w:tc>
          <w:tcPr>
            <w:tcW w:w="1275" w:type="dxa"/>
            <w:shd w:val="clear" w:color="auto" w:fill="C4EFCE"/>
            <w:noWrap/>
            <w:tcMar>
              <w:left w:w="28" w:type="dxa"/>
              <w:right w:w="28" w:type="dxa"/>
            </w:tcMar>
            <w:vAlign w:val="center"/>
            <w:hideMark/>
          </w:tcPr>
          <w:p w14:paraId="0EE4E35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TD-C18-r33</w:t>
            </w:r>
          </w:p>
        </w:tc>
        <w:tc>
          <w:tcPr>
            <w:tcW w:w="993" w:type="dxa"/>
            <w:shd w:val="clear" w:color="auto" w:fill="C4EFCE"/>
            <w:noWrap/>
            <w:tcMar>
              <w:left w:w="28" w:type="dxa"/>
              <w:right w:w="28" w:type="dxa"/>
            </w:tcMar>
            <w:vAlign w:val="center"/>
            <w:hideMark/>
          </w:tcPr>
          <w:p w14:paraId="7DF377C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27" w:type="dxa"/>
            <w:gridSpan w:val="2"/>
            <w:shd w:val="clear" w:color="auto" w:fill="C4EFCE"/>
            <w:noWrap/>
            <w:tcMar>
              <w:left w:w="28" w:type="dxa"/>
              <w:right w:w="28" w:type="dxa"/>
            </w:tcMar>
            <w:vAlign w:val="center"/>
            <w:hideMark/>
          </w:tcPr>
          <w:p w14:paraId="0046AC9E" w14:textId="008A665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revidovaného právneho rámca pre platobnú neschopnosť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vymáhanie</w:t>
            </w:r>
          </w:p>
        </w:tc>
        <w:tc>
          <w:tcPr>
            <w:tcW w:w="1633" w:type="dxa"/>
            <w:shd w:val="clear" w:color="auto" w:fill="C4EFCE"/>
            <w:tcMar>
              <w:left w:w="28" w:type="dxa"/>
              <w:right w:w="28" w:type="dxa"/>
            </w:tcMar>
            <w:vAlign w:val="center"/>
          </w:tcPr>
          <w:p w14:paraId="3258DA2E" w14:textId="71C46EA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revidovaného právneho rámca pre platobnú neschopnosť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vymáhanie</w:t>
            </w:r>
          </w:p>
        </w:tc>
        <w:tc>
          <w:tcPr>
            <w:tcW w:w="1659" w:type="dxa"/>
            <w:shd w:val="clear" w:color="auto" w:fill="C4EFCE"/>
            <w:noWrap/>
            <w:tcMar>
              <w:left w:w="28" w:type="dxa"/>
              <w:right w:w="28" w:type="dxa"/>
            </w:tcMar>
            <w:vAlign w:val="center"/>
            <w:hideMark/>
          </w:tcPr>
          <w:p w14:paraId="15B6D3B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21E4831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7" w:type="dxa"/>
            <w:shd w:val="clear" w:color="auto" w:fill="C4EFCE"/>
            <w:noWrap/>
            <w:tcMar>
              <w:left w:w="28" w:type="dxa"/>
              <w:right w:w="28" w:type="dxa"/>
            </w:tcMar>
            <w:vAlign w:val="center"/>
            <w:hideMark/>
          </w:tcPr>
          <w:p w14:paraId="56852BD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59" w:type="dxa"/>
            <w:shd w:val="clear" w:color="auto" w:fill="C4EFCE"/>
            <w:noWrap/>
            <w:tcMar>
              <w:left w:w="28" w:type="dxa"/>
              <w:right w:w="28" w:type="dxa"/>
            </w:tcMar>
            <w:vAlign w:val="center"/>
            <w:hideMark/>
          </w:tcPr>
          <w:p w14:paraId="4DEFE34C" w14:textId="3B23C41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388" w:type="dxa"/>
            <w:shd w:val="clear" w:color="auto" w:fill="C4EFCE"/>
            <w:noWrap/>
            <w:tcMar>
              <w:left w:w="28" w:type="dxa"/>
              <w:right w:w="28" w:type="dxa"/>
            </w:tcMar>
            <w:vAlign w:val="center"/>
            <w:hideMark/>
          </w:tcPr>
          <w:p w14:paraId="06EFAEAF" w14:textId="77777777" w:rsidR="00387C70" w:rsidRPr="003F23AC" w:rsidRDefault="000F5AA4" w:rsidP="003F23AC">
            <w:pPr>
              <w:pStyle w:val="P68B1DB1-Normal8"/>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880" w:type="dxa"/>
            <w:shd w:val="clear" w:color="auto" w:fill="C4EFCE"/>
            <w:tcMar>
              <w:left w:w="28" w:type="dxa"/>
              <w:right w:w="28" w:type="dxa"/>
            </w:tcMar>
            <w:vAlign w:val="center"/>
            <w:hideMark/>
          </w:tcPr>
          <w:p w14:paraId="340D1B69" w14:textId="70C33B42" w:rsidR="00387C70" w:rsidRPr="003F23AC" w:rsidRDefault="000F5AA4" w:rsidP="003F23AC">
            <w:pPr>
              <w:spacing w:after="0" w:line="240" w:lineRule="auto"/>
              <w:jc w:val="both"/>
              <w:rPr>
                <w:rFonts w:ascii="Times New Roman" w:eastAsia="Times New Roman" w:hAnsi="Times New Roman" w:cs="Times New Roman"/>
                <w:noProof/>
                <w:sz w:val="16"/>
                <w:lang w:val="sk-SK"/>
              </w:rPr>
            </w:pPr>
            <w:r w:rsidRPr="003F23AC">
              <w:rPr>
                <w:rFonts w:ascii="Times New Roman" w:hAnsi="Times New Roman" w:cs="Times New Roman"/>
                <w:noProof/>
                <w:sz w:val="16"/>
                <w:lang w:val="sk-SK"/>
              </w:rPr>
              <w:t>Nadobudnutie účinnosti revidovaného právneho rámca pre platobnú neschopnosť</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záchranu spoločností</w:t>
            </w:r>
            <w:r w:rsidR="00A75B3C" w:rsidRPr="003F23AC">
              <w:rPr>
                <w:rFonts w:ascii="Times New Roman" w:hAnsi="Times New Roman" w:cs="Times New Roman"/>
                <w:noProof/>
                <w:sz w:val="16"/>
                <w:lang w:val="sk-SK"/>
              </w:rPr>
              <w:t xml:space="preserve"> s </w:t>
            </w:r>
            <w:r w:rsidRPr="003F23AC">
              <w:rPr>
                <w:rFonts w:ascii="Times New Roman" w:hAnsi="Times New Roman" w:cs="Times New Roman"/>
                <w:noProof/>
                <w:sz w:val="16"/>
                <w:lang w:val="sk-SK"/>
              </w:rPr>
              <w:t>cieľom urýchliť tieto konania</w:t>
            </w:r>
            <w:r w:rsidR="00A75B3C" w:rsidRPr="003F23AC">
              <w:rPr>
                <w:rFonts w:ascii="Times New Roman" w:hAnsi="Times New Roman" w:cs="Times New Roman"/>
                <w:noProof/>
                <w:sz w:val="16"/>
                <w:lang w:val="sk-SK"/>
              </w:rPr>
              <w:t xml:space="preserve"> a </w:t>
            </w:r>
            <w:r w:rsidRPr="003F23AC">
              <w:rPr>
                <w:rFonts w:ascii="Times New Roman" w:hAnsi="Times New Roman" w:cs="Times New Roman"/>
                <w:noProof/>
                <w:sz w:val="16"/>
                <w:lang w:val="sk-SK"/>
              </w:rPr>
              <w:t>prispôsobiť ich štandardne digitálnemu</w:t>
            </w:r>
            <w:r w:rsidRPr="003F23AC">
              <w:rPr>
                <w:rFonts w:ascii="Times New Roman" w:hAnsi="Times New Roman" w:cs="Times New Roman"/>
                <w:noProof/>
                <w:lang w:val="sk-SK"/>
              </w:rPr>
              <w:br/>
            </w:r>
          </w:p>
          <w:p w14:paraId="75E14895" w14:textId="13CC40B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a) revízia zákona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konkurze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optimalizovať insolvenčné konania,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to aj vzhľadom na transpozíciu smernice 2019/1023</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zavedenie čisto elektronického konania;</w:t>
            </w:r>
          </w:p>
          <w:p w14:paraId="5EAA7A3B" w14:textId="19BE8C3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b) poveriť správcu konkurznej podstaty úlohou vypracovať plán likvidácie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časovo ohraničenými cieľmi na likvidáciu aktív tvoriacich konkurznú podstatu;</w:t>
            </w:r>
          </w:p>
          <w:p w14:paraId="4D201E3F" w14:textId="52A10C2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C) zjednodušenie postupu preskúmania záväzkov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poradia pohľadávok</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insolvenčnom konaní tým, že správcovi konkurznej podstaty sa zverí zodpovednosť predložiť spolu so zoznamom uznaných pohľadávok návrh ich poradia, čo umožní sudcovi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dohody</w:t>
            </w:r>
            <w:r w:rsidR="00A75B3C" w:rsidRPr="003F23AC">
              <w:rPr>
                <w:rFonts w:ascii="Times New Roman" w:hAnsi="Times New Roman" w:cs="Times New Roman"/>
                <w:noProof/>
                <w:lang w:val="sk-SK"/>
              </w:rPr>
              <w:t xml:space="preserve"> a v </w:t>
            </w:r>
            <w:r w:rsidRPr="003F23AC">
              <w:rPr>
                <w:rFonts w:ascii="Times New Roman" w:hAnsi="Times New Roman" w:cs="Times New Roman"/>
                <w:noProof/>
                <w:lang w:val="sk-SK"/>
              </w:rPr>
              <w:t>prípade, že nedôjde</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žiadnemu spochybneniu, schváliť oba dokumenty, čím sa umožní pružnejší postup;</w:t>
            </w:r>
          </w:p>
          <w:p w14:paraId="6435378B" w14:textId="161EAF7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 inštitúcia povinného čiastočného rozdelenia, ak je konkurzná podstata súčasťou výnosov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likvidácie aktív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hodnote 10 000 EUR alebo viac, ktorých vlastníctvo nie je spochybnené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postup nie je schopný vykonať konečné rozdelenie;</w:t>
            </w:r>
          </w:p>
          <w:p w14:paraId="7623312F" w14:textId="7B809210"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e) preskúmanie preventívneho režimu zádržného práva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hypotéky (Código Civil)</w:t>
            </w:r>
            <w:r w:rsidR="00A75B3C" w:rsidRPr="003F23AC">
              <w:rPr>
                <w:rFonts w:ascii="Times New Roman" w:hAnsi="Times New Roman" w:cs="Times New Roman"/>
                <w:noProof/>
                <w:lang w:val="sk-SK"/>
              </w:rPr>
              <w:t>;</w:t>
            </w:r>
          </w:p>
          <w:p w14:paraId="785EC4F6" w14:textId="0F0CB90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F) obmedzenie obmedzení výkonu činnosti správcov.</w:t>
            </w:r>
          </w:p>
          <w:p w14:paraId="66B701AF" w14:textId="08BD0FB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g) odstránenie obmedzení vo fáze predvolania, stanovenie elektronického doručovania právnických osôb, najmä</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insolvenčnom konaní (CPC);</w:t>
            </w:r>
          </w:p>
          <w:p w14:paraId="15C87B35" w14:textId="78E0D5A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h) vytvorenie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fungovanie špecializovaných komôr na vyšších súdoch pre obchodné veci.</w:t>
            </w:r>
          </w:p>
          <w:p w14:paraId="472B518E" w14:textId="5B77197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konania ESE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ich prispôsobenie „štandardne digitálnemu“ vrátane </w:t>
            </w:r>
          </w:p>
        </w:tc>
      </w:tr>
      <w:tr w:rsidR="00387C70" w:rsidRPr="003F23AC" w14:paraId="6AB9F600" w14:textId="77777777" w:rsidTr="008E475E">
        <w:trPr>
          <w:trHeight w:val="430"/>
        </w:trPr>
        <w:tc>
          <w:tcPr>
            <w:tcW w:w="1277" w:type="dxa"/>
            <w:shd w:val="clear" w:color="auto" w:fill="C4EFCE"/>
            <w:tcMar>
              <w:left w:w="28" w:type="dxa"/>
              <w:right w:w="28" w:type="dxa"/>
            </w:tcMar>
            <w:vAlign w:val="center"/>
          </w:tcPr>
          <w:p w14:paraId="55355ADE" w14:textId="3ECAA7F9"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18.4</w:t>
            </w:r>
          </w:p>
        </w:tc>
        <w:tc>
          <w:tcPr>
            <w:tcW w:w="1275" w:type="dxa"/>
            <w:shd w:val="clear" w:color="auto" w:fill="C4EFCE"/>
            <w:noWrap/>
            <w:tcMar>
              <w:left w:w="28" w:type="dxa"/>
              <w:right w:w="28" w:type="dxa"/>
            </w:tcMar>
            <w:vAlign w:val="center"/>
            <w:hideMark/>
          </w:tcPr>
          <w:p w14:paraId="7AEBE05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TD-C18-r33</w:t>
            </w:r>
          </w:p>
        </w:tc>
        <w:tc>
          <w:tcPr>
            <w:tcW w:w="993" w:type="dxa"/>
            <w:shd w:val="clear" w:color="auto" w:fill="C4EFCE"/>
            <w:noWrap/>
            <w:tcMar>
              <w:left w:w="28" w:type="dxa"/>
              <w:right w:w="28" w:type="dxa"/>
            </w:tcMar>
            <w:vAlign w:val="center"/>
            <w:hideMark/>
          </w:tcPr>
          <w:p w14:paraId="460B81A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27" w:type="dxa"/>
            <w:gridSpan w:val="2"/>
            <w:shd w:val="clear" w:color="auto" w:fill="C4EFCE"/>
            <w:noWrap/>
            <w:tcMar>
              <w:left w:w="28" w:type="dxa"/>
              <w:right w:w="28" w:type="dxa"/>
            </w:tcMar>
            <w:vAlign w:val="center"/>
            <w:hideMark/>
          </w:tcPr>
          <w:p w14:paraId="427A38FD" w14:textId="06773C0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legislatívneho balíka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odstránení prekážok pri udeľovaní licencií</w:t>
            </w:r>
          </w:p>
        </w:tc>
        <w:tc>
          <w:tcPr>
            <w:tcW w:w="1633" w:type="dxa"/>
            <w:shd w:val="clear" w:color="auto" w:fill="C4EFCE"/>
            <w:noWrap/>
            <w:tcMar>
              <w:left w:w="28" w:type="dxa"/>
              <w:right w:w="28" w:type="dxa"/>
            </w:tcMar>
            <w:vAlign w:val="center"/>
            <w:hideMark/>
          </w:tcPr>
          <w:p w14:paraId="65E920C4" w14:textId="75A53D5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Nadobudnutie účinnosti legislatívneho balíka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odstránení prekážok pri udeľovaní licencií</w:t>
            </w:r>
          </w:p>
        </w:tc>
        <w:tc>
          <w:tcPr>
            <w:tcW w:w="1659" w:type="dxa"/>
            <w:shd w:val="clear" w:color="auto" w:fill="C4EFCE"/>
            <w:noWrap/>
            <w:tcMar>
              <w:left w:w="28" w:type="dxa"/>
              <w:right w:w="28" w:type="dxa"/>
            </w:tcMar>
            <w:vAlign w:val="center"/>
            <w:hideMark/>
          </w:tcPr>
          <w:p w14:paraId="3B9AFDC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4405CD4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7" w:type="dxa"/>
            <w:shd w:val="clear" w:color="auto" w:fill="C4EFCE"/>
            <w:noWrap/>
            <w:tcMar>
              <w:left w:w="28" w:type="dxa"/>
              <w:right w:w="28" w:type="dxa"/>
            </w:tcMar>
            <w:vAlign w:val="center"/>
            <w:hideMark/>
          </w:tcPr>
          <w:p w14:paraId="2DA1C3F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59" w:type="dxa"/>
            <w:shd w:val="clear" w:color="auto" w:fill="C4EFCE"/>
            <w:noWrap/>
            <w:tcMar>
              <w:left w:w="28" w:type="dxa"/>
              <w:right w:w="28" w:type="dxa"/>
            </w:tcMar>
            <w:vAlign w:val="center"/>
            <w:hideMark/>
          </w:tcPr>
          <w:p w14:paraId="31E6942C" w14:textId="2536E4E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388" w:type="dxa"/>
            <w:shd w:val="clear" w:color="auto" w:fill="C4EFCE"/>
            <w:noWrap/>
            <w:tcMar>
              <w:left w:w="28" w:type="dxa"/>
              <w:right w:w="28" w:type="dxa"/>
            </w:tcMar>
            <w:vAlign w:val="center"/>
            <w:hideMark/>
          </w:tcPr>
          <w:p w14:paraId="75CF287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880" w:type="dxa"/>
            <w:shd w:val="clear" w:color="auto" w:fill="C4EFCE"/>
            <w:tcMar>
              <w:left w:w="28" w:type="dxa"/>
              <w:right w:w="28" w:type="dxa"/>
            </w:tcMar>
            <w:vAlign w:val="center"/>
            <w:hideMark/>
          </w:tcPr>
          <w:p w14:paraId="27510859" w14:textId="6CC8BB7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právnych predpisov</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odstránení prekážok pri udeľovaní licencií, ktoré sú uvedené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správe pracovnej skupiny zriadenej spoločným nariadením členov zodpovednej vlády</w:t>
            </w:r>
          </w:p>
        </w:tc>
      </w:tr>
      <w:tr w:rsidR="00387C70" w:rsidRPr="003F23AC" w14:paraId="50FA20CE" w14:textId="77777777" w:rsidTr="008E475E">
        <w:trPr>
          <w:trHeight w:val="640"/>
        </w:trPr>
        <w:tc>
          <w:tcPr>
            <w:tcW w:w="1277" w:type="dxa"/>
            <w:shd w:val="clear" w:color="auto" w:fill="C4EFCE"/>
            <w:tcMar>
              <w:left w:w="28" w:type="dxa"/>
              <w:right w:w="28" w:type="dxa"/>
            </w:tcMar>
            <w:vAlign w:val="center"/>
          </w:tcPr>
          <w:p w14:paraId="7B1F5CA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18.5</w:t>
            </w:r>
          </w:p>
        </w:tc>
        <w:tc>
          <w:tcPr>
            <w:tcW w:w="1275" w:type="dxa"/>
            <w:shd w:val="clear" w:color="auto" w:fill="C4EFCE"/>
            <w:noWrap/>
            <w:tcMar>
              <w:left w:w="28" w:type="dxa"/>
              <w:right w:w="28" w:type="dxa"/>
            </w:tcMar>
            <w:vAlign w:val="center"/>
            <w:hideMark/>
          </w:tcPr>
          <w:p w14:paraId="7D31654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TD-C18-i01</w:t>
            </w:r>
          </w:p>
        </w:tc>
        <w:tc>
          <w:tcPr>
            <w:tcW w:w="993" w:type="dxa"/>
            <w:shd w:val="clear" w:color="auto" w:fill="C4EFCE"/>
            <w:noWrap/>
            <w:tcMar>
              <w:left w:w="28" w:type="dxa"/>
              <w:right w:w="28" w:type="dxa"/>
            </w:tcMar>
            <w:vAlign w:val="center"/>
            <w:hideMark/>
          </w:tcPr>
          <w:p w14:paraId="6B07381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27" w:type="dxa"/>
            <w:gridSpan w:val="2"/>
            <w:shd w:val="clear" w:color="auto" w:fill="C4EFCE"/>
            <w:noWrap/>
            <w:tcMar>
              <w:left w:w="28" w:type="dxa"/>
              <w:right w:w="28" w:type="dxa"/>
            </w:tcMar>
            <w:vAlign w:val="center"/>
            <w:hideMark/>
          </w:tcPr>
          <w:p w14:paraId="0EFEFE4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Modernizovaný informačný systém na vyšetrovanie trestných činov</w:t>
            </w:r>
          </w:p>
        </w:tc>
        <w:tc>
          <w:tcPr>
            <w:tcW w:w="1633" w:type="dxa"/>
            <w:shd w:val="clear" w:color="auto" w:fill="C4EFCE"/>
            <w:noWrap/>
            <w:tcMar>
              <w:left w:w="28" w:type="dxa"/>
              <w:right w:w="28" w:type="dxa"/>
            </w:tcMar>
            <w:vAlign w:val="center"/>
            <w:hideMark/>
          </w:tcPr>
          <w:p w14:paraId="676EC23C" w14:textId="7CEB0A9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Modernizovaný informačný systém na vyšetrovanie trestných činov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prevádzke</w:t>
            </w:r>
          </w:p>
        </w:tc>
        <w:tc>
          <w:tcPr>
            <w:tcW w:w="1659" w:type="dxa"/>
            <w:shd w:val="clear" w:color="auto" w:fill="C4EFCE"/>
            <w:noWrap/>
            <w:tcMar>
              <w:left w:w="28" w:type="dxa"/>
              <w:right w:w="28" w:type="dxa"/>
            </w:tcMar>
            <w:vAlign w:val="center"/>
            <w:hideMark/>
          </w:tcPr>
          <w:p w14:paraId="1F1E781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6EF1498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7" w:type="dxa"/>
            <w:shd w:val="clear" w:color="auto" w:fill="C4EFCE"/>
            <w:noWrap/>
            <w:tcMar>
              <w:left w:w="28" w:type="dxa"/>
              <w:right w:w="28" w:type="dxa"/>
            </w:tcMar>
            <w:vAlign w:val="center"/>
            <w:hideMark/>
          </w:tcPr>
          <w:p w14:paraId="399F2EC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59" w:type="dxa"/>
            <w:shd w:val="clear" w:color="auto" w:fill="C4EFCE"/>
            <w:noWrap/>
            <w:tcMar>
              <w:left w:w="28" w:type="dxa"/>
              <w:right w:w="28" w:type="dxa"/>
            </w:tcMar>
            <w:vAlign w:val="center"/>
            <w:hideMark/>
          </w:tcPr>
          <w:p w14:paraId="2AD1E3F4" w14:textId="4FF3192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388" w:type="dxa"/>
            <w:shd w:val="clear" w:color="auto" w:fill="C4EFCE"/>
            <w:noWrap/>
            <w:tcMar>
              <w:left w:w="28" w:type="dxa"/>
              <w:right w:w="28" w:type="dxa"/>
            </w:tcMar>
            <w:vAlign w:val="center"/>
            <w:hideMark/>
          </w:tcPr>
          <w:p w14:paraId="5122DDC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880" w:type="dxa"/>
            <w:shd w:val="clear" w:color="auto" w:fill="C4EFCE"/>
            <w:tcMar>
              <w:left w:w="28" w:type="dxa"/>
              <w:right w:w="28" w:type="dxa"/>
            </w:tcMar>
            <w:vAlign w:val="center"/>
            <w:hideMark/>
          </w:tcPr>
          <w:p w14:paraId="41A423B1" w14:textId="156A762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Sprevádzkovanie modernizovaného informačného systému na vyšetrovanie trestných činov. Modernizácia zahŕňa zavedenie rozhraní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modernizáciu odpočúvacích systémov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zabezpečenie interoperability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európskymi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medzinárodnými partnermi.</w:t>
            </w:r>
          </w:p>
        </w:tc>
      </w:tr>
      <w:tr w:rsidR="00387C70" w:rsidRPr="003F23AC" w14:paraId="225C6D24" w14:textId="77777777" w:rsidTr="008E475E">
        <w:trPr>
          <w:trHeight w:val="430"/>
        </w:trPr>
        <w:tc>
          <w:tcPr>
            <w:tcW w:w="1277" w:type="dxa"/>
            <w:shd w:val="clear" w:color="auto" w:fill="C4EFCE"/>
            <w:tcMar>
              <w:left w:w="28" w:type="dxa"/>
              <w:right w:w="28" w:type="dxa"/>
            </w:tcMar>
            <w:vAlign w:val="center"/>
          </w:tcPr>
          <w:p w14:paraId="26C96112"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18.6</w:t>
            </w:r>
          </w:p>
        </w:tc>
        <w:tc>
          <w:tcPr>
            <w:tcW w:w="1275" w:type="dxa"/>
            <w:shd w:val="clear" w:color="auto" w:fill="C4EFCE"/>
            <w:noWrap/>
            <w:tcMar>
              <w:left w:w="28" w:type="dxa"/>
              <w:right w:w="28" w:type="dxa"/>
            </w:tcMar>
            <w:vAlign w:val="center"/>
            <w:hideMark/>
          </w:tcPr>
          <w:p w14:paraId="169DA80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TD-C18-i01</w:t>
            </w:r>
          </w:p>
        </w:tc>
        <w:tc>
          <w:tcPr>
            <w:tcW w:w="993" w:type="dxa"/>
            <w:shd w:val="clear" w:color="auto" w:fill="C4EFCE"/>
            <w:noWrap/>
            <w:tcMar>
              <w:left w:w="28" w:type="dxa"/>
              <w:right w:w="28" w:type="dxa"/>
            </w:tcMar>
            <w:vAlign w:val="center"/>
            <w:hideMark/>
          </w:tcPr>
          <w:p w14:paraId="3944397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27" w:type="dxa"/>
            <w:gridSpan w:val="2"/>
            <w:shd w:val="clear" w:color="auto" w:fill="C4EFCE"/>
            <w:noWrap/>
            <w:tcMar>
              <w:left w:w="28" w:type="dxa"/>
              <w:right w:w="28" w:type="dxa"/>
            </w:tcMar>
            <w:vAlign w:val="center"/>
            <w:hideMark/>
          </w:tcPr>
          <w:p w14:paraId="095D35B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Informačný systém „podnik 2.0“</w:t>
            </w:r>
          </w:p>
        </w:tc>
        <w:tc>
          <w:tcPr>
            <w:tcW w:w="1633" w:type="dxa"/>
            <w:shd w:val="clear" w:color="auto" w:fill="C4EFCE"/>
            <w:noWrap/>
            <w:tcMar>
              <w:left w:w="28" w:type="dxa"/>
              <w:right w:w="28" w:type="dxa"/>
            </w:tcMar>
            <w:vAlign w:val="center"/>
            <w:hideMark/>
          </w:tcPr>
          <w:p w14:paraId="57E18843" w14:textId="430112E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„Podnik 2.0“</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prevádzke</w:t>
            </w:r>
          </w:p>
        </w:tc>
        <w:tc>
          <w:tcPr>
            <w:tcW w:w="1659" w:type="dxa"/>
            <w:shd w:val="clear" w:color="auto" w:fill="C4EFCE"/>
            <w:noWrap/>
            <w:tcMar>
              <w:left w:w="28" w:type="dxa"/>
              <w:right w:w="28" w:type="dxa"/>
            </w:tcMar>
            <w:vAlign w:val="center"/>
            <w:hideMark/>
          </w:tcPr>
          <w:p w14:paraId="02355EB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547E527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7" w:type="dxa"/>
            <w:shd w:val="clear" w:color="auto" w:fill="C4EFCE"/>
            <w:noWrap/>
            <w:tcMar>
              <w:left w:w="28" w:type="dxa"/>
              <w:right w:w="28" w:type="dxa"/>
            </w:tcMar>
            <w:vAlign w:val="center"/>
            <w:hideMark/>
          </w:tcPr>
          <w:p w14:paraId="0D2D7DF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59" w:type="dxa"/>
            <w:shd w:val="clear" w:color="auto" w:fill="C4EFCE"/>
            <w:noWrap/>
            <w:tcMar>
              <w:left w:w="28" w:type="dxa"/>
              <w:right w:w="28" w:type="dxa"/>
            </w:tcMar>
            <w:vAlign w:val="center"/>
            <w:hideMark/>
          </w:tcPr>
          <w:p w14:paraId="25472196" w14:textId="1B351F5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388" w:type="dxa"/>
            <w:shd w:val="clear" w:color="auto" w:fill="C4EFCE"/>
            <w:noWrap/>
            <w:tcMar>
              <w:left w:w="28" w:type="dxa"/>
              <w:right w:w="28" w:type="dxa"/>
            </w:tcMar>
            <w:vAlign w:val="center"/>
            <w:hideMark/>
          </w:tcPr>
          <w:p w14:paraId="34E046B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880" w:type="dxa"/>
            <w:shd w:val="clear" w:color="auto" w:fill="C4EFCE"/>
            <w:tcMar>
              <w:left w:w="28" w:type="dxa"/>
              <w:right w:w="28" w:type="dxa"/>
            </w:tcMar>
            <w:vAlign w:val="center"/>
            <w:hideMark/>
          </w:tcPr>
          <w:p w14:paraId="1B04CDEB" w14:textId="0C0372F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Sprevádzkovanie informačného systému „Enterprise 2.0“, ktorý je novou platformou zahŕňajúcou informácie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životnom cykle podnikov (vytvorenie, riadenie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ukončenie).</w:t>
            </w:r>
          </w:p>
        </w:tc>
      </w:tr>
      <w:tr w:rsidR="00387C70" w:rsidRPr="003F23AC" w14:paraId="0A059693" w14:textId="77777777" w:rsidTr="008E475E">
        <w:trPr>
          <w:trHeight w:val="1549"/>
        </w:trPr>
        <w:tc>
          <w:tcPr>
            <w:tcW w:w="1277" w:type="dxa"/>
            <w:shd w:val="clear" w:color="auto" w:fill="C4EFCE"/>
            <w:tcMar>
              <w:left w:w="28" w:type="dxa"/>
              <w:right w:w="28" w:type="dxa"/>
            </w:tcMar>
            <w:vAlign w:val="center"/>
          </w:tcPr>
          <w:p w14:paraId="4ED3BD7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18.7</w:t>
            </w:r>
          </w:p>
        </w:tc>
        <w:tc>
          <w:tcPr>
            <w:tcW w:w="1275" w:type="dxa"/>
            <w:shd w:val="clear" w:color="auto" w:fill="C4EFCE"/>
            <w:noWrap/>
            <w:tcMar>
              <w:left w:w="28" w:type="dxa"/>
              <w:right w:w="28" w:type="dxa"/>
            </w:tcMar>
            <w:vAlign w:val="center"/>
            <w:hideMark/>
          </w:tcPr>
          <w:p w14:paraId="2C1871B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TD-C18-i01</w:t>
            </w:r>
          </w:p>
        </w:tc>
        <w:tc>
          <w:tcPr>
            <w:tcW w:w="993" w:type="dxa"/>
            <w:shd w:val="clear" w:color="auto" w:fill="C4EFCE"/>
            <w:noWrap/>
            <w:tcMar>
              <w:left w:w="28" w:type="dxa"/>
              <w:right w:w="28" w:type="dxa"/>
            </w:tcMar>
            <w:vAlign w:val="center"/>
            <w:hideMark/>
          </w:tcPr>
          <w:p w14:paraId="40CE8FF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27" w:type="dxa"/>
            <w:gridSpan w:val="2"/>
            <w:shd w:val="clear" w:color="auto" w:fill="C4EFCE"/>
            <w:noWrap/>
            <w:tcMar>
              <w:left w:w="28" w:type="dxa"/>
              <w:right w:w="28" w:type="dxa"/>
            </w:tcMar>
            <w:vAlign w:val="center"/>
            <w:hideMark/>
          </w:tcPr>
          <w:p w14:paraId="4F76739D" w14:textId="54CADC9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Nový informačný systém pre digitálnu transformáciu súdov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prokuratúry</w:t>
            </w:r>
          </w:p>
        </w:tc>
        <w:tc>
          <w:tcPr>
            <w:tcW w:w="1633" w:type="dxa"/>
            <w:shd w:val="clear" w:color="auto" w:fill="C4EFCE"/>
            <w:noWrap/>
            <w:tcMar>
              <w:left w:w="28" w:type="dxa"/>
              <w:right w:w="28" w:type="dxa"/>
            </w:tcMar>
            <w:vAlign w:val="center"/>
            <w:hideMark/>
          </w:tcPr>
          <w:p w14:paraId="0E3E294D" w14:textId="57BA11A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Nový informačný systém pre digitálnu transformáciu súdov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prokuratúry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prevádzke</w:t>
            </w:r>
          </w:p>
        </w:tc>
        <w:tc>
          <w:tcPr>
            <w:tcW w:w="1659" w:type="dxa"/>
            <w:shd w:val="clear" w:color="auto" w:fill="C4EFCE"/>
            <w:noWrap/>
            <w:tcMar>
              <w:left w:w="28" w:type="dxa"/>
              <w:right w:w="28" w:type="dxa"/>
            </w:tcMar>
            <w:vAlign w:val="center"/>
            <w:hideMark/>
          </w:tcPr>
          <w:p w14:paraId="01C32B9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376C17A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7" w:type="dxa"/>
            <w:shd w:val="clear" w:color="auto" w:fill="C4EFCE"/>
            <w:noWrap/>
            <w:tcMar>
              <w:left w:w="28" w:type="dxa"/>
              <w:right w:w="28" w:type="dxa"/>
            </w:tcMar>
            <w:vAlign w:val="center"/>
            <w:hideMark/>
          </w:tcPr>
          <w:p w14:paraId="48D4F6D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59" w:type="dxa"/>
            <w:shd w:val="clear" w:color="auto" w:fill="C4EFCE"/>
            <w:noWrap/>
            <w:tcMar>
              <w:left w:w="28" w:type="dxa"/>
              <w:right w:w="28" w:type="dxa"/>
            </w:tcMar>
            <w:vAlign w:val="center"/>
            <w:hideMark/>
          </w:tcPr>
          <w:p w14:paraId="2D0E0F97" w14:textId="2BD4456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388" w:type="dxa"/>
            <w:shd w:val="clear" w:color="auto" w:fill="C4EFCE"/>
            <w:noWrap/>
            <w:tcMar>
              <w:left w:w="28" w:type="dxa"/>
              <w:right w:w="28" w:type="dxa"/>
            </w:tcMar>
            <w:vAlign w:val="center"/>
            <w:hideMark/>
          </w:tcPr>
          <w:p w14:paraId="0F78CEE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880" w:type="dxa"/>
            <w:shd w:val="clear" w:color="auto" w:fill="C4EFCE"/>
            <w:tcMar>
              <w:left w:w="28" w:type="dxa"/>
              <w:right w:w="28" w:type="dxa"/>
            </w:tcMar>
            <w:vAlign w:val="center"/>
            <w:hideMark/>
          </w:tcPr>
          <w:p w14:paraId="28A62C7E" w14:textId="046BD99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Sprevádzkovanie nového informačného systému na vybavovanie elektronických súdnych konaní. Nový informačný systém bude</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dispozícii približne na 400 súdoch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oddeleniach prokuratúry na vybavovanie elektronických súdnych konaní, ktoré sa vzťahujú na všetky jurisdikcie, procesné kroky (vrátane vyšetrovania)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súdne orgány,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používajú ho sudcovia, prokurátori, súdni úradníci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zástupcovia. Všetka komunikácia Súdneho dvora so zainteresovanými stranami sa digitalizuje.</w:t>
            </w:r>
          </w:p>
        </w:tc>
      </w:tr>
      <w:tr w:rsidR="00387C70" w:rsidRPr="003F23AC" w14:paraId="7596235C" w14:textId="77777777" w:rsidTr="008E475E">
        <w:trPr>
          <w:trHeight w:val="420"/>
        </w:trPr>
        <w:tc>
          <w:tcPr>
            <w:tcW w:w="1277" w:type="dxa"/>
            <w:shd w:val="clear" w:color="auto" w:fill="C4EFCE"/>
            <w:tcMar>
              <w:left w:w="28" w:type="dxa"/>
              <w:right w:w="28" w:type="dxa"/>
            </w:tcMar>
            <w:vAlign w:val="center"/>
          </w:tcPr>
          <w:p w14:paraId="136E2CB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18.8</w:t>
            </w:r>
          </w:p>
        </w:tc>
        <w:tc>
          <w:tcPr>
            <w:tcW w:w="1275" w:type="dxa"/>
            <w:shd w:val="clear" w:color="auto" w:fill="C4EFCE"/>
            <w:noWrap/>
            <w:tcMar>
              <w:left w:w="28" w:type="dxa"/>
              <w:right w:w="28" w:type="dxa"/>
            </w:tcMar>
            <w:vAlign w:val="center"/>
            <w:hideMark/>
          </w:tcPr>
          <w:p w14:paraId="04B7365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TD-C18-i01</w:t>
            </w:r>
          </w:p>
        </w:tc>
        <w:tc>
          <w:tcPr>
            <w:tcW w:w="993" w:type="dxa"/>
            <w:shd w:val="clear" w:color="auto" w:fill="C4EFCE"/>
            <w:noWrap/>
            <w:tcMar>
              <w:left w:w="28" w:type="dxa"/>
              <w:right w:w="28" w:type="dxa"/>
            </w:tcMar>
            <w:vAlign w:val="center"/>
            <w:hideMark/>
          </w:tcPr>
          <w:p w14:paraId="03AD504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27" w:type="dxa"/>
            <w:gridSpan w:val="2"/>
            <w:shd w:val="clear" w:color="auto" w:fill="C4EFCE"/>
            <w:noWrap/>
            <w:tcMar>
              <w:left w:w="28" w:type="dxa"/>
              <w:right w:w="28" w:type="dxa"/>
            </w:tcMar>
            <w:vAlign w:val="center"/>
            <w:hideMark/>
          </w:tcPr>
          <w:p w14:paraId="2AEC5F26" w14:textId="4F036DD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Vykonávanie nového technologického plánu</w:t>
            </w:r>
            <w:r w:rsidR="00A75B3C" w:rsidRPr="003F23AC">
              <w:rPr>
                <w:rFonts w:ascii="Times New Roman" w:hAnsi="Times New Roman" w:cs="Times New Roman"/>
                <w:noProof/>
                <w:lang w:val="sk-SK"/>
              </w:rPr>
              <w:t xml:space="preserve"> </w:t>
            </w:r>
          </w:p>
        </w:tc>
        <w:tc>
          <w:tcPr>
            <w:tcW w:w="1633" w:type="dxa"/>
            <w:shd w:val="clear" w:color="auto" w:fill="C4EFCE"/>
            <w:noWrap/>
            <w:tcMar>
              <w:left w:w="28" w:type="dxa"/>
              <w:right w:w="28" w:type="dxa"/>
            </w:tcMar>
            <w:vAlign w:val="center"/>
            <w:hideMark/>
          </w:tcPr>
          <w:p w14:paraId="490AFB9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Vykonávanie nového technologického plánu</w:t>
            </w:r>
          </w:p>
        </w:tc>
        <w:tc>
          <w:tcPr>
            <w:tcW w:w="1659" w:type="dxa"/>
            <w:shd w:val="clear" w:color="auto" w:fill="C4EFCE"/>
            <w:noWrap/>
            <w:tcMar>
              <w:left w:w="28" w:type="dxa"/>
              <w:right w:w="28" w:type="dxa"/>
            </w:tcMar>
            <w:vAlign w:val="center"/>
            <w:hideMark/>
          </w:tcPr>
          <w:p w14:paraId="4563827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1590CD3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7" w:type="dxa"/>
            <w:shd w:val="clear" w:color="auto" w:fill="C4EFCE"/>
            <w:noWrap/>
            <w:tcMar>
              <w:left w:w="28" w:type="dxa"/>
              <w:right w:w="28" w:type="dxa"/>
            </w:tcMar>
            <w:vAlign w:val="center"/>
            <w:hideMark/>
          </w:tcPr>
          <w:p w14:paraId="6F1CD95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59" w:type="dxa"/>
            <w:shd w:val="clear" w:color="auto" w:fill="C4EFCE"/>
            <w:noWrap/>
            <w:tcMar>
              <w:left w:w="28" w:type="dxa"/>
              <w:right w:w="28" w:type="dxa"/>
            </w:tcMar>
            <w:vAlign w:val="center"/>
            <w:hideMark/>
          </w:tcPr>
          <w:p w14:paraId="40C9F6AE" w14:textId="52C5EFBF"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388" w:type="dxa"/>
            <w:shd w:val="clear" w:color="auto" w:fill="C4EFCE"/>
            <w:noWrap/>
            <w:tcMar>
              <w:left w:w="28" w:type="dxa"/>
              <w:right w:w="28" w:type="dxa"/>
            </w:tcMar>
            <w:vAlign w:val="center"/>
            <w:hideMark/>
          </w:tcPr>
          <w:p w14:paraId="1F094D9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880" w:type="dxa"/>
            <w:shd w:val="clear" w:color="auto" w:fill="C4EFCE"/>
            <w:tcMar>
              <w:left w:w="28" w:type="dxa"/>
              <w:right w:w="28" w:type="dxa"/>
            </w:tcMar>
            <w:vAlign w:val="center"/>
            <w:hideMark/>
          </w:tcPr>
          <w:p w14:paraId="47543873" w14:textId="3CC0D20A"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Vykonávanie nového technologického plánu pre justičné zariadenia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infraštruktúry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uvedením týchto zložiek do prevádzky</w:t>
            </w:r>
            <w:r w:rsidR="00A75B3C" w:rsidRPr="003F23AC">
              <w:rPr>
                <w:rFonts w:ascii="Times New Roman" w:hAnsi="Times New Roman" w:cs="Times New Roman"/>
                <w:noProof/>
                <w:lang w:val="sk-SK"/>
              </w:rPr>
              <w:t>:</w:t>
            </w:r>
          </w:p>
          <w:p w14:paraId="34C4C514" w14:textId="19435658"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a) Nové dátové centrum</w:t>
            </w:r>
            <w:r w:rsidR="00A75B3C" w:rsidRPr="003F23AC">
              <w:rPr>
                <w:rFonts w:ascii="Times New Roman" w:hAnsi="Times New Roman" w:cs="Times New Roman"/>
                <w:noProof/>
                <w:lang w:val="sk-SK"/>
              </w:rPr>
              <w:t>;</w:t>
            </w:r>
          </w:p>
          <w:p w14:paraId="775D51F9"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b) Platforma otvorených údajov pre spravodlivosť</w:t>
            </w:r>
            <w:r w:rsidR="00A75B3C" w:rsidRPr="003F23AC">
              <w:rPr>
                <w:rFonts w:ascii="Times New Roman" w:hAnsi="Times New Roman" w:cs="Times New Roman"/>
                <w:noProof/>
                <w:lang w:val="sk-SK"/>
              </w:rPr>
              <w:t>;</w:t>
            </w:r>
          </w:p>
          <w:p w14:paraId="7CA47913" w14:textId="033CE8C3"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C) Systém riadenia informácií pre všetky subjekty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súdnictve</w:t>
            </w:r>
            <w:r w:rsidR="00A75B3C" w:rsidRPr="003F23AC">
              <w:rPr>
                <w:rFonts w:ascii="Times New Roman" w:hAnsi="Times New Roman" w:cs="Times New Roman"/>
                <w:noProof/>
                <w:lang w:val="sk-SK"/>
              </w:rPr>
              <w:t>;</w:t>
            </w:r>
          </w:p>
          <w:p w14:paraId="458BE826" w14:textId="521EA4C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 Riadenie digitálnej identity a</w:t>
            </w:r>
          </w:p>
          <w:p w14:paraId="42F2BEFF" w14:textId="4CEEAB2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e) Systém vymáhania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správy zaisteného majetku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súdnych konaniach</w:t>
            </w:r>
          </w:p>
        </w:tc>
      </w:tr>
      <w:tr w:rsidR="00387C70" w:rsidRPr="003F23AC" w14:paraId="652E8888" w14:textId="77777777" w:rsidTr="008E475E">
        <w:trPr>
          <w:trHeight w:val="290"/>
        </w:trPr>
        <w:tc>
          <w:tcPr>
            <w:tcW w:w="1277" w:type="dxa"/>
            <w:shd w:val="clear" w:color="auto" w:fill="C4EFCE"/>
            <w:tcMar>
              <w:left w:w="28" w:type="dxa"/>
              <w:right w:w="28" w:type="dxa"/>
            </w:tcMar>
            <w:vAlign w:val="center"/>
          </w:tcPr>
          <w:p w14:paraId="7B60AA2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18.9</w:t>
            </w:r>
          </w:p>
        </w:tc>
        <w:tc>
          <w:tcPr>
            <w:tcW w:w="1275" w:type="dxa"/>
            <w:shd w:val="clear" w:color="auto" w:fill="C4EFCE"/>
            <w:noWrap/>
            <w:tcMar>
              <w:left w:w="28" w:type="dxa"/>
              <w:right w:w="28" w:type="dxa"/>
            </w:tcMar>
            <w:vAlign w:val="center"/>
            <w:hideMark/>
          </w:tcPr>
          <w:p w14:paraId="466CB9E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TD-C18-i01</w:t>
            </w:r>
          </w:p>
        </w:tc>
        <w:tc>
          <w:tcPr>
            <w:tcW w:w="993" w:type="dxa"/>
            <w:shd w:val="clear" w:color="auto" w:fill="C4EFCE"/>
            <w:noWrap/>
            <w:tcMar>
              <w:left w:w="28" w:type="dxa"/>
              <w:right w:w="28" w:type="dxa"/>
            </w:tcMar>
            <w:vAlign w:val="center"/>
            <w:hideMark/>
          </w:tcPr>
          <w:p w14:paraId="542529B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27" w:type="dxa"/>
            <w:gridSpan w:val="2"/>
            <w:shd w:val="clear" w:color="auto" w:fill="C4EFCE"/>
            <w:noWrap/>
            <w:tcMar>
              <w:left w:w="28" w:type="dxa"/>
              <w:right w:w="28" w:type="dxa"/>
            </w:tcMar>
            <w:vAlign w:val="center"/>
            <w:hideMark/>
          </w:tcPr>
          <w:p w14:paraId="30BF086F" w14:textId="2168058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Platformy na správu poznatkov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oblasti justície </w:t>
            </w:r>
          </w:p>
        </w:tc>
        <w:tc>
          <w:tcPr>
            <w:tcW w:w="1633" w:type="dxa"/>
            <w:shd w:val="clear" w:color="auto" w:fill="C4EFCE"/>
            <w:noWrap/>
            <w:tcMar>
              <w:left w:w="28" w:type="dxa"/>
              <w:right w:w="28" w:type="dxa"/>
            </w:tcMar>
            <w:vAlign w:val="center"/>
            <w:hideMark/>
          </w:tcPr>
          <w:p w14:paraId="2BB35CD2" w14:textId="148D92B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Platformy riadenia znalostí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justícii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prevádzke</w:t>
            </w:r>
          </w:p>
        </w:tc>
        <w:tc>
          <w:tcPr>
            <w:tcW w:w="1659" w:type="dxa"/>
            <w:shd w:val="clear" w:color="auto" w:fill="C4EFCE"/>
            <w:noWrap/>
            <w:tcMar>
              <w:left w:w="28" w:type="dxa"/>
              <w:right w:w="28" w:type="dxa"/>
            </w:tcMar>
            <w:vAlign w:val="center"/>
            <w:hideMark/>
          </w:tcPr>
          <w:p w14:paraId="1AFCBD9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6D02AA9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7" w:type="dxa"/>
            <w:shd w:val="clear" w:color="auto" w:fill="C4EFCE"/>
            <w:noWrap/>
            <w:tcMar>
              <w:left w:w="28" w:type="dxa"/>
              <w:right w:w="28" w:type="dxa"/>
            </w:tcMar>
            <w:vAlign w:val="center"/>
            <w:hideMark/>
          </w:tcPr>
          <w:p w14:paraId="1A564C8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59" w:type="dxa"/>
            <w:shd w:val="clear" w:color="auto" w:fill="C4EFCE"/>
            <w:noWrap/>
            <w:tcMar>
              <w:left w:w="28" w:type="dxa"/>
              <w:right w:w="28" w:type="dxa"/>
            </w:tcMar>
            <w:vAlign w:val="center"/>
            <w:hideMark/>
          </w:tcPr>
          <w:p w14:paraId="7BC388F9" w14:textId="12510F3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388" w:type="dxa"/>
            <w:shd w:val="clear" w:color="auto" w:fill="C4EFCE"/>
            <w:noWrap/>
            <w:tcMar>
              <w:left w:w="28" w:type="dxa"/>
              <w:right w:w="28" w:type="dxa"/>
            </w:tcMar>
            <w:vAlign w:val="center"/>
            <w:hideMark/>
          </w:tcPr>
          <w:p w14:paraId="176AAAC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880" w:type="dxa"/>
            <w:shd w:val="clear" w:color="auto" w:fill="C4EFCE"/>
            <w:tcMar>
              <w:left w:w="28" w:type="dxa"/>
              <w:right w:w="28" w:type="dxa"/>
            </w:tcMar>
            <w:vAlign w:val="center"/>
            <w:hideMark/>
          </w:tcPr>
          <w:p w14:paraId="6012F5D0"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Sprevádzkovanie týchto platforiem na riadenie poznatkov</w:t>
            </w:r>
            <w:r w:rsidR="00A75B3C" w:rsidRPr="003F23AC">
              <w:rPr>
                <w:rFonts w:ascii="Times New Roman" w:hAnsi="Times New Roman" w:cs="Times New Roman"/>
                <w:noProof/>
                <w:lang w:val="sk-SK"/>
              </w:rPr>
              <w:t>:</w:t>
            </w:r>
          </w:p>
          <w:p w14:paraId="496127DF" w14:textId="05065C6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a) Spoločné podporné služby</w:t>
            </w:r>
          </w:p>
          <w:p w14:paraId="7691DD03" w14:textId="5ECEB42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b) Štatistika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ukazovatele</w:t>
            </w:r>
          </w:p>
          <w:p w14:paraId="72273524" w14:textId="66EFA23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C) Platforma na správu informácií (systém správy dokumentov)</w:t>
            </w:r>
          </w:p>
        </w:tc>
      </w:tr>
    </w:tbl>
    <w:p w14:paraId="1FA4212A"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04578922"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sectPr w:rsidR="00387C70" w:rsidRPr="003F23AC" w:rsidSect="00E00EDD">
          <w:headerReference w:type="even" r:id="rId336"/>
          <w:headerReference w:type="default" r:id="rId337"/>
          <w:footerReference w:type="even" r:id="rId338"/>
          <w:footerReference w:type="default" r:id="rId339"/>
          <w:headerReference w:type="first" r:id="rId340"/>
          <w:footerReference w:type="first" r:id="rId341"/>
          <w:pgSz w:w="16839" w:h="11907" w:orient="landscape"/>
          <w:pgMar w:top="1134" w:right="1134" w:bottom="1134" w:left="1134" w:header="567" w:footer="567" w:gutter="0"/>
          <w:cols w:space="720"/>
          <w:docGrid w:linePitch="360"/>
        </w:sectPr>
      </w:pPr>
    </w:p>
    <w:p w14:paraId="2D348F08" w14:textId="6B5083D0"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S</w:t>
      </w:r>
      <w:r w:rsidR="00C32C63" w:rsidRPr="003F23AC">
        <w:rPr>
          <w:rFonts w:cs="Times New Roman"/>
          <w:noProof/>
          <w:lang w:val="sk-SK"/>
        </w:rPr>
        <w:t>. KOMPONENT</w:t>
      </w:r>
      <w:r w:rsidRPr="003F23AC">
        <w:rPr>
          <w:rFonts w:cs="Times New Roman"/>
          <w:noProof/>
          <w:lang w:val="sk-SK"/>
        </w:rPr>
        <w:t xml:space="preserve"> 19: Digitálna verejná správa</w:t>
      </w:r>
    </w:p>
    <w:p w14:paraId="545FE9CA" w14:textId="46469992"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zložka portugalského plánu obnovy</w:t>
      </w:r>
      <w:r w:rsidR="00A75B3C" w:rsidRPr="003F23AC">
        <w:rPr>
          <w:rFonts w:cs="Times New Roman"/>
          <w:noProof/>
          <w:lang w:val="sk-SK"/>
        </w:rPr>
        <w:t xml:space="preserve"> a </w:t>
      </w:r>
      <w:r w:rsidRPr="003F23AC">
        <w:rPr>
          <w:rFonts w:cs="Times New Roman"/>
          <w:noProof/>
          <w:lang w:val="sk-SK"/>
        </w:rPr>
        <w:t>odolnosti rieši výzvu, ktorú predstavuje potreba poskytovať lepšie, jednoduchšie</w:t>
      </w:r>
      <w:r w:rsidR="00A75B3C" w:rsidRPr="003F23AC">
        <w:rPr>
          <w:rFonts w:cs="Times New Roman"/>
          <w:noProof/>
          <w:lang w:val="sk-SK"/>
        </w:rPr>
        <w:t xml:space="preserve"> a </w:t>
      </w:r>
      <w:r w:rsidRPr="003F23AC">
        <w:rPr>
          <w:rFonts w:cs="Times New Roman"/>
          <w:noProof/>
          <w:lang w:val="sk-SK"/>
        </w:rPr>
        <w:t>digitálnejšie verejné služby. Zatiaľ čo Portugalsko má dobré postavenie, pokiaľ ide</w:t>
      </w:r>
      <w:r w:rsidR="00A75B3C" w:rsidRPr="003F23AC">
        <w:rPr>
          <w:rFonts w:cs="Times New Roman"/>
          <w:noProof/>
          <w:lang w:val="sk-SK"/>
        </w:rPr>
        <w:t xml:space="preserve"> o </w:t>
      </w:r>
      <w:r w:rsidRPr="003F23AC">
        <w:rPr>
          <w:rFonts w:cs="Times New Roman"/>
          <w:noProof/>
          <w:lang w:val="sk-SK"/>
        </w:rPr>
        <w:t>poskytovanie digitálnych služieb, fragmentácia</w:t>
      </w:r>
      <w:r w:rsidR="00A75B3C" w:rsidRPr="003F23AC">
        <w:rPr>
          <w:rFonts w:cs="Times New Roman"/>
          <w:noProof/>
          <w:lang w:val="sk-SK"/>
        </w:rPr>
        <w:t xml:space="preserve"> a </w:t>
      </w:r>
      <w:r w:rsidRPr="003F23AC">
        <w:rPr>
          <w:rFonts w:cs="Times New Roman"/>
          <w:noProof/>
          <w:lang w:val="sk-SK"/>
        </w:rPr>
        <w:t>duplicita požiadaviek zostávajú kľúčovými prekážkami efektívnej verejnej správy orientovanej na zákazníka. Cieľom tejto zložky je riešiť tieto výzvy.</w:t>
      </w:r>
    </w:p>
    <w:p w14:paraId="77059868" w14:textId="588B230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zložka sa zameriava na lepšiu verejnú službu prostredníctvom podpory využívania technologických riešení</w:t>
      </w:r>
      <w:r w:rsidR="00A75B3C" w:rsidRPr="003F23AC">
        <w:rPr>
          <w:rFonts w:cs="Times New Roman"/>
          <w:noProof/>
          <w:lang w:val="sk-SK"/>
        </w:rPr>
        <w:t xml:space="preserve"> a </w:t>
      </w:r>
      <w:r w:rsidRPr="003F23AC">
        <w:rPr>
          <w:rFonts w:cs="Times New Roman"/>
          <w:noProof/>
          <w:lang w:val="sk-SK"/>
        </w:rPr>
        <w:t>posilnenia blízkosti</w:t>
      </w:r>
      <w:r w:rsidR="00A75B3C" w:rsidRPr="003F23AC">
        <w:rPr>
          <w:rFonts w:cs="Times New Roman"/>
          <w:noProof/>
          <w:lang w:val="sk-SK"/>
        </w:rPr>
        <w:t xml:space="preserve"> v </w:t>
      </w:r>
      <w:r w:rsidRPr="003F23AC">
        <w:rPr>
          <w:rFonts w:cs="Times New Roman"/>
          <w:noProof/>
          <w:lang w:val="sk-SK"/>
        </w:rPr>
        <w:t>záujme jednoduchšieho, bezpečného, účinného</w:t>
      </w:r>
      <w:r w:rsidR="00A75B3C" w:rsidRPr="003F23AC">
        <w:rPr>
          <w:rFonts w:cs="Times New Roman"/>
          <w:noProof/>
          <w:lang w:val="sk-SK"/>
        </w:rPr>
        <w:t xml:space="preserve"> a </w:t>
      </w:r>
      <w:r w:rsidRPr="003F23AC">
        <w:rPr>
          <w:rFonts w:cs="Times New Roman"/>
          <w:noProof/>
          <w:lang w:val="sk-SK"/>
        </w:rPr>
        <w:t>efektívneho prístupu pre občanov</w:t>
      </w:r>
      <w:r w:rsidR="00A75B3C" w:rsidRPr="003F23AC">
        <w:rPr>
          <w:rFonts w:cs="Times New Roman"/>
          <w:noProof/>
          <w:lang w:val="sk-SK"/>
        </w:rPr>
        <w:t xml:space="preserve"> a </w:t>
      </w:r>
      <w:r w:rsidRPr="003F23AC">
        <w:rPr>
          <w:rFonts w:cs="Times New Roman"/>
          <w:noProof/>
          <w:lang w:val="sk-SK"/>
        </w:rPr>
        <w:t>podniky, čím sa znížia náklady spojené</w:t>
      </w:r>
      <w:r w:rsidR="00A75B3C" w:rsidRPr="003F23AC">
        <w:rPr>
          <w:rFonts w:cs="Times New Roman"/>
          <w:noProof/>
          <w:lang w:val="sk-SK"/>
        </w:rPr>
        <w:t xml:space="preserve"> s </w:t>
      </w:r>
      <w:r w:rsidRPr="003F23AC">
        <w:rPr>
          <w:rFonts w:cs="Times New Roman"/>
          <w:noProof/>
          <w:lang w:val="sk-SK"/>
        </w:rPr>
        <w:t>kontextom. Okrem toho sa zameriava na podporu efektívnosti, modernizácie, inovácií</w:t>
      </w:r>
      <w:r w:rsidR="00A75B3C" w:rsidRPr="003F23AC">
        <w:rPr>
          <w:rFonts w:cs="Times New Roman"/>
          <w:noProof/>
          <w:lang w:val="sk-SK"/>
        </w:rPr>
        <w:t xml:space="preserve"> a </w:t>
      </w:r>
      <w:r w:rsidRPr="003F23AC">
        <w:rPr>
          <w:rFonts w:cs="Times New Roman"/>
          <w:noProof/>
          <w:lang w:val="sk-SK"/>
        </w:rPr>
        <w:t>posilnenia postavenia verejnej správy, posilnenie jej odolnosti, zlepšenie zručností štátnych zamestnancov</w:t>
      </w:r>
      <w:r w:rsidR="00A75B3C" w:rsidRPr="003F23AC">
        <w:rPr>
          <w:rFonts w:cs="Times New Roman"/>
          <w:noProof/>
          <w:lang w:val="sk-SK"/>
        </w:rPr>
        <w:t xml:space="preserve"> a </w:t>
      </w:r>
      <w:r w:rsidRPr="003F23AC">
        <w:rPr>
          <w:rFonts w:cs="Times New Roman"/>
          <w:noProof/>
          <w:lang w:val="sk-SK"/>
        </w:rPr>
        <w:t>zvýšenie príspevku štátu</w:t>
      </w:r>
      <w:r w:rsidR="00A75B3C" w:rsidRPr="003F23AC">
        <w:rPr>
          <w:rFonts w:cs="Times New Roman"/>
          <w:noProof/>
          <w:lang w:val="sk-SK"/>
        </w:rPr>
        <w:t xml:space="preserve"> a </w:t>
      </w:r>
      <w:r w:rsidRPr="003F23AC">
        <w:rPr>
          <w:rFonts w:cs="Times New Roman"/>
          <w:noProof/>
          <w:lang w:val="sk-SK"/>
        </w:rPr>
        <w:t>verejnej správy</w:t>
      </w:r>
      <w:r w:rsidR="00A75B3C" w:rsidRPr="003F23AC">
        <w:rPr>
          <w:rFonts w:cs="Times New Roman"/>
          <w:noProof/>
          <w:lang w:val="sk-SK"/>
        </w:rPr>
        <w:t xml:space="preserve"> k </w:t>
      </w:r>
      <w:r w:rsidRPr="003F23AC">
        <w:rPr>
          <w:rFonts w:cs="Times New Roman"/>
          <w:noProof/>
          <w:lang w:val="sk-SK"/>
        </w:rPr>
        <w:t>hospodárskemu</w:t>
      </w:r>
      <w:r w:rsidR="00A75B3C" w:rsidRPr="003F23AC">
        <w:rPr>
          <w:rFonts w:cs="Times New Roman"/>
          <w:noProof/>
          <w:lang w:val="sk-SK"/>
        </w:rPr>
        <w:t xml:space="preserve"> a </w:t>
      </w:r>
      <w:r w:rsidRPr="003F23AC">
        <w:rPr>
          <w:rFonts w:cs="Times New Roman"/>
          <w:noProof/>
          <w:lang w:val="sk-SK"/>
        </w:rPr>
        <w:t>sociálnemu rastu</w:t>
      </w:r>
      <w:r w:rsidR="00A75B3C" w:rsidRPr="003F23AC">
        <w:rPr>
          <w:rFonts w:cs="Times New Roman"/>
          <w:noProof/>
          <w:lang w:val="sk-SK"/>
        </w:rPr>
        <w:t xml:space="preserve"> a </w:t>
      </w:r>
      <w:r w:rsidRPr="003F23AC">
        <w:rPr>
          <w:rFonts w:cs="Times New Roman"/>
          <w:noProof/>
          <w:lang w:val="sk-SK"/>
        </w:rPr>
        <w:t>rozvoju</w:t>
      </w:r>
      <w:r w:rsidR="00A75B3C" w:rsidRPr="003F23AC">
        <w:rPr>
          <w:rFonts w:cs="Times New Roman"/>
          <w:noProof/>
          <w:lang w:val="sk-SK"/>
        </w:rPr>
        <w:t>.</w:t>
      </w:r>
    </w:p>
    <w:p w14:paraId="2B8EF97D" w14:textId="570FAD65"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 xml:space="preserve"> Táto zložka sa zameriava na uplatňovanie paradigmy „digitálneho prístupu už zo svojej podstaty“</w:t>
      </w:r>
      <w:r w:rsidR="00A75B3C" w:rsidRPr="003F23AC">
        <w:rPr>
          <w:rFonts w:cs="Times New Roman"/>
          <w:noProof/>
          <w:lang w:val="sk-SK"/>
        </w:rPr>
        <w:t xml:space="preserve"> a </w:t>
      </w:r>
      <w:r w:rsidRPr="003F23AC">
        <w:rPr>
          <w:rFonts w:cs="Times New Roman"/>
          <w:noProof/>
          <w:lang w:val="sk-SK"/>
        </w:rPr>
        <w:t>zásady „jedenkrát</w:t>
      </w:r>
      <w:r w:rsidR="00A75B3C" w:rsidRPr="003F23AC">
        <w:rPr>
          <w:rFonts w:cs="Times New Roman"/>
          <w:noProof/>
          <w:lang w:val="sk-SK"/>
        </w:rPr>
        <w:t xml:space="preserve"> a </w:t>
      </w:r>
      <w:r w:rsidRPr="003F23AC">
        <w:rPr>
          <w:rFonts w:cs="Times New Roman"/>
          <w:noProof/>
          <w:lang w:val="sk-SK"/>
        </w:rPr>
        <w:t>dosť“</w:t>
      </w:r>
      <w:r w:rsidR="00A75B3C" w:rsidRPr="003F23AC">
        <w:rPr>
          <w:rFonts w:cs="Times New Roman"/>
          <w:noProof/>
          <w:lang w:val="sk-SK"/>
        </w:rPr>
        <w:t xml:space="preserve"> v </w:t>
      </w:r>
      <w:r w:rsidRPr="003F23AC">
        <w:rPr>
          <w:rFonts w:cs="Times New Roman"/>
          <w:noProof/>
          <w:lang w:val="sk-SK"/>
        </w:rPr>
        <w:t>portugalskej verejnej správe, pričom sa investuje do zvyšovania úrovne zručností pracovnej sily</w:t>
      </w:r>
      <w:r w:rsidR="00A75B3C" w:rsidRPr="003F23AC">
        <w:rPr>
          <w:rFonts w:cs="Times New Roman"/>
          <w:noProof/>
          <w:lang w:val="sk-SK"/>
        </w:rPr>
        <w:t>.</w:t>
      </w:r>
    </w:p>
    <w:p w14:paraId="50535BCC" w14:textId="5BDC957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Táto zložka prispieva</w:t>
      </w:r>
      <w:r w:rsidR="00A75B3C" w:rsidRPr="003F23AC">
        <w:rPr>
          <w:rFonts w:cs="Times New Roman"/>
          <w:noProof/>
          <w:lang w:val="sk-SK"/>
        </w:rPr>
        <w:t xml:space="preserve"> k </w:t>
      </w:r>
      <w:r w:rsidRPr="003F23AC">
        <w:rPr>
          <w:rFonts w:cs="Times New Roman"/>
          <w:noProof/>
          <w:lang w:val="sk-SK"/>
        </w:rPr>
        <w:t>plneniu odporúčaní pre jednotlivé krajiny týkajúcich sa</w:t>
      </w:r>
      <w:r w:rsidR="00A75B3C" w:rsidRPr="003F23AC">
        <w:rPr>
          <w:rFonts w:cs="Times New Roman"/>
          <w:noProof/>
          <w:lang w:val="sk-SK"/>
        </w:rPr>
        <w:t>:</w:t>
      </w:r>
    </w:p>
    <w:p w14:paraId="099EBD13" w14:textId="77777777" w:rsidR="00A75B3C" w:rsidRPr="003F23AC" w:rsidRDefault="000F5AA4" w:rsidP="003F23AC">
      <w:pPr>
        <w:pStyle w:val="P68B1DB1-Normal4"/>
        <w:numPr>
          <w:ilvl w:val="0"/>
          <w:numId w:val="35"/>
        </w:numPr>
        <w:spacing w:before="40" w:after="0" w:line="259" w:lineRule="auto"/>
        <w:jc w:val="both"/>
        <w:rPr>
          <w:rFonts w:cs="Times New Roman"/>
          <w:noProof/>
          <w:lang w:val="sk-SK"/>
        </w:rPr>
      </w:pPr>
      <w:r w:rsidRPr="003F23AC">
        <w:rPr>
          <w:rFonts w:cs="Times New Roman"/>
          <w:noProof/>
          <w:lang w:val="sk-SK"/>
        </w:rPr>
        <w:t>uprednostňovanie výdavkov podporujúcich rast (odporúčanie pre jednotlivé krajiny 1 2019</w:t>
      </w:r>
      <w:r w:rsidR="00A75B3C" w:rsidRPr="003F23AC">
        <w:rPr>
          <w:rFonts w:cs="Times New Roman"/>
          <w:noProof/>
          <w:lang w:val="sk-SK"/>
        </w:rPr>
        <w:t xml:space="preserve"> a </w:t>
      </w:r>
      <w:r w:rsidRPr="003F23AC">
        <w:rPr>
          <w:rFonts w:cs="Times New Roman"/>
          <w:noProof/>
          <w:lang w:val="sk-SK"/>
        </w:rPr>
        <w:t>2020) využitím zvýšenia efektívnosti vyplývajúceho</w:t>
      </w:r>
      <w:r w:rsidR="00A75B3C" w:rsidRPr="003F23AC">
        <w:rPr>
          <w:rFonts w:cs="Times New Roman"/>
          <w:noProof/>
          <w:lang w:val="sk-SK"/>
        </w:rPr>
        <w:t xml:space="preserve"> z </w:t>
      </w:r>
      <w:r w:rsidRPr="003F23AC">
        <w:rPr>
          <w:rFonts w:cs="Times New Roman"/>
          <w:noProof/>
          <w:lang w:val="sk-SK"/>
        </w:rPr>
        <w:t>digitalizácie,</w:t>
      </w:r>
    </w:p>
    <w:p w14:paraId="6FD36964" w14:textId="0B45A384" w:rsidR="00387C70" w:rsidRPr="003F23AC" w:rsidRDefault="000F5AA4" w:rsidP="003F23AC">
      <w:pPr>
        <w:pStyle w:val="P68B1DB1-Normal4"/>
        <w:numPr>
          <w:ilvl w:val="0"/>
          <w:numId w:val="35"/>
        </w:numPr>
        <w:spacing w:before="40" w:after="0" w:line="259" w:lineRule="auto"/>
        <w:jc w:val="both"/>
        <w:rPr>
          <w:rFonts w:eastAsiaTheme="minorEastAsia" w:cs="Times New Roman"/>
          <w:noProof/>
          <w:lang w:val="sk-SK"/>
        </w:rPr>
      </w:pPr>
      <w:r w:rsidRPr="003F23AC">
        <w:rPr>
          <w:rFonts w:cs="Times New Roman"/>
          <w:noProof/>
          <w:lang w:val="sk-SK"/>
        </w:rPr>
        <w:t>zlepšenie úrovne zručností obyvateľstva (odporúčanie pre jednotlivé krajiny 2 2019), pokiaľ ide</w:t>
      </w:r>
      <w:r w:rsidR="00A75B3C" w:rsidRPr="003F23AC">
        <w:rPr>
          <w:rFonts w:cs="Times New Roman"/>
          <w:noProof/>
          <w:lang w:val="sk-SK"/>
        </w:rPr>
        <w:t xml:space="preserve"> o </w:t>
      </w:r>
      <w:r w:rsidRPr="003F23AC">
        <w:rPr>
          <w:rFonts w:cs="Times New Roman"/>
          <w:noProof/>
          <w:lang w:val="sk-SK"/>
        </w:rPr>
        <w:t>verejnú službu;</w:t>
      </w:r>
    </w:p>
    <w:p w14:paraId="7E4A97B6" w14:textId="77777777" w:rsidR="00A75B3C" w:rsidRPr="003F23AC" w:rsidRDefault="000F5AA4" w:rsidP="003F23AC">
      <w:pPr>
        <w:pStyle w:val="P68B1DB1-Normal4"/>
        <w:numPr>
          <w:ilvl w:val="0"/>
          <w:numId w:val="35"/>
        </w:numPr>
        <w:spacing w:before="40" w:after="0" w:line="259" w:lineRule="auto"/>
        <w:jc w:val="both"/>
        <w:rPr>
          <w:rFonts w:cs="Times New Roman"/>
          <w:noProof/>
          <w:lang w:val="sk-SK"/>
        </w:rPr>
      </w:pPr>
      <w:r w:rsidRPr="003F23AC">
        <w:rPr>
          <w:rFonts w:cs="Times New Roman"/>
          <w:noProof/>
          <w:lang w:val="sk-SK"/>
        </w:rPr>
        <w:t>zameranie investícií na digitálnu transformáciu (odporúčanie 3 2020) investovaním do prierezových</w:t>
      </w:r>
      <w:r w:rsidR="00A75B3C" w:rsidRPr="003F23AC">
        <w:rPr>
          <w:rFonts w:cs="Times New Roman"/>
          <w:noProof/>
          <w:lang w:val="sk-SK"/>
        </w:rPr>
        <w:t xml:space="preserve"> a </w:t>
      </w:r>
      <w:r w:rsidRPr="003F23AC">
        <w:rPr>
          <w:rFonts w:cs="Times New Roman"/>
          <w:noProof/>
          <w:lang w:val="sk-SK"/>
        </w:rPr>
        <w:t>odvetvových systémov verejnej správy,</w:t>
      </w:r>
      <w:r w:rsidR="00A75B3C" w:rsidRPr="003F23AC">
        <w:rPr>
          <w:rFonts w:cs="Times New Roman"/>
          <w:noProof/>
          <w:lang w:val="sk-SK"/>
        </w:rPr>
        <w:t xml:space="preserve"> a </w:t>
      </w:r>
      <w:r w:rsidRPr="003F23AC">
        <w:rPr>
          <w:rFonts w:cs="Times New Roman"/>
          <w:noProof/>
          <w:lang w:val="sk-SK"/>
        </w:rPr>
        <w:t>zároveň</w:t>
      </w:r>
    </w:p>
    <w:p w14:paraId="2E0BE7B1" w14:textId="29C82545" w:rsidR="00A75B3C" w:rsidRPr="003F23AC" w:rsidRDefault="000F5AA4" w:rsidP="003F23AC">
      <w:pPr>
        <w:pStyle w:val="P68B1DB1-Normal4"/>
        <w:numPr>
          <w:ilvl w:val="0"/>
          <w:numId w:val="35"/>
        </w:numPr>
        <w:spacing w:before="40" w:after="0" w:line="259" w:lineRule="auto"/>
        <w:jc w:val="both"/>
        <w:rPr>
          <w:rFonts w:cs="Times New Roman"/>
          <w:noProof/>
          <w:lang w:val="sk-SK"/>
        </w:rPr>
      </w:pPr>
      <w:r w:rsidRPr="003F23AC">
        <w:rPr>
          <w:rFonts w:cs="Times New Roman"/>
          <w:noProof/>
          <w:lang w:val="sk-SK"/>
        </w:rPr>
        <w:t>zníženie regulačného</w:t>
      </w:r>
      <w:r w:rsidR="00A75B3C" w:rsidRPr="003F23AC">
        <w:rPr>
          <w:rFonts w:cs="Times New Roman"/>
          <w:noProof/>
          <w:lang w:val="sk-SK"/>
        </w:rPr>
        <w:t xml:space="preserve"> a </w:t>
      </w:r>
      <w:r w:rsidRPr="003F23AC">
        <w:rPr>
          <w:rFonts w:cs="Times New Roman"/>
          <w:noProof/>
          <w:lang w:val="sk-SK"/>
        </w:rPr>
        <w:t>administratívneho zaťaženia podnikov (odporúčanie pre jednotlivé krajiny 4 2019) zjednodušením</w:t>
      </w:r>
      <w:r w:rsidR="00A75B3C" w:rsidRPr="003F23AC">
        <w:rPr>
          <w:rFonts w:cs="Times New Roman"/>
          <w:noProof/>
          <w:lang w:val="sk-SK"/>
        </w:rPr>
        <w:t xml:space="preserve"> a </w:t>
      </w:r>
      <w:r w:rsidRPr="003F23AC">
        <w:rPr>
          <w:rFonts w:cs="Times New Roman"/>
          <w:noProof/>
          <w:lang w:val="sk-SK"/>
        </w:rPr>
        <w:t>zefektívnením vzťahov medzi podnikmi</w:t>
      </w:r>
      <w:r w:rsidR="00A75B3C" w:rsidRPr="003F23AC">
        <w:rPr>
          <w:rFonts w:cs="Times New Roman"/>
          <w:noProof/>
          <w:lang w:val="sk-SK"/>
        </w:rPr>
        <w:t xml:space="preserve"> a </w:t>
      </w:r>
      <w:r w:rsidRPr="003F23AC">
        <w:rPr>
          <w:rFonts w:cs="Times New Roman"/>
          <w:noProof/>
          <w:lang w:val="sk-SK"/>
        </w:rPr>
        <w:t>orgánmi verejnej moci, najmä uplatňovaním zásady „jedenkrát</w:t>
      </w:r>
      <w:r w:rsidR="00A75B3C" w:rsidRPr="003F23AC">
        <w:rPr>
          <w:rFonts w:cs="Times New Roman"/>
          <w:noProof/>
          <w:lang w:val="sk-SK"/>
        </w:rPr>
        <w:t xml:space="preserve"> a </w:t>
      </w:r>
      <w:r w:rsidRPr="003F23AC">
        <w:rPr>
          <w:rFonts w:cs="Times New Roman"/>
          <w:noProof/>
          <w:lang w:val="sk-SK"/>
        </w:rPr>
        <w:t>dosť“</w:t>
      </w:r>
      <w:r w:rsidR="00A75B3C" w:rsidRPr="003F23AC">
        <w:rPr>
          <w:rFonts w:cs="Times New Roman"/>
          <w:noProof/>
          <w:lang w:val="sk-SK"/>
        </w:rPr>
        <w:t>.</w:t>
      </w:r>
    </w:p>
    <w:p w14:paraId="168143EC" w14:textId="4EEA2260" w:rsidR="00A75B3C" w:rsidRPr="003F23AC" w:rsidRDefault="000F5AA4" w:rsidP="003F23AC">
      <w:pPr>
        <w:pStyle w:val="P68B1DB1-Normal4"/>
        <w:spacing w:before="40" w:after="120" w:line="259" w:lineRule="auto"/>
        <w:ind w:left="720"/>
        <w:jc w:val="both"/>
        <w:rPr>
          <w:rFonts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environmentálne ciele</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r w:rsidR="00A75B3C" w:rsidRPr="003F23AC">
        <w:rPr>
          <w:rFonts w:cs="Times New Roman"/>
          <w:noProof/>
          <w:lang w:val="sk-SK"/>
        </w:rPr>
        <w:t>.</w:t>
      </w:r>
    </w:p>
    <w:p w14:paraId="138A182A" w14:textId="2F312D27" w:rsidR="00387C70" w:rsidRPr="003F23AC" w:rsidRDefault="000F5AA4" w:rsidP="003F23AC">
      <w:pPr>
        <w:pStyle w:val="P68B1DB1-Normal3"/>
        <w:spacing w:before="40" w:after="120" w:line="259" w:lineRule="auto"/>
        <w:ind w:left="130" w:firstLine="720"/>
        <w:jc w:val="both"/>
        <w:outlineLvl w:val="1"/>
        <w:rPr>
          <w:rFonts w:eastAsiaTheme="minorEastAsia" w:cs="Times New Roman"/>
          <w:noProof/>
          <w:lang w:val="sk-SK"/>
        </w:rPr>
      </w:pPr>
      <w:r w:rsidRPr="003F23AC">
        <w:rPr>
          <w:rFonts w:cs="Times New Roman"/>
          <w:noProof/>
          <w:lang w:val="sk-SK"/>
        </w:rPr>
        <w:t xml:space="preserve">S.1. </w:t>
      </w:r>
      <w:r w:rsidRPr="003F23AC">
        <w:rPr>
          <w:rFonts w:cs="Times New Roman"/>
          <w:noProof/>
          <w:lang w:val="sk-SK"/>
        </w:rPr>
        <w:tab/>
        <w:t>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56A5B30C" w14:textId="77777777" w:rsidR="00A75B3C" w:rsidRPr="003F23AC" w:rsidRDefault="000F5AA4" w:rsidP="003F23AC">
      <w:pPr>
        <w:pStyle w:val="P68B1DB1-Normal5"/>
        <w:spacing w:before="240" w:after="0" w:line="259" w:lineRule="auto"/>
        <w:ind w:left="851"/>
        <w:jc w:val="both"/>
        <w:outlineLvl w:val="2"/>
        <w:rPr>
          <w:rFonts w:cs="Times New Roman"/>
          <w:noProof/>
          <w:lang w:val="sk-SK"/>
        </w:rPr>
      </w:pPr>
      <w:r w:rsidRPr="003F23AC">
        <w:rPr>
          <w:rFonts w:cs="Times New Roman"/>
          <w:noProof/>
          <w:lang w:val="sk-SK"/>
        </w:rPr>
        <w:t>Reforma TD-r34: Digitálne, jednoduché, inkluzívne</w:t>
      </w:r>
      <w:r w:rsidR="00A75B3C" w:rsidRPr="003F23AC">
        <w:rPr>
          <w:rFonts w:cs="Times New Roman"/>
          <w:noProof/>
          <w:lang w:val="sk-SK"/>
        </w:rPr>
        <w:t xml:space="preserve"> a </w:t>
      </w:r>
      <w:r w:rsidRPr="003F23AC">
        <w:rPr>
          <w:rFonts w:cs="Times New Roman"/>
          <w:noProof/>
          <w:lang w:val="sk-SK"/>
        </w:rPr>
        <w:t>bezpečné verejné služby pre občanov</w:t>
      </w:r>
      <w:r w:rsidR="00A75B3C" w:rsidRPr="003F23AC">
        <w:rPr>
          <w:rFonts w:cs="Times New Roman"/>
          <w:noProof/>
          <w:lang w:val="sk-SK"/>
        </w:rPr>
        <w:t xml:space="preserve"> a </w:t>
      </w:r>
      <w:r w:rsidRPr="003F23AC">
        <w:rPr>
          <w:rFonts w:cs="Times New Roman"/>
          <w:noProof/>
          <w:lang w:val="sk-SK"/>
        </w:rPr>
        <w:t>podniky</w:t>
      </w:r>
    </w:p>
    <w:p w14:paraId="36F6FAEB" w14:textId="0EAB248B"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reformy je zaviesť do verejných služieb paradigmu „digitálne už vo svojej podstate“, aby sa viac orientovala na používateľov, zvýšila prístupnosť</w:t>
      </w:r>
      <w:r w:rsidR="00A75B3C" w:rsidRPr="003F23AC">
        <w:rPr>
          <w:rFonts w:cs="Times New Roman"/>
          <w:noProof/>
          <w:lang w:val="sk-SK"/>
        </w:rPr>
        <w:t xml:space="preserve"> a </w:t>
      </w:r>
      <w:r w:rsidRPr="003F23AC">
        <w:rPr>
          <w:rFonts w:cs="Times New Roman"/>
          <w:noProof/>
          <w:lang w:val="sk-SK"/>
        </w:rPr>
        <w:t>znížila sa administratívna záťaž pre občanov</w:t>
      </w:r>
      <w:r w:rsidR="00A75B3C" w:rsidRPr="003F23AC">
        <w:rPr>
          <w:rFonts w:cs="Times New Roman"/>
          <w:noProof/>
          <w:lang w:val="sk-SK"/>
        </w:rPr>
        <w:t xml:space="preserve"> a </w:t>
      </w:r>
      <w:r w:rsidRPr="003F23AC">
        <w:rPr>
          <w:rFonts w:cs="Times New Roman"/>
          <w:noProof/>
          <w:lang w:val="sk-SK"/>
        </w:rPr>
        <w:t>podniky,</w:t>
      </w:r>
      <w:r w:rsidR="00A75B3C" w:rsidRPr="003F23AC">
        <w:rPr>
          <w:rFonts w:cs="Times New Roman"/>
          <w:noProof/>
          <w:lang w:val="sk-SK"/>
        </w:rPr>
        <w:t xml:space="preserve"> a </w:t>
      </w:r>
      <w:r w:rsidRPr="003F23AC">
        <w:rPr>
          <w:rFonts w:cs="Times New Roman"/>
          <w:noProof/>
          <w:lang w:val="sk-SK"/>
        </w:rPr>
        <w:t>to aj spoliehaním sa na využívanie cloudových služieb</w:t>
      </w:r>
      <w:r w:rsidR="00A75B3C" w:rsidRPr="003F23AC">
        <w:rPr>
          <w:rFonts w:cs="Times New Roman"/>
          <w:noProof/>
          <w:lang w:val="sk-SK"/>
        </w:rPr>
        <w:t>.</w:t>
      </w:r>
    </w:p>
    <w:p w14:paraId="1F23879B" w14:textId="3E43951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Reforma pozostáva</w:t>
      </w:r>
      <w:r w:rsidR="00A75B3C" w:rsidRPr="003F23AC">
        <w:rPr>
          <w:rFonts w:cs="Times New Roman"/>
          <w:noProof/>
          <w:lang w:val="sk-SK"/>
        </w:rPr>
        <w:t xml:space="preserve"> z </w:t>
      </w:r>
      <w:r w:rsidRPr="003F23AC">
        <w:rPr>
          <w:rFonts w:cs="Times New Roman"/>
          <w:noProof/>
          <w:lang w:val="sk-SK"/>
        </w:rPr>
        <w:t>vykonávania opatrení na zabezpečenie toho, aby bol zavedený potrebný právny rámec pre digitálnu transformáciu, najmä na vykonávanie jednotnej digitálnej brány</w:t>
      </w:r>
      <w:r w:rsidR="00A75B3C" w:rsidRPr="003F23AC">
        <w:rPr>
          <w:rFonts w:cs="Times New Roman"/>
          <w:noProof/>
          <w:lang w:val="sk-SK"/>
        </w:rPr>
        <w:t xml:space="preserve"> a </w:t>
      </w:r>
      <w:r w:rsidRPr="003F23AC">
        <w:rPr>
          <w:rFonts w:cs="Times New Roman"/>
          <w:noProof/>
          <w:lang w:val="sk-SK"/>
        </w:rPr>
        <w:t>zásady „jedenkrát</w:t>
      </w:r>
      <w:r w:rsidR="00A75B3C" w:rsidRPr="003F23AC">
        <w:rPr>
          <w:rFonts w:cs="Times New Roman"/>
          <w:noProof/>
          <w:lang w:val="sk-SK"/>
        </w:rPr>
        <w:t xml:space="preserve"> a </w:t>
      </w:r>
      <w:r w:rsidRPr="003F23AC">
        <w:rPr>
          <w:rFonts w:cs="Times New Roman"/>
          <w:noProof/>
          <w:lang w:val="sk-SK"/>
        </w:rPr>
        <w:t>dosť“,</w:t>
      </w:r>
      <w:r w:rsidR="00A75B3C" w:rsidRPr="003F23AC">
        <w:rPr>
          <w:rFonts w:cs="Times New Roman"/>
          <w:noProof/>
          <w:lang w:val="sk-SK"/>
        </w:rPr>
        <w:t xml:space="preserve"> a </w:t>
      </w:r>
      <w:r w:rsidRPr="003F23AC">
        <w:rPr>
          <w:rFonts w:cs="Times New Roman"/>
          <w:noProof/>
          <w:lang w:val="sk-SK"/>
        </w:rPr>
        <w:t>to prostredníctvom koordinovaného procesu medzi verejnými subjektmi zakotvenými</w:t>
      </w:r>
      <w:r w:rsidR="00A75B3C" w:rsidRPr="003F23AC">
        <w:rPr>
          <w:rFonts w:cs="Times New Roman"/>
          <w:noProof/>
          <w:lang w:val="sk-SK"/>
        </w:rPr>
        <w:t xml:space="preserve"> v </w:t>
      </w:r>
      <w:r w:rsidRPr="003F23AC">
        <w:rPr>
          <w:rFonts w:cs="Times New Roman"/>
          <w:noProof/>
          <w:lang w:val="sk-SK"/>
        </w:rPr>
        <w:t>stratégii</w:t>
      </w:r>
      <w:r w:rsidR="00A75B3C" w:rsidRPr="003F23AC">
        <w:rPr>
          <w:rFonts w:cs="Times New Roman"/>
          <w:noProof/>
          <w:lang w:val="sk-SK"/>
        </w:rPr>
        <w:t xml:space="preserve"> a </w:t>
      </w:r>
      <w:r w:rsidRPr="003F23AC">
        <w:rPr>
          <w:rFonts w:cs="Times New Roman"/>
          <w:noProof/>
          <w:lang w:val="sk-SK"/>
        </w:rPr>
        <w:t>akčnom pláne pre digitálnu transformáciu verejnej správy na roky 2021 až 2023</w:t>
      </w:r>
      <w:r w:rsidR="00A75B3C" w:rsidRPr="003F23AC">
        <w:rPr>
          <w:rFonts w:cs="Times New Roman"/>
          <w:noProof/>
          <w:lang w:val="sk-SK"/>
        </w:rPr>
        <w:t xml:space="preserve"> a </w:t>
      </w:r>
      <w:r w:rsidRPr="003F23AC">
        <w:rPr>
          <w:rFonts w:cs="Times New Roman"/>
          <w:noProof/>
          <w:lang w:val="sk-SK"/>
        </w:rPr>
        <w:t>2024 až 2026, pričom sa zavedú požadované záruky informačnej bezpečnosti vrátane tých, ktoré sú špecifické pre kybernetickú bezpečnosť</w:t>
      </w:r>
      <w:r w:rsidR="00A75B3C" w:rsidRPr="003F23AC">
        <w:rPr>
          <w:rFonts w:cs="Times New Roman"/>
          <w:noProof/>
          <w:lang w:val="sk-SK"/>
        </w:rPr>
        <w:t>.</w:t>
      </w:r>
    </w:p>
    <w:p w14:paraId="5F0EA2EF" w14:textId="2B954816"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reformy sa dokončí do 30</w:t>
      </w:r>
      <w:r w:rsidR="00A75B3C" w:rsidRPr="003F23AC">
        <w:rPr>
          <w:rFonts w:cs="Times New Roman"/>
          <w:noProof/>
          <w:lang w:val="sk-SK"/>
        </w:rPr>
        <w:t>. septembra</w:t>
      </w:r>
      <w:r w:rsidRPr="003F23AC">
        <w:rPr>
          <w:rFonts w:cs="Times New Roman"/>
          <w:noProof/>
          <w:lang w:val="sk-SK"/>
        </w:rPr>
        <w:t xml:space="preserve"> 2021.</w:t>
      </w:r>
    </w:p>
    <w:p w14:paraId="66FE78DD"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4F8D8530" w14:textId="37EF6AF9"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Reforma TD-r35: Funkčná</w:t>
      </w:r>
      <w:r w:rsidR="00A75B3C" w:rsidRPr="003F23AC">
        <w:rPr>
          <w:rFonts w:cs="Times New Roman"/>
          <w:noProof/>
          <w:lang w:val="sk-SK"/>
        </w:rPr>
        <w:t xml:space="preserve"> a </w:t>
      </w:r>
      <w:r w:rsidRPr="003F23AC">
        <w:rPr>
          <w:rFonts w:cs="Times New Roman"/>
          <w:noProof/>
          <w:lang w:val="sk-SK"/>
        </w:rPr>
        <w:t>organizačná reforma verejnej správy</w:t>
      </w:r>
    </w:p>
    <w:p w14:paraId="36AA9E04" w14:textId="7A271C0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reformy je reštrukturalizovať</w:t>
      </w:r>
      <w:r w:rsidR="00A75B3C" w:rsidRPr="003F23AC">
        <w:rPr>
          <w:rFonts w:cs="Times New Roman"/>
          <w:noProof/>
          <w:lang w:val="sk-SK"/>
        </w:rPr>
        <w:t xml:space="preserve"> a </w:t>
      </w:r>
      <w:r w:rsidRPr="003F23AC">
        <w:rPr>
          <w:rFonts w:cs="Times New Roman"/>
          <w:noProof/>
          <w:lang w:val="sk-SK"/>
        </w:rPr>
        <w:t>zefektívniť verejné služby</w:t>
      </w:r>
      <w:r w:rsidR="00A75B3C" w:rsidRPr="003F23AC">
        <w:rPr>
          <w:rFonts w:cs="Times New Roman"/>
          <w:noProof/>
          <w:lang w:val="sk-SK"/>
        </w:rPr>
        <w:t xml:space="preserve"> s </w:t>
      </w:r>
      <w:r w:rsidRPr="003F23AC">
        <w:rPr>
          <w:rFonts w:cs="Times New Roman"/>
          <w:noProof/>
          <w:lang w:val="sk-SK"/>
        </w:rPr>
        <w:t>cieľom podporiť modernú</w:t>
      </w:r>
      <w:r w:rsidR="00A75B3C" w:rsidRPr="003F23AC">
        <w:rPr>
          <w:rFonts w:cs="Times New Roman"/>
          <w:noProof/>
          <w:lang w:val="sk-SK"/>
        </w:rPr>
        <w:t xml:space="preserve"> a </w:t>
      </w:r>
      <w:r w:rsidRPr="003F23AC">
        <w:rPr>
          <w:rFonts w:cs="Times New Roman"/>
          <w:noProof/>
          <w:lang w:val="sk-SK"/>
        </w:rPr>
        <w:t>efektívnejšiu verejnú správu, pričom sa využijú aj synergie vyplývajúce</w:t>
      </w:r>
      <w:r w:rsidR="00A75B3C" w:rsidRPr="003F23AC">
        <w:rPr>
          <w:rFonts w:cs="Times New Roman"/>
          <w:noProof/>
          <w:lang w:val="sk-SK"/>
        </w:rPr>
        <w:t xml:space="preserve"> z </w:t>
      </w:r>
      <w:r w:rsidRPr="003F23AC">
        <w:rPr>
          <w:rFonts w:cs="Times New Roman"/>
          <w:noProof/>
          <w:lang w:val="sk-SK"/>
        </w:rPr>
        <w:t>vykonávania reformy TD-r34.</w:t>
      </w:r>
      <w:r w:rsidR="00A75B3C" w:rsidRPr="003F23AC">
        <w:rPr>
          <w:rFonts w:cs="Times New Roman"/>
          <w:noProof/>
          <w:lang w:val="sk-SK"/>
        </w:rPr>
        <w:t xml:space="preserve"> V </w:t>
      </w:r>
      <w:r w:rsidRPr="003F23AC">
        <w:rPr>
          <w:rFonts w:cs="Times New Roman"/>
          <w:noProof/>
          <w:lang w:val="sk-SK"/>
        </w:rPr>
        <w:t>súčasnosti existuje rozptýlenie</w:t>
      </w:r>
      <w:r w:rsidR="00A75B3C" w:rsidRPr="003F23AC">
        <w:rPr>
          <w:rFonts w:cs="Times New Roman"/>
          <w:noProof/>
          <w:lang w:val="sk-SK"/>
        </w:rPr>
        <w:t xml:space="preserve"> a </w:t>
      </w:r>
      <w:r w:rsidRPr="003F23AC">
        <w:rPr>
          <w:rFonts w:cs="Times New Roman"/>
          <w:noProof/>
          <w:lang w:val="sk-SK"/>
        </w:rPr>
        <w:t>prepúšťanie</w:t>
      </w:r>
      <w:r w:rsidR="00A75B3C" w:rsidRPr="003F23AC">
        <w:rPr>
          <w:rFonts w:cs="Times New Roman"/>
          <w:noProof/>
          <w:lang w:val="sk-SK"/>
        </w:rPr>
        <w:t xml:space="preserve"> v </w:t>
      </w:r>
      <w:r w:rsidRPr="003F23AC">
        <w:rPr>
          <w:rFonts w:cs="Times New Roman"/>
          <w:noProof/>
          <w:lang w:val="sk-SK"/>
        </w:rPr>
        <w:t>rámci ústredných orgánov štátnej správy, čo vedie</w:t>
      </w:r>
      <w:r w:rsidR="00A75B3C" w:rsidRPr="003F23AC">
        <w:rPr>
          <w:rFonts w:cs="Times New Roman"/>
          <w:noProof/>
          <w:lang w:val="sk-SK"/>
        </w:rPr>
        <w:t xml:space="preserve"> k </w:t>
      </w:r>
      <w:r w:rsidRPr="003F23AC">
        <w:rPr>
          <w:rFonts w:cs="Times New Roman"/>
          <w:noProof/>
          <w:lang w:val="sk-SK"/>
        </w:rPr>
        <w:t>opakovaniu služieb</w:t>
      </w:r>
      <w:r w:rsidR="00A75B3C" w:rsidRPr="003F23AC">
        <w:rPr>
          <w:rFonts w:cs="Times New Roman"/>
          <w:noProof/>
          <w:lang w:val="sk-SK"/>
        </w:rPr>
        <w:t xml:space="preserve"> v </w:t>
      </w:r>
      <w:r w:rsidRPr="003F23AC">
        <w:rPr>
          <w:rFonts w:cs="Times New Roman"/>
          <w:noProof/>
          <w:lang w:val="sk-SK"/>
        </w:rPr>
        <w:t>rámci ministerstiev,</w:t>
      </w:r>
      <w:r w:rsidR="00A75B3C" w:rsidRPr="003F23AC">
        <w:rPr>
          <w:rFonts w:cs="Times New Roman"/>
          <w:noProof/>
          <w:lang w:val="sk-SK"/>
        </w:rPr>
        <w:t xml:space="preserve"> a k </w:t>
      </w:r>
      <w:r w:rsidRPr="003F23AC">
        <w:rPr>
          <w:rFonts w:cs="Times New Roman"/>
          <w:noProof/>
          <w:lang w:val="sk-SK"/>
        </w:rPr>
        <w:t>vysokej úrovni nepružnosti modelov poskytovania práce vo verejnom sektore, ktorá sa opiera</w:t>
      </w:r>
      <w:r w:rsidR="00A75B3C" w:rsidRPr="003F23AC">
        <w:rPr>
          <w:rFonts w:cs="Times New Roman"/>
          <w:noProof/>
          <w:lang w:val="sk-SK"/>
        </w:rPr>
        <w:t xml:space="preserve"> o </w:t>
      </w:r>
      <w:r w:rsidRPr="003F23AC">
        <w:rPr>
          <w:rFonts w:cs="Times New Roman"/>
          <w:noProof/>
          <w:lang w:val="sk-SK"/>
        </w:rPr>
        <w:t>prísne štruktúry velenia</w:t>
      </w:r>
      <w:r w:rsidR="00A75B3C" w:rsidRPr="003F23AC">
        <w:rPr>
          <w:rFonts w:cs="Times New Roman"/>
          <w:noProof/>
          <w:lang w:val="sk-SK"/>
        </w:rPr>
        <w:t xml:space="preserve"> a </w:t>
      </w:r>
      <w:r w:rsidRPr="003F23AC">
        <w:rPr>
          <w:rFonts w:cs="Times New Roman"/>
          <w:noProof/>
          <w:lang w:val="sk-SK"/>
        </w:rPr>
        <w:t>vedie</w:t>
      </w:r>
      <w:r w:rsidR="00A75B3C" w:rsidRPr="003F23AC">
        <w:rPr>
          <w:rFonts w:cs="Times New Roman"/>
          <w:noProof/>
          <w:lang w:val="sk-SK"/>
        </w:rPr>
        <w:t xml:space="preserve"> k </w:t>
      </w:r>
      <w:r w:rsidRPr="003F23AC">
        <w:rPr>
          <w:rFonts w:cs="Times New Roman"/>
          <w:noProof/>
          <w:lang w:val="sk-SK"/>
        </w:rPr>
        <w:t>neprimeraným byrokratickým prístupom</w:t>
      </w:r>
      <w:r w:rsidR="00A75B3C" w:rsidRPr="003F23AC">
        <w:rPr>
          <w:rFonts w:cs="Times New Roman"/>
          <w:noProof/>
          <w:lang w:val="sk-SK"/>
        </w:rPr>
        <w:t>.</w:t>
      </w:r>
    </w:p>
    <w:p w14:paraId="30028271" w14:textId="1E03C40B"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Touto reformou sa zreviduje model fungovania štátu</w:t>
      </w:r>
      <w:r w:rsidR="00A75B3C" w:rsidRPr="003F23AC">
        <w:rPr>
          <w:rFonts w:cs="Times New Roman"/>
          <w:noProof/>
          <w:lang w:val="sk-SK"/>
        </w:rPr>
        <w:t xml:space="preserve"> a </w:t>
      </w:r>
      <w:r w:rsidRPr="003F23AC">
        <w:rPr>
          <w:rFonts w:cs="Times New Roman"/>
          <w:noProof/>
          <w:lang w:val="sk-SK"/>
        </w:rPr>
        <w:t>verejnej správy vo všeobecnosti</w:t>
      </w:r>
      <w:r w:rsidR="00A75B3C" w:rsidRPr="003F23AC">
        <w:rPr>
          <w:rFonts w:cs="Times New Roman"/>
          <w:noProof/>
          <w:lang w:val="sk-SK"/>
        </w:rPr>
        <w:t xml:space="preserve"> s </w:t>
      </w:r>
      <w:r w:rsidRPr="003F23AC">
        <w:rPr>
          <w:rFonts w:cs="Times New Roman"/>
          <w:noProof/>
          <w:lang w:val="sk-SK"/>
        </w:rPr>
        <w:t>cieľom posilniť synergie</w:t>
      </w:r>
      <w:r w:rsidR="00A75B3C" w:rsidRPr="003F23AC">
        <w:rPr>
          <w:rFonts w:cs="Times New Roman"/>
          <w:noProof/>
          <w:lang w:val="sk-SK"/>
        </w:rPr>
        <w:t xml:space="preserve"> a </w:t>
      </w:r>
      <w:r w:rsidRPr="003F23AC">
        <w:rPr>
          <w:rFonts w:cs="Times New Roman"/>
          <w:noProof/>
          <w:lang w:val="sk-SK"/>
        </w:rPr>
        <w:t>využiť príležitosti vytvorené technológiou. To zahŕňa centralizáciu spoločných</w:t>
      </w:r>
      <w:r w:rsidR="00A75B3C" w:rsidRPr="003F23AC">
        <w:rPr>
          <w:rFonts w:cs="Times New Roman"/>
          <w:noProof/>
          <w:lang w:val="sk-SK"/>
        </w:rPr>
        <w:t xml:space="preserve"> a </w:t>
      </w:r>
      <w:r w:rsidRPr="003F23AC">
        <w:rPr>
          <w:rFonts w:cs="Times New Roman"/>
          <w:noProof/>
          <w:lang w:val="sk-SK"/>
        </w:rPr>
        <w:t>zdieľaných služieb, riešenie rozptýlenia</w:t>
      </w:r>
      <w:r w:rsidR="00A75B3C" w:rsidRPr="003F23AC">
        <w:rPr>
          <w:rFonts w:cs="Times New Roman"/>
          <w:noProof/>
          <w:lang w:val="sk-SK"/>
        </w:rPr>
        <w:t xml:space="preserve"> a </w:t>
      </w:r>
      <w:r w:rsidRPr="003F23AC">
        <w:rPr>
          <w:rFonts w:cs="Times New Roman"/>
          <w:noProof/>
          <w:lang w:val="sk-SK"/>
        </w:rPr>
        <w:t>prepúšťania</w:t>
      </w:r>
      <w:r w:rsidR="00A75B3C" w:rsidRPr="003F23AC">
        <w:rPr>
          <w:rFonts w:cs="Times New Roman"/>
          <w:noProof/>
          <w:lang w:val="sk-SK"/>
        </w:rPr>
        <w:t xml:space="preserve"> v </w:t>
      </w:r>
      <w:r w:rsidRPr="003F23AC">
        <w:rPr>
          <w:rFonts w:cs="Times New Roman"/>
          <w:noProof/>
          <w:lang w:val="sk-SK"/>
        </w:rPr>
        <w:t>rámci ústredných orgánov štátnej správy, primeranú špecializáciu odvetvových priamych</w:t>
      </w:r>
      <w:r w:rsidR="00A75B3C" w:rsidRPr="003F23AC">
        <w:rPr>
          <w:rFonts w:cs="Times New Roman"/>
          <w:noProof/>
          <w:lang w:val="sk-SK"/>
        </w:rPr>
        <w:t xml:space="preserve"> a </w:t>
      </w:r>
      <w:r w:rsidRPr="003F23AC">
        <w:rPr>
          <w:rFonts w:cs="Times New Roman"/>
          <w:noProof/>
          <w:lang w:val="sk-SK"/>
        </w:rPr>
        <w:t>nepriamych subjektov verejnej správy podľa oblastí odbornosti, špecializáciu zásadných funkcií podpory činnosti vlády</w:t>
      </w:r>
      <w:r w:rsidR="00A75B3C" w:rsidRPr="003F23AC">
        <w:rPr>
          <w:rFonts w:cs="Times New Roman"/>
          <w:noProof/>
          <w:lang w:val="sk-SK"/>
        </w:rPr>
        <w:t xml:space="preserve"> a </w:t>
      </w:r>
      <w:r w:rsidRPr="003F23AC">
        <w:rPr>
          <w:rFonts w:cs="Times New Roman"/>
          <w:noProof/>
          <w:lang w:val="sk-SK"/>
        </w:rPr>
        <w:t>sústredenie vládnych úradov do jednotného fyzického priestoru</w:t>
      </w:r>
      <w:r w:rsidR="00A75B3C" w:rsidRPr="003F23AC">
        <w:rPr>
          <w:rFonts w:cs="Times New Roman"/>
          <w:noProof/>
          <w:lang w:val="sk-SK"/>
        </w:rPr>
        <w:t xml:space="preserve"> a </w:t>
      </w:r>
      <w:r w:rsidRPr="003F23AC">
        <w:rPr>
          <w:rFonts w:cs="Times New Roman"/>
          <w:noProof/>
          <w:lang w:val="sk-SK"/>
        </w:rPr>
        <w:t>podporu vnútorného auditu</w:t>
      </w:r>
      <w:r w:rsidR="00A75B3C" w:rsidRPr="003F23AC">
        <w:rPr>
          <w:rFonts w:cs="Times New Roman"/>
          <w:noProof/>
          <w:lang w:val="sk-SK"/>
        </w:rPr>
        <w:t xml:space="preserve"> a </w:t>
      </w:r>
      <w:r w:rsidRPr="003F23AC">
        <w:rPr>
          <w:rFonts w:cs="Times New Roman"/>
          <w:noProof/>
          <w:lang w:val="sk-SK"/>
        </w:rPr>
        <w:t>referenčných hodnôt, zameranie na efektívnosť procesu, neustále zlepšovanie</w:t>
      </w:r>
      <w:r w:rsidR="00A75B3C" w:rsidRPr="003F23AC">
        <w:rPr>
          <w:rFonts w:cs="Times New Roman"/>
          <w:noProof/>
          <w:lang w:val="sk-SK"/>
        </w:rPr>
        <w:t xml:space="preserve"> a </w:t>
      </w:r>
      <w:r w:rsidRPr="003F23AC">
        <w:rPr>
          <w:rFonts w:cs="Times New Roman"/>
          <w:noProof/>
          <w:lang w:val="sk-SK"/>
        </w:rPr>
        <w:t>šírenie postupov vrcholového manažmentu medzi subjektmi verejnej správy. Táto reforma sa uskutoční prostredníctvom vytvorenia štruktúry misie (pracovnej jednotky) na diagnostiku</w:t>
      </w:r>
      <w:r w:rsidR="00A75B3C" w:rsidRPr="003F23AC">
        <w:rPr>
          <w:rFonts w:cs="Times New Roman"/>
          <w:noProof/>
          <w:lang w:val="sk-SK"/>
        </w:rPr>
        <w:t xml:space="preserve"> a </w:t>
      </w:r>
      <w:r w:rsidRPr="003F23AC">
        <w:rPr>
          <w:rFonts w:cs="Times New Roman"/>
          <w:noProof/>
          <w:lang w:val="sk-SK"/>
        </w:rPr>
        <w:t>definovanie plánu reorganizácie ústredných štátnych služieb, ktorý sa má financovať podľa TD-C19-i07</w:t>
      </w:r>
      <w:r w:rsidR="00A75B3C" w:rsidRPr="003F23AC">
        <w:rPr>
          <w:rFonts w:cs="Times New Roman"/>
          <w:noProof/>
          <w:lang w:val="sk-SK"/>
        </w:rPr>
        <w:t>.</w:t>
      </w:r>
    </w:p>
    <w:p w14:paraId="66D72236" w14:textId="37AF65B9"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reformy sa dokončí do 31</w:t>
      </w:r>
      <w:r w:rsidR="00A75B3C" w:rsidRPr="003F23AC">
        <w:rPr>
          <w:rFonts w:cs="Times New Roman"/>
          <w:noProof/>
          <w:lang w:val="sk-SK"/>
        </w:rPr>
        <w:t>. decembra</w:t>
      </w:r>
      <w:r w:rsidRPr="003F23AC">
        <w:rPr>
          <w:rFonts w:cs="Times New Roman"/>
          <w:noProof/>
          <w:lang w:val="sk-SK"/>
        </w:rPr>
        <w:t xml:space="preserve"> 2023</w:t>
      </w:r>
      <w:r w:rsidR="00A75B3C" w:rsidRPr="003F23AC">
        <w:rPr>
          <w:rFonts w:cs="Times New Roman"/>
          <w:noProof/>
          <w:lang w:val="sk-SK"/>
        </w:rPr>
        <w:t>.</w:t>
      </w:r>
    </w:p>
    <w:p w14:paraId="0BE3FE14" w14:textId="75AED232"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Reforma TD-r36: Verejná správa</w:t>
      </w:r>
      <w:r w:rsidR="00A75B3C" w:rsidRPr="003F23AC">
        <w:rPr>
          <w:rFonts w:cs="Times New Roman"/>
          <w:noProof/>
          <w:lang w:val="sk-SK"/>
        </w:rPr>
        <w:t xml:space="preserve"> s </w:t>
      </w:r>
      <w:r w:rsidRPr="003F23AC">
        <w:rPr>
          <w:rFonts w:cs="Times New Roman"/>
          <w:noProof/>
          <w:lang w:val="sk-SK"/>
        </w:rPr>
        <w:t>právomocou vytvárať verejnú hodnotu</w:t>
      </w:r>
    </w:p>
    <w:p w14:paraId="4496EB08" w14:textId="6877CCAD"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reforma sa zameriava na zvyšovanie úrovne zručností štátnych zamestnancov,</w:t>
      </w:r>
      <w:r w:rsidR="00A75B3C" w:rsidRPr="003F23AC">
        <w:rPr>
          <w:rFonts w:cs="Times New Roman"/>
          <w:noProof/>
          <w:lang w:val="sk-SK"/>
        </w:rPr>
        <w:t xml:space="preserve"> a </w:t>
      </w:r>
      <w:r w:rsidRPr="003F23AC">
        <w:rPr>
          <w:rFonts w:cs="Times New Roman"/>
          <w:noProof/>
          <w:lang w:val="sk-SK"/>
        </w:rPr>
        <w:t>to aj pokiaľ ide</w:t>
      </w:r>
      <w:r w:rsidR="00A75B3C" w:rsidRPr="003F23AC">
        <w:rPr>
          <w:rFonts w:cs="Times New Roman"/>
          <w:noProof/>
          <w:lang w:val="sk-SK"/>
        </w:rPr>
        <w:t xml:space="preserve"> o </w:t>
      </w:r>
      <w:r w:rsidRPr="003F23AC">
        <w:rPr>
          <w:rFonts w:cs="Times New Roman"/>
          <w:noProof/>
          <w:lang w:val="sk-SK"/>
        </w:rPr>
        <w:t>ich digitálne zručnosti,</w:t>
      </w:r>
      <w:r w:rsidR="00A75B3C" w:rsidRPr="003F23AC">
        <w:rPr>
          <w:rFonts w:cs="Times New Roman"/>
          <w:noProof/>
          <w:lang w:val="sk-SK"/>
        </w:rPr>
        <w:t xml:space="preserve"> a </w:t>
      </w:r>
      <w:r w:rsidRPr="003F23AC">
        <w:rPr>
          <w:rFonts w:cs="Times New Roman"/>
          <w:noProof/>
          <w:lang w:val="sk-SK"/>
        </w:rPr>
        <w:t>zavádza nové pracovné modely (konkrétne teleprácu). Táto reforma je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opatreniami plánovanými</w:t>
      </w:r>
      <w:r w:rsidR="00A75B3C" w:rsidRPr="003F23AC">
        <w:rPr>
          <w:rFonts w:cs="Times New Roman"/>
          <w:noProof/>
          <w:lang w:val="sk-SK"/>
        </w:rPr>
        <w:t xml:space="preserve"> v </w:t>
      </w:r>
      <w:r w:rsidRPr="003F23AC">
        <w:rPr>
          <w:rFonts w:cs="Times New Roman"/>
          <w:noProof/>
          <w:lang w:val="sk-SK"/>
        </w:rPr>
        <w:t>zložke 6.</w:t>
      </w:r>
    </w:p>
    <w:p w14:paraId="6CC35A5C" w14:textId="3AA28D88"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Touto reformou, ktorá sa odráža</w:t>
      </w:r>
      <w:r w:rsidR="00A75B3C" w:rsidRPr="003F23AC">
        <w:rPr>
          <w:rFonts w:cs="Times New Roman"/>
          <w:noProof/>
          <w:lang w:val="sk-SK"/>
        </w:rPr>
        <w:t xml:space="preserve"> v </w:t>
      </w:r>
      <w:r w:rsidRPr="003F23AC">
        <w:rPr>
          <w:rFonts w:cs="Times New Roman"/>
          <w:noProof/>
          <w:lang w:val="sk-SK"/>
        </w:rPr>
        <w:t>stratégii pre inováciu</w:t>
      </w:r>
      <w:r w:rsidR="00A75B3C" w:rsidRPr="003F23AC">
        <w:rPr>
          <w:rFonts w:cs="Times New Roman"/>
          <w:noProof/>
          <w:lang w:val="sk-SK"/>
        </w:rPr>
        <w:t xml:space="preserve"> a </w:t>
      </w:r>
      <w:r w:rsidRPr="003F23AC">
        <w:rPr>
          <w:rFonts w:cs="Times New Roman"/>
          <w:noProof/>
          <w:lang w:val="sk-SK"/>
        </w:rPr>
        <w:t>modernizáciu štátnej</w:t>
      </w:r>
      <w:r w:rsidR="00A75B3C" w:rsidRPr="003F23AC">
        <w:rPr>
          <w:rFonts w:cs="Times New Roman"/>
          <w:noProof/>
          <w:lang w:val="sk-SK"/>
        </w:rPr>
        <w:t xml:space="preserve"> a </w:t>
      </w:r>
      <w:r w:rsidRPr="003F23AC">
        <w:rPr>
          <w:rFonts w:cs="Times New Roman"/>
          <w:noProof/>
          <w:lang w:val="sk-SK"/>
        </w:rPr>
        <w:t>verejnej správy</w:t>
      </w:r>
      <w:r w:rsidR="00A75B3C" w:rsidRPr="003F23AC">
        <w:rPr>
          <w:rFonts w:cs="Times New Roman"/>
          <w:noProof/>
          <w:lang w:val="sk-SK"/>
        </w:rPr>
        <w:t xml:space="preserve"> z </w:t>
      </w:r>
      <w:r w:rsidRPr="003F23AC">
        <w:rPr>
          <w:rFonts w:cs="Times New Roman"/>
          <w:noProof/>
          <w:lang w:val="sk-SK"/>
        </w:rPr>
        <w:t>júla 2020, sa posilní štruktúra riadenia</w:t>
      </w:r>
      <w:r w:rsidR="00A75B3C" w:rsidRPr="003F23AC">
        <w:rPr>
          <w:rFonts w:cs="Times New Roman"/>
          <w:noProof/>
          <w:lang w:val="sk-SK"/>
        </w:rPr>
        <w:t xml:space="preserve"> a </w:t>
      </w:r>
      <w:r w:rsidRPr="003F23AC">
        <w:rPr>
          <w:rFonts w:cs="Times New Roman"/>
          <w:noProof/>
          <w:lang w:val="sk-SK"/>
        </w:rPr>
        <w:t>odbornej prípravy štátnych zamestnancov</w:t>
      </w:r>
      <w:r w:rsidR="00A75B3C" w:rsidRPr="003F23AC">
        <w:rPr>
          <w:rFonts w:cs="Times New Roman"/>
          <w:noProof/>
          <w:lang w:val="sk-SK"/>
        </w:rPr>
        <w:t xml:space="preserve"> a </w:t>
      </w:r>
      <w:r w:rsidRPr="003F23AC">
        <w:rPr>
          <w:rFonts w:cs="Times New Roman"/>
          <w:noProof/>
          <w:lang w:val="sk-SK"/>
        </w:rPr>
        <w:t>manažmentu,</w:t>
      </w:r>
      <w:r w:rsidR="00A75B3C" w:rsidRPr="003F23AC">
        <w:rPr>
          <w:rFonts w:cs="Times New Roman"/>
          <w:noProof/>
          <w:lang w:val="sk-SK"/>
        </w:rPr>
        <w:t xml:space="preserve"> a </w:t>
      </w:r>
      <w:r w:rsidRPr="003F23AC">
        <w:rPr>
          <w:rFonts w:cs="Times New Roman"/>
          <w:noProof/>
          <w:lang w:val="sk-SK"/>
        </w:rPr>
        <w:t xml:space="preserve">to vytvorením štruktúry koordinácie činností odbornej prípravy ( </w:t>
      </w:r>
      <w:r w:rsidRPr="003F23AC">
        <w:rPr>
          <w:rFonts w:cs="Times New Roman"/>
          <w:i/>
          <w:noProof/>
          <w:lang w:val="sk-SK"/>
        </w:rPr>
        <w:t>Instituto Nacional de Administração</w:t>
      </w:r>
      <w:r w:rsidRPr="003F23AC">
        <w:rPr>
          <w:rFonts w:cs="Times New Roman"/>
          <w:noProof/>
          <w:lang w:val="sk-SK"/>
        </w:rPr>
        <w:t xml:space="preserve">), ktorá bude riadiť podporu tak pokročilej odbornej prípravy, ako sú manažérske zručnosti, dátová veda, špecializačné kurzy, ako aj prehĺbením programu </w:t>
      </w:r>
      <w:r w:rsidRPr="003F23AC">
        <w:rPr>
          <w:rFonts w:cs="Times New Roman"/>
          <w:i/>
          <w:noProof/>
          <w:lang w:val="sk-SK"/>
        </w:rPr>
        <w:t>AP Qualifica</w:t>
      </w:r>
      <w:r w:rsidR="00A75B3C" w:rsidRPr="003F23AC">
        <w:rPr>
          <w:rFonts w:cs="Times New Roman"/>
          <w:noProof/>
          <w:lang w:val="sk-SK"/>
        </w:rPr>
        <w:t xml:space="preserve"> s </w:t>
      </w:r>
      <w:r w:rsidRPr="003F23AC">
        <w:rPr>
          <w:rFonts w:cs="Times New Roman"/>
          <w:noProof/>
          <w:lang w:val="sk-SK"/>
        </w:rPr>
        <w:t>cieľom zvýšiť úroveň kvalifikácie štátnych zamestnancov</w:t>
      </w:r>
      <w:r w:rsidR="00A75B3C" w:rsidRPr="003F23AC">
        <w:rPr>
          <w:rFonts w:cs="Times New Roman"/>
          <w:noProof/>
          <w:lang w:val="sk-SK"/>
        </w:rPr>
        <w:t xml:space="preserve"> v </w:t>
      </w:r>
      <w:r w:rsidRPr="003F23AC">
        <w:rPr>
          <w:rFonts w:cs="Times New Roman"/>
          <w:noProof/>
          <w:lang w:val="sk-SK"/>
        </w:rPr>
        <w:t>krátkodobom/strednodobom horizonte. Zároveň sa táto reforma zameriava na využitie potenciálu práce na diaľku vo verejnej službe.</w:t>
      </w:r>
    </w:p>
    <w:p w14:paraId="1D6E6E11" w14:textId="79350021"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Je neoddeliteľne spätá</w:t>
      </w:r>
      <w:r w:rsidR="00A75B3C" w:rsidRPr="003F23AC">
        <w:rPr>
          <w:rFonts w:cs="Times New Roman"/>
          <w:noProof/>
          <w:lang w:val="sk-SK"/>
        </w:rPr>
        <w:t xml:space="preserve"> s </w:t>
      </w:r>
      <w:r w:rsidRPr="003F23AC">
        <w:rPr>
          <w:rFonts w:cs="Times New Roman"/>
          <w:noProof/>
          <w:lang w:val="sk-SK"/>
        </w:rPr>
        <w:t>investíciou TD-C19-i07 – Posilnenie postavenia verejnej správy, ktorá predpokladá programy digitálnej kondenzácie, programy odborných stáží, vyššiu</w:t>
      </w:r>
      <w:r w:rsidR="00A75B3C" w:rsidRPr="003F23AC">
        <w:rPr>
          <w:rFonts w:cs="Times New Roman"/>
          <w:noProof/>
          <w:lang w:val="sk-SK"/>
        </w:rPr>
        <w:t xml:space="preserve"> a </w:t>
      </w:r>
      <w:r w:rsidRPr="003F23AC">
        <w:rPr>
          <w:rFonts w:cs="Times New Roman"/>
          <w:noProof/>
          <w:lang w:val="sk-SK"/>
        </w:rPr>
        <w:t>pokročilú odbornú prípravu</w:t>
      </w:r>
      <w:r w:rsidR="00A75B3C" w:rsidRPr="003F23AC">
        <w:rPr>
          <w:rFonts w:cs="Times New Roman"/>
          <w:noProof/>
          <w:lang w:val="sk-SK"/>
        </w:rPr>
        <w:t xml:space="preserve"> v </w:t>
      </w:r>
      <w:r w:rsidRPr="003F23AC">
        <w:rPr>
          <w:rFonts w:cs="Times New Roman"/>
          <w:noProof/>
          <w:lang w:val="sk-SK"/>
        </w:rPr>
        <w:t>oblasti riadenia</w:t>
      </w:r>
      <w:r w:rsidR="00A75B3C" w:rsidRPr="003F23AC">
        <w:rPr>
          <w:rFonts w:cs="Times New Roman"/>
          <w:noProof/>
          <w:lang w:val="sk-SK"/>
        </w:rPr>
        <w:t xml:space="preserve"> a </w:t>
      </w:r>
      <w:r w:rsidRPr="003F23AC">
        <w:rPr>
          <w:rFonts w:cs="Times New Roman"/>
          <w:noProof/>
          <w:lang w:val="sk-SK"/>
        </w:rPr>
        <w:t>zvyšovanie zručností štátnych zamestnancov vo všeobecnosti.</w:t>
      </w:r>
    </w:p>
    <w:p w14:paraId="00388586" w14:textId="31EB47D0"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reformy sa dokončí do 30</w:t>
      </w:r>
      <w:r w:rsidR="00A75B3C" w:rsidRPr="003F23AC">
        <w:rPr>
          <w:rFonts w:cs="Times New Roman"/>
          <w:noProof/>
          <w:lang w:val="sk-SK"/>
        </w:rPr>
        <w:t>. júna</w:t>
      </w:r>
      <w:r w:rsidRPr="003F23AC">
        <w:rPr>
          <w:rFonts w:cs="Times New Roman"/>
          <w:noProof/>
          <w:lang w:val="sk-SK"/>
        </w:rPr>
        <w:t xml:space="preserve"> 2021</w:t>
      </w:r>
      <w:r w:rsidR="00A75B3C" w:rsidRPr="003F23AC">
        <w:rPr>
          <w:rFonts w:cs="Times New Roman"/>
          <w:noProof/>
          <w:lang w:val="sk-SK"/>
        </w:rPr>
        <w:t>.</w:t>
      </w:r>
    </w:p>
    <w:p w14:paraId="0A813EB5" w14:textId="77777777" w:rsidR="00A75B3C" w:rsidRPr="003F23AC" w:rsidRDefault="000F5AA4" w:rsidP="003F23AC">
      <w:pPr>
        <w:pStyle w:val="P68B1DB1-Normal5"/>
        <w:spacing w:before="240" w:after="0" w:line="259" w:lineRule="auto"/>
        <w:ind w:left="851"/>
        <w:jc w:val="both"/>
        <w:outlineLvl w:val="2"/>
        <w:rPr>
          <w:rFonts w:cs="Times New Roman"/>
          <w:noProof/>
          <w:lang w:val="sk-SK"/>
        </w:rPr>
      </w:pPr>
      <w:r w:rsidRPr="003F23AC">
        <w:rPr>
          <w:rFonts w:cs="Times New Roman"/>
          <w:noProof/>
          <w:lang w:val="sk-SK"/>
        </w:rPr>
        <w:t>Investície TD-C19-i01: Prepracovanie verejných</w:t>
      </w:r>
      <w:r w:rsidR="00A75B3C" w:rsidRPr="003F23AC">
        <w:rPr>
          <w:rFonts w:cs="Times New Roman"/>
          <w:noProof/>
          <w:lang w:val="sk-SK"/>
        </w:rPr>
        <w:t xml:space="preserve"> a </w:t>
      </w:r>
      <w:r w:rsidRPr="003F23AC">
        <w:rPr>
          <w:rFonts w:cs="Times New Roman"/>
          <w:noProof/>
          <w:lang w:val="sk-SK"/>
        </w:rPr>
        <w:t>konzulárnych služieb</w:t>
      </w:r>
    </w:p>
    <w:p w14:paraId="2662C4CF" w14:textId="2DD2C94C"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tejto investície je zaviesť paradigmu digitalizácie už zo svojej podstaty do interakcie medzi zainteresovanými stranami</w:t>
      </w:r>
      <w:r w:rsidR="00A75B3C" w:rsidRPr="003F23AC">
        <w:rPr>
          <w:rFonts w:cs="Times New Roman"/>
          <w:noProof/>
          <w:lang w:val="sk-SK"/>
        </w:rPr>
        <w:t xml:space="preserve"> a </w:t>
      </w:r>
      <w:r w:rsidRPr="003F23AC">
        <w:rPr>
          <w:rFonts w:cs="Times New Roman"/>
          <w:noProof/>
          <w:lang w:val="sk-SK"/>
        </w:rPr>
        <w:t>portugalskou verejnou správou</w:t>
      </w:r>
      <w:r w:rsidR="00A75B3C" w:rsidRPr="003F23AC">
        <w:rPr>
          <w:rFonts w:cs="Times New Roman"/>
          <w:noProof/>
          <w:lang w:val="sk-SK"/>
        </w:rPr>
        <w:t xml:space="preserve"> s </w:t>
      </w:r>
      <w:r w:rsidRPr="003F23AC">
        <w:rPr>
          <w:rFonts w:cs="Times New Roman"/>
          <w:noProof/>
          <w:lang w:val="sk-SK"/>
        </w:rPr>
        <w:t>cieľom zvýšiť efektívnosť</w:t>
      </w:r>
      <w:r w:rsidR="00A75B3C" w:rsidRPr="003F23AC">
        <w:rPr>
          <w:rFonts w:cs="Times New Roman"/>
          <w:noProof/>
          <w:lang w:val="sk-SK"/>
        </w:rPr>
        <w:t xml:space="preserve"> a </w:t>
      </w:r>
      <w:r w:rsidRPr="003F23AC">
        <w:rPr>
          <w:rFonts w:cs="Times New Roman"/>
          <w:noProof/>
          <w:lang w:val="sk-SK"/>
        </w:rPr>
        <w:t>znížiť byrokraciu. Zameriava sa aj na zvýšenie efektívnosti konzulárnych služieb</w:t>
      </w:r>
      <w:r w:rsidR="00A75B3C" w:rsidRPr="003F23AC">
        <w:rPr>
          <w:rFonts w:cs="Times New Roman"/>
          <w:noProof/>
          <w:lang w:val="sk-SK"/>
        </w:rPr>
        <w:t xml:space="preserve"> a </w:t>
      </w:r>
      <w:r w:rsidRPr="003F23AC">
        <w:rPr>
          <w:rFonts w:cs="Times New Roman"/>
          <w:noProof/>
          <w:lang w:val="sk-SK"/>
        </w:rPr>
        <w:t>na zabezpečenie digitálnej transformácie subjektov pod kontrolou ministerstva zahraničných vecí.</w:t>
      </w:r>
    </w:p>
    <w:p w14:paraId="7348BBB4" w14:textId="1379B665"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Týmto opatrením sa prepracuje front office verejných</w:t>
      </w:r>
      <w:r w:rsidR="00A75B3C" w:rsidRPr="003F23AC">
        <w:rPr>
          <w:rFonts w:cs="Times New Roman"/>
          <w:noProof/>
          <w:lang w:val="sk-SK"/>
        </w:rPr>
        <w:t xml:space="preserve"> a </w:t>
      </w:r>
      <w:r w:rsidRPr="003F23AC">
        <w:rPr>
          <w:rFonts w:cs="Times New Roman"/>
          <w:noProof/>
          <w:lang w:val="sk-SK"/>
        </w:rPr>
        <w:t>konzulárnych služieb zavedením kapacity reakcie omnikanilov (jednotná digitálna brána, telefonické centrum</w:t>
      </w:r>
      <w:r w:rsidR="00A75B3C" w:rsidRPr="003F23AC">
        <w:rPr>
          <w:rFonts w:cs="Times New Roman"/>
          <w:noProof/>
          <w:lang w:val="sk-SK"/>
        </w:rPr>
        <w:t xml:space="preserve"> a </w:t>
      </w:r>
      <w:r w:rsidRPr="003F23AC">
        <w:rPr>
          <w:rFonts w:cs="Times New Roman"/>
          <w:noProof/>
          <w:lang w:val="sk-SK"/>
        </w:rPr>
        <w:t>osobné služby)</w:t>
      </w:r>
      <w:r w:rsidR="00A75B3C" w:rsidRPr="003F23AC">
        <w:rPr>
          <w:rFonts w:cs="Times New Roman"/>
          <w:noProof/>
          <w:lang w:val="sk-SK"/>
        </w:rPr>
        <w:t xml:space="preserve"> v </w:t>
      </w:r>
      <w:r w:rsidRPr="003F23AC">
        <w:rPr>
          <w:rFonts w:cs="Times New Roman"/>
          <w:noProof/>
          <w:lang w:val="sk-SK"/>
        </w:rPr>
        <w:t>spojení so systémom prierezového riadenia</w:t>
      </w:r>
      <w:r w:rsidR="00A75B3C" w:rsidRPr="003F23AC">
        <w:rPr>
          <w:rFonts w:cs="Times New Roman"/>
          <w:noProof/>
          <w:lang w:val="sk-SK"/>
        </w:rPr>
        <w:t xml:space="preserve"> s </w:t>
      </w:r>
      <w:r w:rsidRPr="003F23AC">
        <w:rPr>
          <w:rFonts w:cs="Times New Roman"/>
          <w:noProof/>
          <w:lang w:val="sk-SK"/>
        </w:rPr>
        <w:t>využitím cloud computingu</w:t>
      </w:r>
      <w:r w:rsidR="00A75B3C" w:rsidRPr="003F23AC">
        <w:rPr>
          <w:rFonts w:cs="Times New Roman"/>
          <w:noProof/>
          <w:lang w:val="sk-SK"/>
        </w:rPr>
        <w:t xml:space="preserve"> a </w:t>
      </w:r>
      <w:r w:rsidRPr="003F23AC">
        <w:rPr>
          <w:rFonts w:cs="Times New Roman"/>
          <w:noProof/>
          <w:lang w:val="sk-SK"/>
        </w:rPr>
        <w:t>využívania sietí 5G</w:t>
      </w:r>
      <w:r w:rsidR="00A75B3C" w:rsidRPr="003F23AC">
        <w:rPr>
          <w:rFonts w:cs="Times New Roman"/>
          <w:noProof/>
          <w:lang w:val="sk-SK"/>
        </w:rPr>
        <w:t xml:space="preserve"> s </w:t>
      </w:r>
      <w:r w:rsidRPr="003F23AC">
        <w:rPr>
          <w:rFonts w:cs="Times New Roman"/>
          <w:noProof/>
          <w:lang w:val="sk-SK"/>
        </w:rPr>
        <w:t>cieľom inovovať, zlepšovať kvalitu</w:t>
      </w:r>
      <w:r w:rsidR="00A75B3C" w:rsidRPr="003F23AC">
        <w:rPr>
          <w:rFonts w:cs="Times New Roman"/>
          <w:noProof/>
          <w:lang w:val="sk-SK"/>
        </w:rPr>
        <w:t xml:space="preserve"> a </w:t>
      </w:r>
      <w:r w:rsidRPr="003F23AC">
        <w:rPr>
          <w:rFonts w:cs="Times New Roman"/>
          <w:noProof/>
          <w:lang w:val="sk-SK"/>
        </w:rPr>
        <w:t>znižovať asymetriu pri poskytovaní verejných služieb</w:t>
      </w:r>
      <w:r w:rsidR="00A75B3C" w:rsidRPr="003F23AC">
        <w:rPr>
          <w:rFonts w:cs="Times New Roman"/>
          <w:noProof/>
          <w:lang w:val="sk-SK"/>
        </w:rPr>
        <w:t>.</w:t>
      </w:r>
    </w:p>
    <w:p w14:paraId="2318A553" w14:textId="0865CA5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 xml:space="preserve">Táto investícia zahŕňa aj vytvorenie nových </w:t>
      </w:r>
      <w:r w:rsidRPr="003F23AC">
        <w:rPr>
          <w:rFonts w:cs="Times New Roman"/>
          <w:i/>
          <w:noProof/>
          <w:lang w:val="sk-SK"/>
        </w:rPr>
        <w:t>Espaços cidadão</w:t>
      </w:r>
      <w:r w:rsidR="00A75B3C" w:rsidRPr="003F23AC">
        <w:rPr>
          <w:rFonts w:cs="Times New Roman"/>
          <w:noProof/>
          <w:lang w:val="sk-SK"/>
        </w:rPr>
        <w:t xml:space="preserve"> a </w:t>
      </w:r>
      <w:r w:rsidRPr="003F23AC">
        <w:rPr>
          <w:rFonts w:cs="Times New Roman"/>
          <w:i/>
          <w:noProof/>
          <w:lang w:val="sk-SK"/>
        </w:rPr>
        <w:t>Lojas do Cidadão</w:t>
      </w:r>
      <w:r w:rsidR="00A75B3C" w:rsidRPr="003F23AC">
        <w:rPr>
          <w:rFonts w:cs="Times New Roman"/>
          <w:noProof/>
          <w:lang w:val="sk-SK"/>
        </w:rPr>
        <w:t xml:space="preserve"> v </w:t>
      </w:r>
      <w:r w:rsidRPr="003F23AC">
        <w:rPr>
          <w:rFonts w:cs="Times New Roman"/>
          <w:noProof/>
          <w:lang w:val="sk-SK"/>
        </w:rPr>
        <w:t>nových energeticky účinných priestoroch</w:t>
      </w:r>
      <w:r w:rsidR="00A75B3C" w:rsidRPr="003F23AC">
        <w:rPr>
          <w:rFonts w:cs="Times New Roman"/>
          <w:noProof/>
          <w:lang w:val="sk-SK"/>
        </w:rPr>
        <w:t>.</w:t>
      </w:r>
    </w:p>
    <w:p w14:paraId="432248CD" w14:textId="61F505F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4C6CF1A2" w14:textId="77777777" w:rsidR="00A75B3C" w:rsidRPr="003F23AC" w:rsidRDefault="000F5AA4" w:rsidP="003F23AC">
      <w:pPr>
        <w:pStyle w:val="P68B1DB1-Normal5"/>
        <w:spacing w:before="240" w:after="0" w:line="259" w:lineRule="auto"/>
        <w:ind w:left="851"/>
        <w:jc w:val="both"/>
        <w:outlineLvl w:val="2"/>
        <w:rPr>
          <w:rFonts w:cs="Times New Roman"/>
          <w:i/>
          <w:noProof/>
          <w:lang w:val="sk-SK"/>
        </w:rPr>
      </w:pPr>
      <w:r w:rsidRPr="003F23AC">
        <w:rPr>
          <w:rFonts w:cs="Times New Roman"/>
          <w:noProof/>
          <w:lang w:val="sk-SK"/>
        </w:rPr>
        <w:t>Investície TD-C19 – i02: Udržateľné elektronické služby</w:t>
      </w:r>
    </w:p>
    <w:p w14:paraId="09F0D2AC" w14:textId="1B4F4DEB"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poskytnúť požadovanú podporu pre predchádzajúce investície</w:t>
      </w:r>
      <w:r w:rsidR="00A75B3C" w:rsidRPr="003F23AC">
        <w:rPr>
          <w:rFonts w:cs="Times New Roman"/>
          <w:noProof/>
          <w:lang w:val="sk-SK"/>
        </w:rPr>
        <w:t xml:space="preserve"> a </w:t>
      </w:r>
      <w:r w:rsidRPr="003F23AC">
        <w:rPr>
          <w:rFonts w:cs="Times New Roman"/>
          <w:noProof/>
          <w:lang w:val="sk-SK"/>
        </w:rPr>
        <w:t>zamerať sa na posilnenie zhodnocovania</w:t>
      </w:r>
      <w:r w:rsidR="00A75B3C" w:rsidRPr="003F23AC">
        <w:rPr>
          <w:rFonts w:cs="Times New Roman"/>
          <w:noProof/>
          <w:lang w:val="sk-SK"/>
        </w:rPr>
        <w:t xml:space="preserve"> a </w:t>
      </w:r>
      <w:r w:rsidRPr="003F23AC">
        <w:rPr>
          <w:rFonts w:cs="Times New Roman"/>
          <w:noProof/>
          <w:lang w:val="sk-SK"/>
        </w:rPr>
        <w:t>využívania údajov verejnými službami, posilnenie interoperability</w:t>
      </w:r>
      <w:r w:rsidR="00A75B3C" w:rsidRPr="003F23AC">
        <w:rPr>
          <w:rFonts w:cs="Times New Roman"/>
          <w:noProof/>
          <w:lang w:val="sk-SK"/>
        </w:rPr>
        <w:t xml:space="preserve"> a </w:t>
      </w:r>
      <w:r w:rsidRPr="003F23AC">
        <w:rPr>
          <w:rFonts w:cs="Times New Roman"/>
          <w:noProof/>
          <w:lang w:val="sk-SK"/>
        </w:rPr>
        <w:t>spoločného využívania údajov, ako aj interoperabilitu</w:t>
      </w:r>
      <w:r w:rsidR="00A75B3C" w:rsidRPr="003F23AC">
        <w:rPr>
          <w:rFonts w:cs="Times New Roman"/>
          <w:noProof/>
          <w:lang w:val="sk-SK"/>
        </w:rPr>
        <w:t xml:space="preserve"> s </w:t>
      </w:r>
      <w:r w:rsidRPr="003F23AC">
        <w:rPr>
          <w:rFonts w:cs="Times New Roman"/>
          <w:noProof/>
          <w:lang w:val="sk-SK"/>
        </w:rPr>
        <w:t>externými subjektmi</w:t>
      </w:r>
      <w:r w:rsidR="00A75B3C" w:rsidRPr="003F23AC">
        <w:rPr>
          <w:rFonts w:cs="Times New Roman"/>
          <w:noProof/>
          <w:lang w:val="sk-SK"/>
        </w:rPr>
        <w:t xml:space="preserve"> a </w:t>
      </w:r>
      <w:r w:rsidRPr="003F23AC">
        <w:rPr>
          <w:rFonts w:cs="Times New Roman"/>
          <w:noProof/>
          <w:lang w:val="sk-SK"/>
        </w:rPr>
        <w:t>cezhraničnú (spojenie</w:t>
      </w:r>
      <w:r w:rsidR="00A75B3C" w:rsidRPr="003F23AC">
        <w:rPr>
          <w:rFonts w:cs="Times New Roman"/>
          <w:noProof/>
          <w:lang w:val="sk-SK"/>
        </w:rPr>
        <w:t xml:space="preserve"> s </w:t>
      </w:r>
      <w:r w:rsidRPr="003F23AC">
        <w:rPr>
          <w:rFonts w:cs="Times New Roman"/>
          <w:noProof/>
          <w:lang w:val="sk-SK"/>
        </w:rPr>
        <w:t>jednotným európskym dátovým portálom)</w:t>
      </w:r>
      <w:r w:rsidR="00A75B3C" w:rsidRPr="003F23AC">
        <w:rPr>
          <w:rFonts w:cs="Times New Roman"/>
          <w:noProof/>
          <w:lang w:val="sk-SK"/>
        </w:rPr>
        <w:t>.</w:t>
      </w:r>
    </w:p>
    <w:p w14:paraId="5FE6647D" w14:textId="05A34AD2"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investícia vychádza</w:t>
      </w:r>
      <w:r w:rsidR="00A75B3C" w:rsidRPr="003F23AC">
        <w:rPr>
          <w:rFonts w:cs="Times New Roman"/>
          <w:noProof/>
          <w:lang w:val="sk-SK"/>
        </w:rPr>
        <w:t xml:space="preserve"> z </w:t>
      </w:r>
      <w:r w:rsidRPr="003F23AC">
        <w:rPr>
          <w:rFonts w:cs="Times New Roman"/>
          <w:noProof/>
          <w:lang w:val="sk-SK"/>
        </w:rPr>
        <w:t>reformy TD-r34 pri vytváraní koordinovaného riadenia ekosystému údajov verejnej správy, ktoré zahŕňa bezpečné riešenia identifikácie, mechanizmy kontroly prístupu</w:t>
      </w:r>
      <w:r w:rsidR="00A75B3C" w:rsidRPr="003F23AC">
        <w:rPr>
          <w:rFonts w:cs="Times New Roman"/>
          <w:noProof/>
          <w:lang w:val="sk-SK"/>
        </w:rPr>
        <w:t xml:space="preserve"> k </w:t>
      </w:r>
      <w:r w:rsidRPr="003F23AC">
        <w:rPr>
          <w:rFonts w:cs="Times New Roman"/>
          <w:noProof/>
          <w:lang w:val="sk-SK"/>
        </w:rPr>
        <w:t>údajom</w:t>
      </w:r>
      <w:r w:rsidR="00A75B3C" w:rsidRPr="003F23AC">
        <w:rPr>
          <w:rFonts w:cs="Times New Roman"/>
          <w:noProof/>
          <w:lang w:val="sk-SK"/>
        </w:rPr>
        <w:t xml:space="preserve"> a </w:t>
      </w:r>
      <w:r w:rsidRPr="003F23AC">
        <w:rPr>
          <w:rFonts w:cs="Times New Roman"/>
          <w:noProof/>
          <w:lang w:val="sk-SK"/>
        </w:rPr>
        <w:t>štatistické informácie. Podporuje opakované použitie údajov zhromaždených verejnými orgánmi, pričom uplatňuje zásadu „jedenkrát</w:t>
      </w:r>
      <w:r w:rsidR="00A75B3C" w:rsidRPr="003F23AC">
        <w:rPr>
          <w:rFonts w:cs="Times New Roman"/>
          <w:noProof/>
          <w:lang w:val="sk-SK"/>
        </w:rPr>
        <w:t xml:space="preserve"> a </w:t>
      </w:r>
      <w:r w:rsidRPr="003F23AC">
        <w:rPr>
          <w:rFonts w:cs="Times New Roman"/>
          <w:noProof/>
          <w:lang w:val="sk-SK"/>
        </w:rPr>
        <w:t>dosť“ tým, že sa opiera</w:t>
      </w:r>
      <w:r w:rsidR="00A75B3C" w:rsidRPr="003F23AC">
        <w:rPr>
          <w:rFonts w:cs="Times New Roman"/>
          <w:noProof/>
          <w:lang w:val="sk-SK"/>
        </w:rPr>
        <w:t xml:space="preserve"> o </w:t>
      </w:r>
      <w:r w:rsidRPr="003F23AC">
        <w:rPr>
          <w:rFonts w:cs="Times New Roman"/>
          <w:noProof/>
          <w:lang w:val="sk-SK"/>
        </w:rPr>
        <w:t>interoperabilitu</w:t>
      </w:r>
      <w:r w:rsidR="00A75B3C" w:rsidRPr="003F23AC">
        <w:rPr>
          <w:rFonts w:cs="Times New Roman"/>
          <w:noProof/>
          <w:lang w:val="sk-SK"/>
        </w:rPr>
        <w:t xml:space="preserve"> a </w:t>
      </w:r>
      <w:r w:rsidRPr="003F23AC">
        <w:rPr>
          <w:rFonts w:cs="Times New Roman"/>
          <w:noProof/>
          <w:lang w:val="sk-SK"/>
        </w:rPr>
        <w:t>integráciu informačných systémov,</w:t>
      </w:r>
      <w:r w:rsidR="00A75B3C" w:rsidRPr="003F23AC">
        <w:rPr>
          <w:rFonts w:cs="Times New Roman"/>
          <w:noProof/>
          <w:lang w:val="sk-SK"/>
        </w:rPr>
        <w:t xml:space="preserve"> a </w:t>
      </w:r>
      <w:r w:rsidRPr="003F23AC">
        <w:rPr>
          <w:rFonts w:cs="Times New Roman"/>
          <w:noProof/>
          <w:lang w:val="sk-SK"/>
        </w:rPr>
        <w:t>rozširuje využívanie riešení elektronickej identifikácie. Okrem toho podporuje otvorené údaje</w:t>
      </w:r>
      <w:r w:rsidR="00A75B3C" w:rsidRPr="003F23AC">
        <w:rPr>
          <w:rFonts w:cs="Times New Roman"/>
          <w:noProof/>
          <w:lang w:val="sk-SK"/>
        </w:rPr>
        <w:t xml:space="preserve"> a </w:t>
      </w:r>
      <w:r w:rsidRPr="003F23AC">
        <w:rPr>
          <w:rFonts w:cs="Times New Roman"/>
          <w:noProof/>
          <w:lang w:val="sk-SK"/>
        </w:rPr>
        <w:t>dostupnosť údajov na výskumné účely</w:t>
      </w:r>
      <w:r w:rsidR="00A75B3C" w:rsidRPr="003F23AC">
        <w:rPr>
          <w:rFonts w:cs="Times New Roman"/>
          <w:noProof/>
          <w:lang w:val="sk-SK"/>
        </w:rPr>
        <w:t xml:space="preserve"> a </w:t>
      </w:r>
      <w:r w:rsidRPr="003F23AC">
        <w:rPr>
          <w:rFonts w:cs="Times New Roman"/>
          <w:noProof/>
          <w:lang w:val="sk-SK"/>
        </w:rPr>
        <w:t>zároveň podporuje zručnosti</w:t>
      </w:r>
      <w:r w:rsidR="00A75B3C" w:rsidRPr="003F23AC">
        <w:rPr>
          <w:rFonts w:cs="Times New Roman"/>
          <w:noProof/>
          <w:lang w:val="sk-SK"/>
        </w:rPr>
        <w:t xml:space="preserve"> v </w:t>
      </w:r>
      <w:r w:rsidRPr="003F23AC">
        <w:rPr>
          <w:rFonts w:cs="Times New Roman"/>
          <w:noProof/>
          <w:lang w:val="sk-SK"/>
        </w:rPr>
        <w:t>oblasti dátovej vedy.</w:t>
      </w:r>
    </w:p>
    <w:p w14:paraId="24A9EB59" w14:textId="00D996C2"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marca</w:t>
      </w:r>
      <w:r w:rsidRPr="003F23AC">
        <w:rPr>
          <w:rFonts w:cs="Times New Roman"/>
          <w:noProof/>
          <w:lang w:val="sk-SK"/>
        </w:rPr>
        <w:t xml:space="preserve"> 2026.</w:t>
      </w:r>
    </w:p>
    <w:p w14:paraId="3A0DC323" w14:textId="77777777" w:rsidR="00A75B3C" w:rsidRPr="003F23AC" w:rsidRDefault="000F5AA4" w:rsidP="003F23AC">
      <w:pPr>
        <w:pStyle w:val="P68B1DB1-Normal5"/>
        <w:spacing w:before="240" w:after="0" w:line="259" w:lineRule="auto"/>
        <w:ind w:left="851"/>
        <w:jc w:val="both"/>
        <w:outlineLvl w:val="2"/>
        <w:rPr>
          <w:rFonts w:cs="Times New Roman"/>
          <w:noProof/>
          <w:lang w:val="sk-SK"/>
        </w:rPr>
      </w:pPr>
      <w:r w:rsidRPr="003F23AC">
        <w:rPr>
          <w:rFonts w:cs="Times New Roman"/>
          <w:noProof/>
          <w:lang w:val="sk-SK"/>
        </w:rPr>
        <w:t>TD-C19-i03: Posilnenie celkového rámca kybernetickej bezpečnosti</w:t>
      </w:r>
    </w:p>
    <w:p w14:paraId="66E4850F" w14:textId="0A7EB5B6"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tejto investície je zlepšiť normy</w:t>
      </w:r>
      <w:r w:rsidR="00A75B3C" w:rsidRPr="003F23AC">
        <w:rPr>
          <w:rFonts w:cs="Times New Roman"/>
          <w:noProof/>
          <w:lang w:val="sk-SK"/>
        </w:rPr>
        <w:t xml:space="preserve"> a </w:t>
      </w:r>
      <w:r w:rsidRPr="003F23AC">
        <w:rPr>
          <w:rFonts w:cs="Times New Roman"/>
          <w:noProof/>
          <w:lang w:val="sk-SK"/>
        </w:rPr>
        <w:t>postupy</w:t>
      </w:r>
      <w:r w:rsidR="00A75B3C" w:rsidRPr="003F23AC">
        <w:rPr>
          <w:rFonts w:cs="Times New Roman"/>
          <w:noProof/>
          <w:lang w:val="sk-SK"/>
        </w:rPr>
        <w:t xml:space="preserve"> v </w:t>
      </w:r>
      <w:r w:rsidRPr="003F23AC">
        <w:rPr>
          <w:rFonts w:cs="Times New Roman"/>
          <w:noProof/>
          <w:lang w:val="sk-SK"/>
        </w:rPr>
        <w:t>oblasti informačnej bezpečnosti online údajov. Investícia je spojená</w:t>
      </w:r>
      <w:r w:rsidR="00A75B3C" w:rsidRPr="003F23AC">
        <w:rPr>
          <w:rFonts w:cs="Times New Roman"/>
          <w:noProof/>
          <w:lang w:val="sk-SK"/>
        </w:rPr>
        <w:t xml:space="preserve"> s </w:t>
      </w:r>
      <w:r w:rsidRPr="003F23AC">
        <w:rPr>
          <w:rFonts w:cs="Times New Roman"/>
          <w:noProof/>
          <w:lang w:val="sk-SK"/>
        </w:rPr>
        <w:t>investíciami TD-C19-i01</w:t>
      </w:r>
      <w:r w:rsidR="00A75B3C" w:rsidRPr="003F23AC">
        <w:rPr>
          <w:rFonts w:cs="Times New Roman"/>
          <w:noProof/>
          <w:lang w:val="sk-SK"/>
        </w:rPr>
        <w:t xml:space="preserve"> a </w:t>
      </w:r>
      <w:r w:rsidRPr="003F23AC">
        <w:rPr>
          <w:rFonts w:cs="Times New Roman"/>
          <w:noProof/>
          <w:lang w:val="sk-SK"/>
        </w:rPr>
        <w:t>TD-C19 – i02.</w:t>
      </w:r>
    </w:p>
    <w:p w14:paraId="67D18F87" w14:textId="46599895"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tohto opatrenia je posilniť vnútroštátne postavenie</w:t>
      </w:r>
      <w:r w:rsidR="00A75B3C" w:rsidRPr="003F23AC">
        <w:rPr>
          <w:rFonts w:cs="Times New Roman"/>
          <w:noProof/>
          <w:lang w:val="sk-SK"/>
        </w:rPr>
        <w:t xml:space="preserve"> v </w:t>
      </w:r>
      <w:r w:rsidRPr="003F23AC">
        <w:rPr>
          <w:rFonts w:cs="Times New Roman"/>
          <w:noProof/>
          <w:lang w:val="sk-SK"/>
        </w:rPr>
        <w:t>oblasti kybernetickej</w:t>
      </w:r>
      <w:r w:rsidR="00A75B3C" w:rsidRPr="003F23AC">
        <w:rPr>
          <w:rFonts w:cs="Times New Roman"/>
          <w:noProof/>
          <w:lang w:val="sk-SK"/>
        </w:rPr>
        <w:t xml:space="preserve"> a </w:t>
      </w:r>
      <w:r w:rsidRPr="003F23AC">
        <w:rPr>
          <w:rFonts w:cs="Times New Roman"/>
          <w:noProof/>
          <w:lang w:val="sk-SK"/>
        </w:rPr>
        <w:t>informačnej bezpečnosti</w:t>
      </w:r>
      <w:r w:rsidR="00A75B3C" w:rsidRPr="003F23AC">
        <w:rPr>
          <w:rFonts w:cs="Times New Roman"/>
          <w:noProof/>
          <w:lang w:val="sk-SK"/>
        </w:rPr>
        <w:t xml:space="preserve"> a </w:t>
      </w:r>
      <w:r w:rsidRPr="003F23AC">
        <w:rPr>
          <w:rFonts w:cs="Times New Roman"/>
          <w:noProof/>
          <w:lang w:val="sk-SK"/>
        </w:rPr>
        <w:t>vytvoriť fyzické</w:t>
      </w:r>
      <w:r w:rsidR="00A75B3C" w:rsidRPr="003F23AC">
        <w:rPr>
          <w:rFonts w:cs="Times New Roman"/>
          <w:noProof/>
          <w:lang w:val="sk-SK"/>
        </w:rPr>
        <w:t xml:space="preserve"> a </w:t>
      </w:r>
      <w:r w:rsidRPr="003F23AC">
        <w:rPr>
          <w:rFonts w:cs="Times New Roman"/>
          <w:noProof/>
          <w:lang w:val="sk-SK"/>
        </w:rPr>
        <w:t>technologické podmienky na vykonávanie</w:t>
      </w:r>
      <w:r w:rsidR="00A75B3C" w:rsidRPr="003F23AC">
        <w:rPr>
          <w:rFonts w:cs="Times New Roman"/>
          <w:noProof/>
          <w:lang w:val="sk-SK"/>
        </w:rPr>
        <w:t xml:space="preserve"> a </w:t>
      </w:r>
      <w:r w:rsidRPr="003F23AC">
        <w:rPr>
          <w:rFonts w:cs="Times New Roman"/>
          <w:noProof/>
          <w:lang w:val="sk-SK"/>
        </w:rPr>
        <w:t>sfunkčnenie nového modelu koordinácie kybernetickej bezpečnosti</w:t>
      </w:r>
      <w:r w:rsidR="00A75B3C" w:rsidRPr="003F23AC">
        <w:rPr>
          <w:rFonts w:cs="Times New Roman"/>
          <w:noProof/>
          <w:lang w:val="sk-SK"/>
        </w:rPr>
        <w:t xml:space="preserve"> a </w:t>
      </w:r>
      <w:r w:rsidRPr="003F23AC">
        <w:rPr>
          <w:rFonts w:cs="Times New Roman"/>
          <w:noProof/>
          <w:lang w:val="sk-SK"/>
        </w:rPr>
        <w:t>informačnej bezpečnosti. Obsahuje štyri opatrenia:</w:t>
      </w:r>
    </w:p>
    <w:p w14:paraId="47868CAC" w14:textId="50059142" w:rsidR="00A75B3C" w:rsidRPr="003F23AC" w:rsidRDefault="000F5AA4" w:rsidP="003F23AC">
      <w:pPr>
        <w:pStyle w:val="P68B1DB1-Normal4"/>
        <w:numPr>
          <w:ilvl w:val="0"/>
          <w:numId w:val="35"/>
        </w:numPr>
        <w:spacing w:before="40" w:after="160" w:line="259" w:lineRule="auto"/>
        <w:contextualSpacing/>
        <w:jc w:val="both"/>
        <w:rPr>
          <w:rFonts w:cs="Times New Roman"/>
          <w:noProof/>
          <w:lang w:val="sk-SK"/>
        </w:rPr>
      </w:pPr>
      <w:r w:rsidRPr="003F23AC">
        <w:rPr>
          <w:rFonts w:cs="Times New Roman"/>
          <w:noProof/>
          <w:lang w:val="sk-SK"/>
        </w:rPr>
        <w:t>Zvýšiť budovanie kapacít</w:t>
      </w:r>
      <w:r w:rsidR="00A75B3C" w:rsidRPr="003F23AC">
        <w:rPr>
          <w:rFonts w:cs="Times New Roman"/>
          <w:noProof/>
          <w:lang w:val="sk-SK"/>
        </w:rPr>
        <w:t xml:space="preserve"> v </w:t>
      </w:r>
      <w:r w:rsidRPr="003F23AC">
        <w:rPr>
          <w:rFonts w:cs="Times New Roman"/>
          <w:noProof/>
          <w:lang w:val="sk-SK"/>
        </w:rPr>
        <w:t>oblasti kybernetickej bezpečnosti</w:t>
      </w:r>
      <w:r w:rsidR="00A75B3C" w:rsidRPr="003F23AC">
        <w:rPr>
          <w:rFonts w:cs="Times New Roman"/>
          <w:noProof/>
          <w:lang w:val="sk-SK"/>
        </w:rPr>
        <w:t xml:space="preserve"> a </w:t>
      </w:r>
      <w:r w:rsidRPr="003F23AC">
        <w:rPr>
          <w:rFonts w:cs="Times New Roman"/>
          <w:noProof/>
          <w:lang w:val="sk-SK"/>
        </w:rPr>
        <w:t>informačnej bezpečnosti prostredníctvom vytvorenia kompetenčných centier pre vývoj riešení</w:t>
      </w:r>
      <w:r w:rsidR="00A75B3C" w:rsidRPr="003F23AC">
        <w:rPr>
          <w:rFonts w:cs="Times New Roman"/>
          <w:noProof/>
          <w:lang w:val="sk-SK"/>
        </w:rPr>
        <w:t xml:space="preserve"> v </w:t>
      </w:r>
      <w:r w:rsidRPr="003F23AC">
        <w:rPr>
          <w:rFonts w:cs="Times New Roman"/>
          <w:noProof/>
          <w:lang w:val="sk-SK"/>
        </w:rPr>
        <w:t>oblasti kybernetickej bezpečnosti pre MSP</w:t>
      </w:r>
      <w:r w:rsidR="00A75B3C" w:rsidRPr="003F23AC">
        <w:rPr>
          <w:rFonts w:cs="Times New Roman"/>
          <w:noProof/>
          <w:lang w:val="sk-SK"/>
        </w:rPr>
        <w:t xml:space="preserve"> a </w:t>
      </w:r>
      <w:r w:rsidRPr="003F23AC">
        <w:rPr>
          <w:rFonts w:cs="Times New Roman"/>
          <w:noProof/>
          <w:lang w:val="sk-SK"/>
        </w:rPr>
        <w:t>verejnú správu</w:t>
      </w:r>
      <w:r w:rsidR="00A75B3C" w:rsidRPr="003F23AC">
        <w:rPr>
          <w:rFonts w:cs="Times New Roman"/>
          <w:noProof/>
          <w:lang w:val="sk-SK"/>
        </w:rPr>
        <w:t>;</w:t>
      </w:r>
    </w:p>
    <w:p w14:paraId="4AA336A2" w14:textId="75891BD3" w:rsidR="00387C70" w:rsidRPr="003F23AC" w:rsidRDefault="000F5AA4" w:rsidP="003F23AC">
      <w:pPr>
        <w:pStyle w:val="P68B1DB1-Normal4"/>
        <w:numPr>
          <w:ilvl w:val="0"/>
          <w:numId w:val="35"/>
        </w:numPr>
        <w:spacing w:before="40" w:after="160" w:line="259" w:lineRule="auto"/>
        <w:contextualSpacing/>
        <w:jc w:val="both"/>
        <w:rPr>
          <w:rFonts w:eastAsiaTheme="minorEastAsia" w:cs="Times New Roman"/>
          <w:noProof/>
          <w:lang w:val="sk-SK"/>
        </w:rPr>
      </w:pPr>
      <w:r w:rsidRPr="003F23AC">
        <w:rPr>
          <w:rFonts w:cs="Times New Roman"/>
          <w:noProof/>
          <w:lang w:val="sk-SK"/>
        </w:rPr>
        <w:t>Zvýšiť bezpečnosť pri riadení životného cyklu informácií prostredníctvom rozvoja vnútroštátnej kryptografie</w:t>
      </w:r>
      <w:r w:rsidR="00A75B3C" w:rsidRPr="003F23AC">
        <w:rPr>
          <w:rFonts w:cs="Times New Roman"/>
          <w:noProof/>
          <w:lang w:val="sk-SK"/>
        </w:rPr>
        <w:t xml:space="preserve"> a </w:t>
      </w:r>
      <w:r w:rsidRPr="003F23AC">
        <w:rPr>
          <w:rFonts w:cs="Times New Roman"/>
          <w:noProof/>
          <w:lang w:val="sk-SK"/>
        </w:rPr>
        <w:t>kontroly utajovaných skutočností;</w:t>
      </w:r>
    </w:p>
    <w:p w14:paraId="7273D3F8" w14:textId="149A7270" w:rsidR="00387C70" w:rsidRPr="003F23AC" w:rsidRDefault="000F5AA4" w:rsidP="003F23AC">
      <w:pPr>
        <w:pStyle w:val="P68B1DB1-Normal4"/>
        <w:numPr>
          <w:ilvl w:val="0"/>
          <w:numId w:val="35"/>
        </w:numPr>
        <w:spacing w:before="40" w:after="160" w:line="259" w:lineRule="auto"/>
        <w:contextualSpacing/>
        <w:jc w:val="both"/>
        <w:rPr>
          <w:rFonts w:eastAsiaTheme="minorEastAsia" w:cs="Times New Roman"/>
          <w:noProof/>
          <w:lang w:val="sk-SK"/>
        </w:rPr>
      </w:pPr>
      <w:r w:rsidRPr="003F23AC">
        <w:rPr>
          <w:rFonts w:cs="Times New Roman"/>
          <w:noProof/>
          <w:lang w:val="sk-SK"/>
        </w:rPr>
        <w:t>Implementovať národný referenčný rámec kybernetickej bezpečnosti (podľa reformy TD-r34) vrátane akreditácie orgánov (v záujme zosúladenia</w:t>
      </w:r>
      <w:r w:rsidR="00A75B3C" w:rsidRPr="003F23AC">
        <w:rPr>
          <w:rFonts w:cs="Times New Roman"/>
          <w:noProof/>
          <w:lang w:val="sk-SK"/>
        </w:rPr>
        <w:t xml:space="preserve"> a </w:t>
      </w:r>
      <w:r w:rsidRPr="003F23AC">
        <w:rPr>
          <w:rFonts w:cs="Times New Roman"/>
          <w:noProof/>
          <w:lang w:val="sk-SK"/>
        </w:rPr>
        <w:t>využívania opatrení zahrnutých</w:t>
      </w:r>
      <w:r w:rsidR="00A75B3C" w:rsidRPr="003F23AC">
        <w:rPr>
          <w:rFonts w:cs="Times New Roman"/>
          <w:noProof/>
          <w:lang w:val="sk-SK"/>
        </w:rPr>
        <w:t xml:space="preserve"> v </w:t>
      </w:r>
      <w:r w:rsidRPr="003F23AC">
        <w:rPr>
          <w:rFonts w:cs="Times New Roman"/>
          <w:noProof/>
          <w:lang w:val="sk-SK"/>
        </w:rPr>
        <w:t>zložke 16);</w:t>
      </w:r>
      <w:r w:rsidR="00A75B3C" w:rsidRPr="003F23AC">
        <w:rPr>
          <w:rFonts w:cs="Times New Roman"/>
          <w:noProof/>
          <w:lang w:val="sk-SK"/>
        </w:rPr>
        <w:t xml:space="preserve"> a </w:t>
      </w:r>
      <w:r w:rsidRPr="003F23AC">
        <w:rPr>
          <w:rFonts w:cs="Times New Roman"/>
          <w:noProof/>
          <w:lang w:val="sk-SK"/>
        </w:rPr>
        <w:t>zároveň</w:t>
      </w:r>
    </w:p>
    <w:p w14:paraId="6097B93E" w14:textId="72622A11" w:rsidR="00387C70" w:rsidRPr="003F23AC" w:rsidRDefault="000F5AA4" w:rsidP="003F23AC">
      <w:pPr>
        <w:pStyle w:val="P68B1DB1-Normal4"/>
        <w:numPr>
          <w:ilvl w:val="0"/>
          <w:numId w:val="35"/>
        </w:numPr>
        <w:spacing w:before="40" w:after="160" w:line="259" w:lineRule="auto"/>
        <w:contextualSpacing/>
        <w:jc w:val="both"/>
        <w:rPr>
          <w:rFonts w:eastAsiaTheme="minorEastAsia" w:cs="Times New Roman"/>
          <w:noProof/>
          <w:lang w:val="sk-SK"/>
        </w:rPr>
      </w:pPr>
      <w:r w:rsidRPr="003F23AC">
        <w:rPr>
          <w:rFonts w:cs="Times New Roman"/>
          <w:noProof/>
          <w:lang w:val="sk-SK"/>
        </w:rPr>
        <w:t>Vytvoriť fyzické</w:t>
      </w:r>
      <w:r w:rsidR="00A75B3C" w:rsidRPr="003F23AC">
        <w:rPr>
          <w:rFonts w:cs="Times New Roman"/>
          <w:noProof/>
          <w:lang w:val="sk-SK"/>
        </w:rPr>
        <w:t xml:space="preserve"> a </w:t>
      </w:r>
      <w:r w:rsidRPr="003F23AC">
        <w:rPr>
          <w:rFonts w:cs="Times New Roman"/>
          <w:noProof/>
          <w:lang w:val="sk-SK"/>
        </w:rPr>
        <w:t>technologické podmienky na sfunkčnenie nového modelu koordinácie kybernetickej bezpečnosti</w:t>
      </w:r>
      <w:r w:rsidR="00A75B3C" w:rsidRPr="003F23AC">
        <w:rPr>
          <w:rFonts w:cs="Times New Roman"/>
          <w:noProof/>
          <w:lang w:val="sk-SK"/>
        </w:rPr>
        <w:t xml:space="preserve"> a </w:t>
      </w:r>
      <w:r w:rsidRPr="003F23AC">
        <w:rPr>
          <w:rFonts w:cs="Times New Roman"/>
          <w:noProof/>
          <w:lang w:val="sk-SK"/>
        </w:rPr>
        <w:t>informačnej bezpečnosti (s plnými právomocami príslušných nových orgánov).</w:t>
      </w:r>
    </w:p>
    <w:p w14:paraId="37AA6BF2" w14:textId="634AEF2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marca</w:t>
      </w:r>
      <w:r w:rsidRPr="003F23AC">
        <w:rPr>
          <w:rFonts w:cs="Times New Roman"/>
          <w:noProof/>
          <w:lang w:val="sk-SK"/>
        </w:rPr>
        <w:t xml:space="preserve"> 2026.</w:t>
      </w:r>
    </w:p>
    <w:p w14:paraId="58216DC1" w14:textId="77777777" w:rsidR="00A75B3C" w:rsidRPr="003F23AC" w:rsidRDefault="000F5AA4" w:rsidP="003F23AC">
      <w:pPr>
        <w:pStyle w:val="P68B1DB1-Normal5"/>
        <w:spacing w:before="240" w:after="0" w:line="259" w:lineRule="auto"/>
        <w:ind w:left="851"/>
        <w:jc w:val="both"/>
        <w:outlineLvl w:val="2"/>
        <w:rPr>
          <w:rFonts w:cs="Times New Roman"/>
          <w:noProof/>
          <w:lang w:val="sk-SK"/>
        </w:rPr>
      </w:pPr>
      <w:r w:rsidRPr="003F23AC">
        <w:rPr>
          <w:rFonts w:cs="Times New Roman"/>
          <w:noProof/>
          <w:lang w:val="sk-SK"/>
        </w:rPr>
        <w:t>TD-C19-i04: Efektívna, bezpečná</w:t>
      </w:r>
      <w:r w:rsidR="00A75B3C" w:rsidRPr="003F23AC">
        <w:rPr>
          <w:rFonts w:cs="Times New Roman"/>
          <w:noProof/>
          <w:lang w:val="sk-SK"/>
        </w:rPr>
        <w:t xml:space="preserve"> a </w:t>
      </w:r>
      <w:r w:rsidRPr="003F23AC">
        <w:rPr>
          <w:rFonts w:cs="Times New Roman"/>
          <w:noProof/>
          <w:lang w:val="sk-SK"/>
        </w:rPr>
        <w:t>spoločná kritická digitálna infraštruktúra</w:t>
      </w:r>
    </w:p>
    <w:p w14:paraId="2027F4C8" w14:textId="3D03DC26"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tejto investície je zvýšiť odolnosť kritických digitálnych infraštruktúr, konkrétne núdzových</w:t>
      </w:r>
      <w:r w:rsidR="00A75B3C" w:rsidRPr="003F23AC">
        <w:rPr>
          <w:rFonts w:cs="Times New Roman"/>
          <w:noProof/>
          <w:lang w:val="sk-SK"/>
        </w:rPr>
        <w:t xml:space="preserve"> a </w:t>
      </w:r>
      <w:r w:rsidRPr="003F23AC">
        <w:rPr>
          <w:rFonts w:cs="Times New Roman"/>
          <w:noProof/>
          <w:lang w:val="sk-SK"/>
        </w:rPr>
        <w:t>bezpečnostných komunikačných sietí, ako aj vládnej počítačovej siete (RING).</w:t>
      </w:r>
    </w:p>
    <w:p w14:paraId="37E654B4" w14:textId="26A93C54"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investícia sa zameria na sieť IT vlády, zlepší pokrytie</w:t>
      </w:r>
      <w:r w:rsidR="00A75B3C" w:rsidRPr="003F23AC">
        <w:rPr>
          <w:rFonts w:cs="Times New Roman"/>
          <w:noProof/>
          <w:lang w:val="sk-SK"/>
        </w:rPr>
        <w:t xml:space="preserve"> a </w:t>
      </w:r>
      <w:r w:rsidRPr="003F23AC">
        <w:rPr>
          <w:rFonts w:cs="Times New Roman"/>
          <w:noProof/>
          <w:lang w:val="sk-SK"/>
        </w:rPr>
        <w:t>kapacitu siete štátnej tiesňovej komunikácie</w:t>
      </w:r>
      <w:r w:rsidR="00A75B3C" w:rsidRPr="003F23AC">
        <w:rPr>
          <w:rFonts w:cs="Times New Roman"/>
          <w:noProof/>
          <w:lang w:val="sk-SK"/>
        </w:rPr>
        <w:t xml:space="preserve"> a </w:t>
      </w:r>
      <w:r w:rsidRPr="003F23AC">
        <w:rPr>
          <w:rFonts w:cs="Times New Roman"/>
          <w:noProof/>
          <w:lang w:val="sk-SK"/>
        </w:rPr>
        <w:t>národnej vnútornej bezpečnosti</w:t>
      </w:r>
      <w:r w:rsidR="00A75B3C" w:rsidRPr="003F23AC">
        <w:rPr>
          <w:rFonts w:cs="Times New Roman"/>
          <w:noProof/>
          <w:lang w:val="sk-SK"/>
        </w:rPr>
        <w:t xml:space="preserve"> a </w:t>
      </w:r>
      <w:r w:rsidRPr="003F23AC">
        <w:rPr>
          <w:rFonts w:cs="Times New Roman"/>
          <w:noProof/>
          <w:lang w:val="sk-SK"/>
        </w:rPr>
        <w:t>preskúma architektúru informačných systémov</w:t>
      </w:r>
      <w:r w:rsidR="00A75B3C" w:rsidRPr="003F23AC">
        <w:rPr>
          <w:rFonts w:cs="Times New Roman"/>
          <w:noProof/>
          <w:lang w:val="sk-SK"/>
        </w:rPr>
        <w:t xml:space="preserve"> a </w:t>
      </w:r>
      <w:r w:rsidRPr="003F23AC">
        <w:rPr>
          <w:rFonts w:cs="Times New Roman"/>
          <w:noProof/>
          <w:lang w:val="sk-SK"/>
        </w:rPr>
        <w:t>procesov bezpečnostných síl. Tieto informácie zahŕňajú:</w:t>
      </w:r>
    </w:p>
    <w:p w14:paraId="287F0FB1" w14:textId="07C4A5D3" w:rsidR="00A75B3C" w:rsidRPr="003F23AC" w:rsidRDefault="000F5AA4" w:rsidP="003F23AC">
      <w:pPr>
        <w:pStyle w:val="P68B1DB1-Normal4"/>
        <w:numPr>
          <w:ilvl w:val="0"/>
          <w:numId w:val="53"/>
        </w:numPr>
        <w:spacing w:before="40" w:after="160" w:line="259" w:lineRule="auto"/>
        <w:contextualSpacing/>
        <w:jc w:val="both"/>
        <w:rPr>
          <w:rFonts w:cs="Times New Roman"/>
          <w:noProof/>
          <w:lang w:val="sk-SK"/>
        </w:rPr>
      </w:pPr>
      <w:r w:rsidRPr="003F23AC">
        <w:rPr>
          <w:rFonts w:cs="Times New Roman"/>
          <w:noProof/>
          <w:lang w:val="sk-SK"/>
        </w:rPr>
        <w:t>Obnova technologických systémov pre riadenie</w:t>
      </w:r>
      <w:r w:rsidR="00A75B3C" w:rsidRPr="003F23AC">
        <w:rPr>
          <w:rFonts w:cs="Times New Roman"/>
          <w:noProof/>
          <w:lang w:val="sk-SK"/>
        </w:rPr>
        <w:t xml:space="preserve"> a </w:t>
      </w:r>
      <w:r w:rsidRPr="003F23AC">
        <w:rPr>
          <w:rFonts w:cs="Times New Roman"/>
          <w:noProof/>
          <w:lang w:val="sk-SK"/>
        </w:rPr>
        <w:t>kontrolu hraníc, policajnú</w:t>
      </w:r>
      <w:r w:rsidR="00A75B3C" w:rsidRPr="003F23AC">
        <w:rPr>
          <w:rFonts w:cs="Times New Roman"/>
          <w:noProof/>
          <w:lang w:val="sk-SK"/>
        </w:rPr>
        <w:t xml:space="preserve"> a </w:t>
      </w:r>
      <w:r w:rsidRPr="003F23AC">
        <w:rPr>
          <w:rFonts w:cs="Times New Roman"/>
          <w:noProof/>
          <w:lang w:val="sk-SK"/>
        </w:rPr>
        <w:t>justičnú spoluprácu</w:t>
      </w:r>
      <w:r w:rsidR="00A75B3C" w:rsidRPr="003F23AC">
        <w:rPr>
          <w:rFonts w:cs="Times New Roman"/>
          <w:noProof/>
          <w:lang w:val="sk-SK"/>
        </w:rPr>
        <w:t>;</w:t>
      </w:r>
    </w:p>
    <w:p w14:paraId="7CF7CCE5" w14:textId="0180E3F1" w:rsidR="00387C70" w:rsidRPr="003F23AC" w:rsidRDefault="000F5AA4" w:rsidP="003F23AC">
      <w:pPr>
        <w:pStyle w:val="P68B1DB1-Normal4"/>
        <w:numPr>
          <w:ilvl w:val="0"/>
          <w:numId w:val="53"/>
        </w:numPr>
        <w:spacing w:before="40" w:after="160" w:line="259" w:lineRule="auto"/>
        <w:contextualSpacing/>
        <w:jc w:val="both"/>
        <w:rPr>
          <w:rFonts w:eastAsiaTheme="minorEastAsia" w:cs="Times New Roman"/>
          <w:noProof/>
          <w:lang w:val="sk-SK"/>
        </w:rPr>
      </w:pPr>
      <w:r w:rsidRPr="003F23AC">
        <w:rPr>
          <w:rFonts w:cs="Times New Roman"/>
          <w:noProof/>
          <w:lang w:val="sk-SK"/>
        </w:rPr>
        <w:t>Projekt operačných centier 112 – aktualizácia</w:t>
      </w:r>
      <w:r w:rsidR="00A75B3C" w:rsidRPr="003F23AC">
        <w:rPr>
          <w:rFonts w:cs="Times New Roman"/>
          <w:noProof/>
          <w:lang w:val="sk-SK"/>
        </w:rPr>
        <w:t xml:space="preserve"> s </w:t>
      </w:r>
      <w:r w:rsidRPr="003F23AC">
        <w:rPr>
          <w:rFonts w:cs="Times New Roman"/>
          <w:noProof/>
          <w:lang w:val="sk-SK"/>
        </w:rPr>
        <w:t>cieľom zohľadniť nové normy (nová generácia 112),</w:t>
      </w:r>
    </w:p>
    <w:p w14:paraId="497C78A2" w14:textId="02D64E2A" w:rsidR="00387C70" w:rsidRPr="003F23AC" w:rsidRDefault="000F5AA4" w:rsidP="003F23AC">
      <w:pPr>
        <w:pStyle w:val="P68B1DB1-Normal4"/>
        <w:numPr>
          <w:ilvl w:val="0"/>
          <w:numId w:val="53"/>
        </w:numPr>
        <w:spacing w:before="40" w:after="160" w:line="259" w:lineRule="auto"/>
        <w:contextualSpacing/>
        <w:jc w:val="both"/>
        <w:rPr>
          <w:rFonts w:eastAsiaTheme="minorEastAsia" w:cs="Times New Roman"/>
          <w:noProof/>
          <w:lang w:val="sk-SK"/>
        </w:rPr>
      </w:pPr>
      <w:r w:rsidRPr="003F23AC">
        <w:rPr>
          <w:rFonts w:cs="Times New Roman"/>
          <w:noProof/>
          <w:lang w:val="sk-SK"/>
        </w:rPr>
        <w:t>Projekt národnej siete vnútornej bezpečnosti – primeranosť systémov IT architektúry</w:t>
      </w:r>
      <w:r w:rsidR="00A75B3C" w:rsidRPr="003F23AC">
        <w:rPr>
          <w:rFonts w:cs="Times New Roman"/>
          <w:noProof/>
          <w:lang w:val="sk-SK"/>
        </w:rPr>
        <w:t xml:space="preserve"> a </w:t>
      </w:r>
      <w:r w:rsidRPr="003F23AC">
        <w:rPr>
          <w:rFonts w:cs="Times New Roman"/>
          <w:noProof/>
          <w:lang w:val="sk-SK"/>
        </w:rPr>
        <w:t>technologických nástrojov</w:t>
      </w:r>
      <w:r w:rsidR="00A75B3C" w:rsidRPr="003F23AC">
        <w:rPr>
          <w:rFonts w:cs="Times New Roman"/>
          <w:noProof/>
          <w:lang w:val="sk-SK"/>
        </w:rPr>
        <w:t xml:space="preserve"> a </w:t>
      </w:r>
      <w:r w:rsidRPr="003F23AC">
        <w:rPr>
          <w:rFonts w:cs="Times New Roman"/>
          <w:noProof/>
          <w:lang w:val="sk-SK"/>
        </w:rPr>
        <w:t>vybudovanie</w:t>
      </w:r>
      <w:r w:rsidR="00A75B3C" w:rsidRPr="003F23AC">
        <w:rPr>
          <w:rFonts w:cs="Times New Roman"/>
          <w:noProof/>
          <w:lang w:val="sk-SK"/>
        </w:rPr>
        <w:t xml:space="preserve"> a </w:t>
      </w:r>
      <w:r w:rsidRPr="003F23AC">
        <w:rPr>
          <w:rFonts w:cs="Times New Roman"/>
          <w:noProof/>
          <w:lang w:val="sk-SK"/>
        </w:rPr>
        <w:t>sprevádzkovanie nového dátového centra;</w:t>
      </w:r>
    </w:p>
    <w:p w14:paraId="472CBA0A" w14:textId="67A21633" w:rsidR="00387C70" w:rsidRPr="003F23AC" w:rsidRDefault="000F5AA4" w:rsidP="003F23AC">
      <w:pPr>
        <w:pStyle w:val="P68B1DB1-Normal4"/>
        <w:numPr>
          <w:ilvl w:val="0"/>
          <w:numId w:val="53"/>
        </w:numPr>
        <w:spacing w:before="40" w:after="160" w:line="259" w:lineRule="auto"/>
        <w:contextualSpacing/>
        <w:jc w:val="both"/>
        <w:rPr>
          <w:rFonts w:eastAsiaTheme="minorEastAsia" w:cs="Times New Roman"/>
          <w:noProof/>
          <w:lang w:val="sk-SK"/>
        </w:rPr>
      </w:pPr>
      <w:r w:rsidRPr="003F23AC">
        <w:rPr>
          <w:rFonts w:cs="Times New Roman"/>
          <w:noProof/>
          <w:lang w:val="sk-SK"/>
        </w:rPr>
        <w:t>Projekt štátnej tiesňovej komunikačnej siete (SIRESP) – investícia zahŕňa podporu zmeny technológie pozemnej infraštruktúry SIRESP (backbone),</w:t>
      </w:r>
      <w:r w:rsidR="00A75B3C" w:rsidRPr="003F23AC">
        <w:rPr>
          <w:rFonts w:cs="Times New Roman"/>
          <w:noProof/>
          <w:lang w:val="sk-SK"/>
        </w:rPr>
        <w:t xml:space="preserve"> z </w:t>
      </w:r>
      <w:r w:rsidRPr="003F23AC">
        <w:rPr>
          <w:rFonts w:cs="Times New Roman"/>
          <w:noProof/>
          <w:lang w:val="sk-SK"/>
        </w:rPr>
        <w:t>E1 na IP (internetový protokol), vytvorenie Centra pre obnovu po havárii pre informačné systémy súvisiace so SIRESP, ako aj zavedenie hertzových lúčov</w:t>
      </w:r>
      <w:r w:rsidR="00A75B3C" w:rsidRPr="003F23AC">
        <w:rPr>
          <w:rFonts w:cs="Times New Roman"/>
          <w:noProof/>
          <w:lang w:val="sk-SK"/>
        </w:rPr>
        <w:t xml:space="preserve"> v </w:t>
      </w:r>
      <w:r w:rsidRPr="003F23AC">
        <w:rPr>
          <w:rFonts w:cs="Times New Roman"/>
          <w:noProof/>
          <w:lang w:val="sk-SK"/>
        </w:rPr>
        <w:t>niektorých sieťových lokalitách nahradením medených</w:t>
      </w:r>
      <w:r w:rsidR="00A75B3C" w:rsidRPr="003F23AC">
        <w:rPr>
          <w:rFonts w:cs="Times New Roman"/>
          <w:noProof/>
          <w:lang w:val="sk-SK"/>
        </w:rPr>
        <w:t xml:space="preserve"> a </w:t>
      </w:r>
      <w:r w:rsidRPr="003F23AC">
        <w:rPr>
          <w:rFonts w:cs="Times New Roman"/>
          <w:noProof/>
          <w:lang w:val="sk-SK"/>
        </w:rPr>
        <w:t>optických káblových pripojení</w:t>
      </w:r>
      <w:r w:rsidR="00A75B3C" w:rsidRPr="003F23AC">
        <w:rPr>
          <w:rFonts w:cs="Times New Roman"/>
          <w:noProof/>
          <w:lang w:val="sk-SK"/>
        </w:rPr>
        <w:t xml:space="preserve"> s </w:t>
      </w:r>
      <w:r w:rsidRPr="003F23AC">
        <w:rPr>
          <w:rFonts w:cs="Times New Roman"/>
          <w:noProof/>
          <w:lang w:val="sk-SK"/>
        </w:rPr>
        <w:t>cieľom zabezpečiť nadbytočný systém;</w:t>
      </w:r>
    </w:p>
    <w:p w14:paraId="19E9EDA6" w14:textId="112D4300" w:rsidR="00387C70" w:rsidRPr="003F23AC" w:rsidRDefault="000F5AA4" w:rsidP="003F23AC">
      <w:pPr>
        <w:pStyle w:val="P68B1DB1-Normal4"/>
        <w:numPr>
          <w:ilvl w:val="0"/>
          <w:numId w:val="53"/>
        </w:numPr>
        <w:spacing w:before="40" w:after="160" w:line="259" w:lineRule="auto"/>
        <w:contextualSpacing/>
        <w:jc w:val="both"/>
        <w:rPr>
          <w:rFonts w:eastAsiaTheme="minorEastAsia" w:cs="Times New Roman"/>
          <w:noProof/>
          <w:lang w:val="sk-SK"/>
        </w:rPr>
      </w:pPr>
      <w:r w:rsidRPr="003F23AC">
        <w:rPr>
          <w:rFonts w:cs="Times New Roman"/>
          <w:noProof/>
          <w:lang w:val="sk-SK"/>
        </w:rPr>
        <w:t>Zavedenie spoločných služieb</w:t>
      </w:r>
      <w:r w:rsidR="00A75B3C" w:rsidRPr="003F23AC">
        <w:rPr>
          <w:rFonts w:cs="Times New Roman"/>
          <w:noProof/>
          <w:lang w:val="sk-SK"/>
        </w:rPr>
        <w:t xml:space="preserve"> v </w:t>
      </w:r>
      <w:r w:rsidRPr="003F23AC">
        <w:rPr>
          <w:rFonts w:cs="Times New Roman"/>
          <w:noProof/>
          <w:lang w:val="sk-SK"/>
        </w:rPr>
        <w:t>bezpečnostných silách</w:t>
      </w:r>
      <w:r w:rsidR="00A75B3C" w:rsidRPr="003F23AC">
        <w:rPr>
          <w:rFonts w:cs="Times New Roman"/>
          <w:noProof/>
          <w:lang w:val="sk-SK"/>
        </w:rPr>
        <w:t xml:space="preserve"> a </w:t>
      </w:r>
      <w:r w:rsidRPr="003F23AC">
        <w:rPr>
          <w:rFonts w:cs="Times New Roman"/>
          <w:noProof/>
          <w:lang w:val="sk-SK"/>
        </w:rPr>
        <w:t>službách, odstránenie nadbytočnosti</w:t>
      </w:r>
      <w:r w:rsidR="00A75B3C" w:rsidRPr="003F23AC">
        <w:rPr>
          <w:rFonts w:cs="Times New Roman"/>
          <w:noProof/>
          <w:lang w:val="sk-SK"/>
        </w:rPr>
        <w:t xml:space="preserve"> v </w:t>
      </w:r>
      <w:r w:rsidRPr="003F23AC">
        <w:rPr>
          <w:rFonts w:cs="Times New Roman"/>
          <w:noProof/>
          <w:lang w:val="sk-SK"/>
        </w:rPr>
        <w:t>technických procesoch, vytvorenie spoločných systémov</w:t>
      </w:r>
      <w:r w:rsidR="00A75B3C" w:rsidRPr="003F23AC">
        <w:rPr>
          <w:rFonts w:cs="Times New Roman"/>
          <w:noProof/>
          <w:lang w:val="sk-SK"/>
        </w:rPr>
        <w:t xml:space="preserve"> a </w:t>
      </w:r>
      <w:r w:rsidRPr="003F23AC">
        <w:rPr>
          <w:rFonts w:cs="Times New Roman"/>
          <w:noProof/>
          <w:lang w:val="sk-SK"/>
        </w:rPr>
        <w:t>zníženie prevádzkových nákladov;</w:t>
      </w:r>
      <w:r w:rsidR="00A75B3C" w:rsidRPr="003F23AC">
        <w:rPr>
          <w:rFonts w:cs="Times New Roman"/>
          <w:noProof/>
          <w:lang w:val="sk-SK"/>
        </w:rPr>
        <w:t xml:space="preserve"> a </w:t>
      </w:r>
      <w:r w:rsidRPr="003F23AC">
        <w:rPr>
          <w:rFonts w:cs="Times New Roman"/>
          <w:noProof/>
          <w:lang w:val="sk-SK"/>
        </w:rPr>
        <w:t>zároveň</w:t>
      </w:r>
    </w:p>
    <w:p w14:paraId="3E4EAEE1" w14:textId="49484F7F" w:rsidR="00387C70" w:rsidRPr="003F23AC" w:rsidRDefault="000F5AA4" w:rsidP="003F23AC">
      <w:pPr>
        <w:pStyle w:val="P68B1DB1-Normal4"/>
        <w:numPr>
          <w:ilvl w:val="0"/>
          <w:numId w:val="53"/>
        </w:numPr>
        <w:spacing w:before="40" w:after="160" w:line="259" w:lineRule="auto"/>
        <w:contextualSpacing/>
        <w:jc w:val="both"/>
        <w:rPr>
          <w:rFonts w:eastAsiaTheme="minorEastAsia" w:cs="Times New Roman"/>
          <w:noProof/>
          <w:lang w:val="sk-SK"/>
        </w:rPr>
      </w:pPr>
      <w:r w:rsidRPr="003F23AC">
        <w:rPr>
          <w:rFonts w:cs="Times New Roman"/>
          <w:noProof/>
          <w:lang w:val="sk-SK"/>
        </w:rPr>
        <w:t>Okruh – obnovenie</w:t>
      </w:r>
      <w:r w:rsidR="00A75B3C" w:rsidRPr="003F23AC">
        <w:rPr>
          <w:rFonts w:cs="Times New Roman"/>
          <w:noProof/>
          <w:lang w:val="sk-SK"/>
        </w:rPr>
        <w:t xml:space="preserve"> a </w:t>
      </w:r>
      <w:r w:rsidRPr="003F23AC">
        <w:rPr>
          <w:rFonts w:cs="Times New Roman"/>
          <w:noProof/>
          <w:lang w:val="sk-SK"/>
        </w:rPr>
        <w:t>rozvoj technologickej infraštruktúry</w:t>
      </w:r>
      <w:r w:rsidR="00A75B3C" w:rsidRPr="003F23AC">
        <w:rPr>
          <w:rFonts w:cs="Times New Roman"/>
          <w:noProof/>
          <w:lang w:val="sk-SK"/>
        </w:rPr>
        <w:t xml:space="preserve"> a </w:t>
      </w:r>
      <w:r w:rsidRPr="003F23AC">
        <w:rPr>
          <w:rFonts w:cs="Times New Roman"/>
          <w:noProof/>
          <w:lang w:val="sk-SK"/>
        </w:rPr>
        <w:t>informačných systémov vládneho centra riadenia IT siete, odborná príprava zamestnancov, poskytovanie integrovaného multimediálneho systému</w:t>
      </w:r>
      <w:r w:rsidR="00A75B3C" w:rsidRPr="003F23AC">
        <w:rPr>
          <w:rFonts w:cs="Times New Roman"/>
          <w:noProof/>
          <w:lang w:val="sk-SK"/>
        </w:rPr>
        <w:t xml:space="preserve"> a </w:t>
      </w:r>
      <w:r w:rsidRPr="003F23AC">
        <w:rPr>
          <w:rFonts w:cs="Times New Roman"/>
          <w:noProof/>
          <w:lang w:val="sk-SK"/>
        </w:rPr>
        <w:t>bezpečné komunikačné systémy</w:t>
      </w:r>
      <w:r w:rsidR="00A75B3C" w:rsidRPr="003F23AC">
        <w:rPr>
          <w:rFonts w:cs="Times New Roman"/>
          <w:noProof/>
          <w:lang w:val="sk-SK"/>
        </w:rPr>
        <w:t xml:space="preserve"> a </w:t>
      </w:r>
      <w:r w:rsidRPr="003F23AC">
        <w:rPr>
          <w:rFonts w:cs="Times New Roman"/>
          <w:noProof/>
          <w:lang w:val="sk-SK"/>
        </w:rPr>
        <w:t>riadenie.</w:t>
      </w:r>
    </w:p>
    <w:p w14:paraId="6B97C2B4" w14:textId="6A15094F"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marca</w:t>
      </w:r>
      <w:r w:rsidRPr="003F23AC">
        <w:rPr>
          <w:rFonts w:cs="Times New Roman"/>
          <w:noProof/>
          <w:lang w:val="sk-SK"/>
        </w:rPr>
        <w:t xml:space="preserve"> 2026.</w:t>
      </w:r>
    </w:p>
    <w:p w14:paraId="5E3CB4DB" w14:textId="77777777" w:rsidR="00A75B3C" w:rsidRPr="003F23AC" w:rsidRDefault="000F5AA4" w:rsidP="003F23AC">
      <w:pPr>
        <w:pStyle w:val="P68B1DB1-Normal5"/>
        <w:spacing w:before="240" w:after="0" w:line="259" w:lineRule="auto"/>
        <w:ind w:left="851"/>
        <w:jc w:val="both"/>
        <w:outlineLvl w:val="2"/>
        <w:rPr>
          <w:rFonts w:cs="Times New Roman"/>
          <w:noProof/>
          <w:lang w:val="sk-SK"/>
        </w:rPr>
      </w:pPr>
      <w:r w:rsidRPr="003F23AC">
        <w:rPr>
          <w:rFonts w:cs="Times New Roman"/>
          <w:noProof/>
          <w:lang w:val="sk-SK"/>
        </w:rPr>
        <w:t>TD-C19-i05-RAM: Digitálna transformácia verejnej správy Madeiry</w:t>
      </w:r>
    </w:p>
    <w:p w14:paraId="75C1E037" w14:textId="157C57B0" w:rsidR="00A75B3C" w:rsidRPr="003F23AC" w:rsidRDefault="000F5AA4" w:rsidP="003F23AC">
      <w:pPr>
        <w:pStyle w:val="P68B1DB1-Normal4"/>
        <w:spacing w:before="40" w:after="0" w:line="22" w:lineRule="atLeast"/>
        <w:jc w:val="both"/>
        <w:rPr>
          <w:rFonts w:cs="Times New Roman"/>
          <w:noProof/>
          <w:lang w:val="sk-SK"/>
        </w:rPr>
      </w:pPr>
      <w:r w:rsidRPr="003F23AC">
        <w:rPr>
          <w:rFonts w:cs="Times New Roman"/>
          <w:noProof/>
          <w:lang w:val="sk-SK"/>
        </w:rPr>
        <w:t>Cieľom tejto investície je dosiahnuť odolnejšiu verejnú správu, ktorá sprístupní digitálne technológie na poskytovanie verejných služieb</w:t>
      </w:r>
      <w:r w:rsidR="00A75B3C" w:rsidRPr="003F23AC">
        <w:rPr>
          <w:rFonts w:cs="Times New Roman"/>
          <w:noProof/>
          <w:lang w:val="sk-SK"/>
        </w:rPr>
        <w:t>.</w:t>
      </w:r>
    </w:p>
    <w:p w14:paraId="62BFA60F" w14:textId="4A89A93B" w:rsidR="00387C70" w:rsidRPr="003F23AC" w:rsidRDefault="000F5AA4" w:rsidP="003F23AC">
      <w:pPr>
        <w:pStyle w:val="P68B1DB1-Normal4"/>
        <w:spacing w:after="160" w:line="22" w:lineRule="atLeast"/>
        <w:jc w:val="both"/>
        <w:rPr>
          <w:rFonts w:eastAsia="Times New Roman" w:cs="Times New Roman"/>
          <w:noProof/>
          <w:lang w:val="sk-SK"/>
        </w:rPr>
      </w:pPr>
      <w:r w:rsidRPr="003F23AC">
        <w:rPr>
          <w:rFonts w:cs="Times New Roman"/>
          <w:noProof/>
          <w:lang w:val="sk-SK"/>
        </w:rPr>
        <w:t>Tieto investície sa riadia prístupom prijatým</w:t>
      </w:r>
      <w:r w:rsidR="00A75B3C" w:rsidRPr="003F23AC">
        <w:rPr>
          <w:rFonts w:cs="Times New Roman"/>
          <w:noProof/>
          <w:lang w:val="sk-SK"/>
        </w:rPr>
        <w:t xml:space="preserve"> v </w:t>
      </w:r>
      <w:r w:rsidRPr="003F23AC">
        <w:rPr>
          <w:rFonts w:cs="Times New Roman"/>
          <w:noProof/>
          <w:lang w:val="sk-SK"/>
        </w:rPr>
        <w:t>investíciách TD-C19-i01 až i03</w:t>
      </w:r>
      <w:r w:rsidR="00A75B3C" w:rsidRPr="003F23AC">
        <w:rPr>
          <w:rFonts w:cs="Times New Roman"/>
          <w:noProof/>
          <w:lang w:val="sk-SK"/>
        </w:rPr>
        <w:t xml:space="preserve"> s </w:t>
      </w:r>
      <w:r w:rsidRPr="003F23AC">
        <w:rPr>
          <w:rFonts w:cs="Times New Roman"/>
          <w:noProof/>
          <w:lang w:val="sk-SK"/>
        </w:rPr>
        <w:t>cieľom modernizovať kritickú infraštruktúru</w:t>
      </w:r>
      <w:r w:rsidR="00A75B3C" w:rsidRPr="003F23AC">
        <w:rPr>
          <w:rFonts w:cs="Times New Roman"/>
          <w:noProof/>
          <w:lang w:val="sk-SK"/>
        </w:rPr>
        <w:t xml:space="preserve"> a </w:t>
      </w:r>
      <w:r w:rsidRPr="003F23AC">
        <w:rPr>
          <w:rFonts w:cs="Times New Roman"/>
          <w:noProof/>
          <w:lang w:val="sk-SK"/>
        </w:rPr>
        <w:t>architektúru IT, sprístupniť digitálne nástroje podľa potrieb verejnej správy</w:t>
      </w:r>
      <w:r w:rsidR="00A75B3C" w:rsidRPr="003F23AC">
        <w:rPr>
          <w:rFonts w:cs="Times New Roman"/>
          <w:noProof/>
          <w:lang w:val="sk-SK"/>
        </w:rPr>
        <w:t xml:space="preserve"> a </w:t>
      </w:r>
      <w:r w:rsidRPr="003F23AC">
        <w:rPr>
          <w:rFonts w:cs="Times New Roman"/>
          <w:noProof/>
          <w:lang w:val="sk-SK"/>
        </w:rPr>
        <w:t>občanov, zvyšovať úroveň zručností ľudských zdrojov (najmä</w:t>
      </w:r>
      <w:r w:rsidR="00A75B3C" w:rsidRPr="003F23AC">
        <w:rPr>
          <w:rFonts w:cs="Times New Roman"/>
          <w:noProof/>
          <w:lang w:val="sk-SK"/>
        </w:rPr>
        <w:t xml:space="preserve"> v </w:t>
      </w:r>
      <w:r w:rsidRPr="003F23AC">
        <w:rPr>
          <w:rFonts w:cs="Times New Roman"/>
          <w:noProof/>
          <w:lang w:val="sk-SK"/>
        </w:rPr>
        <w:t>oblasti digitálnych zručností), dostupnosti verejných služieb omnikanálu</w:t>
      </w:r>
      <w:r w:rsidR="00A75B3C" w:rsidRPr="003F23AC">
        <w:rPr>
          <w:rFonts w:cs="Times New Roman"/>
          <w:noProof/>
          <w:lang w:val="sk-SK"/>
        </w:rPr>
        <w:t xml:space="preserve"> a </w:t>
      </w:r>
      <w:r w:rsidRPr="003F23AC">
        <w:rPr>
          <w:rFonts w:cs="Times New Roman"/>
          <w:noProof/>
          <w:lang w:val="sk-SK"/>
        </w:rPr>
        <w:t>interoperability</w:t>
      </w:r>
      <w:r w:rsidR="00A75B3C" w:rsidRPr="003F23AC">
        <w:rPr>
          <w:rFonts w:cs="Times New Roman"/>
          <w:noProof/>
          <w:lang w:val="sk-SK"/>
        </w:rPr>
        <w:t xml:space="preserve"> a </w:t>
      </w:r>
      <w:r w:rsidRPr="003F23AC">
        <w:rPr>
          <w:rFonts w:cs="Times New Roman"/>
          <w:noProof/>
          <w:lang w:val="sk-SK"/>
        </w:rPr>
        <w:t>pripojiteľnosti. Toto opatrenie poskytne verejnej správe regiónu infraštruktúru, nástroje, interoperabilitu služieb</w:t>
      </w:r>
      <w:r w:rsidR="00A75B3C" w:rsidRPr="003F23AC">
        <w:rPr>
          <w:rFonts w:cs="Times New Roman"/>
          <w:noProof/>
          <w:lang w:val="sk-SK"/>
        </w:rPr>
        <w:t xml:space="preserve"> a </w:t>
      </w:r>
      <w:r w:rsidRPr="003F23AC">
        <w:rPr>
          <w:rFonts w:cs="Times New Roman"/>
          <w:noProof/>
          <w:lang w:val="sk-SK"/>
        </w:rPr>
        <w:t>know-how na zabezpečenie poskytovania digitálnych verejných služieb.</w:t>
      </w:r>
      <w:r w:rsidR="00A75B3C" w:rsidRPr="003F23AC">
        <w:rPr>
          <w:rFonts w:cs="Times New Roman"/>
          <w:noProof/>
          <w:lang w:val="sk-SK"/>
        </w:rPr>
        <w:t xml:space="preserve"> V </w:t>
      </w:r>
      <w:r w:rsidRPr="003F23AC">
        <w:rPr>
          <w:rFonts w:cs="Times New Roman"/>
          <w:noProof/>
          <w:lang w:val="sk-SK"/>
        </w:rPr>
        <w:t>rámci opatrenia sa vypracuje aj centralizované riešenie správy údajov.</w:t>
      </w:r>
    </w:p>
    <w:p w14:paraId="647A856E" w14:textId="706FB70C"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tejto investície sa dokončí do 30</w:t>
      </w:r>
      <w:r w:rsidR="00A75B3C" w:rsidRPr="003F23AC">
        <w:rPr>
          <w:rFonts w:cs="Times New Roman"/>
          <w:noProof/>
          <w:lang w:val="sk-SK"/>
        </w:rPr>
        <w:t>. júna</w:t>
      </w:r>
      <w:r w:rsidRPr="003F23AC">
        <w:rPr>
          <w:rFonts w:cs="Times New Roman"/>
          <w:noProof/>
          <w:lang w:val="sk-SK"/>
        </w:rPr>
        <w:t xml:space="preserve"> 2025.</w:t>
      </w:r>
    </w:p>
    <w:p w14:paraId="5EFB52B2" w14:textId="77777777" w:rsidR="00A75B3C" w:rsidRPr="003F23AC" w:rsidRDefault="000F5AA4" w:rsidP="003F23AC">
      <w:pPr>
        <w:pStyle w:val="P68B1DB1-Normal5"/>
        <w:spacing w:before="240" w:after="0" w:line="259" w:lineRule="auto"/>
        <w:ind w:left="851"/>
        <w:jc w:val="both"/>
        <w:outlineLvl w:val="2"/>
        <w:rPr>
          <w:rFonts w:cs="Times New Roman"/>
          <w:noProof/>
          <w:lang w:val="sk-SK"/>
        </w:rPr>
      </w:pPr>
      <w:r w:rsidRPr="003F23AC">
        <w:rPr>
          <w:rFonts w:cs="Times New Roman"/>
          <w:noProof/>
          <w:lang w:val="sk-SK"/>
        </w:rPr>
        <w:t>TD-C19 – i06-RAA: Digitálna transformácia verejnej správy na Azorách</w:t>
      </w:r>
    </w:p>
    <w:p w14:paraId="660DD307" w14:textId="59F31F0E"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tejto investície je podporiť digitálnu transformáciu verejného sektora</w:t>
      </w:r>
      <w:r w:rsidR="00A75B3C" w:rsidRPr="003F23AC">
        <w:rPr>
          <w:rFonts w:cs="Times New Roman"/>
          <w:noProof/>
          <w:lang w:val="sk-SK"/>
        </w:rPr>
        <w:t xml:space="preserve"> a </w:t>
      </w:r>
      <w:r w:rsidRPr="003F23AC">
        <w:rPr>
          <w:rFonts w:cs="Times New Roman"/>
          <w:noProof/>
          <w:lang w:val="sk-SK"/>
        </w:rPr>
        <w:t>znížiť administratívnu záťaž</w:t>
      </w:r>
      <w:r w:rsidR="00A75B3C" w:rsidRPr="003F23AC">
        <w:rPr>
          <w:rFonts w:cs="Times New Roman"/>
          <w:noProof/>
          <w:lang w:val="sk-SK"/>
        </w:rPr>
        <w:t xml:space="preserve"> s </w:t>
      </w:r>
      <w:r w:rsidRPr="003F23AC">
        <w:rPr>
          <w:rFonts w:cs="Times New Roman"/>
          <w:noProof/>
          <w:lang w:val="sk-SK"/>
        </w:rPr>
        <w:t>cieľom poskytovať občanom</w:t>
      </w:r>
      <w:r w:rsidR="00A75B3C" w:rsidRPr="003F23AC">
        <w:rPr>
          <w:rFonts w:cs="Times New Roman"/>
          <w:noProof/>
          <w:lang w:val="sk-SK"/>
        </w:rPr>
        <w:t xml:space="preserve"> a </w:t>
      </w:r>
      <w:r w:rsidRPr="003F23AC">
        <w:rPr>
          <w:rFonts w:cs="Times New Roman"/>
          <w:noProof/>
          <w:lang w:val="sk-SK"/>
        </w:rPr>
        <w:t>podnikom lepšiu verejnú službu.</w:t>
      </w:r>
    </w:p>
    <w:p w14:paraId="3B659374" w14:textId="68C9956F"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Týmto opatrením sa podporuje digitálna transformácia verejnej služby,</w:t>
      </w:r>
      <w:r w:rsidR="00A75B3C" w:rsidRPr="003F23AC">
        <w:rPr>
          <w:rFonts w:cs="Times New Roman"/>
          <w:noProof/>
          <w:lang w:val="sk-SK"/>
        </w:rPr>
        <w:t xml:space="preserve"> a </w:t>
      </w:r>
      <w:r w:rsidRPr="003F23AC">
        <w:rPr>
          <w:rFonts w:cs="Times New Roman"/>
          <w:noProof/>
          <w:lang w:val="sk-SK"/>
        </w:rPr>
        <w:t>to aj</w:t>
      </w:r>
      <w:r w:rsidR="00A75B3C" w:rsidRPr="003F23AC">
        <w:rPr>
          <w:rFonts w:cs="Times New Roman"/>
          <w:noProof/>
          <w:lang w:val="sk-SK"/>
        </w:rPr>
        <w:t xml:space="preserve"> v </w:t>
      </w:r>
      <w:r w:rsidRPr="003F23AC">
        <w:rPr>
          <w:rFonts w:cs="Times New Roman"/>
          <w:noProof/>
          <w:lang w:val="sk-SK"/>
        </w:rPr>
        <w:t>rámci omnicannelového prístupu, pričom sa opiera</w:t>
      </w:r>
      <w:r w:rsidR="00A75B3C" w:rsidRPr="003F23AC">
        <w:rPr>
          <w:rFonts w:cs="Times New Roman"/>
          <w:noProof/>
          <w:lang w:val="sk-SK"/>
        </w:rPr>
        <w:t xml:space="preserve"> o </w:t>
      </w:r>
      <w:r w:rsidRPr="003F23AC">
        <w:rPr>
          <w:rFonts w:cs="Times New Roman"/>
          <w:noProof/>
          <w:lang w:val="sk-SK"/>
        </w:rPr>
        <w:t>interoperabilné digitálne služby, pri ktorých sú transakčné služby dostupné online. Prepracuje verejnú službu tak, aby umožňovala jednoduchšie</w:t>
      </w:r>
      <w:r w:rsidR="00A75B3C" w:rsidRPr="003F23AC">
        <w:rPr>
          <w:rFonts w:cs="Times New Roman"/>
          <w:noProof/>
          <w:lang w:val="sk-SK"/>
        </w:rPr>
        <w:t xml:space="preserve"> a </w:t>
      </w:r>
      <w:r w:rsidRPr="003F23AC">
        <w:rPr>
          <w:rFonts w:cs="Times New Roman"/>
          <w:noProof/>
          <w:lang w:val="sk-SK"/>
        </w:rPr>
        <w:t>pružnejšie služby,</w:t>
      </w:r>
      <w:r w:rsidR="00A75B3C" w:rsidRPr="003F23AC">
        <w:rPr>
          <w:rFonts w:cs="Times New Roman"/>
          <w:noProof/>
          <w:lang w:val="sk-SK"/>
        </w:rPr>
        <w:t xml:space="preserve"> a </w:t>
      </w:r>
      <w:r w:rsidRPr="003F23AC">
        <w:rPr>
          <w:rFonts w:cs="Times New Roman"/>
          <w:noProof/>
          <w:lang w:val="sk-SK"/>
        </w:rPr>
        <w:t>zlepšuje technologické podmienky na dematerializáciu pracovných miest vo verejnej službe,</w:t>
      </w:r>
      <w:r w:rsidR="00A75B3C" w:rsidRPr="003F23AC">
        <w:rPr>
          <w:rFonts w:cs="Times New Roman"/>
          <w:noProof/>
          <w:lang w:val="sk-SK"/>
        </w:rPr>
        <w:t xml:space="preserve"> a </w:t>
      </w:r>
      <w:r w:rsidRPr="003F23AC">
        <w:rPr>
          <w:rFonts w:cs="Times New Roman"/>
          <w:noProof/>
          <w:lang w:val="sk-SK"/>
        </w:rPr>
        <w:t>to zabezpečením virtuálneho pracovného prostredia</w:t>
      </w:r>
      <w:r w:rsidR="00A75B3C" w:rsidRPr="003F23AC">
        <w:rPr>
          <w:rFonts w:cs="Times New Roman"/>
          <w:noProof/>
          <w:lang w:val="sk-SK"/>
        </w:rPr>
        <w:t xml:space="preserve"> a </w:t>
      </w:r>
      <w:r w:rsidRPr="003F23AC">
        <w:rPr>
          <w:rFonts w:cs="Times New Roman"/>
          <w:noProof/>
          <w:lang w:val="sk-SK"/>
        </w:rPr>
        <w:t>odbornej prípravy zamestnancov (ako sú digitálne zručnosti, riadenie</w:t>
      </w:r>
      <w:r w:rsidR="00A75B3C" w:rsidRPr="003F23AC">
        <w:rPr>
          <w:rFonts w:cs="Times New Roman"/>
          <w:noProof/>
          <w:lang w:val="sk-SK"/>
        </w:rPr>
        <w:t xml:space="preserve"> a </w:t>
      </w:r>
      <w:r w:rsidRPr="003F23AC">
        <w:rPr>
          <w:rFonts w:cs="Times New Roman"/>
          <w:noProof/>
          <w:lang w:val="sk-SK"/>
        </w:rPr>
        <w:t>spolupráca). Na zaistenie bezpečnosti údajov sa zriadi operačné centrum kybernetickej bezpečnosti.</w:t>
      </w:r>
    </w:p>
    <w:p w14:paraId="42D68FCC" w14:textId="0FEB11C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3C5769F7" w14:textId="0DEDB6B5"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TD-C19-i07: Verejná správa</w:t>
      </w:r>
      <w:r w:rsidR="00A75B3C" w:rsidRPr="003F23AC">
        <w:rPr>
          <w:rFonts w:cs="Times New Roman"/>
          <w:noProof/>
          <w:lang w:val="sk-SK"/>
        </w:rPr>
        <w:t xml:space="preserve"> s </w:t>
      </w:r>
      <w:r w:rsidRPr="003F23AC">
        <w:rPr>
          <w:rFonts w:cs="Times New Roman"/>
          <w:noProof/>
          <w:lang w:val="sk-SK"/>
        </w:rPr>
        <w:t>právomocou vytvárať verejnú hodnotu</w:t>
      </w:r>
    </w:p>
    <w:p w14:paraId="0088EEF1" w14:textId="1A3B9D23"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tejto investície je zabezpečiť, aby verejná služba mala potrebné know-how, najmä pokiaľ ide</w:t>
      </w:r>
      <w:r w:rsidR="00A75B3C" w:rsidRPr="003F23AC">
        <w:rPr>
          <w:rFonts w:cs="Times New Roman"/>
          <w:noProof/>
          <w:lang w:val="sk-SK"/>
        </w:rPr>
        <w:t xml:space="preserve"> o </w:t>
      </w:r>
      <w:r w:rsidRPr="003F23AC">
        <w:rPr>
          <w:rFonts w:cs="Times New Roman"/>
          <w:noProof/>
          <w:lang w:val="sk-SK"/>
        </w:rPr>
        <w:t>manažérske zručnosti</w:t>
      </w:r>
      <w:r w:rsidR="00A75B3C" w:rsidRPr="003F23AC">
        <w:rPr>
          <w:rFonts w:cs="Times New Roman"/>
          <w:noProof/>
          <w:lang w:val="sk-SK"/>
        </w:rPr>
        <w:t xml:space="preserve"> a </w:t>
      </w:r>
      <w:r w:rsidRPr="003F23AC">
        <w:rPr>
          <w:rFonts w:cs="Times New Roman"/>
          <w:noProof/>
          <w:lang w:val="sk-SK"/>
        </w:rPr>
        <w:t>technológie, na poskytovanie kvalitných služieb verejnosti.</w:t>
      </w:r>
    </w:p>
    <w:p w14:paraId="20434E99" w14:textId="1A85A1FF"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tejto investície je rozvíjať ponuku odbornej prípravy pre pracovníkov</w:t>
      </w:r>
      <w:r w:rsidR="00A75B3C" w:rsidRPr="003F23AC">
        <w:rPr>
          <w:rFonts w:cs="Times New Roman"/>
          <w:noProof/>
          <w:lang w:val="sk-SK"/>
        </w:rPr>
        <w:t xml:space="preserve"> a </w:t>
      </w:r>
      <w:r w:rsidRPr="003F23AC">
        <w:rPr>
          <w:rFonts w:cs="Times New Roman"/>
          <w:noProof/>
          <w:lang w:val="sk-SK"/>
        </w:rPr>
        <w:t>manažérov vo verejnej správe, podporovať prilákanie talentov prostredníctvom ponuky programov stáží</w:t>
      </w:r>
      <w:r w:rsidR="00A75B3C" w:rsidRPr="003F23AC">
        <w:rPr>
          <w:rFonts w:cs="Times New Roman"/>
          <w:noProof/>
          <w:lang w:val="sk-SK"/>
        </w:rPr>
        <w:t xml:space="preserve"> a </w:t>
      </w:r>
      <w:r w:rsidRPr="003F23AC">
        <w:rPr>
          <w:rFonts w:cs="Times New Roman"/>
          <w:noProof/>
          <w:lang w:val="sk-SK"/>
        </w:rPr>
        <w:t>podporovať prácu na diaľku. Zahŕňa najmä programy umožňujúce digitálne technológie, vyššiu</w:t>
      </w:r>
      <w:r w:rsidR="00A75B3C" w:rsidRPr="003F23AC">
        <w:rPr>
          <w:rFonts w:cs="Times New Roman"/>
          <w:noProof/>
          <w:lang w:val="sk-SK"/>
        </w:rPr>
        <w:t xml:space="preserve"> a </w:t>
      </w:r>
      <w:r w:rsidRPr="003F23AC">
        <w:rPr>
          <w:rFonts w:cs="Times New Roman"/>
          <w:noProof/>
          <w:lang w:val="sk-SK"/>
        </w:rPr>
        <w:t>pokročilú odbornú prípravu</w:t>
      </w:r>
      <w:r w:rsidR="00A75B3C" w:rsidRPr="003F23AC">
        <w:rPr>
          <w:rFonts w:cs="Times New Roman"/>
          <w:noProof/>
          <w:lang w:val="sk-SK"/>
        </w:rPr>
        <w:t xml:space="preserve"> v </w:t>
      </w:r>
      <w:r w:rsidRPr="003F23AC">
        <w:rPr>
          <w:rFonts w:cs="Times New Roman"/>
          <w:noProof/>
          <w:lang w:val="sk-SK"/>
        </w:rPr>
        <w:t>oblasti riadenia</w:t>
      </w:r>
      <w:r w:rsidR="00A75B3C" w:rsidRPr="003F23AC">
        <w:rPr>
          <w:rFonts w:cs="Times New Roman"/>
          <w:noProof/>
          <w:lang w:val="sk-SK"/>
        </w:rPr>
        <w:t xml:space="preserve"> a </w:t>
      </w:r>
      <w:r w:rsidRPr="003F23AC">
        <w:rPr>
          <w:rFonts w:cs="Times New Roman"/>
          <w:noProof/>
          <w:lang w:val="sk-SK"/>
        </w:rPr>
        <w:t>všeobecnú odbornú prípravu</w:t>
      </w:r>
      <w:r w:rsidR="00A75B3C" w:rsidRPr="003F23AC">
        <w:rPr>
          <w:rFonts w:cs="Times New Roman"/>
          <w:noProof/>
          <w:lang w:val="sk-SK"/>
        </w:rPr>
        <w:t xml:space="preserve"> a </w:t>
      </w:r>
      <w:r w:rsidRPr="003F23AC">
        <w:rPr>
          <w:rFonts w:cs="Times New Roman"/>
          <w:noProof/>
          <w:lang w:val="sk-SK"/>
        </w:rPr>
        <w:t>zvyšovanie úrovne zručností štátnych zamestnancov.</w:t>
      </w:r>
    </w:p>
    <w:p w14:paraId="512AFC27" w14:textId="5AC7416D"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Toto opatrenie zahŕňa aj vytvorenie kompetenčného centra pre plánovanie, politiku</w:t>
      </w:r>
      <w:r w:rsidR="00A75B3C" w:rsidRPr="003F23AC">
        <w:rPr>
          <w:rFonts w:cs="Times New Roman"/>
          <w:noProof/>
          <w:lang w:val="sk-SK"/>
        </w:rPr>
        <w:t xml:space="preserve"> a </w:t>
      </w:r>
      <w:r w:rsidRPr="003F23AC">
        <w:rPr>
          <w:rFonts w:cs="Times New Roman"/>
          <w:noProof/>
          <w:lang w:val="sk-SK"/>
        </w:rPr>
        <w:t>prognózu vo verejnej správe, ktoré je relevantné pre posilnenie kapacít na podporu vymedzenia</w:t>
      </w:r>
      <w:r w:rsidR="00A75B3C" w:rsidRPr="003F23AC">
        <w:rPr>
          <w:rFonts w:cs="Times New Roman"/>
          <w:noProof/>
          <w:lang w:val="sk-SK"/>
        </w:rPr>
        <w:t xml:space="preserve"> a </w:t>
      </w:r>
      <w:r w:rsidRPr="003F23AC">
        <w:rPr>
          <w:rFonts w:cs="Times New Roman"/>
          <w:noProof/>
          <w:lang w:val="sk-SK"/>
        </w:rPr>
        <w:t>vykonávania verejných politík, hodnotenia politík</w:t>
      </w:r>
      <w:r w:rsidR="00A75B3C" w:rsidRPr="003F23AC">
        <w:rPr>
          <w:rFonts w:cs="Times New Roman"/>
          <w:noProof/>
          <w:lang w:val="sk-SK"/>
        </w:rPr>
        <w:t xml:space="preserve"> a </w:t>
      </w:r>
      <w:r w:rsidRPr="003F23AC">
        <w:rPr>
          <w:rFonts w:cs="Times New Roman"/>
          <w:noProof/>
          <w:lang w:val="sk-SK"/>
        </w:rPr>
        <w:t>prognózy.</w:t>
      </w:r>
    </w:p>
    <w:p w14:paraId="79184ED3" w14:textId="1B95E814"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Okrem toho, ako sa uvádza</w:t>
      </w:r>
      <w:r w:rsidR="00A75B3C" w:rsidRPr="003F23AC">
        <w:rPr>
          <w:rFonts w:cs="Times New Roman"/>
          <w:noProof/>
          <w:lang w:val="sk-SK"/>
        </w:rPr>
        <w:t xml:space="preserve"> v </w:t>
      </w:r>
      <w:r w:rsidRPr="003F23AC">
        <w:rPr>
          <w:rFonts w:cs="Times New Roman"/>
          <w:noProof/>
          <w:lang w:val="sk-SK"/>
        </w:rPr>
        <w:t>reforme TD-r35,</w:t>
      </w:r>
      <w:r w:rsidR="00A75B3C" w:rsidRPr="003F23AC">
        <w:rPr>
          <w:rFonts w:cs="Times New Roman"/>
          <w:noProof/>
          <w:lang w:val="sk-SK"/>
        </w:rPr>
        <w:t xml:space="preserve"> v </w:t>
      </w:r>
      <w:r w:rsidRPr="003F23AC">
        <w:rPr>
          <w:rFonts w:cs="Times New Roman"/>
          <w:noProof/>
          <w:lang w:val="sk-SK"/>
        </w:rPr>
        <w:t>rámci tejto investície sa vytvorí štruktúra misie na podporu reorganizácie verejných služieb.</w:t>
      </w:r>
    </w:p>
    <w:p w14:paraId="3494F754" w14:textId="2A78D1BB"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marca</w:t>
      </w:r>
      <w:r w:rsidRPr="003F23AC">
        <w:rPr>
          <w:rFonts w:cs="Times New Roman"/>
          <w:noProof/>
          <w:lang w:val="sk-SK"/>
        </w:rPr>
        <w:t xml:space="preserve"> 2026.</w:t>
      </w:r>
    </w:p>
    <w:p w14:paraId="2653B2F9" w14:textId="77777777" w:rsidR="00A75B3C" w:rsidRPr="003F23AC" w:rsidRDefault="000F5AA4" w:rsidP="003F23AC">
      <w:pPr>
        <w:pStyle w:val="P68B1DB1-Normal5"/>
        <w:spacing w:before="240" w:after="0" w:line="259" w:lineRule="auto"/>
        <w:ind w:left="851"/>
        <w:jc w:val="both"/>
        <w:outlineLvl w:val="2"/>
        <w:rPr>
          <w:rFonts w:cs="Times New Roman"/>
          <w:noProof/>
          <w:lang w:val="sk-SK"/>
        </w:rPr>
      </w:pPr>
      <w:r w:rsidRPr="003F23AC">
        <w:rPr>
          <w:rFonts w:cs="Times New Roman"/>
          <w:noProof/>
          <w:lang w:val="sk-SK"/>
        </w:rPr>
        <w:t>Reforma TD-C19-r41: Prístup</w:t>
      </w:r>
      <w:r w:rsidR="00A75B3C" w:rsidRPr="003F23AC">
        <w:rPr>
          <w:rFonts w:cs="Times New Roman"/>
          <w:noProof/>
          <w:lang w:val="sk-SK"/>
        </w:rPr>
        <w:t xml:space="preserve"> k </w:t>
      </w:r>
      <w:r w:rsidRPr="003F23AC">
        <w:rPr>
          <w:rFonts w:cs="Times New Roman"/>
          <w:noProof/>
          <w:lang w:val="sk-SK"/>
        </w:rPr>
        <w:t>verejným službám: harmonizovať</w:t>
      </w:r>
      <w:r w:rsidR="00A75B3C" w:rsidRPr="003F23AC">
        <w:rPr>
          <w:rFonts w:cs="Times New Roman"/>
          <w:noProof/>
          <w:lang w:val="sk-SK"/>
        </w:rPr>
        <w:t xml:space="preserve"> a </w:t>
      </w:r>
      <w:r w:rsidRPr="003F23AC">
        <w:rPr>
          <w:rFonts w:cs="Times New Roman"/>
          <w:noProof/>
          <w:lang w:val="sk-SK"/>
        </w:rPr>
        <w:t>konsolidovať osobný</w:t>
      </w:r>
      <w:r w:rsidR="00A75B3C" w:rsidRPr="003F23AC">
        <w:rPr>
          <w:rFonts w:cs="Times New Roman"/>
          <w:noProof/>
          <w:lang w:val="sk-SK"/>
        </w:rPr>
        <w:t xml:space="preserve"> a </w:t>
      </w:r>
      <w:r w:rsidRPr="003F23AC">
        <w:rPr>
          <w:rFonts w:cs="Times New Roman"/>
          <w:noProof/>
          <w:lang w:val="sk-SK"/>
        </w:rPr>
        <w:t>online prístup</w:t>
      </w:r>
    </w:p>
    <w:p w14:paraId="517E3879" w14:textId="6AA0651B"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reformy je prehĺbiť digitálnu transformáciu verejnej správy</w:t>
      </w:r>
      <w:r w:rsidR="00A75B3C" w:rsidRPr="003F23AC">
        <w:rPr>
          <w:rFonts w:cs="Times New Roman"/>
          <w:noProof/>
          <w:lang w:val="sk-SK"/>
        </w:rPr>
        <w:t xml:space="preserve"> a </w:t>
      </w:r>
      <w:r w:rsidRPr="003F23AC">
        <w:rPr>
          <w:rFonts w:cs="Times New Roman"/>
          <w:noProof/>
          <w:lang w:val="sk-SK"/>
        </w:rPr>
        <w:t>využiť nové technológie na transformáciu súčasného modelu verejných služieb</w:t>
      </w:r>
      <w:r w:rsidR="00A75B3C" w:rsidRPr="003F23AC">
        <w:rPr>
          <w:rFonts w:cs="Times New Roman"/>
          <w:noProof/>
          <w:lang w:val="sk-SK"/>
        </w:rPr>
        <w:t>.</w:t>
      </w:r>
    </w:p>
    <w:p w14:paraId="13C6A2E3" w14:textId="18D0832E" w:rsidR="00387C70" w:rsidRPr="003F23AC" w:rsidRDefault="000F5AA4" w:rsidP="003F23AC">
      <w:pPr>
        <w:pStyle w:val="P68B1DB1-Normal4"/>
        <w:spacing w:before="40" w:after="0" w:line="259" w:lineRule="auto"/>
        <w:jc w:val="both"/>
        <w:rPr>
          <w:rFonts w:eastAsia="@MS Mincho" w:cs="Times New Roman"/>
          <w:noProof/>
          <w:lang w:val="sk-SK"/>
        </w:rPr>
      </w:pPr>
      <w:r w:rsidRPr="003F23AC">
        <w:rPr>
          <w:rFonts w:cs="Times New Roman"/>
          <w:noProof/>
          <w:lang w:val="sk-SK"/>
        </w:rPr>
        <w:t>Reforma spočíva</w:t>
      </w:r>
      <w:r w:rsidR="00A75B3C" w:rsidRPr="003F23AC">
        <w:rPr>
          <w:rFonts w:cs="Times New Roman"/>
          <w:noProof/>
          <w:lang w:val="sk-SK"/>
        </w:rPr>
        <w:t xml:space="preserve"> v </w:t>
      </w:r>
      <w:r w:rsidRPr="003F23AC">
        <w:rPr>
          <w:rFonts w:cs="Times New Roman"/>
          <w:noProof/>
          <w:lang w:val="sk-SK"/>
        </w:rPr>
        <w:t>nadobudnutí účinnosti legislatívneho aktu, ktorým sa harmonizujú</w:t>
      </w:r>
      <w:r w:rsidR="00A75B3C" w:rsidRPr="003F23AC">
        <w:rPr>
          <w:rFonts w:cs="Times New Roman"/>
          <w:noProof/>
          <w:lang w:val="sk-SK"/>
        </w:rPr>
        <w:t xml:space="preserve"> a </w:t>
      </w:r>
      <w:r w:rsidRPr="003F23AC">
        <w:rPr>
          <w:rFonts w:cs="Times New Roman"/>
          <w:noProof/>
          <w:lang w:val="sk-SK"/>
        </w:rPr>
        <w:t>konsolidujú pravidlá týkajúce sa osobného</w:t>
      </w:r>
      <w:r w:rsidR="00A75B3C" w:rsidRPr="003F23AC">
        <w:rPr>
          <w:rFonts w:cs="Times New Roman"/>
          <w:noProof/>
          <w:lang w:val="sk-SK"/>
        </w:rPr>
        <w:t xml:space="preserve"> a </w:t>
      </w:r>
      <w:r w:rsidRPr="003F23AC">
        <w:rPr>
          <w:rFonts w:cs="Times New Roman"/>
          <w:noProof/>
          <w:lang w:val="sk-SK"/>
        </w:rPr>
        <w:t>diaľkového prístupu</w:t>
      </w:r>
      <w:r w:rsidR="00A75B3C" w:rsidRPr="003F23AC">
        <w:rPr>
          <w:rFonts w:cs="Times New Roman"/>
          <w:noProof/>
          <w:lang w:val="sk-SK"/>
        </w:rPr>
        <w:t xml:space="preserve"> k </w:t>
      </w:r>
      <w:r w:rsidRPr="003F23AC">
        <w:rPr>
          <w:rFonts w:cs="Times New Roman"/>
          <w:noProof/>
          <w:lang w:val="sk-SK"/>
        </w:rPr>
        <w:t>verejným službám (online, prostredníctvom aplikácie, telefonicky). Týmto legislatívnym aktom sa tiež rozšíri počet verejných služieb dostupných na jednotnom portáli verejných služieb.</w:t>
      </w:r>
    </w:p>
    <w:p w14:paraId="46639889" w14:textId="79EEACAE"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reformy sa dokončí do 30</w:t>
      </w:r>
      <w:r w:rsidR="00A75B3C" w:rsidRPr="003F23AC">
        <w:rPr>
          <w:rFonts w:cs="Times New Roman"/>
          <w:noProof/>
          <w:lang w:val="sk-SK"/>
        </w:rPr>
        <w:t>. septembra</w:t>
      </w:r>
      <w:r w:rsidRPr="003F23AC">
        <w:rPr>
          <w:rFonts w:cs="Times New Roman"/>
          <w:noProof/>
          <w:lang w:val="sk-SK"/>
        </w:rPr>
        <w:t xml:space="preserve"> 2025.</w:t>
      </w:r>
    </w:p>
    <w:p w14:paraId="7DE1A9CA" w14:textId="041BCB82" w:rsidR="00387C70" w:rsidRPr="003F23AC" w:rsidRDefault="000F5AA4" w:rsidP="003F23AC">
      <w:pPr>
        <w:pStyle w:val="P68B1DB1-Heading214"/>
        <w:keepNext w:val="0"/>
        <w:spacing w:before="240"/>
        <w:rPr>
          <w:noProof/>
          <w:lang w:val="sk-SK"/>
        </w:rPr>
      </w:pPr>
      <w:r w:rsidRPr="003F23AC">
        <w:rPr>
          <w:noProof/>
          <w:lang w:val="sk-SK"/>
        </w:rPr>
        <w:t>Reforma TD-C19-r42: Nový systém hodnotenia na posilnenie</w:t>
      </w:r>
      <w:r w:rsidR="00A75B3C" w:rsidRPr="003F23AC">
        <w:rPr>
          <w:noProof/>
          <w:lang w:val="sk-SK"/>
        </w:rPr>
        <w:t xml:space="preserve"> a </w:t>
      </w:r>
      <w:r w:rsidRPr="003F23AC">
        <w:rPr>
          <w:noProof/>
          <w:lang w:val="sk-SK"/>
        </w:rPr>
        <w:t>omladenie pracovnej sily vo verejnej správe</w:t>
      </w:r>
    </w:p>
    <w:p w14:paraId="057084A2" w14:textId="097152D9"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Hlavným cieľom tejto reformy je riešiť jednu</w:t>
      </w:r>
      <w:r w:rsidR="00A75B3C" w:rsidRPr="003F23AC">
        <w:rPr>
          <w:rFonts w:cs="Times New Roman"/>
          <w:noProof/>
          <w:lang w:val="sk-SK"/>
        </w:rPr>
        <w:t xml:space="preserve"> z </w:t>
      </w:r>
      <w:r w:rsidRPr="003F23AC">
        <w:rPr>
          <w:rFonts w:cs="Times New Roman"/>
          <w:noProof/>
          <w:lang w:val="sk-SK"/>
        </w:rPr>
        <w:t>hlavných výziev, ktorým čelí portugalská verejná správa: jeho schopnosť omladiť svoju pracovnú silu</w:t>
      </w:r>
      <w:r w:rsidR="00A75B3C" w:rsidRPr="003F23AC">
        <w:rPr>
          <w:rFonts w:cs="Times New Roman"/>
          <w:noProof/>
          <w:lang w:val="sk-SK"/>
        </w:rPr>
        <w:t xml:space="preserve"> a </w:t>
      </w:r>
      <w:r w:rsidRPr="003F23AC">
        <w:rPr>
          <w:rFonts w:cs="Times New Roman"/>
          <w:noProof/>
          <w:lang w:val="sk-SK"/>
        </w:rPr>
        <w:t>prilákať</w:t>
      </w:r>
      <w:r w:rsidR="00A75B3C" w:rsidRPr="003F23AC">
        <w:rPr>
          <w:rFonts w:cs="Times New Roman"/>
          <w:noProof/>
          <w:lang w:val="sk-SK"/>
        </w:rPr>
        <w:t xml:space="preserve"> a </w:t>
      </w:r>
      <w:r w:rsidRPr="003F23AC">
        <w:rPr>
          <w:rFonts w:cs="Times New Roman"/>
          <w:noProof/>
          <w:lang w:val="sk-SK"/>
        </w:rPr>
        <w:t>udržať talenty</w:t>
      </w:r>
      <w:r w:rsidR="00A75B3C" w:rsidRPr="003F23AC">
        <w:rPr>
          <w:rFonts w:cs="Times New Roman"/>
          <w:noProof/>
          <w:lang w:val="sk-SK"/>
        </w:rPr>
        <w:t>.</w:t>
      </w:r>
    </w:p>
    <w:p w14:paraId="6B48C29E" w14:textId="747B89CC" w:rsidR="00387C70"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Táto reforma pozostáva</w:t>
      </w:r>
      <w:r w:rsidR="00A75B3C" w:rsidRPr="003F23AC">
        <w:rPr>
          <w:rFonts w:cs="Times New Roman"/>
          <w:noProof/>
          <w:lang w:val="sk-SK"/>
        </w:rPr>
        <w:t xml:space="preserve"> z </w:t>
      </w:r>
      <w:r w:rsidRPr="003F23AC">
        <w:rPr>
          <w:rFonts w:cs="Times New Roman"/>
          <w:noProof/>
          <w:lang w:val="sk-SK"/>
        </w:rPr>
        <w:t>revízie systému hodnotenia výkonnosti vo verejnej správe (integrovaný systém riadenia</w:t>
      </w:r>
      <w:r w:rsidR="00A75B3C" w:rsidRPr="003F23AC">
        <w:rPr>
          <w:rFonts w:cs="Times New Roman"/>
          <w:noProof/>
          <w:lang w:val="sk-SK"/>
        </w:rPr>
        <w:t xml:space="preserve"> a </w:t>
      </w:r>
      <w:r w:rsidRPr="003F23AC">
        <w:rPr>
          <w:rFonts w:cs="Times New Roman"/>
          <w:noProof/>
          <w:lang w:val="sk-SK"/>
        </w:rPr>
        <w:t>hodnotenia výkonnosti verejnej správy – SIADAP) zmenou právneho rámca. Revidovaný SIADAP:</w:t>
      </w:r>
    </w:p>
    <w:p w14:paraId="1B398078" w14:textId="77777777" w:rsidR="00A75B3C" w:rsidRPr="003F23AC" w:rsidRDefault="000F5AA4" w:rsidP="003F23AC">
      <w:pPr>
        <w:pStyle w:val="ListParagraph"/>
        <w:keepNext w:val="0"/>
        <w:numPr>
          <w:ilvl w:val="0"/>
          <w:numId w:val="82"/>
        </w:numPr>
        <w:spacing w:beforeLines="40" w:before="96" w:after="0" w:line="22" w:lineRule="atLeast"/>
        <w:rPr>
          <w:noProof/>
          <w:lang w:val="sk-SK"/>
        </w:rPr>
      </w:pPr>
      <w:r w:rsidRPr="003F23AC">
        <w:rPr>
          <w:noProof/>
          <w:lang w:val="sk-SK"/>
        </w:rPr>
        <w:t>Zmeniť frekvenciu hodnotenia (z každé dva roky na každý rok)</w:t>
      </w:r>
      <w:r w:rsidR="00A75B3C" w:rsidRPr="003F23AC">
        <w:rPr>
          <w:noProof/>
          <w:lang w:val="sk-SK"/>
        </w:rPr>
        <w:t>;</w:t>
      </w:r>
    </w:p>
    <w:p w14:paraId="583BE70B" w14:textId="4F4F85BE" w:rsidR="00A75B3C" w:rsidRPr="003F23AC" w:rsidRDefault="000F5AA4" w:rsidP="003F23AC">
      <w:pPr>
        <w:pStyle w:val="ListParagraph"/>
        <w:keepNext w:val="0"/>
        <w:numPr>
          <w:ilvl w:val="0"/>
          <w:numId w:val="82"/>
        </w:numPr>
        <w:spacing w:beforeLines="40" w:before="96" w:after="0" w:line="22" w:lineRule="atLeast"/>
        <w:rPr>
          <w:noProof/>
          <w:lang w:val="sk-SK"/>
        </w:rPr>
      </w:pPr>
      <w:r w:rsidRPr="003F23AC">
        <w:rPr>
          <w:noProof/>
          <w:lang w:val="sk-SK"/>
        </w:rPr>
        <w:t>Zvýšiť percentuálny podiel pracovníkov, ktorí môžu získať dve najvyššie hodnotenia výkonnosti,</w:t>
      </w:r>
      <w:r w:rsidR="00A75B3C" w:rsidRPr="003F23AC">
        <w:rPr>
          <w:noProof/>
          <w:lang w:val="sk-SK"/>
        </w:rPr>
        <w:t xml:space="preserve"> a </w:t>
      </w:r>
      <w:r w:rsidRPr="003F23AC">
        <w:rPr>
          <w:noProof/>
          <w:lang w:val="sk-SK"/>
        </w:rPr>
        <w:t>ich príslušné body za cyklus hodnotenia</w:t>
      </w:r>
      <w:r w:rsidR="00A75B3C" w:rsidRPr="003F23AC">
        <w:rPr>
          <w:noProof/>
          <w:lang w:val="sk-SK"/>
        </w:rPr>
        <w:t>;</w:t>
      </w:r>
    </w:p>
    <w:p w14:paraId="7317604B" w14:textId="77777777" w:rsidR="00A75B3C" w:rsidRPr="003F23AC" w:rsidRDefault="000F5AA4" w:rsidP="003F23AC">
      <w:pPr>
        <w:pStyle w:val="ListParagraph"/>
        <w:keepNext w:val="0"/>
        <w:numPr>
          <w:ilvl w:val="0"/>
          <w:numId w:val="82"/>
        </w:numPr>
        <w:spacing w:beforeLines="40" w:before="96" w:after="0" w:line="22" w:lineRule="atLeast"/>
        <w:rPr>
          <w:noProof/>
          <w:lang w:val="sk-SK"/>
        </w:rPr>
      </w:pPr>
      <w:r w:rsidRPr="003F23AC">
        <w:rPr>
          <w:noProof/>
          <w:lang w:val="sk-SK"/>
        </w:rPr>
        <w:t>Zaviesť dodatočnú výkonnostnú triedu</w:t>
      </w:r>
      <w:r w:rsidR="00A75B3C" w:rsidRPr="003F23AC">
        <w:rPr>
          <w:noProof/>
          <w:lang w:val="sk-SK"/>
        </w:rPr>
        <w:t>;</w:t>
      </w:r>
    </w:p>
    <w:p w14:paraId="4C1D6BF9" w14:textId="6B668C7B" w:rsidR="00A75B3C" w:rsidRPr="003F23AC" w:rsidRDefault="000F5AA4" w:rsidP="003F23AC">
      <w:pPr>
        <w:pStyle w:val="ListParagraph"/>
        <w:keepNext w:val="0"/>
        <w:numPr>
          <w:ilvl w:val="0"/>
          <w:numId w:val="82"/>
        </w:numPr>
        <w:spacing w:beforeLines="40" w:before="96" w:after="0" w:line="22" w:lineRule="atLeast"/>
        <w:rPr>
          <w:noProof/>
          <w:lang w:val="sk-SK"/>
        </w:rPr>
      </w:pPr>
      <w:r w:rsidRPr="003F23AC">
        <w:rPr>
          <w:noProof/>
          <w:lang w:val="sk-SK"/>
        </w:rPr>
        <w:t>Zostaviť zoznam kompetencií, ktoré sa majú posúdiť</w:t>
      </w:r>
      <w:r w:rsidR="00A75B3C" w:rsidRPr="003F23AC">
        <w:rPr>
          <w:noProof/>
          <w:lang w:val="sk-SK"/>
        </w:rPr>
        <w:t xml:space="preserve"> v </w:t>
      </w:r>
      <w:r w:rsidRPr="003F23AC">
        <w:rPr>
          <w:noProof/>
          <w:lang w:val="sk-SK"/>
        </w:rPr>
        <w:t>rámci profilu kompetencií verejnej správy</w:t>
      </w:r>
      <w:r w:rsidR="00A75B3C" w:rsidRPr="003F23AC">
        <w:rPr>
          <w:noProof/>
          <w:lang w:val="sk-SK"/>
        </w:rPr>
        <w:t>;</w:t>
      </w:r>
    </w:p>
    <w:p w14:paraId="0D4797D5" w14:textId="53222E41" w:rsidR="00387C70" w:rsidRPr="003F23AC" w:rsidRDefault="000F5AA4" w:rsidP="003F23AC">
      <w:pPr>
        <w:pStyle w:val="ListParagraph"/>
        <w:keepNext w:val="0"/>
        <w:numPr>
          <w:ilvl w:val="0"/>
          <w:numId w:val="82"/>
        </w:numPr>
        <w:spacing w:beforeLines="40" w:before="96" w:after="0" w:line="22" w:lineRule="atLeast"/>
        <w:rPr>
          <w:noProof/>
          <w:lang w:val="sk-SK"/>
        </w:rPr>
      </w:pPr>
      <w:r w:rsidRPr="003F23AC">
        <w:rPr>
          <w:noProof/>
          <w:lang w:val="sk-SK"/>
        </w:rPr>
        <w:t>Identifikovať potreby ďalšieho rozvoja kompetencií</w:t>
      </w:r>
      <w:r w:rsidR="00A75B3C" w:rsidRPr="003F23AC">
        <w:rPr>
          <w:noProof/>
          <w:lang w:val="sk-SK"/>
        </w:rPr>
        <w:t xml:space="preserve"> a </w:t>
      </w:r>
      <w:r w:rsidRPr="003F23AC">
        <w:rPr>
          <w:noProof/>
          <w:lang w:val="sk-SK"/>
        </w:rPr>
        <w:t>príslušnej odbornej prípravy.</w:t>
      </w:r>
    </w:p>
    <w:p w14:paraId="492A8A45" w14:textId="42CDDFBC"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Okrem toho reforma spolu</w:t>
      </w:r>
      <w:r w:rsidR="00A75B3C" w:rsidRPr="003F23AC">
        <w:rPr>
          <w:rFonts w:cs="Times New Roman"/>
          <w:noProof/>
          <w:lang w:val="sk-SK"/>
        </w:rPr>
        <w:t xml:space="preserve"> s </w:t>
      </w:r>
      <w:r w:rsidRPr="003F23AC">
        <w:rPr>
          <w:rFonts w:cs="Times New Roman"/>
          <w:noProof/>
          <w:lang w:val="sk-SK"/>
        </w:rPr>
        <w:t>revíziou modelu SIADAP zahŕňa aj revíziu profilu kompetencií verejnej správy, ktorý zahŕňa kompetencie, ktoré sa majú posúdiť</w:t>
      </w:r>
      <w:r w:rsidR="00A75B3C" w:rsidRPr="003F23AC">
        <w:rPr>
          <w:rFonts w:cs="Times New Roman"/>
          <w:noProof/>
          <w:lang w:val="sk-SK"/>
        </w:rPr>
        <w:t xml:space="preserve"> v </w:t>
      </w:r>
      <w:r w:rsidRPr="003F23AC">
        <w:rPr>
          <w:rFonts w:cs="Times New Roman"/>
          <w:noProof/>
          <w:lang w:val="sk-SK"/>
        </w:rPr>
        <w:t>procese prijímania</w:t>
      </w:r>
      <w:r w:rsidR="00A75B3C" w:rsidRPr="003F23AC">
        <w:rPr>
          <w:rFonts w:cs="Times New Roman"/>
          <w:noProof/>
          <w:lang w:val="sk-SK"/>
        </w:rPr>
        <w:t xml:space="preserve"> a </w:t>
      </w:r>
      <w:r w:rsidRPr="003F23AC">
        <w:rPr>
          <w:rFonts w:cs="Times New Roman"/>
          <w:noProof/>
          <w:lang w:val="sk-SK"/>
        </w:rPr>
        <w:t>výberu zamestnancov,</w:t>
      </w:r>
      <w:r w:rsidR="00A75B3C" w:rsidRPr="003F23AC">
        <w:rPr>
          <w:rFonts w:cs="Times New Roman"/>
          <w:noProof/>
          <w:lang w:val="sk-SK"/>
        </w:rPr>
        <w:t xml:space="preserve"> v </w:t>
      </w:r>
      <w:r w:rsidRPr="003F23AC">
        <w:rPr>
          <w:rFonts w:cs="Times New Roman"/>
          <w:noProof/>
          <w:lang w:val="sk-SK"/>
        </w:rPr>
        <w:t>systéme hodnotenia výkonnosti</w:t>
      </w:r>
      <w:r w:rsidR="00A75B3C" w:rsidRPr="003F23AC">
        <w:rPr>
          <w:rFonts w:cs="Times New Roman"/>
          <w:noProof/>
          <w:lang w:val="sk-SK"/>
        </w:rPr>
        <w:t xml:space="preserve"> a </w:t>
      </w:r>
      <w:r w:rsidRPr="003F23AC">
        <w:rPr>
          <w:rFonts w:cs="Times New Roman"/>
          <w:noProof/>
          <w:lang w:val="sk-SK"/>
        </w:rPr>
        <w:t>zahrnúť do odbornej prípravy</w:t>
      </w:r>
      <w:r w:rsidR="00A75B3C" w:rsidRPr="003F23AC">
        <w:rPr>
          <w:rFonts w:cs="Times New Roman"/>
          <w:noProof/>
          <w:lang w:val="sk-SK"/>
        </w:rPr>
        <w:t>.</w:t>
      </w:r>
    </w:p>
    <w:p w14:paraId="3693C278" w14:textId="3801DA4E"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Reforma zahŕňa aj vývoj IT platformy, na ktorej bude fungovať SIADAP. Poskytne sa osobitná odborná príprava</w:t>
      </w:r>
      <w:r w:rsidR="00A75B3C" w:rsidRPr="003F23AC">
        <w:rPr>
          <w:rFonts w:cs="Times New Roman"/>
          <w:noProof/>
          <w:lang w:val="sk-SK"/>
        </w:rPr>
        <w:t xml:space="preserve"> s </w:t>
      </w:r>
      <w:r w:rsidRPr="003F23AC">
        <w:rPr>
          <w:rFonts w:cs="Times New Roman"/>
          <w:noProof/>
          <w:lang w:val="sk-SK"/>
        </w:rPr>
        <w:t>cieľom naučiť sa používať platformu</w:t>
      </w:r>
      <w:r w:rsidR="00A75B3C" w:rsidRPr="003F23AC">
        <w:rPr>
          <w:rFonts w:cs="Times New Roman"/>
          <w:noProof/>
          <w:lang w:val="sk-SK"/>
        </w:rPr>
        <w:t>.</w:t>
      </w:r>
    </w:p>
    <w:p w14:paraId="6FA49BD3" w14:textId="039FE11B" w:rsidR="00387C70"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Implementácia reformy sa dokončí do 31</w:t>
      </w:r>
      <w:r w:rsidR="00A75B3C" w:rsidRPr="003F23AC">
        <w:rPr>
          <w:rFonts w:cs="Times New Roman"/>
          <w:noProof/>
          <w:lang w:val="sk-SK"/>
        </w:rPr>
        <w:t>. marca</w:t>
      </w:r>
      <w:r w:rsidRPr="003F23AC">
        <w:rPr>
          <w:rFonts w:cs="Times New Roman"/>
          <w:noProof/>
          <w:lang w:val="sk-SK"/>
        </w:rPr>
        <w:t xml:space="preserve"> 2025.</w:t>
      </w:r>
    </w:p>
    <w:p w14:paraId="61D9A60B" w14:textId="76B79EF0" w:rsidR="00387C70" w:rsidRPr="003F23AC" w:rsidRDefault="000F5AA4" w:rsidP="003F23AC">
      <w:pPr>
        <w:pStyle w:val="P68B1DB1-Heading214"/>
        <w:keepNext w:val="0"/>
        <w:spacing w:before="240"/>
        <w:rPr>
          <w:noProof/>
          <w:lang w:val="sk-SK"/>
        </w:rPr>
      </w:pPr>
      <w:r w:rsidRPr="003F23AC">
        <w:rPr>
          <w:noProof/>
          <w:lang w:val="sk-SK"/>
        </w:rPr>
        <w:t>Investície TD-C19 – i08 Inteligentné územia</w:t>
      </w:r>
    </w:p>
    <w:p w14:paraId="34469600" w14:textId="209AFE43"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Cieľom tejto investície je vytvoriť nový model plánovania</w:t>
      </w:r>
      <w:r w:rsidR="00A75B3C" w:rsidRPr="003F23AC">
        <w:rPr>
          <w:rFonts w:cs="Times New Roman"/>
          <w:noProof/>
          <w:lang w:val="sk-SK"/>
        </w:rPr>
        <w:t xml:space="preserve"> a </w:t>
      </w:r>
      <w:r w:rsidRPr="003F23AC">
        <w:rPr>
          <w:rFonts w:cs="Times New Roman"/>
          <w:noProof/>
          <w:lang w:val="sk-SK"/>
        </w:rPr>
        <w:t>riadenia miest</w:t>
      </w:r>
      <w:r w:rsidR="00A75B3C" w:rsidRPr="003F23AC">
        <w:rPr>
          <w:rFonts w:cs="Times New Roman"/>
          <w:noProof/>
          <w:lang w:val="sk-SK"/>
        </w:rPr>
        <w:t xml:space="preserve"> a </w:t>
      </w:r>
      <w:r w:rsidRPr="003F23AC">
        <w:rPr>
          <w:rFonts w:cs="Times New Roman"/>
          <w:noProof/>
          <w:lang w:val="sk-SK"/>
        </w:rPr>
        <w:t>území založený na verejných politikách založených na údajoch</w:t>
      </w:r>
      <w:r w:rsidR="00A75B3C" w:rsidRPr="003F23AC">
        <w:rPr>
          <w:rFonts w:cs="Times New Roman"/>
          <w:noProof/>
          <w:lang w:val="sk-SK"/>
        </w:rPr>
        <w:t>.</w:t>
      </w:r>
    </w:p>
    <w:p w14:paraId="787965D6" w14:textId="5D983C1A" w:rsidR="00387C70"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Investícia zahŕňa:</w:t>
      </w:r>
    </w:p>
    <w:p w14:paraId="22DF1388" w14:textId="166CE041" w:rsidR="00387C70" w:rsidRPr="003F23AC" w:rsidRDefault="000F5AA4" w:rsidP="003F23AC">
      <w:pPr>
        <w:pStyle w:val="ListParagraph"/>
        <w:keepNext w:val="0"/>
        <w:numPr>
          <w:ilvl w:val="0"/>
          <w:numId w:val="84"/>
        </w:numPr>
        <w:spacing w:beforeLines="40" w:before="96" w:after="0" w:line="22" w:lineRule="atLeast"/>
        <w:rPr>
          <w:noProof/>
          <w:lang w:val="sk-SK"/>
        </w:rPr>
      </w:pPr>
      <w:r w:rsidRPr="003F23AC">
        <w:rPr>
          <w:noProof/>
          <w:lang w:val="sk-SK"/>
        </w:rPr>
        <w:t>Rozvoj</w:t>
      </w:r>
      <w:r w:rsidR="00A75B3C" w:rsidRPr="003F23AC">
        <w:rPr>
          <w:noProof/>
          <w:lang w:val="sk-SK"/>
        </w:rPr>
        <w:t xml:space="preserve"> a </w:t>
      </w:r>
      <w:r w:rsidRPr="003F23AC">
        <w:rPr>
          <w:noProof/>
          <w:lang w:val="sk-SK"/>
        </w:rPr>
        <w:t>spustenie portálu inteligentných území. Tento portál má online archív relevantných informácií na miestnej, regionálnej</w:t>
      </w:r>
      <w:r w:rsidR="00A75B3C" w:rsidRPr="003F23AC">
        <w:rPr>
          <w:noProof/>
          <w:lang w:val="sk-SK"/>
        </w:rPr>
        <w:t xml:space="preserve"> a </w:t>
      </w:r>
      <w:r w:rsidRPr="003F23AC">
        <w:rPr>
          <w:noProof/>
          <w:lang w:val="sk-SK"/>
        </w:rPr>
        <w:t>vnútroštátnej úrovni, ako sú osvedčené postupy, usmernenia, informácie</w:t>
      </w:r>
      <w:r w:rsidR="00A75B3C" w:rsidRPr="003F23AC">
        <w:rPr>
          <w:noProof/>
          <w:lang w:val="sk-SK"/>
        </w:rPr>
        <w:t xml:space="preserve"> o </w:t>
      </w:r>
      <w:r w:rsidRPr="003F23AC">
        <w:rPr>
          <w:noProof/>
          <w:lang w:val="sk-SK"/>
        </w:rPr>
        <w:t>normách, zákonoch</w:t>
      </w:r>
      <w:r w:rsidR="00A75B3C" w:rsidRPr="003F23AC">
        <w:rPr>
          <w:noProof/>
          <w:lang w:val="sk-SK"/>
        </w:rPr>
        <w:t xml:space="preserve"> a </w:t>
      </w:r>
      <w:r w:rsidRPr="003F23AC">
        <w:rPr>
          <w:noProof/>
          <w:lang w:val="sk-SK"/>
        </w:rPr>
        <w:t>iných právnych predpisoch</w:t>
      </w:r>
      <w:r w:rsidR="00A75B3C" w:rsidRPr="003F23AC">
        <w:rPr>
          <w:noProof/>
          <w:lang w:val="sk-SK"/>
        </w:rPr>
        <w:t xml:space="preserve"> a </w:t>
      </w:r>
      <w:r w:rsidRPr="003F23AC">
        <w:rPr>
          <w:noProof/>
          <w:lang w:val="sk-SK"/>
        </w:rPr>
        <w:t>informácie</w:t>
      </w:r>
      <w:r w:rsidR="00A75B3C" w:rsidRPr="003F23AC">
        <w:rPr>
          <w:noProof/>
          <w:lang w:val="sk-SK"/>
        </w:rPr>
        <w:t xml:space="preserve"> o </w:t>
      </w:r>
      <w:r w:rsidRPr="003F23AC">
        <w:rPr>
          <w:noProof/>
          <w:lang w:val="sk-SK"/>
        </w:rPr>
        <w:t>zdrojoch financovania projektov.</w:t>
      </w:r>
    </w:p>
    <w:p w14:paraId="67D8F48E" w14:textId="57747190" w:rsidR="00A75B3C" w:rsidRPr="003F23AC" w:rsidRDefault="000F5AA4" w:rsidP="003F23AC">
      <w:pPr>
        <w:pStyle w:val="ListParagraph"/>
        <w:keepNext w:val="0"/>
        <w:numPr>
          <w:ilvl w:val="0"/>
          <w:numId w:val="84"/>
        </w:numPr>
        <w:spacing w:beforeLines="40" w:before="96" w:after="0" w:line="22" w:lineRule="atLeast"/>
        <w:rPr>
          <w:noProof/>
          <w:lang w:val="sk-SK"/>
        </w:rPr>
      </w:pPr>
      <w:r w:rsidRPr="003F23AC">
        <w:rPr>
          <w:noProof/>
          <w:lang w:val="sk-SK"/>
        </w:rPr>
        <w:t>Rozvoj, spustenie alebo modernizácia platforiem mestského riadenia (UMP)</w:t>
      </w:r>
      <w:r w:rsidR="00A75B3C" w:rsidRPr="003F23AC">
        <w:rPr>
          <w:noProof/>
          <w:lang w:val="sk-SK"/>
        </w:rPr>
        <w:t xml:space="preserve"> v </w:t>
      </w:r>
      <w:r w:rsidRPr="003F23AC">
        <w:rPr>
          <w:noProof/>
          <w:lang w:val="sk-SK"/>
        </w:rPr>
        <w:t>75 obciach</w:t>
      </w:r>
      <w:r w:rsidR="00A75B3C" w:rsidRPr="003F23AC">
        <w:rPr>
          <w:noProof/>
          <w:lang w:val="sk-SK"/>
        </w:rPr>
        <w:t xml:space="preserve"> a </w:t>
      </w:r>
      <w:r w:rsidRPr="003F23AC">
        <w:rPr>
          <w:noProof/>
          <w:lang w:val="sk-SK"/>
        </w:rPr>
        <w:t>Comunidades Intermunicipais/Oblasti Metropolitanas vrátane digitalizácie bývania</w:t>
      </w:r>
      <w:r w:rsidR="00A75B3C" w:rsidRPr="003F23AC">
        <w:rPr>
          <w:noProof/>
          <w:lang w:val="sk-SK"/>
        </w:rPr>
        <w:t xml:space="preserve"> a </w:t>
      </w:r>
      <w:r w:rsidRPr="003F23AC">
        <w:rPr>
          <w:noProof/>
          <w:lang w:val="sk-SK"/>
        </w:rPr>
        <w:t>postupov územného plánovania</w:t>
      </w:r>
      <w:r w:rsidR="00A75B3C" w:rsidRPr="003F23AC">
        <w:rPr>
          <w:noProof/>
          <w:lang w:val="sk-SK"/>
        </w:rPr>
        <w:t>.</w:t>
      </w:r>
    </w:p>
    <w:p w14:paraId="496EB210" w14:textId="6238CC10" w:rsidR="00A75B3C" w:rsidRPr="003F23AC" w:rsidRDefault="000F5AA4" w:rsidP="003F23AC">
      <w:pPr>
        <w:pStyle w:val="ListParagraph"/>
        <w:keepNext w:val="0"/>
        <w:numPr>
          <w:ilvl w:val="0"/>
          <w:numId w:val="84"/>
        </w:numPr>
        <w:spacing w:beforeLines="40" w:before="96" w:after="0" w:line="22" w:lineRule="atLeast"/>
        <w:rPr>
          <w:noProof/>
          <w:lang w:val="sk-SK"/>
        </w:rPr>
      </w:pPr>
      <w:r w:rsidRPr="003F23AC">
        <w:rPr>
          <w:noProof/>
          <w:lang w:val="sk-SK"/>
        </w:rPr>
        <w:t>Rozvoj digitálnych dvojčiat (digitálne vyjadrenie zamýšľaného alebo skutočného fyzického produktu, systému alebo procesu</w:t>
      </w:r>
      <w:r w:rsidR="00A75B3C" w:rsidRPr="003F23AC">
        <w:rPr>
          <w:noProof/>
          <w:lang w:val="sk-SK"/>
        </w:rPr>
        <w:t xml:space="preserve"> v </w:t>
      </w:r>
      <w:r w:rsidRPr="003F23AC">
        <w:rPr>
          <w:noProof/>
          <w:lang w:val="sk-SK"/>
        </w:rPr>
        <w:t>reálnom svete na praktické účely)</w:t>
      </w:r>
      <w:r w:rsidR="00A75B3C" w:rsidRPr="003F23AC">
        <w:rPr>
          <w:noProof/>
          <w:lang w:val="sk-SK"/>
        </w:rPr>
        <w:t xml:space="preserve"> v </w:t>
      </w:r>
      <w:r w:rsidRPr="003F23AC">
        <w:rPr>
          <w:noProof/>
          <w:lang w:val="sk-SK"/>
        </w:rPr>
        <w:t>národných prioritných oblastiach, ako je voda</w:t>
      </w:r>
      <w:r w:rsidR="00A75B3C" w:rsidRPr="003F23AC">
        <w:rPr>
          <w:noProof/>
          <w:lang w:val="sk-SK"/>
        </w:rPr>
        <w:t xml:space="preserve"> a </w:t>
      </w:r>
      <w:r w:rsidRPr="003F23AC">
        <w:rPr>
          <w:noProof/>
          <w:lang w:val="sk-SK"/>
        </w:rPr>
        <w:t>poľnohospodárstvo, odolnosť proti zmene klímy, mobilita</w:t>
      </w:r>
      <w:r w:rsidR="00A75B3C" w:rsidRPr="003F23AC">
        <w:rPr>
          <w:noProof/>
          <w:lang w:val="sk-SK"/>
        </w:rPr>
        <w:t xml:space="preserve"> a </w:t>
      </w:r>
      <w:r w:rsidRPr="003F23AC">
        <w:rPr>
          <w:noProof/>
          <w:lang w:val="sk-SK"/>
        </w:rPr>
        <w:t>dekarbonizácia, zdravie, energetika, cestovný ruch, civilná ochrana</w:t>
      </w:r>
      <w:r w:rsidR="00A75B3C" w:rsidRPr="003F23AC">
        <w:rPr>
          <w:noProof/>
          <w:lang w:val="sk-SK"/>
        </w:rPr>
        <w:t>.</w:t>
      </w:r>
    </w:p>
    <w:p w14:paraId="61664876" w14:textId="41332813" w:rsidR="00A75B3C" w:rsidRPr="003F23AC" w:rsidRDefault="000F5AA4" w:rsidP="003F23AC">
      <w:pPr>
        <w:pStyle w:val="ListParagraph"/>
        <w:keepNext w:val="0"/>
        <w:numPr>
          <w:ilvl w:val="0"/>
          <w:numId w:val="84"/>
        </w:numPr>
        <w:spacing w:beforeLines="40" w:before="96" w:after="0" w:line="22" w:lineRule="atLeast"/>
        <w:rPr>
          <w:noProof/>
          <w:lang w:val="sk-SK"/>
        </w:rPr>
      </w:pPr>
      <w:r w:rsidRPr="003F23AC">
        <w:rPr>
          <w:noProof/>
          <w:lang w:val="sk-SK"/>
        </w:rPr>
        <w:t>Vypracovanie</w:t>
      </w:r>
      <w:r w:rsidR="00A75B3C" w:rsidRPr="003F23AC">
        <w:rPr>
          <w:noProof/>
          <w:lang w:val="sk-SK"/>
        </w:rPr>
        <w:t xml:space="preserve"> a </w:t>
      </w:r>
      <w:r w:rsidRPr="003F23AC">
        <w:rPr>
          <w:noProof/>
          <w:lang w:val="sk-SK"/>
        </w:rPr>
        <w:t>spustenie prehľadu verejnej politiky na pomoc pri politickom rozhodovaní verejných aktérov na rôznych hierarchických úrovniach prostredníctvom systematických</w:t>
      </w:r>
      <w:r w:rsidR="00A75B3C" w:rsidRPr="003F23AC">
        <w:rPr>
          <w:noProof/>
          <w:lang w:val="sk-SK"/>
        </w:rPr>
        <w:t xml:space="preserve"> a </w:t>
      </w:r>
      <w:r w:rsidRPr="003F23AC">
        <w:rPr>
          <w:noProof/>
          <w:lang w:val="sk-SK"/>
        </w:rPr>
        <w:t>aktuálnych informácií</w:t>
      </w:r>
      <w:r w:rsidR="00A75B3C" w:rsidRPr="003F23AC">
        <w:rPr>
          <w:noProof/>
          <w:lang w:val="sk-SK"/>
        </w:rPr>
        <w:t>.</w:t>
      </w:r>
    </w:p>
    <w:p w14:paraId="55B408C7" w14:textId="32A9F107" w:rsidR="00387C70" w:rsidRPr="003F23AC" w:rsidRDefault="000F5AA4" w:rsidP="003F23AC">
      <w:pPr>
        <w:pStyle w:val="ListParagraph"/>
        <w:keepNext w:val="0"/>
        <w:numPr>
          <w:ilvl w:val="0"/>
          <w:numId w:val="84"/>
        </w:numPr>
        <w:spacing w:beforeLines="40" w:before="96" w:after="0" w:line="22" w:lineRule="atLeast"/>
        <w:rPr>
          <w:noProof/>
          <w:lang w:val="sk-SK"/>
        </w:rPr>
      </w:pPr>
      <w:r w:rsidRPr="003F23AC">
        <w:rPr>
          <w:noProof/>
          <w:lang w:val="sk-SK"/>
        </w:rPr>
        <w:t>Rozvoj obsahu</w:t>
      </w:r>
      <w:r w:rsidR="00A75B3C" w:rsidRPr="003F23AC">
        <w:rPr>
          <w:noProof/>
          <w:lang w:val="sk-SK"/>
        </w:rPr>
        <w:t xml:space="preserve"> a </w:t>
      </w:r>
      <w:r w:rsidRPr="003F23AC">
        <w:rPr>
          <w:noProof/>
          <w:lang w:val="sk-SK"/>
        </w:rPr>
        <w:t>poskytovanie odbornej prípravy</w:t>
      </w:r>
      <w:r w:rsidR="00A75B3C" w:rsidRPr="003F23AC">
        <w:rPr>
          <w:noProof/>
          <w:lang w:val="sk-SK"/>
        </w:rPr>
        <w:t xml:space="preserve"> v </w:t>
      </w:r>
      <w:r w:rsidRPr="003F23AC">
        <w:rPr>
          <w:noProof/>
          <w:lang w:val="sk-SK"/>
        </w:rPr>
        <w:t>oblasti zberu</w:t>
      </w:r>
      <w:r w:rsidR="00A75B3C" w:rsidRPr="003F23AC">
        <w:rPr>
          <w:noProof/>
          <w:lang w:val="sk-SK"/>
        </w:rPr>
        <w:t xml:space="preserve"> a </w:t>
      </w:r>
      <w:r w:rsidRPr="003F23AC">
        <w:rPr>
          <w:noProof/>
          <w:lang w:val="sk-SK"/>
        </w:rPr>
        <w:t>správy údajov, noriem, otvorených noriem, aplikačných programovacích rozhraní</w:t>
      </w:r>
      <w:r w:rsidR="00A75B3C" w:rsidRPr="003F23AC">
        <w:rPr>
          <w:noProof/>
          <w:lang w:val="sk-SK"/>
        </w:rPr>
        <w:t xml:space="preserve"> a </w:t>
      </w:r>
      <w:r w:rsidRPr="003F23AC">
        <w:rPr>
          <w:noProof/>
          <w:lang w:val="sk-SK"/>
        </w:rPr>
        <w:t>iného obsahu súvisiaceho</w:t>
      </w:r>
      <w:r w:rsidR="00A75B3C" w:rsidRPr="003F23AC">
        <w:rPr>
          <w:noProof/>
          <w:lang w:val="sk-SK"/>
        </w:rPr>
        <w:t xml:space="preserve"> s </w:t>
      </w:r>
      <w:r w:rsidRPr="003F23AC">
        <w:rPr>
          <w:noProof/>
          <w:lang w:val="sk-SK"/>
        </w:rPr>
        <w:t>inteligentnými mestami</w:t>
      </w:r>
      <w:r w:rsidR="00A75B3C" w:rsidRPr="003F23AC">
        <w:rPr>
          <w:noProof/>
          <w:lang w:val="sk-SK"/>
        </w:rPr>
        <w:t xml:space="preserve"> a </w:t>
      </w:r>
      <w:r w:rsidRPr="003F23AC">
        <w:rPr>
          <w:noProof/>
          <w:lang w:val="sk-SK"/>
        </w:rPr>
        <w:t>budovami</w:t>
      </w:r>
      <w:r w:rsidR="00A75B3C" w:rsidRPr="003F23AC">
        <w:rPr>
          <w:noProof/>
          <w:lang w:val="sk-SK"/>
        </w:rPr>
        <w:t xml:space="preserve"> a </w:t>
      </w:r>
      <w:r w:rsidRPr="003F23AC">
        <w:rPr>
          <w:noProof/>
          <w:lang w:val="sk-SK"/>
        </w:rPr>
        <w:t>udržateľnosti.</w:t>
      </w:r>
    </w:p>
    <w:p w14:paraId="7B990B4E" w14:textId="6B1B0263" w:rsidR="00387C70"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681015AA"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77CC8938" w14:textId="77777777" w:rsidR="00387C70" w:rsidRPr="003F23AC" w:rsidRDefault="00387C70" w:rsidP="003F23AC">
      <w:pPr>
        <w:spacing w:before="40" w:after="0" w:line="259" w:lineRule="auto"/>
        <w:rPr>
          <w:rFonts w:ascii="Times New Roman" w:eastAsiaTheme="minorEastAsia" w:hAnsi="Times New Roman" w:cs="Times New Roman"/>
          <w:noProof/>
          <w:sz w:val="24"/>
          <w:lang w:val="sk-SK"/>
        </w:rPr>
        <w:sectPr w:rsidR="00387C70" w:rsidRPr="003F23AC" w:rsidSect="00E00EDD">
          <w:headerReference w:type="even" r:id="rId342"/>
          <w:headerReference w:type="default" r:id="rId343"/>
          <w:footerReference w:type="even" r:id="rId344"/>
          <w:footerReference w:type="default" r:id="rId345"/>
          <w:headerReference w:type="first" r:id="rId346"/>
          <w:footerReference w:type="first" r:id="rId347"/>
          <w:pgSz w:w="11907" w:h="16839"/>
          <w:pgMar w:top="1134" w:right="1134" w:bottom="1134" w:left="1134" w:header="567" w:footer="567" w:gutter="0"/>
          <w:cols w:space="720"/>
          <w:docGrid w:linePitch="360"/>
        </w:sectPr>
      </w:pPr>
    </w:p>
    <w:p w14:paraId="7CB91F94" w14:textId="1E650A42"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 xml:space="preserve">S.2. </w:t>
      </w:r>
      <w:r w:rsidRPr="003F23AC">
        <w:rPr>
          <w:rFonts w:cs="Times New Roman"/>
          <w:noProof/>
          <w:lang w:val="sk-SK"/>
        </w:rPr>
        <w:tab/>
        <w:t>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p w14:paraId="64FD62E1"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185"/>
        <w:gridCol w:w="1057"/>
        <w:gridCol w:w="1574"/>
        <w:gridCol w:w="1314"/>
        <w:gridCol w:w="1110"/>
        <w:gridCol w:w="870"/>
        <w:gridCol w:w="725"/>
        <w:gridCol w:w="773"/>
        <w:gridCol w:w="434"/>
        <w:gridCol w:w="4358"/>
      </w:tblGrid>
      <w:tr w:rsidR="00387C70" w:rsidRPr="003F23AC" w14:paraId="088C7A32" w14:textId="77777777" w:rsidTr="008E475E">
        <w:trPr>
          <w:trHeight w:val="910"/>
          <w:tblHeader/>
        </w:trPr>
        <w:tc>
          <w:tcPr>
            <w:tcW w:w="1059" w:type="dxa"/>
            <w:vMerge w:val="restart"/>
            <w:shd w:val="clear" w:color="auto" w:fill="BDD6EE"/>
            <w:tcMar>
              <w:left w:w="28" w:type="dxa"/>
              <w:right w:w="28" w:type="dxa"/>
            </w:tcMar>
            <w:vAlign w:val="center"/>
            <w:hideMark/>
          </w:tcPr>
          <w:p w14:paraId="67C74427"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185" w:type="dxa"/>
            <w:vMerge w:val="restart"/>
            <w:shd w:val="clear" w:color="auto" w:fill="BDD6EE"/>
            <w:tcMar>
              <w:left w:w="28" w:type="dxa"/>
              <w:right w:w="28" w:type="dxa"/>
            </w:tcMar>
            <w:vAlign w:val="center"/>
            <w:hideMark/>
          </w:tcPr>
          <w:p w14:paraId="628E7404"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057" w:type="dxa"/>
            <w:vMerge w:val="restart"/>
            <w:shd w:val="clear" w:color="auto" w:fill="BDD6EE"/>
            <w:tcMar>
              <w:left w:w="28" w:type="dxa"/>
              <w:right w:w="28" w:type="dxa"/>
            </w:tcMar>
            <w:vAlign w:val="center"/>
            <w:hideMark/>
          </w:tcPr>
          <w:p w14:paraId="0E05B438" w14:textId="53E6D5D2"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1574" w:type="dxa"/>
            <w:vMerge w:val="restart"/>
            <w:shd w:val="clear" w:color="auto" w:fill="BDD6EE"/>
            <w:tcMar>
              <w:left w:w="28" w:type="dxa"/>
              <w:right w:w="28" w:type="dxa"/>
            </w:tcMar>
            <w:vAlign w:val="center"/>
            <w:hideMark/>
          </w:tcPr>
          <w:p w14:paraId="0BDF780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314" w:type="dxa"/>
            <w:vMerge w:val="restart"/>
            <w:shd w:val="clear" w:color="auto" w:fill="BDD6EE"/>
            <w:tcMar>
              <w:left w:w="28" w:type="dxa"/>
              <w:right w:w="28" w:type="dxa"/>
            </w:tcMar>
            <w:vAlign w:val="center"/>
            <w:hideMark/>
          </w:tcPr>
          <w:p w14:paraId="170B5F8F"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705" w:type="dxa"/>
            <w:gridSpan w:val="3"/>
            <w:shd w:val="clear" w:color="auto" w:fill="BDD6EE"/>
            <w:tcMar>
              <w:left w:w="28" w:type="dxa"/>
              <w:right w:w="28" w:type="dxa"/>
            </w:tcMar>
            <w:vAlign w:val="center"/>
            <w:hideMark/>
          </w:tcPr>
          <w:p w14:paraId="2A5DB656"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07" w:type="dxa"/>
            <w:gridSpan w:val="2"/>
            <w:shd w:val="clear" w:color="auto" w:fill="BDD6EE"/>
            <w:tcMar>
              <w:left w:w="28" w:type="dxa"/>
              <w:right w:w="28" w:type="dxa"/>
            </w:tcMar>
            <w:vAlign w:val="center"/>
            <w:hideMark/>
          </w:tcPr>
          <w:p w14:paraId="6828BC5C"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4358" w:type="dxa"/>
            <w:vMerge w:val="restart"/>
            <w:shd w:val="clear" w:color="auto" w:fill="BDD6EE"/>
            <w:tcMar>
              <w:left w:w="28" w:type="dxa"/>
              <w:right w:w="28" w:type="dxa"/>
            </w:tcMar>
            <w:vAlign w:val="center"/>
            <w:hideMark/>
          </w:tcPr>
          <w:p w14:paraId="7DCEFB52" w14:textId="2A999C2D"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4548F8B7" w14:textId="77777777" w:rsidTr="008E475E">
        <w:trPr>
          <w:trHeight w:val="470"/>
          <w:tblHeader/>
        </w:trPr>
        <w:tc>
          <w:tcPr>
            <w:tcW w:w="1059" w:type="dxa"/>
            <w:vMerge/>
            <w:tcMar>
              <w:left w:w="28" w:type="dxa"/>
              <w:right w:w="28" w:type="dxa"/>
            </w:tcMar>
            <w:vAlign w:val="center"/>
            <w:hideMark/>
          </w:tcPr>
          <w:p w14:paraId="103877F4"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85" w:type="dxa"/>
            <w:vMerge/>
            <w:tcMar>
              <w:left w:w="28" w:type="dxa"/>
              <w:right w:w="28" w:type="dxa"/>
            </w:tcMar>
            <w:vAlign w:val="center"/>
            <w:hideMark/>
          </w:tcPr>
          <w:p w14:paraId="615E906C"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057" w:type="dxa"/>
            <w:vMerge/>
            <w:tcMar>
              <w:left w:w="28" w:type="dxa"/>
              <w:right w:w="28" w:type="dxa"/>
            </w:tcMar>
            <w:vAlign w:val="center"/>
            <w:hideMark/>
          </w:tcPr>
          <w:p w14:paraId="03D775B3" w14:textId="2BE8587E"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574" w:type="dxa"/>
            <w:vMerge/>
            <w:tcMar>
              <w:left w:w="28" w:type="dxa"/>
              <w:right w:w="28" w:type="dxa"/>
            </w:tcMar>
            <w:vAlign w:val="center"/>
            <w:hideMark/>
          </w:tcPr>
          <w:p w14:paraId="7BCB0E2B"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314" w:type="dxa"/>
            <w:vMerge/>
            <w:tcMar>
              <w:left w:w="28" w:type="dxa"/>
              <w:right w:w="28" w:type="dxa"/>
            </w:tcMar>
            <w:vAlign w:val="center"/>
            <w:hideMark/>
          </w:tcPr>
          <w:p w14:paraId="37EB8607"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10" w:type="dxa"/>
            <w:shd w:val="clear" w:color="auto" w:fill="BDD6EE"/>
            <w:tcMar>
              <w:left w:w="28" w:type="dxa"/>
              <w:right w:w="28" w:type="dxa"/>
            </w:tcMar>
            <w:vAlign w:val="center"/>
            <w:hideMark/>
          </w:tcPr>
          <w:p w14:paraId="61817E8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870" w:type="dxa"/>
            <w:shd w:val="clear" w:color="auto" w:fill="BDD6EE"/>
            <w:tcMar>
              <w:left w:w="28" w:type="dxa"/>
              <w:right w:w="28" w:type="dxa"/>
            </w:tcMar>
            <w:vAlign w:val="center"/>
            <w:hideMark/>
          </w:tcPr>
          <w:p w14:paraId="3FDEEB09" w14:textId="07A84AB9"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725" w:type="dxa"/>
            <w:shd w:val="clear" w:color="auto" w:fill="BDD6EE"/>
            <w:tcMar>
              <w:left w:w="28" w:type="dxa"/>
              <w:right w:w="28" w:type="dxa"/>
            </w:tcMar>
            <w:vAlign w:val="center"/>
            <w:hideMark/>
          </w:tcPr>
          <w:p w14:paraId="65EB9FBE" w14:textId="13DD68C6"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773" w:type="dxa"/>
            <w:shd w:val="clear" w:color="auto" w:fill="BDD6EE"/>
            <w:tcMar>
              <w:left w:w="28" w:type="dxa"/>
              <w:right w:w="28" w:type="dxa"/>
            </w:tcMar>
            <w:vAlign w:val="center"/>
            <w:hideMark/>
          </w:tcPr>
          <w:p w14:paraId="1B5C364F" w14:textId="791E541C"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434" w:type="dxa"/>
            <w:shd w:val="clear" w:color="auto" w:fill="BDD6EE"/>
            <w:tcMar>
              <w:left w:w="28" w:type="dxa"/>
              <w:right w:w="28" w:type="dxa"/>
            </w:tcMar>
            <w:vAlign w:val="center"/>
            <w:hideMark/>
          </w:tcPr>
          <w:p w14:paraId="3B9C38F6"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4358" w:type="dxa"/>
            <w:vMerge/>
            <w:tcMar>
              <w:left w:w="28" w:type="dxa"/>
              <w:right w:w="28" w:type="dxa"/>
            </w:tcMar>
            <w:vAlign w:val="center"/>
            <w:hideMark/>
          </w:tcPr>
          <w:p w14:paraId="7341FB0C"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8E475E" w:rsidRPr="003F23AC" w14:paraId="1E167ECE" w14:textId="77777777" w:rsidTr="008E475E">
        <w:trPr>
          <w:trHeight w:val="420"/>
        </w:trPr>
        <w:tc>
          <w:tcPr>
            <w:tcW w:w="1059" w:type="dxa"/>
            <w:shd w:val="clear" w:color="auto" w:fill="C4EFCE"/>
            <w:tcMar>
              <w:left w:w="28" w:type="dxa"/>
              <w:right w:w="28" w:type="dxa"/>
            </w:tcMar>
            <w:vAlign w:val="center"/>
            <w:hideMark/>
          </w:tcPr>
          <w:p w14:paraId="1B7A59FA"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19.1</w:t>
            </w:r>
          </w:p>
        </w:tc>
        <w:tc>
          <w:tcPr>
            <w:tcW w:w="1185" w:type="dxa"/>
            <w:shd w:val="clear" w:color="auto" w:fill="C4EFCE"/>
            <w:noWrap/>
            <w:tcMar>
              <w:left w:w="28" w:type="dxa"/>
              <w:right w:w="28" w:type="dxa"/>
            </w:tcMar>
            <w:vAlign w:val="center"/>
            <w:hideMark/>
          </w:tcPr>
          <w:p w14:paraId="3FDA88F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TD-C19-i01</w:t>
            </w:r>
          </w:p>
        </w:tc>
        <w:tc>
          <w:tcPr>
            <w:tcW w:w="1057" w:type="dxa"/>
            <w:shd w:val="clear" w:color="auto" w:fill="C4EFCE"/>
            <w:noWrap/>
            <w:tcMar>
              <w:left w:w="28" w:type="dxa"/>
              <w:right w:w="28" w:type="dxa"/>
            </w:tcMar>
            <w:vAlign w:val="center"/>
            <w:hideMark/>
          </w:tcPr>
          <w:p w14:paraId="3DC52799" w14:textId="30F2E938"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74" w:type="dxa"/>
            <w:shd w:val="clear" w:color="auto" w:fill="C4EFCE"/>
            <w:noWrap/>
            <w:tcMar>
              <w:left w:w="28" w:type="dxa"/>
              <w:right w:w="28" w:type="dxa"/>
            </w:tcMar>
            <w:vAlign w:val="center"/>
            <w:hideMark/>
          </w:tcPr>
          <w:p w14:paraId="4F8CF771" w14:textId="178422E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Verejné služby dostupné zjednodušeným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koherentným spôsobom prostredníctvom rôznych kanálov</w:t>
            </w:r>
          </w:p>
        </w:tc>
        <w:tc>
          <w:tcPr>
            <w:tcW w:w="1314" w:type="dxa"/>
            <w:shd w:val="clear" w:color="auto" w:fill="C4EFCE"/>
            <w:noWrap/>
            <w:tcMar>
              <w:left w:w="28" w:type="dxa"/>
              <w:right w:w="28" w:type="dxa"/>
            </w:tcMar>
            <w:vAlign w:val="center"/>
            <w:hideMark/>
          </w:tcPr>
          <w:p w14:paraId="6DFD823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10" w:type="dxa"/>
            <w:shd w:val="clear" w:color="auto" w:fill="C4EFCE"/>
            <w:noWrap/>
            <w:tcMar>
              <w:left w:w="28" w:type="dxa"/>
              <w:right w:w="28" w:type="dxa"/>
            </w:tcMar>
            <w:vAlign w:val="center"/>
            <w:hideMark/>
          </w:tcPr>
          <w:p w14:paraId="317A565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70" w:type="dxa"/>
            <w:shd w:val="clear" w:color="auto" w:fill="C4EFCE"/>
            <w:noWrap/>
            <w:tcMar>
              <w:left w:w="28" w:type="dxa"/>
              <w:right w:w="28" w:type="dxa"/>
            </w:tcMar>
            <w:vAlign w:val="center"/>
            <w:hideMark/>
          </w:tcPr>
          <w:p w14:paraId="3D4F554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5" w:type="dxa"/>
            <w:shd w:val="clear" w:color="auto" w:fill="C4EFCE"/>
            <w:noWrap/>
            <w:tcMar>
              <w:left w:w="28" w:type="dxa"/>
              <w:right w:w="28" w:type="dxa"/>
            </w:tcMar>
            <w:vAlign w:val="center"/>
            <w:hideMark/>
          </w:tcPr>
          <w:p w14:paraId="27880A9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w:t>
            </w:r>
          </w:p>
        </w:tc>
        <w:tc>
          <w:tcPr>
            <w:tcW w:w="773" w:type="dxa"/>
            <w:shd w:val="clear" w:color="auto" w:fill="C4EFCE"/>
            <w:noWrap/>
            <w:tcMar>
              <w:left w:w="28" w:type="dxa"/>
              <w:right w:w="28" w:type="dxa"/>
            </w:tcMar>
            <w:vAlign w:val="center"/>
            <w:hideMark/>
          </w:tcPr>
          <w:p w14:paraId="290B35B9" w14:textId="1E3C62F0"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34" w:type="dxa"/>
            <w:shd w:val="clear" w:color="auto" w:fill="C4EFCE"/>
            <w:noWrap/>
            <w:tcMar>
              <w:left w:w="28" w:type="dxa"/>
              <w:right w:w="28" w:type="dxa"/>
            </w:tcMar>
            <w:vAlign w:val="center"/>
            <w:hideMark/>
          </w:tcPr>
          <w:p w14:paraId="2E18BF2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358" w:type="dxa"/>
            <w:shd w:val="clear" w:color="auto" w:fill="C4EFCE"/>
            <w:tcMar>
              <w:left w:w="28" w:type="dxa"/>
              <w:right w:w="28" w:type="dxa"/>
            </w:tcMar>
            <w:vAlign w:val="center"/>
            <w:hideMark/>
          </w:tcPr>
          <w:p w14:paraId="0BCF6EA9" w14:textId="3A498CF5"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služieb, ktoré sú zaznamenané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rozšírenom katalógu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služieb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sú dostupné prostredníctvom viacerých kanálov: jednotný portál digitálnych služieb, kontaktné centrum, </w:t>
            </w:r>
            <w:r w:rsidRPr="003F23AC">
              <w:rPr>
                <w:rFonts w:ascii="Times New Roman" w:hAnsi="Times New Roman" w:cs="Times New Roman"/>
                <w:i/>
                <w:noProof/>
                <w:lang w:val="sk-SK"/>
              </w:rPr>
              <w:t>Lojas do Cidadão</w:t>
            </w:r>
            <w:r w:rsidRPr="003F23AC">
              <w:rPr>
                <w:rFonts w:ascii="Times New Roman" w:hAnsi="Times New Roman" w:cs="Times New Roman"/>
                <w:noProof/>
                <w:lang w:val="sk-SK"/>
              </w:rPr>
              <w:t xml:space="preserve"> / </w:t>
            </w:r>
            <w:r w:rsidRPr="003F23AC">
              <w:rPr>
                <w:rFonts w:ascii="Times New Roman" w:hAnsi="Times New Roman" w:cs="Times New Roman"/>
                <w:i/>
                <w:noProof/>
                <w:lang w:val="sk-SK"/>
              </w:rPr>
              <w:t>Espaços Cidadão</w:t>
            </w:r>
            <w:r w:rsidR="00A75B3C" w:rsidRPr="003F23AC">
              <w:rPr>
                <w:rFonts w:ascii="Times New Roman" w:hAnsi="Times New Roman" w:cs="Times New Roman"/>
                <w:noProof/>
                <w:lang w:val="sk-SK"/>
              </w:rPr>
              <w:t>.</w:t>
            </w:r>
          </w:p>
          <w:p w14:paraId="0669A61E" w14:textId="100F70D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Tento ukazovateľ znamená prepracovanie týchto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 so zásadou „jedenkrát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ich sprístupnenie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omnikannelového prístupu.</w:t>
            </w:r>
          </w:p>
        </w:tc>
      </w:tr>
      <w:tr w:rsidR="008E475E" w:rsidRPr="003F23AC" w14:paraId="5047912C" w14:textId="77777777" w:rsidTr="008E475E">
        <w:trPr>
          <w:trHeight w:val="420"/>
        </w:trPr>
        <w:tc>
          <w:tcPr>
            <w:tcW w:w="1059" w:type="dxa"/>
            <w:shd w:val="clear" w:color="auto" w:fill="C4EFCE"/>
            <w:tcMar>
              <w:left w:w="28" w:type="dxa"/>
              <w:right w:w="28" w:type="dxa"/>
            </w:tcMar>
            <w:vAlign w:val="center"/>
            <w:hideMark/>
          </w:tcPr>
          <w:p w14:paraId="313C63A5"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19.2</w:t>
            </w:r>
          </w:p>
        </w:tc>
        <w:tc>
          <w:tcPr>
            <w:tcW w:w="1185" w:type="dxa"/>
            <w:shd w:val="clear" w:color="auto" w:fill="C4EFCE"/>
            <w:noWrap/>
            <w:tcMar>
              <w:left w:w="28" w:type="dxa"/>
              <w:right w:w="28" w:type="dxa"/>
            </w:tcMar>
            <w:vAlign w:val="center"/>
            <w:hideMark/>
          </w:tcPr>
          <w:p w14:paraId="74C76E9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TD-C19-i01</w:t>
            </w:r>
          </w:p>
        </w:tc>
        <w:tc>
          <w:tcPr>
            <w:tcW w:w="1057" w:type="dxa"/>
            <w:shd w:val="clear" w:color="auto" w:fill="C4EFCE"/>
            <w:noWrap/>
            <w:tcMar>
              <w:left w:w="28" w:type="dxa"/>
              <w:right w:w="28" w:type="dxa"/>
            </w:tcMar>
            <w:vAlign w:val="center"/>
            <w:hideMark/>
          </w:tcPr>
          <w:p w14:paraId="21EB2875" w14:textId="3389C196"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74" w:type="dxa"/>
            <w:shd w:val="clear" w:color="auto" w:fill="C4EFCE"/>
            <w:noWrap/>
            <w:tcMar>
              <w:left w:w="28" w:type="dxa"/>
              <w:right w:w="28" w:type="dxa"/>
            </w:tcMar>
            <w:vAlign w:val="center"/>
            <w:hideMark/>
          </w:tcPr>
          <w:p w14:paraId="557BE133" w14:textId="4D3B966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Verejné služby dostupné zjednodušeným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koherentným spôsobom prostredníctvom rôznych kanálov</w:t>
            </w:r>
          </w:p>
        </w:tc>
        <w:tc>
          <w:tcPr>
            <w:tcW w:w="1314" w:type="dxa"/>
            <w:shd w:val="clear" w:color="auto" w:fill="C4EFCE"/>
            <w:noWrap/>
            <w:tcMar>
              <w:left w:w="28" w:type="dxa"/>
              <w:right w:w="28" w:type="dxa"/>
            </w:tcMar>
            <w:vAlign w:val="center"/>
            <w:hideMark/>
          </w:tcPr>
          <w:p w14:paraId="0C7B536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10" w:type="dxa"/>
            <w:shd w:val="clear" w:color="auto" w:fill="C4EFCE"/>
            <w:noWrap/>
            <w:tcMar>
              <w:left w:w="28" w:type="dxa"/>
              <w:right w:w="28" w:type="dxa"/>
            </w:tcMar>
            <w:vAlign w:val="center"/>
            <w:hideMark/>
          </w:tcPr>
          <w:p w14:paraId="723C0D4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70" w:type="dxa"/>
            <w:shd w:val="clear" w:color="auto" w:fill="C4EFCE"/>
            <w:noWrap/>
            <w:tcMar>
              <w:left w:w="28" w:type="dxa"/>
              <w:right w:w="28" w:type="dxa"/>
            </w:tcMar>
            <w:vAlign w:val="center"/>
            <w:hideMark/>
          </w:tcPr>
          <w:p w14:paraId="04D7569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w:t>
            </w:r>
          </w:p>
        </w:tc>
        <w:tc>
          <w:tcPr>
            <w:tcW w:w="725" w:type="dxa"/>
            <w:shd w:val="clear" w:color="auto" w:fill="C4EFCE"/>
            <w:noWrap/>
            <w:tcMar>
              <w:left w:w="28" w:type="dxa"/>
              <w:right w:w="28" w:type="dxa"/>
            </w:tcMar>
            <w:vAlign w:val="center"/>
            <w:hideMark/>
          </w:tcPr>
          <w:p w14:paraId="542165A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25</w:t>
            </w:r>
          </w:p>
        </w:tc>
        <w:tc>
          <w:tcPr>
            <w:tcW w:w="773" w:type="dxa"/>
            <w:shd w:val="clear" w:color="auto" w:fill="C4EFCE"/>
            <w:noWrap/>
            <w:tcMar>
              <w:left w:w="28" w:type="dxa"/>
              <w:right w:w="28" w:type="dxa"/>
            </w:tcMar>
            <w:vAlign w:val="center"/>
            <w:hideMark/>
          </w:tcPr>
          <w:p w14:paraId="204665A2" w14:textId="66A6B81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34" w:type="dxa"/>
            <w:shd w:val="clear" w:color="auto" w:fill="C4EFCE"/>
            <w:noWrap/>
            <w:tcMar>
              <w:left w:w="28" w:type="dxa"/>
              <w:right w:w="28" w:type="dxa"/>
            </w:tcMar>
            <w:vAlign w:val="center"/>
            <w:hideMark/>
          </w:tcPr>
          <w:p w14:paraId="47B5ABC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58" w:type="dxa"/>
            <w:shd w:val="clear" w:color="auto" w:fill="C4EFCE"/>
            <w:tcMar>
              <w:left w:w="28" w:type="dxa"/>
              <w:right w:w="28" w:type="dxa"/>
            </w:tcMar>
            <w:vAlign w:val="center"/>
            <w:hideMark/>
          </w:tcPr>
          <w:p w14:paraId="18DEC9B9" w14:textId="0D7795EC"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služieb, ktoré sú zaznamenané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rozšírenom katalógu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služieb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sú dostupné prostredníctvom viacerých kanálov: jednotný portál digitálnych služieb, kontaktné centrum, </w:t>
            </w:r>
            <w:r w:rsidRPr="003F23AC">
              <w:rPr>
                <w:rFonts w:ascii="Times New Roman" w:hAnsi="Times New Roman" w:cs="Times New Roman"/>
                <w:i/>
                <w:noProof/>
                <w:lang w:val="sk-SK"/>
              </w:rPr>
              <w:t>Lojas do Cidadão</w:t>
            </w:r>
            <w:r w:rsidRPr="003F23AC">
              <w:rPr>
                <w:rFonts w:ascii="Times New Roman" w:hAnsi="Times New Roman" w:cs="Times New Roman"/>
                <w:noProof/>
                <w:lang w:val="sk-SK"/>
              </w:rPr>
              <w:t xml:space="preserve"> / </w:t>
            </w:r>
            <w:r w:rsidRPr="003F23AC">
              <w:rPr>
                <w:rFonts w:ascii="Times New Roman" w:hAnsi="Times New Roman" w:cs="Times New Roman"/>
                <w:i/>
                <w:noProof/>
                <w:lang w:val="sk-SK"/>
              </w:rPr>
              <w:t>Espaços Cidadão</w:t>
            </w:r>
            <w:r w:rsidR="00A75B3C" w:rsidRPr="003F23AC">
              <w:rPr>
                <w:rFonts w:ascii="Times New Roman" w:hAnsi="Times New Roman" w:cs="Times New Roman"/>
                <w:noProof/>
                <w:lang w:val="sk-SK"/>
              </w:rPr>
              <w:t>.</w:t>
            </w:r>
          </w:p>
          <w:p w14:paraId="1F8BC66A" w14:textId="517425D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Tento ukazovateľ znamená prepracovanie týchto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 so zásadou „jedenkrát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ich sprístupnenie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omnikannelového prístupu.</w:t>
            </w:r>
          </w:p>
        </w:tc>
      </w:tr>
      <w:tr w:rsidR="008E475E" w:rsidRPr="003F23AC" w14:paraId="27972876" w14:textId="77777777" w:rsidTr="008E475E">
        <w:trPr>
          <w:trHeight w:val="290"/>
        </w:trPr>
        <w:tc>
          <w:tcPr>
            <w:tcW w:w="1059" w:type="dxa"/>
            <w:shd w:val="clear" w:color="auto" w:fill="C4EFCE"/>
            <w:tcMar>
              <w:left w:w="28" w:type="dxa"/>
              <w:right w:w="28" w:type="dxa"/>
            </w:tcMar>
            <w:vAlign w:val="center"/>
            <w:hideMark/>
          </w:tcPr>
          <w:p w14:paraId="0B0D05C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19.3</w:t>
            </w:r>
          </w:p>
        </w:tc>
        <w:tc>
          <w:tcPr>
            <w:tcW w:w="1185" w:type="dxa"/>
            <w:shd w:val="clear" w:color="auto" w:fill="C4EFCE"/>
            <w:noWrap/>
            <w:tcMar>
              <w:left w:w="28" w:type="dxa"/>
              <w:right w:w="28" w:type="dxa"/>
            </w:tcMar>
            <w:vAlign w:val="center"/>
            <w:hideMark/>
          </w:tcPr>
          <w:p w14:paraId="0DA2F71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TD-C19-i01</w:t>
            </w:r>
          </w:p>
        </w:tc>
        <w:tc>
          <w:tcPr>
            <w:tcW w:w="1057" w:type="dxa"/>
            <w:shd w:val="clear" w:color="auto" w:fill="C4EFCE"/>
            <w:noWrap/>
            <w:tcMar>
              <w:left w:w="28" w:type="dxa"/>
              <w:right w:w="28" w:type="dxa"/>
            </w:tcMar>
            <w:vAlign w:val="center"/>
            <w:hideMark/>
          </w:tcPr>
          <w:p w14:paraId="3FEDE5E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hideMark/>
          </w:tcPr>
          <w:p w14:paraId="2499245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Zavedený nový model konzulárneho riadenia</w:t>
            </w:r>
          </w:p>
        </w:tc>
        <w:tc>
          <w:tcPr>
            <w:tcW w:w="1314" w:type="dxa"/>
            <w:shd w:val="clear" w:color="auto" w:fill="C4EFCE"/>
            <w:noWrap/>
            <w:tcMar>
              <w:left w:w="28" w:type="dxa"/>
              <w:right w:w="28" w:type="dxa"/>
            </w:tcMar>
            <w:vAlign w:val="center"/>
            <w:hideMark/>
          </w:tcPr>
          <w:p w14:paraId="221340B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Zavedený nový model konzulárneho riadenia</w:t>
            </w:r>
          </w:p>
        </w:tc>
        <w:tc>
          <w:tcPr>
            <w:tcW w:w="1110" w:type="dxa"/>
            <w:shd w:val="clear" w:color="auto" w:fill="C4EFCE"/>
            <w:noWrap/>
            <w:tcMar>
              <w:left w:w="28" w:type="dxa"/>
              <w:right w:w="28" w:type="dxa"/>
            </w:tcMar>
            <w:vAlign w:val="center"/>
            <w:hideMark/>
          </w:tcPr>
          <w:p w14:paraId="57A5BD8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70" w:type="dxa"/>
            <w:shd w:val="clear" w:color="auto" w:fill="C4EFCE"/>
            <w:noWrap/>
            <w:tcMar>
              <w:left w:w="28" w:type="dxa"/>
              <w:right w:w="28" w:type="dxa"/>
            </w:tcMar>
            <w:vAlign w:val="center"/>
            <w:hideMark/>
          </w:tcPr>
          <w:p w14:paraId="0C64240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25" w:type="dxa"/>
            <w:shd w:val="clear" w:color="auto" w:fill="C4EFCE"/>
            <w:noWrap/>
            <w:tcMar>
              <w:left w:w="28" w:type="dxa"/>
              <w:right w:w="28" w:type="dxa"/>
            </w:tcMar>
            <w:vAlign w:val="center"/>
            <w:hideMark/>
          </w:tcPr>
          <w:p w14:paraId="78C8024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noWrap/>
            <w:tcMar>
              <w:left w:w="28" w:type="dxa"/>
              <w:right w:w="28" w:type="dxa"/>
            </w:tcMar>
            <w:vAlign w:val="center"/>
            <w:hideMark/>
          </w:tcPr>
          <w:p w14:paraId="2C0C4BCA" w14:textId="636DDB6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34" w:type="dxa"/>
            <w:shd w:val="clear" w:color="auto" w:fill="C4EFCE"/>
            <w:noWrap/>
            <w:tcMar>
              <w:left w:w="28" w:type="dxa"/>
              <w:right w:w="28" w:type="dxa"/>
            </w:tcMar>
            <w:vAlign w:val="center"/>
            <w:hideMark/>
          </w:tcPr>
          <w:p w14:paraId="6EC450B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58" w:type="dxa"/>
            <w:shd w:val="clear" w:color="auto" w:fill="C4EFCE"/>
            <w:tcMar>
              <w:left w:w="28" w:type="dxa"/>
              <w:right w:w="28" w:type="dxa"/>
            </w:tcMar>
            <w:vAlign w:val="center"/>
            <w:hideMark/>
          </w:tcPr>
          <w:p w14:paraId="5627F58E"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Úplné vykonávanie nového modelu riadenia konzulárnych úradov</w:t>
            </w:r>
            <w:r w:rsidR="00A75B3C" w:rsidRPr="003F23AC">
              <w:rPr>
                <w:rFonts w:ascii="Times New Roman" w:hAnsi="Times New Roman" w:cs="Times New Roman"/>
                <w:noProof/>
                <w:lang w:val="sk-SK"/>
              </w:rPr>
              <w:t>:</w:t>
            </w:r>
          </w:p>
          <w:p w14:paraId="3ABAD7E4" w14:textId="2FCFED86"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I) dematerializované konzulárne služby sprístupnené štátnym príslušníkom/neštátnym príslušníkom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zahraničí, pričom 80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služieb poskytovaných ministerstvom zahraničných vecí digitalizovalo</w:t>
            </w:r>
            <w:r w:rsidR="00A75B3C" w:rsidRPr="003F23AC">
              <w:rPr>
                <w:rFonts w:ascii="Times New Roman" w:hAnsi="Times New Roman" w:cs="Times New Roman"/>
                <w:noProof/>
                <w:lang w:val="sk-SK"/>
              </w:rPr>
              <w:t>;</w:t>
            </w:r>
          </w:p>
          <w:p w14:paraId="7C5A19A7" w14:textId="365D4E3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II) </w:t>
            </w:r>
            <w:r w:rsidRPr="003F23AC">
              <w:rPr>
                <w:rFonts w:ascii="Times New Roman" w:hAnsi="Times New Roman" w:cs="Times New Roman"/>
                <w:i/>
                <w:noProof/>
                <w:lang w:val="sk-SK"/>
              </w:rPr>
              <w:t>konzulárne fungovanie Centro de Atendimento</w:t>
            </w:r>
            <w:r w:rsidRPr="003F23AC">
              <w:rPr>
                <w:rFonts w:ascii="Times New Roman" w:hAnsi="Times New Roman" w:cs="Times New Roman"/>
                <w:noProof/>
                <w:lang w:val="sk-SK"/>
              </w:rPr>
              <w:t>, ktoré je</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dispozícii aspoň</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15 krajinách.</w:t>
            </w:r>
          </w:p>
        </w:tc>
      </w:tr>
      <w:tr w:rsidR="008E475E" w:rsidRPr="003F23AC" w14:paraId="42D2A359" w14:textId="77777777" w:rsidTr="008E475E">
        <w:trPr>
          <w:trHeight w:val="290"/>
        </w:trPr>
        <w:tc>
          <w:tcPr>
            <w:tcW w:w="1059" w:type="dxa"/>
            <w:shd w:val="clear" w:color="auto" w:fill="C4EFCE"/>
            <w:tcMar>
              <w:left w:w="28" w:type="dxa"/>
              <w:right w:w="28" w:type="dxa"/>
            </w:tcMar>
            <w:vAlign w:val="center"/>
          </w:tcPr>
          <w:p w14:paraId="4C161EC7" w14:textId="4D567DD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19.25</w:t>
            </w:r>
          </w:p>
        </w:tc>
        <w:tc>
          <w:tcPr>
            <w:tcW w:w="1185" w:type="dxa"/>
            <w:shd w:val="clear" w:color="auto" w:fill="C4EFCE"/>
            <w:noWrap/>
            <w:tcMar>
              <w:left w:w="28" w:type="dxa"/>
              <w:right w:w="28" w:type="dxa"/>
            </w:tcMar>
            <w:vAlign w:val="center"/>
          </w:tcPr>
          <w:p w14:paraId="07A7A65E" w14:textId="3F4583C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TD-C19-i01</w:t>
            </w:r>
          </w:p>
        </w:tc>
        <w:tc>
          <w:tcPr>
            <w:tcW w:w="1057" w:type="dxa"/>
            <w:shd w:val="clear" w:color="auto" w:fill="C4EFCE"/>
            <w:noWrap/>
            <w:tcMar>
              <w:left w:w="28" w:type="dxa"/>
              <w:right w:w="28" w:type="dxa"/>
            </w:tcMar>
            <w:vAlign w:val="center"/>
          </w:tcPr>
          <w:p w14:paraId="45A6111B" w14:textId="49684DB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tcPr>
          <w:p w14:paraId="0EEB120D" w14:textId="7F580D5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protokolov na zriadenie nových obchodov pre občanov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priestorov pre občanov</w:t>
            </w:r>
          </w:p>
        </w:tc>
        <w:tc>
          <w:tcPr>
            <w:tcW w:w="1314" w:type="dxa"/>
            <w:shd w:val="clear" w:color="auto" w:fill="C4EFCE"/>
            <w:noWrap/>
            <w:tcMar>
              <w:left w:w="28" w:type="dxa"/>
              <w:right w:w="28" w:type="dxa"/>
            </w:tcMar>
            <w:vAlign w:val="center"/>
          </w:tcPr>
          <w:p w14:paraId="6B203D02" w14:textId="3253C7C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Podpísané protokoly</w:t>
            </w:r>
          </w:p>
        </w:tc>
        <w:tc>
          <w:tcPr>
            <w:tcW w:w="1110" w:type="dxa"/>
            <w:shd w:val="clear" w:color="auto" w:fill="C4EFCE"/>
            <w:noWrap/>
            <w:tcMar>
              <w:left w:w="28" w:type="dxa"/>
              <w:right w:w="28" w:type="dxa"/>
            </w:tcMar>
            <w:vAlign w:val="center"/>
          </w:tcPr>
          <w:p w14:paraId="4ED17015" w14:textId="57284CD9"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70" w:type="dxa"/>
            <w:shd w:val="clear" w:color="auto" w:fill="C4EFCE"/>
            <w:noWrap/>
            <w:tcMar>
              <w:left w:w="28" w:type="dxa"/>
              <w:right w:w="28" w:type="dxa"/>
            </w:tcMar>
            <w:vAlign w:val="center"/>
          </w:tcPr>
          <w:p w14:paraId="53C5C74B" w14:textId="638C6428"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25" w:type="dxa"/>
            <w:shd w:val="clear" w:color="auto" w:fill="C4EFCE"/>
            <w:noWrap/>
            <w:tcMar>
              <w:left w:w="28" w:type="dxa"/>
              <w:right w:w="28" w:type="dxa"/>
            </w:tcMar>
            <w:vAlign w:val="center"/>
          </w:tcPr>
          <w:p w14:paraId="657B7723" w14:textId="6009BCC2"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3" w:type="dxa"/>
            <w:shd w:val="clear" w:color="auto" w:fill="C4EFCE"/>
            <w:noWrap/>
            <w:tcMar>
              <w:left w:w="28" w:type="dxa"/>
              <w:right w:w="28" w:type="dxa"/>
            </w:tcMar>
            <w:vAlign w:val="center"/>
          </w:tcPr>
          <w:p w14:paraId="4C967353" w14:textId="3D1DC62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34" w:type="dxa"/>
            <w:shd w:val="clear" w:color="auto" w:fill="C4EFCE"/>
            <w:noWrap/>
            <w:tcMar>
              <w:left w:w="28" w:type="dxa"/>
              <w:right w:w="28" w:type="dxa"/>
            </w:tcMar>
            <w:vAlign w:val="center"/>
          </w:tcPr>
          <w:p w14:paraId="42D3096C" w14:textId="45ACD52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358" w:type="dxa"/>
            <w:shd w:val="clear" w:color="auto" w:fill="C4EFCE"/>
            <w:tcMar>
              <w:left w:w="28" w:type="dxa"/>
              <w:right w:w="28" w:type="dxa"/>
            </w:tcMar>
            <w:vAlign w:val="center"/>
          </w:tcPr>
          <w:p w14:paraId="351D5F02" w14:textId="29E501F6" w:rsidR="00387C70" w:rsidRPr="003F23AC" w:rsidRDefault="000F5AA4" w:rsidP="003F23AC">
            <w:pPr>
              <w:pStyle w:val="P68B1DB1-Normal8"/>
              <w:spacing w:after="0" w:line="240" w:lineRule="auto"/>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protokolov na zriadenie 31 nových obchodov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občanmi (</w:t>
            </w:r>
            <w:r w:rsidRPr="003F23AC">
              <w:rPr>
                <w:rFonts w:ascii="Times New Roman" w:hAnsi="Times New Roman" w:cs="Times New Roman"/>
                <w:i/>
                <w:noProof/>
                <w:lang w:val="sk-SK"/>
              </w:rPr>
              <w:t>Lojas de Cidadão</w:t>
            </w:r>
            <w:r w:rsidRPr="003F23AC">
              <w:rPr>
                <w:rFonts w:ascii="Times New Roman" w:hAnsi="Times New Roman" w:cs="Times New Roman"/>
                <w:noProof/>
                <w:lang w:val="sk-SK"/>
              </w:rPr>
              <w: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400 nových priestorov pre občanov (</w:t>
            </w:r>
            <w:r w:rsidRPr="003F23AC">
              <w:rPr>
                <w:rFonts w:ascii="Times New Roman" w:hAnsi="Times New Roman" w:cs="Times New Roman"/>
                <w:i/>
                <w:noProof/>
                <w:lang w:val="sk-SK"/>
              </w:rPr>
              <w:t>Espaços Cidadão</w:t>
            </w:r>
            <w:r w:rsidRPr="003F23AC">
              <w:rPr>
                <w:rFonts w:ascii="Times New Roman" w:hAnsi="Times New Roman" w:cs="Times New Roman"/>
                <w:noProof/>
                <w:lang w:val="sk-SK"/>
              </w:rPr>
              <w:t>)</w:t>
            </w:r>
          </w:p>
        </w:tc>
      </w:tr>
      <w:tr w:rsidR="008E475E" w:rsidRPr="003F23AC" w14:paraId="408CD92E" w14:textId="77777777" w:rsidTr="008E475E">
        <w:trPr>
          <w:trHeight w:val="290"/>
        </w:trPr>
        <w:tc>
          <w:tcPr>
            <w:tcW w:w="1059" w:type="dxa"/>
            <w:shd w:val="clear" w:color="auto" w:fill="C4EFCE"/>
            <w:tcMar>
              <w:left w:w="28" w:type="dxa"/>
              <w:right w:w="28" w:type="dxa"/>
            </w:tcMar>
            <w:vAlign w:val="center"/>
          </w:tcPr>
          <w:p w14:paraId="641766AF" w14:textId="4D443BCF"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19.26</w:t>
            </w:r>
          </w:p>
        </w:tc>
        <w:tc>
          <w:tcPr>
            <w:tcW w:w="1185" w:type="dxa"/>
            <w:shd w:val="clear" w:color="auto" w:fill="C4EFCE"/>
            <w:noWrap/>
            <w:tcMar>
              <w:left w:w="28" w:type="dxa"/>
              <w:right w:w="28" w:type="dxa"/>
            </w:tcMar>
            <w:vAlign w:val="center"/>
          </w:tcPr>
          <w:p w14:paraId="70CB2BFA" w14:textId="4DB762B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TD-C19-i01</w:t>
            </w:r>
          </w:p>
        </w:tc>
        <w:tc>
          <w:tcPr>
            <w:tcW w:w="1057" w:type="dxa"/>
            <w:shd w:val="clear" w:color="auto" w:fill="C4EFCE"/>
            <w:noWrap/>
            <w:tcMar>
              <w:left w:w="28" w:type="dxa"/>
              <w:right w:w="28" w:type="dxa"/>
            </w:tcMar>
            <w:vAlign w:val="center"/>
          </w:tcPr>
          <w:p w14:paraId="3D62FEF2" w14:textId="5C15BDB1"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74" w:type="dxa"/>
            <w:shd w:val="clear" w:color="auto" w:fill="C4EFCE"/>
            <w:noWrap/>
            <w:tcMar>
              <w:left w:w="28" w:type="dxa"/>
              <w:right w:w="28" w:type="dxa"/>
            </w:tcMar>
            <w:vAlign w:val="center"/>
          </w:tcPr>
          <w:p w14:paraId="19DB5DC3" w14:textId="108EA15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Fungujú nové obchody pre občanov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priestory pre občanov. </w:t>
            </w:r>
          </w:p>
        </w:tc>
        <w:tc>
          <w:tcPr>
            <w:tcW w:w="1314" w:type="dxa"/>
            <w:shd w:val="clear" w:color="auto" w:fill="C4EFCE"/>
            <w:noWrap/>
            <w:tcMar>
              <w:left w:w="28" w:type="dxa"/>
              <w:right w:w="28" w:type="dxa"/>
            </w:tcMar>
            <w:vAlign w:val="center"/>
          </w:tcPr>
          <w:p w14:paraId="0FA8BF22"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1110" w:type="dxa"/>
            <w:shd w:val="clear" w:color="auto" w:fill="C4EFCE"/>
            <w:noWrap/>
            <w:tcMar>
              <w:left w:w="28" w:type="dxa"/>
              <w:right w:w="28" w:type="dxa"/>
            </w:tcMar>
            <w:vAlign w:val="center"/>
          </w:tcPr>
          <w:p w14:paraId="57B94528" w14:textId="683E09C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70" w:type="dxa"/>
            <w:shd w:val="clear" w:color="auto" w:fill="C4EFCE"/>
            <w:noWrap/>
            <w:tcMar>
              <w:left w:w="28" w:type="dxa"/>
              <w:right w:w="28" w:type="dxa"/>
            </w:tcMar>
            <w:vAlign w:val="center"/>
          </w:tcPr>
          <w:p w14:paraId="799EE625" w14:textId="2F093CB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5" w:type="dxa"/>
            <w:shd w:val="clear" w:color="auto" w:fill="C4EFCE"/>
            <w:noWrap/>
            <w:tcMar>
              <w:left w:w="28" w:type="dxa"/>
              <w:right w:w="28" w:type="dxa"/>
            </w:tcMar>
            <w:vAlign w:val="center"/>
          </w:tcPr>
          <w:p w14:paraId="5FF018BE" w14:textId="106AAE7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431</w:t>
            </w:r>
          </w:p>
        </w:tc>
        <w:tc>
          <w:tcPr>
            <w:tcW w:w="773" w:type="dxa"/>
            <w:shd w:val="clear" w:color="auto" w:fill="C4EFCE"/>
            <w:noWrap/>
            <w:tcMar>
              <w:left w:w="28" w:type="dxa"/>
              <w:right w:w="28" w:type="dxa"/>
            </w:tcMar>
            <w:vAlign w:val="center"/>
          </w:tcPr>
          <w:p w14:paraId="18F2223E" w14:textId="31A94A4C"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34" w:type="dxa"/>
            <w:shd w:val="clear" w:color="auto" w:fill="C4EFCE"/>
            <w:noWrap/>
            <w:tcMar>
              <w:left w:w="28" w:type="dxa"/>
              <w:right w:w="28" w:type="dxa"/>
            </w:tcMar>
            <w:vAlign w:val="center"/>
          </w:tcPr>
          <w:p w14:paraId="1C18699C" w14:textId="56F5190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58" w:type="dxa"/>
            <w:shd w:val="clear" w:color="auto" w:fill="C4EFCE"/>
            <w:tcMar>
              <w:left w:w="28" w:type="dxa"/>
              <w:right w:w="28" w:type="dxa"/>
            </w:tcMar>
            <w:vAlign w:val="center"/>
          </w:tcPr>
          <w:p w14:paraId="704EE255" w14:textId="08831F46" w:rsidR="00A75B3C" w:rsidRPr="003F23AC" w:rsidRDefault="000F5AA4" w:rsidP="003F23AC">
            <w:pPr>
              <w:pStyle w:val="P68B1DB1-Normal8"/>
              <w:spacing w:line="240" w:lineRule="auto"/>
              <w:rPr>
                <w:rFonts w:ascii="Times New Roman" w:hAnsi="Times New Roman" w:cs="Times New Roman"/>
                <w:noProof/>
                <w:lang w:val="sk-SK"/>
              </w:rPr>
            </w:pPr>
            <w:r w:rsidRPr="003F23AC">
              <w:rPr>
                <w:rFonts w:ascii="Times New Roman" w:hAnsi="Times New Roman" w:cs="Times New Roman"/>
                <w:noProof/>
                <w:lang w:val="sk-SK"/>
              </w:rPr>
              <w:t>V prevádzke je 31 nových obchodov pre občanov (</w:t>
            </w:r>
            <w:r w:rsidRPr="003F23AC">
              <w:rPr>
                <w:rFonts w:ascii="Times New Roman" w:hAnsi="Times New Roman" w:cs="Times New Roman"/>
                <w:i/>
                <w:noProof/>
                <w:lang w:val="sk-SK"/>
              </w:rPr>
              <w:t>Lojas de Cidadão</w:t>
            </w:r>
            <w:r w:rsidRPr="003F23AC">
              <w:rPr>
                <w:rFonts w:ascii="Times New Roman" w:hAnsi="Times New Roman" w:cs="Times New Roman"/>
                <w:noProof/>
                <w:lang w:val="sk-SK"/>
              </w:rPr>
              <w: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400 nových priestorov pre občanov (</w:t>
            </w:r>
            <w:r w:rsidRPr="003F23AC">
              <w:rPr>
                <w:rFonts w:ascii="Times New Roman" w:hAnsi="Times New Roman" w:cs="Times New Roman"/>
                <w:i/>
                <w:noProof/>
                <w:lang w:val="sk-SK"/>
              </w:rPr>
              <w:t>Espaços Cidadão</w:t>
            </w:r>
            <w:r w:rsidRPr="003F23AC">
              <w:rPr>
                <w:rFonts w:ascii="Times New Roman" w:hAnsi="Times New Roman" w:cs="Times New Roman"/>
                <w:noProof/>
                <w:lang w:val="sk-SK"/>
              </w:rPr>
              <w:t>)</w:t>
            </w:r>
            <w:r w:rsidR="00A75B3C" w:rsidRPr="003F23AC">
              <w:rPr>
                <w:rFonts w:ascii="Times New Roman" w:hAnsi="Times New Roman" w:cs="Times New Roman"/>
                <w:noProof/>
                <w:lang w:val="sk-SK"/>
              </w:rPr>
              <w:t>.</w:t>
            </w:r>
          </w:p>
          <w:p w14:paraId="6F984B47" w14:textId="344FBCE9" w:rsidR="00387C70" w:rsidRPr="003F23AC" w:rsidRDefault="000F5AA4" w:rsidP="003F23AC">
            <w:pPr>
              <w:pStyle w:val="P68B1DB1-Normal8"/>
              <w:spacing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Nové budovy musia mať potreby primárnej energie aspoň</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20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nižšie ako norma pre budovy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takmer nulovou spotrebou energie.</w:t>
            </w:r>
          </w:p>
        </w:tc>
      </w:tr>
      <w:tr w:rsidR="008E475E" w:rsidRPr="003F23AC" w14:paraId="20304CE4" w14:textId="77777777" w:rsidTr="008E475E">
        <w:trPr>
          <w:trHeight w:val="290"/>
        </w:trPr>
        <w:tc>
          <w:tcPr>
            <w:tcW w:w="1059" w:type="dxa"/>
            <w:shd w:val="clear" w:color="auto" w:fill="C4EFCE"/>
            <w:tcMar>
              <w:left w:w="28" w:type="dxa"/>
              <w:right w:w="28" w:type="dxa"/>
            </w:tcMar>
            <w:vAlign w:val="center"/>
          </w:tcPr>
          <w:p w14:paraId="3F6EF73B" w14:textId="54A6CD7F"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19.27</w:t>
            </w:r>
          </w:p>
        </w:tc>
        <w:tc>
          <w:tcPr>
            <w:tcW w:w="1185" w:type="dxa"/>
            <w:shd w:val="clear" w:color="auto" w:fill="C4EFCE"/>
            <w:noWrap/>
            <w:tcMar>
              <w:left w:w="28" w:type="dxa"/>
              <w:right w:w="28" w:type="dxa"/>
            </w:tcMar>
            <w:vAlign w:val="center"/>
          </w:tcPr>
          <w:p w14:paraId="1F0F77AA" w14:textId="41ECE9F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TD-C19-i01</w:t>
            </w:r>
          </w:p>
        </w:tc>
        <w:tc>
          <w:tcPr>
            <w:tcW w:w="1057" w:type="dxa"/>
            <w:shd w:val="clear" w:color="auto" w:fill="C4EFCE"/>
            <w:noWrap/>
            <w:tcMar>
              <w:left w:w="28" w:type="dxa"/>
              <w:right w:w="28" w:type="dxa"/>
            </w:tcMar>
            <w:vAlign w:val="center"/>
          </w:tcPr>
          <w:p w14:paraId="2F6E7772" w14:textId="2F3A24BB"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74" w:type="dxa"/>
            <w:shd w:val="clear" w:color="auto" w:fill="C4EFCE"/>
            <w:noWrap/>
            <w:tcMar>
              <w:left w:w="28" w:type="dxa"/>
              <w:right w:w="28" w:type="dxa"/>
            </w:tcMar>
            <w:vAlign w:val="center"/>
          </w:tcPr>
          <w:p w14:paraId="3BE91D37" w14:textId="3B8C1000" w:rsidR="00387C70" w:rsidRPr="003F23AC" w:rsidRDefault="000F5AA4" w:rsidP="003F23AC">
            <w:pPr>
              <w:pStyle w:val="P68B1DB1-Normal8"/>
              <w:spacing w:after="0" w:line="240" w:lineRule="auto"/>
              <w:jc w:val="center"/>
              <w:rPr>
                <w:rFonts w:ascii="Times New Roman" w:eastAsia="Arial" w:hAnsi="Times New Roman" w:cs="Times New Roman"/>
                <w:noProof/>
                <w:sz w:val="15"/>
                <w:lang w:val="sk-SK"/>
              </w:rPr>
            </w:pPr>
            <w:r w:rsidRPr="003F23AC">
              <w:rPr>
                <w:rFonts w:ascii="Times New Roman" w:hAnsi="Times New Roman" w:cs="Times New Roman"/>
                <w:noProof/>
                <w:lang w:val="sk-SK"/>
              </w:rPr>
              <w:t>Žiadosť občanov</w:t>
            </w:r>
          </w:p>
        </w:tc>
        <w:tc>
          <w:tcPr>
            <w:tcW w:w="1314" w:type="dxa"/>
            <w:shd w:val="clear" w:color="auto" w:fill="C4EFCE"/>
            <w:noWrap/>
            <w:tcMar>
              <w:left w:w="28" w:type="dxa"/>
              <w:right w:w="28" w:type="dxa"/>
            </w:tcMar>
            <w:vAlign w:val="center"/>
          </w:tcPr>
          <w:p w14:paraId="7912A7C9" w14:textId="336432D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Spustenie aplikácie pre občanov</w:t>
            </w:r>
          </w:p>
        </w:tc>
        <w:tc>
          <w:tcPr>
            <w:tcW w:w="1110" w:type="dxa"/>
            <w:shd w:val="clear" w:color="auto" w:fill="C4EFCE"/>
            <w:noWrap/>
            <w:tcMar>
              <w:left w:w="28" w:type="dxa"/>
              <w:right w:w="28" w:type="dxa"/>
            </w:tcMar>
            <w:vAlign w:val="center"/>
          </w:tcPr>
          <w:p w14:paraId="5BBBBDEF"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70" w:type="dxa"/>
            <w:shd w:val="clear" w:color="auto" w:fill="C4EFCE"/>
            <w:noWrap/>
            <w:tcMar>
              <w:left w:w="28" w:type="dxa"/>
              <w:right w:w="28" w:type="dxa"/>
            </w:tcMar>
            <w:vAlign w:val="center"/>
          </w:tcPr>
          <w:p w14:paraId="4C7253AA"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25" w:type="dxa"/>
            <w:shd w:val="clear" w:color="auto" w:fill="C4EFCE"/>
            <w:noWrap/>
            <w:tcMar>
              <w:left w:w="28" w:type="dxa"/>
              <w:right w:w="28" w:type="dxa"/>
            </w:tcMar>
            <w:vAlign w:val="center"/>
          </w:tcPr>
          <w:p w14:paraId="5900726E"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3" w:type="dxa"/>
            <w:shd w:val="clear" w:color="auto" w:fill="C4EFCE"/>
            <w:noWrap/>
            <w:tcMar>
              <w:left w:w="28" w:type="dxa"/>
              <w:right w:w="28" w:type="dxa"/>
            </w:tcMar>
            <w:vAlign w:val="center"/>
          </w:tcPr>
          <w:p w14:paraId="0132BF5B" w14:textId="186D9ADE"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34" w:type="dxa"/>
            <w:shd w:val="clear" w:color="auto" w:fill="C4EFCE"/>
            <w:noWrap/>
            <w:tcMar>
              <w:left w:w="28" w:type="dxa"/>
              <w:right w:w="28" w:type="dxa"/>
            </w:tcMar>
            <w:vAlign w:val="center"/>
          </w:tcPr>
          <w:p w14:paraId="12E3ADEC" w14:textId="0B99F5D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58" w:type="dxa"/>
            <w:shd w:val="clear" w:color="auto" w:fill="C4EFCE"/>
            <w:tcMar>
              <w:left w:w="28" w:type="dxa"/>
              <w:right w:w="28" w:type="dxa"/>
            </w:tcMar>
            <w:vAlign w:val="center"/>
          </w:tcPr>
          <w:p w14:paraId="4394027D" w14:textId="1E6D6471"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Spustenie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prevádzka aplikácie občanov. Aplikácia umožní používateľom digitálny 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najpopulárnejším verejným službám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iným funkciám (ako je platba za služby).</w:t>
            </w:r>
          </w:p>
        </w:tc>
      </w:tr>
      <w:tr w:rsidR="008E475E" w:rsidRPr="003F23AC" w14:paraId="4C5FE56E" w14:textId="77777777" w:rsidTr="008E475E">
        <w:trPr>
          <w:trHeight w:val="1460"/>
        </w:trPr>
        <w:tc>
          <w:tcPr>
            <w:tcW w:w="1059" w:type="dxa"/>
            <w:shd w:val="clear" w:color="auto" w:fill="C4EFCE"/>
            <w:tcMar>
              <w:left w:w="28" w:type="dxa"/>
              <w:right w:w="28" w:type="dxa"/>
            </w:tcMar>
            <w:vAlign w:val="center"/>
            <w:hideMark/>
          </w:tcPr>
          <w:p w14:paraId="056AA2D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19.4</w:t>
            </w:r>
          </w:p>
        </w:tc>
        <w:tc>
          <w:tcPr>
            <w:tcW w:w="1185" w:type="dxa"/>
            <w:shd w:val="clear" w:color="auto" w:fill="C4EFCE"/>
            <w:noWrap/>
            <w:tcMar>
              <w:left w:w="28" w:type="dxa"/>
              <w:right w:w="28" w:type="dxa"/>
            </w:tcMar>
            <w:vAlign w:val="center"/>
            <w:hideMark/>
          </w:tcPr>
          <w:p w14:paraId="66F6086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TD-C19-i02</w:t>
            </w:r>
          </w:p>
        </w:tc>
        <w:tc>
          <w:tcPr>
            <w:tcW w:w="1057" w:type="dxa"/>
            <w:shd w:val="clear" w:color="auto" w:fill="C4EFCE"/>
            <w:noWrap/>
            <w:tcMar>
              <w:left w:w="28" w:type="dxa"/>
              <w:right w:w="28" w:type="dxa"/>
            </w:tcMar>
            <w:vAlign w:val="center"/>
            <w:hideMark/>
          </w:tcPr>
          <w:p w14:paraId="07ADC372" w14:textId="66944D65"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74" w:type="dxa"/>
            <w:shd w:val="clear" w:color="auto" w:fill="C4EFCE"/>
            <w:noWrap/>
            <w:tcMar>
              <w:left w:w="28" w:type="dxa"/>
              <w:right w:w="28" w:type="dxa"/>
            </w:tcMar>
            <w:vAlign w:val="center"/>
            <w:hideMark/>
          </w:tcPr>
          <w:p w14:paraId="302FA656" w14:textId="0DD1914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Verejné služby bezpečne prístupné prostredníctvom elektronickej identity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rešpektujúce zásadu „jedenkrát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dosť“</w:t>
            </w:r>
          </w:p>
        </w:tc>
        <w:tc>
          <w:tcPr>
            <w:tcW w:w="1314" w:type="dxa"/>
            <w:shd w:val="clear" w:color="auto" w:fill="C4EFCE"/>
            <w:noWrap/>
            <w:tcMar>
              <w:left w:w="28" w:type="dxa"/>
              <w:right w:w="28" w:type="dxa"/>
            </w:tcMar>
            <w:vAlign w:val="center"/>
            <w:hideMark/>
          </w:tcPr>
          <w:p w14:paraId="2F0CF46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10" w:type="dxa"/>
            <w:shd w:val="clear" w:color="auto" w:fill="C4EFCE"/>
            <w:noWrap/>
            <w:tcMar>
              <w:left w:w="28" w:type="dxa"/>
              <w:right w:w="28" w:type="dxa"/>
            </w:tcMar>
            <w:vAlign w:val="center"/>
            <w:hideMark/>
          </w:tcPr>
          <w:p w14:paraId="1F07FD7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70" w:type="dxa"/>
            <w:shd w:val="clear" w:color="auto" w:fill="C4EFCE"/>
            <w:noWrap/>
            <w:tcMar>
              <w:left w:w="28" w:type="dxa"/>
              <w:right w:w="28" w:type="dxa"/>
            </w:tcMar>
            <w:vAlign w:val="center"/>
            <w:hideMark/>
          </w:tcPr>
          <w:p w14:paraId="10946C7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5" w:type="dxa"/>
            <w:shd w:val="clear" w:color="auto" w:fill="C4EFCE"/>
            <w:noWrap/>
            <w:tcMar>
              <w:left w:w="28" w:type="dxa"/>
              <w:right w:w="28" w:type="dxa"/>
            </w:tcMar>
            <w:vAlign w:val="center"/>
            <w:hideMark/>
          </w:tcPr>
          <w:p w14:paraId="2912ED9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w:t>
            </w:r>
          </w:p>
        </w:tc>
        <w:tc>
          <w:tcPr>
            <w:tcW w:w="773" w:type="dxa"/>
            <w:shd w:val="clear" w:color="auto" w:fill="C4EFCE"/>
            <w:noWrap/>
            <w:tcMar>
              <w:left w:w="28" w:type="dxa"/>
              <w:right w:w="28" w:type="dxa"/>
            </w:tcMar>
            <w:vAlign w:val="center"/>
            <w:hideMark/>
          </w:tcPr>
          <w:p w14:paraId="5630E509" w14:textId="7A45356C"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34" w:type="dxa"/>
            <w:shd w:val="clear" w:color="auto" w:fill="C4EFCE"/>
            <w:noWrap/>
            <w:tcMar>
              <w:left w:w="28" w:type="dxa"/>
              <w:right w:w="28" w:type="dxa"/>
            </w:tcMar>
            <w:vAlign w:val="center"/>
            <w:hideMark/>
          </w:tcPr>
          <w:p w14:paraId="2CCF72C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358" w:type="dxa"/>
            <w:shd w:val="clear" w:color="auto" w:fill="C4EFCE"/>
            <w:tcMar>
              <w:left w:w="28" w:type="dxa"/>
              <w:right w:w="28" w:type="dxa"/>
            </w:tcMar>
            <w:vAlign w:val="center"/>
            <w:hideMark/>
          </w:tcPr>
          <w:p w14:paraId="2D73BE7F" w14:textId="5F316140" w:rsidR="00387C70" w:rsidRPr="003F23AC" w:rsidRDefault="00485811" w:rsidP="003F23AC">
            <w:pPr>
              <w:pStyle w:val="P68B1DB1-Normal8"/>
              <w:spacing w:after="0" w:line="240" w:lineRule="auto"/>
              <w:jc w:val="both"/>
              <w:rPr>
                <w:rFonts w:ascii="Times New Roman" w:eastAsia="Times New Roman" w:hAnsi="Times New Roman" w:cs="Times New Roman"/>
                <w:noProof/>
                <w:lang w:val="sk-SK"/>
              </w:rPr>
            </w:pPr>
            <w:hyperlink r:id="rId348" w:history="1">
              <w:r w:rsidR="000F5AA4" w:rsidRPr="003F23AC">
                <w:rPr>
                  <w:rFonts w:ascii="Times New Roman" w:hAnsi="Times New Roman" w:cs="Times New Roman"/>
                  <w:noProof/>
                  <w:lang w:val="sk-SK"/>
                </w:rPr>
                <w:t>Počet digitálnych verejných služieb dostupných občanom</w:t>
              </w:r>
              <w:r w:rsidR="00A75B3C" w:rsidRPr="003F23AC">
                <w:rPr>
                  <w:rFonts w:ascii="Times New Roman" w:hAnsi="Times New Roman" w:cs="Times New Roman"/>
                  <w:noProof/>
                  <w:lang w:val="sk-SK"/>
                </w:rPr>
                <w:t xml:space="preserve"> a </w:t>
              </w:r>
              <w:r w:rsidR="000F5AA4" w:rsidRPr="003F23AC">
                <w:rPr>
                  <w:rFonts w:ascii="Times New Roman" w:hAnsi="Times New Roman" w:cs="Times New Roman"/>
                  <w:noProof/>
                  <w:lang w:val="sk-SK"/>
                </w:rPr>
                <w:t>podnikom, ktoré opätovne používajú údaje dostupné</w:t>
              </w:r>
              <w:r w:rsidR="00A75B3C" w:rsidRPr="003F23AC">
                <w:rPr>
                  <w:rFonts w:ascii="Times New Roman" w:hAnsi="Times New Roman" w:cs="Times New Roman"/>
                  <w:noProof/>
                  <w:lang w:val="sk-SK"/>
                </w:rPr>
                <w:t xml:space="preserve"> v </w:t>
              </w:r>
              <w:r w:rsidR="000F5AA4" w:rsidRPr="003F23AC">
                <w:rPr>
                  <w:rFonts w:ascii="Times New Roman" w:hAnsi="Times New Roman" w:cs="Times New Roman"/>
                  <w:noProof/>
                  <w:lang w:val="sk-SK"/>
                </w:rPr>
                <w:t>katalógu iAP (dostupný na iap.gov.pt), na ktoré sa vzťahuje elektronická identita (ak</w:t>
              </w:r>
              <w:r w:rsidR="00A75B3C" w:rsidRPr="003F23AC">
                <w:rPr>
                  <w:rFonts w:ascii="Times New Roman" w:hAnsi="Times New Roman" w:cs="Times New Roman"/>
                  <w:noProof/>
                  <w:lang w:val="sk-SK"/>
                </w:rPr>
                <w:t xml:space="preserve"> o </w:t>
              </w:r>
              <w:r w:rsidR="000F5AA4" w:rsidRPr="003F23AC">
                <w:rPr>
                  <w:rFonts w:ascii="Times New Roman" w:hAnsi="Times New Roman" w:cs="Times New Roman"/>
                  <w:noProof/>
                  <w:lang w:val="sk-SK"/>
                </w:rPr>
                <w:t>to útvary požiadajú)</w:t>
              </w:r>
              <w:r w:rsidR="00A75B3C" w:rsidRPr="003F23AC">
                <w:rPr>
                  <w:rFonts w:ascii="Times New Roman" w:hAnsi="Times New Roman" w:cs="Times New Roman"/>
                  <w:noProof/>
                  <w:lang w:val="sk-SK"/>
                </w:rPr>
                <w:t xml:space="preserve"> a </w:t>
              </w:r>
              <w:r w:rsidR="000F5AA4" w:rsidRPr="003F23AC">
                <w:rPr>
                  <w:rFonts w:ascii="Times New Roman" w:hAnsi="Times New Roman" w:cs="Times New Roman"/>
                  <w:noProof/>
                  <w:lang w:val="sk-SK"/>
                </w:rPr>
                <w:t>Systém na kontrolu osobných údajov vo verejnej správe,</w:t>
              </w:r>
              <w:r w:rsidR="00A75B3C" w:rsidRPr="003F23AC">
                <w:rPr>
                  <w:rFonts w:ascii="Times New Roman" w:hAnsi="Times New Roman" w:cs="Times New Roman"/>
                  <w:noProof/>
                  <w:lang w:val="sk-SK"/>
                </w:rPr>
                <w:t xml:space="preserve"> a </w:t>
              </w:r>
              <w:r w:rsidR="000F5AA4" w:rsidRPr="003F23AC">
                <w:rPr>
                  <w:rFonts w:ascii="Times New Roman" w:hAnsi="Times New Roman" w:cs="Times New Roman"/>
                  <w:noProof/>
                  <w:lang w:val="sk-SK"/>
                </w:rPr>
                <w:t>uverejňovanie otvorených údajov na stránke www.dados.gov.pt.</w:t>
              </w:r>
            </w:hyperlink>
          </w:p>
        </w:tc>
      </w:tr>
      <w:tr w:rsidR="008E475E" w:rsidRPr="003F23AC" w14:paraId="68FF8B70" w14:textId="77777777" w:rsidTr="008E475E">
        <w:trPr>
          <w:trHeight w:val="1460"/>
        </w:trPr>
        <w:tc>
          <w:tcPr>
            <w:tcW w:w="1059" w:type="dxa"/>
            <w:shd w:val="clear" w:color="auto" w:fill="C4EFCE"/>
            <w:tcMar>
              <w:left w:w="28" w:type="dxa"/>
              <w:right w:w="28" w:type="dxa"/>
            </w:tcMar>
            <w:vAlign w:val="center"/>
            <w:hideMark/>
          </w:tcPr>
          <w:p w14:paraId="15F177E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19.5</w:t>
            </w:r>
          </w:p>
        </w:tc>
        <w:tc>
          <w:tcPr>
            <w:tcW w:w="1185" w:type="dxa"/>
            <w:shd w:val="clear" w:color="auto" w:fill="C4EFCE"/>
            <w:noWrap/>
            <w:tcMar>
              <w:left w:w="28" w:type="dxa"/>
              <w:right w:w="28" w:type="dxa"/>
            </w:tcMar>
            <w:vAlign w:val="center"/>
            <w:hideMark/>
          </w:tcPr>
          <w:p w14:paraId="6B9131E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TD-C19-i02</w:t>
            </w:r>
          </w:p>
        </w:tc>
        <w:tc>
          <w:tcPr>
            <w:tcW w:w="1057" w:type="dxa"/>
            <w:shd w:val="clear" w:color="auto" w:fill="C4EFCE"/>
            <w:noWrap/>
            <w:tcMar>
              <w:left w:w="28" w:type="dxa"/>
              <w:right w:w="28" w:type="dxa"/>
            </w:tcMar>
            <w:vAlign w:val="center"/>
            <w:hideMark/>
          </w:tcPr>
          <w:p w14:paraId="3C336C97" w14:textId="17AC60AF"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74" w:type="dxa"/>
            <w:shd w:val="clear" w:color="auto" w:fill="C4EFCE"/>
            <w:noWrap/>
            <w:tcMar>
              <w:left w:w="28" w:type="dxa"/>
              <w:right w:w="28" w:type="dxa"/>
            </w:tcMar>
            <w:vAlign w:val="center"/>
            <w:hideMark/>
          </w:tcPr>
          <w:p w14:paraId="1BD9AD68" w14:textId="7520F32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Verejné služby bezpečne prístupné prostredníctvom elektronickej identity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rešpektujúce zásadu „jedenkrát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dosť“</w:t>
            </w:r>
          </w:p>
        </w:tc>
        <w:tc>
          <w:tcPr>
            <w:tcW w:w="1314" w:type="dxa"/>
            <w:shd w:val="clear" w:color="auto" w:fill="C4EFCE"/>
            <w:noWrap/>
            <w:tcMar>
              <w:left w:w="28" w:type="dxa"/>
              <w:right w:w="28" w:type="dxa"/>
            </w:tcMar>
            <w:vAlign w:val="center"/>
            <w:hideMark/>
          </w:tcPr>
          <w:p w14:paraId="08DE2C6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10" w:type="dxa"/>
            <w:shd w:val="clear" w:color="auto" w:fill="C4EFCE"/>
            <w:noWrap/>
            <w:tcMar>
              <w:left w:w="28" w:type="dxa"/>
              <w:right w:w="28" w:type="dxa"/>
            </w:tcMar>
            <w:vAlign w:val="center"/>
            <w:hideMark/>
          </w:tcPr>
          <w:p w14:paraId="4E591E3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70" w:type="dxa"/>
            <w:shd w:val="clear" w:color="auto" w:fill="C4EFCE"/>
            <w:noWrap/>
            <w:tcMar>
              <w:left w:w="28" w:type="dxa"/>
              <w:right w:w="28" w:type="dxa"/>
            </w:tcMar>
            <w:vAlign w:val="center"/>
            <w:hideMark/>
          </w:tcPr>
          <w:p w14:paraId="4BE803E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w:t>
            </w:r>
          </w:p>
        </w:tc>
        <w:tc>
          <w:tcPr>
            <w:tcW w:w="725" w:type="dxa"/>
            <w:shd w:val="clear" w:color="auto" w:fill="C4EFCE"/>
            <w:noWrap/>
            <w:tcMar>
              <w:left w:w="28" w:type="dxa"/>
              <w:right w:w="28" w:type="dxa"/>
            </w:tcMar>
            <w:vAlign w:val="center"/>
            <w:hideMark/>
          </w:tcPr>
          <w:p w14:paraId="1EEBC24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25</w:t>
            </w:r>
          </w:p>
        </w:tc>
        <w:tc>
          <w:tcPr>
            <w:tcW w:w="773" w:type="dxa"/>
            <w:shd w:val="clear" w:color="auto" w:fill="C4EFCE"/>
            <w:noWrap/>
            <w:tcMar>
              <w:left w:w="28" w:type="dxa"/>
              <w:right w:w="28" w:type="dxa"/>
            </w:tcMar>
            <w:vAlign w:val="center"/>
            <w:hideMark/>
          </w:tcPr>
          <w:p w14:paraId="55886765" w14:textId="4E54484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34" w:type="dxa"/>
            <w:shd w:val="clear" w:color="auto" w:fill="C4EFCE"/>
            <w:noWrap/>
            <w:tcMar>
              <w:left w:w="28" w:type="dxa"/>
              <w:right w:w="28" w:type="dxa"/>
            </w:tcMar>
            <w:vAlign w:val="center"/>
            <w:hideMark/>
          </w:tcPr>
          <w:p w14:paraId="6CF36C7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58" w:type="dxa"/>
            <w:shd w:val="clear" w:color="auto" w:fill="C4EFCE"/>
            <w:tcMar>
              <w:left w:w="28" w:type="dxa"/>
              <w:right w:w="28" w:type="dxa"/>
            </w:tcMar>
            <w:vAlign w:val="center"/>
            <w:hideMark/>
          </w:tcPr>
          <w:p w14:paraId="5195558B" w14:textId="4D39AD43" w:rsidR="00387C70" w:rsidRPr="003F23AC" w:rsidRDefault="00485811" w:rsidP="003F23AC">
            <w:pPr>
              <w:pStyle w:val="P68B1DB1-Normal8"/>
              <w:spacing w:after="0" w:line="240" w:lineRule="auto"/>
              <w:jc w:val="both"/>
              <w:rPr>
                <w:rFonts w:ascii="Times New Roman" w:eastAsia="Times New Roman" w:hAnsi="Times New Roman" w:cs="Times New Roman"/>
                <w:noProof/>
                <w:u w:val="single"/>
                <w:lang w:val="sk-SK"/>
              </w:rPr>
            </w:pPr>
            <w:hyperlink r:id="rId349" w:history="1">
              <w:r w:rsidR="000F5AA4" w:rsidRPr="003F23AC">
                <w:rPr>
                  <w:rFonts w:ascii="Times New Roman" w:hAnsi="Times New Roman" w:cs="Times New Roman"/>
                  <w:noProof/>
                  <w:lang w:val="sk-SK"/>
                </w:rPr>
                <w:t>Počet digitálnych verejných služieb dostupných občanom</w:t>
              </w:r>
              <w:r w:rsidR="00A75B3C" w:rsidRPr="003F23AC">
                <w:rPr>
                  <w:rFonts w:ascii="Times New Roman" w:hAnsi="Times New Roman" w:cs="Times New Roman"/>
                  <w:noProof/>
                  <w:lang w:val="sk-SK"/>
                </w:rPr>
                <w:t xml:space="preserve"> a </w:t>
              </w:r>
              <w:r w:rsidR="000F5AA4" w:rsidRPr="003F23AC">
                <w:rPr>
                  <w:rFonts w:ascii="Times New Roman" w:hAnsi="Times New Roman" w:cs="Times New Roman"/>
                  <w:noProof/>
                  <w:lang w:val="sk-SK"/>
                </w:rPr>
                <w:t>podnikom, ktoré opätovne používajú údaje dostupné</w:t>
              </w:r>
              <w:r w:rsidR="00A75B3C" w:rsidRPr="003F23AC">
                <w:rPr>
                  <w:rFonts w:ascii="Times New Roman" w:hAnsi="Times New Roman" w:cs="Times New Roman"/>
                  <w:noProof/>
                  <w:lang w:val="sk-SK"/>
                </w:rPr>
                <w:t xml:space="preserve"> v </w:t>
              </w:r>
              <w:r w:rsidR="000F5AA4" w:rsidRPr="003F23AC">
                <w:rPr>
                  <w:rFonts w:ascii="Times New Roman" w:hAnsi="Times New Roman" w:cs="Times New Roman"/>
                  <w:noProof/>
                  <w:lang w:val="sk-SK"/>
                </w:rPr>
                <w:t>katalógu iAP [dostupné na iap.gov.pt, pokryté elektronickou identitou (ak</w:t>
              </w:r>
              <w:r w:rsidR="00A75B3C" w:rsidRPr="003F23AC">
                <w:rPr>
                  <w:rFonts w:ascii="Times New Roman" w:hAnsi="Times New Roman" w:cs="Times New Roman"/>
                  <w:noProof/>
                  <w:lang w:val="sk-SK"/>
                </w:rPr>
                <w:t xml:space="preserve"> o </w:t>
              </w:r>
              <w:r w:rsidR="000F5AA4" w:rsidRPr="003F23AC">
                <w:rPr>
                  <w:rFonts w:ascii="Times New Roman" w:hAnsi="Times New Roman" w:cs="Times New Roman"/>
                  <w:noProof/>
                  <w:lang w:val="sk-SK"/>
                </w:rPr>
                <w:t>to útvary požiadajú)</w:t>
              </w:r>
              <w:r w:rsidR="00A75B3C" w:rsidRPr="003F23AC">
                <w:rPr>
                  <w:rFonts w:ascii="Times New Roman" w:hAnsi="Times New Roman" w:cs="Times New Roman"/>
                  <w:noProof/>
                  <w:lang w:val="sk-SK"/>
                </w:rPr>
                <w:t xml:space="preserve"> a </w:t>
              </w:r>
              <w:r w:rsidR="000F5AA4" w:rsidRPr="003F23AC">
                <w:rPr>
                  <w:rFonts w:ascii="Times New Roman" w:hAnsi="Times New Roman" w:cs="Times New Roman"/>
                  <w:noProof/>
                  <w:lang w:val="sk-SK"/>
                </w:rPr>
                <w:t>systémom na kontrolu osobných údajov vo verejnej správe,</w:t>
              </w:r>
              <w:r w:rsidR="00A75B3C" w:rsidRPr="003F23AC">
                <w:rPr>
                  <w:rFonts w:ascii="Times New Roman" w:hAnsi="Times New Roman" w:cs="Times New Roman"/>
                  <w:noProof/>
                  <w:lang w:val="sk-SK"/>
                </w:rPr>
                <w:t xml:space="preserve"> a </w:t>
              </w:r>
              <w:r w:rsidR="000F5AA4" w:rsidRPr="003F23AC">
                <w:rPr>
                  <w:rFonts w:ascii="Times New Roman" w:hAnsi="Times New Roman" w:cs="Times New Roman"/>
                  <w:noProof/>
                  <w:lang w:val="sk-SK"/>
                </w:rPr>
                <w:t>uverejňovanie otvorených údajov na stránke www.dados.gov.pt.</w:t>
              </w:r>
            </w:hyperlink>
          </w:p>
        </w:tc>
      </w:tr>
      <w:tr w:rsidR="008E475E" w:rsidRPr="003F23AC" w14:paraId="05EB17B2" w14:textId="77777777" w:rsidTr="008E475E">
        <w:trPr>
          <w:trHeight w:val="2864"/>
        </w:trPr>
        <w:tc>
          <w:tcPr>
            <w:tcW w:w="1059" w:type="dxa"/>
            <w:shd w:val="clear" w:color="auto" w:fill="C4EFCE"/>
            <w:tcMar>
              <w:left w:w="28" w:type="dxa"/>
              <w:right w:w="28" w:type="dxa"/>
            </w:tcMar>
            <w:vAlign w:val="center"/>
            <w:hideMark/>
          </w:tcPr>
          <w:p w14:paraId="2E952EA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19.6</w:t>
            </w:r>
          </w:p>
        </w:tc>
        <w:tc>
          <w:tcPr>
            <w:tcW w:w="1185" w:type="dxa"/>
            <w:shd w:val="clear" w:color="auto" w:fill="C4EFCE"/>
            <w:noWrap/>
            <w:tcMar>
              <w:left w:w="28" w:type="dxa"/>
              <w:right w:w="28" w:type="dxa"/>
            </w:tcMar>
            <w:vAlign w:val="center"/>
            <w:hideMark/>
          </w:tcPr>
          <w:p w14:paraId="2C2B131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TD-C19-i02</w:t>
            </w:r>
          </w:p>
        </w:tc>
        <w:tc>
          <w:tcPr>
            <w:tcW w:w="1057" w:type="dxa"/>
            <w:shd w:val="clear" w:color="auto" w:fill="C4EFCE"/>
            <w:noWrap/>
            <w:tcMar>
              <w:left w:w="28" w:type="dxa"/>
              <w:right w:w="28" w:type="dxa"/>
            </w:tcMar>
            <w:vAlign w:val="center"/>
            <w:hideMark/>
          </w:tcPr>
          <w:p w14:paraId="0B87EDBD" w14:textId="37E045AC"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74" w:type="dxa"/>
            <w:shd w:val="clear" w:color="auto" w:fill="C4EFCE"/>
            <w:noWrap/>
            <w:tcMar>
              <w:left w:w="28" w:type="dxa"/>
              <w:right w:w="28" w:type="dxa"/>
            </w:tcMar>
            <w:vAlign w:val="center"/>
            <w:hideMark/>
          </w:tcPr>
          <w:p w14:paraId="78B82EB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Územná informačná infraštruktúra</w:t>
            </w:r>
          </w:p>
        </w:tc>
        <w:tc>
          <w:tcPr>
            <w:tcW w:w="1314" w:type="dxa"/>
            <w:shd w:val="clear" w:color="auto" w:fill="C4EFCE"/>
            <w:noWrap/>
            <w:tcMar>
              <w:left w:w="28" w:type="dxa"/>
              <w:right w:w="28" w:type="dxa"/>
            </w:tcMar>
            <w:vAlign w:val="center"/>
            <w:hideMark/>
          </w:tcPr>
          <w:p w14:paraId="4CE5387D"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10" w:type="dxa"/>
            <w:shd w:val="clear" w:color="auto" w:fill="C4EFCE"/>
            <w:noWrap/>
            <w:tcMar>
              <w:left w:w="28" w:type="dxa"/>
              <w:right w:w="28" w:type="dxa"/>
            </w:tcMar>
            <w:vAlign w:val="center"/>
            <w:hideMark/>
          </w:tcPr>
          <w:p w14:paraId="10B4DFC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Počet</w:t>
            </w:r>
          </w:p>
        </w:tc>
        <w:tc>
          <w:tcPr>
            <w:tcW w:w="870" w:type="dxa"/>
            <w:shd w:val="clear" w:color="auto" w:fill="C4EFCE"/>
            <w:noWrap/>
            <w:tcMar>
              <w:left w:w="28" w:type="dxa"/>
              <w:right w:w="28" w:type="dxa"/>
            </w:tcMar>
            <w:vAlign w:val="center"/>
            <w:hideMark/>
          </w:tcPr>
          <w:p w14:paraId="05F9193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0</w:t>
            </w:r>
          </w:p>
        </w:tc>
        <w:tc>
          <w:tcPr>
            <w:tcW w:w="725" w:type="dxa"/>
            <w:shd w:val="clear" w:color="auto" w:fill="C4EFCE"/>
            <w:noWrap/>
            <w:tcMar>
              <w:left w:w="28" w:type="dxa"/>
              <w:right w:w="28" w:type="dxa"/>
            </w:tcMar>
            <w:vAlign w:val="center"/>
            <w:hideMark/>
          </w:tcPr>
          <w:p w14:paraId="40489FC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150</w:t>
            </w:r>
          </w:p>
        </w:tc>
        <w:tc>
          <w:tcPr>
            <w:tcW w:w="773" w:type="dxa"/>
            <w:shd w:val="clear" w:color="auto" w:fill="C4EFCE"/>
            <w:noWrap/>
            <w:tcMar>
              <w:left w:w="28" w:type="dxa"/>
              <w:right w:w="28" w:type="dxa"/>
            </w:tcMar>
            <w:vAlign w:val="center"/>
            <w:hideMark/>
          </w:tcPr>
          <w:p w14:paraId="3D27795A" w14:textId="5FCC925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34" w:type="dxa"/>
            <w:shd w:val="clear" w:color="auto" w:fill="C4EFCE"/>
            <w:noWrap/>
            <w:tcMar>
              <w:left w:w="28" w:type="dxa"/>
              <w:right w:w="28" w:type="dxa"/>
            </w:tcMar>
            <w:vAlign w:val="center"/>
            <w:hideMark/>
          </w:tcPr>
          <w:p w14:paraId="2E67518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58" w:type="dxa"/>
            <w:shd w:val="clear" w:color="auto" w:fill="C4EFCE"/>
            <w:tcMar>
              <w:left w:w="28" w:type="dxa"/>
              <w:right w:w="28" w:type="dxa"/>
            </w:tcMar>
            <w:vAlign w:val="center"/>
            <w:hideMark/>
          </w:tcPr>
          <w:p w14:paraId="4CAF8E18" w14:textId="3C1146B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zdrojov údajov integrovaných do územnej informačnej infraštruktúry, ktorá zahŕňa bývanie, demografické, sociálne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hospodárske informácie. Zdroje údajov zahŕňajú administratívne mikroúdaje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mikroúdaje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prieskumov (zvyčajne na úrovni jednotlivca alebo organizácie/podniku), ktoré sa postupne integrujú na portugalskom štatistickom úrade (prostredníctvom jeho národnej dátovej infraštruktúry), počnúc sociálnym zabezpečením, daňovým úradom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viacerými orgánmi verejnej správy</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vládnych oblastí vzdelávania, práce, zdravia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spravodlivosti</w:t>
            </w:r>
            <w:r w:rsidR="00A75B3C" w:rsidRPr="003F23AC">
              <w:rPr>
                <w:rFonts w:ascii="Times New Roman" w:hAnsi="Times New Roman" w:cs="Times New Roman"/>
                <w:noProof/>
                <w:lang w:val="sk-SK"/>
              </w:rPr>
              <w:t xml:space="preserve"> a v </w:t>
            </w:r>
            <w:r w:rsidRPr="003F23AC">
              <w:rPr>
                <w:rFonts w:ascii="Times New Roman" w:hAnsi="Times New Roman" w:cs="Times New Roman"/>
                <w:noProof/>
                <w:lang w:val="sk-SK"/>
              </w:rPr>
              <w:t>čo najväčšej možnej miere sa rozširujú zahrnuté roky (informácie za rok alebo kratšie ako ročné). Každý zdroj údajov sa stabilizuje (zasielanie), spracúva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analyzuje tak, aby bol pripravený na integráciu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tvorbu štatistických informácií na najpodrobnejšej úrovni, najmä pokiaľ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regionálny rozmer.</w:t>
            </w:r>
          </w:p>
        </w:tc>
      </w:tr>
      <w:tr w:rsidR="008E475E" w:rsidRPr="003F23AC" w14:paraId="021D13B4" w14:textId="77777777" w:rsidTr="008E475E">
        <w:trPr>
          <w:trHeight w:val="1546"/>
        </w:trPr>
        <w:tc>
          <w:tcPr>
            <w:tcW w:w="1059" w:type="dxa"/>
            <w:shd w:val="clear" w:color="auto" w:fill="C4EFCE"/>
            <w:tcMar>
              <w:left w:w="28" w:type="dxa"/>
              <w:right w:w="28" w:type="dxa"/>
            </w:tcMar>
            <w:vAlign w:val="center"/>
            <w:hideMark/>
          </w:tcPr>
          <w:p w14:paraId="26F8CD80"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19.7</w:t>
            </w:r>
          </w:p>
        </w:tc>
        <w:tc>
          <w:tcPr>
            <w:tcW w:w="1185" w:type="dxa"/>
            <w:shd w:val="clear" w:color="auto" w:fill="C4EFCE"/>
            <w:noWrap/>
            <w:tcMar>
              <w:left w:w="28" w:type="dxa"/>
              <w:right w:w="28" w:type="dxa"/>
            </w:tcMar>
            <w:vAlign w:val="center"/>
            <w:hideMark/>
          </w:tcPr>
          <w:p w14:paraId="31F0661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TD-C19-i03</w:t>
            </w:r>
          </w:p>
        </w:tc>
        <w:tc>
          <w:tcPr>
            <w:tcW w:w="1057" w:type="dxa"/>
            <w:shd w:val="clear" w:color="auto" w:fill="C4EFCE"/>
            <w:noWrap/>
            <w:tcMar>
              <w:left w:w="28" w:type="dxa"/>
              <w:right w:w="28" w:type="dxa"/>
            </w:tcMar>
            <w:vAlign w:val="center"/>
            <w:hideMark/>
          </w:tcPr>
          <w:p w14:paraId="6E886759" w14:textId="201F57E1"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74" w:type="dxa"/>
            <w:shd w:val="clear" w:color="auto" w:fill="C4EFCE"/>
            <w:noWrap/>
            <w:tcMar>
              <w:left w:w="28" w:type="dxa"/>
              <w:right w:w="28" w:type="dxa"/>
            </w:tcMar>
            <w:vAlign w:val="center"/>
            <w:hideMark/>
          </w:tcPr>
          <w:p w14:paraId="01F1C4FC" w14:textId="7190F2C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Odborná príprava IT špecialistov na posilnenie spôsobilostí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kybernetickej bezpečnosti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informačnej bezpečnosti</w:t>
            </w:r>
          </w:p>
        </w:tc>
        <w:tc>
          <w:tcPr>
            <w:tcW w:w="1314" w:type="dxa"/>
            <w:shd w:val="clear" w:color="auto" w:fill="C4EFCE"/>
            <w:noWrap/>
            <w:tcMar>
              <w:left w:w="28" w:type="dxa"/>
              <w:right w:w="28" w:type="dxa"/>
            </w:tcMar>
            <w:vAlign w:val="center"/>
            <w:hideMark/>
          </w:tcPr>
          <w:p w14:paraId="331EB09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10" w:type="dxa"/>
            <w:shd w:val="clear" w:color="auto" w:fill="C4EFCE"/>
            <w:noWrap/>
            <w:tcMar>
              <w:left w:w="28" w:type="dxa"/>
              <w:right w:w="28" w:type="dxa"/>
            </w:tcMar>
            <w:vAlign w:val="center"/>
            <w:hideMark/>
          </w:tcPr>
          <w:p w14:paraId="3B688D4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70" w:type="dxa"/>
            <w:shd w:val="clear" w:color="auto" w:fill="C4EFCE"/>
            <w:noWrap/>
            <w:tcMar>
              <w:left w:w="28" w:type="dxa"/>
              <w:right w:w="28" w:type="dxa"/>
            </w:tcMar>
            <w:vAlign w:val="center"/>
            <w:hideMark/>
          </w:tcPr>
          <w:p w14:paraId="3500F57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5" w:type="dxa"/>
            <w:shd w:val="clear" w:color="auto" w:fill="C4EFCE"/>
            <w:noWrap/>
            <w:tcMar>
              <w:left w:w="28" w:type="dxa"/>
              <w:right w:w="28" w:type="dxa"/>
            </w:tcMar>
            <w:vAlign w:val="center"/>
            <w:hideMark/>
          </w:tcPr>
          <w:p w14:paraId="00D6EA0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9 800</w:t>
            </w:r>
          </w:p>
        </w:tc>
        <w:tc>
          <w:tcPr>
            <w:tcW w:w="773" w:type="dxa"/>
            <w:shd w:val="clear" w:color="auto" w:fill="C4EFCE"/>
            <w:noWrap/>
            <w:tcMar>
              <w:left w:w="28" w:type="dxa"/>
              <w:right w:w="28" w:type="dxa"/>
            </w:tcMar>
            <w:vAlign w:val="center"/>
            <w:hideMark/>
          </w:tcPr>
          <w:p w14:paraId="4FDC9656" w14:textId="57D0B9F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34" w:type="dxa"/>
            <w:shd w:val="clear" w:color="auto" w:fill="C4EFCE"/>
            <w:noWrap/>
            <w:tcMar>
              <w:left w:w="28" w:type="dxa"/>
              <w:right w:w="28" w:type="dxa"/>
            </w:tcMar>
            <w:vAlign w:val="center"/>
            <w:hideMark/>
          </w:tcPr>
          <w:p w14:paraId="5C8036E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58" w:type="dxa"/>
            <w:shd w:val="clear" w:color="auto" w:fill="C4EFCE"/>
            <w:tcMar>
              <w:left w:w="28" w:type="dxa"/>
              <w:right w:w="28" w:type="dxa"/>
            </w:tcMar>
            <w:vAlign w:val="center"/>
            <w:hideMark/>
          </w:tcPr>
          <w:p w14:paraId="3DC67902" w14:textId="7547CFB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odborníkov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IT, ktorí absolvovali odbornú prípravu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sieti siedmich novovytvorených centier kompetencií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kybernetickej bezpečnosti. Centrá poskytujú pokročilé zručnosti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kybernetickej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informačnej bezpečnosti prostredníctvom programov odbornej prípravy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stáží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národnom centre kybernetickej bezpečnosti (CNCS) pre zamestnancov verejnej správy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IKT (prezenčná alebo telematická odborná príprava).</w:t>
            </w:r>
          </w:p>
        </w:tc>
      </w:tr>
      <w:tr w:rsidR="008E475E" w:rsidRPr="003F23AC" w14:paraId="6EAE2210" w14:textId="77777777" w:rsidTr="008E475E">
        <w:trPr>
          <w:trHeight w:val="1690"/>
        </w:trPr>
        <w:tc>
          <w:tcPr>
            <w:tcW w:w="1059" w:type="dxa"/>
            <w:shd w:val="clear" w:color="auto" w:fill="C4EFCE"/>
            <w:tcMar>
              <w:left w:w="28" w:type="dxa"/>
              <w:right w:w="28" w:type="dxa"/>
            </w:tcMar>
            <w:vAlign w:val="center"/>
            <w:hideMark/>
          </w:tcPr>
          <w:p w14:paraId="308988E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19.8</w:t>
            </w:r>
          </w:p>
        </w:tc>
        <w:tc>
          <w:tcPr>
            <w:tcW w:w="1185" w:type="dxa"/>
            <w:shd w:val="clear" w:color="auto" w:fill="C4EFCE"/>
            <w:noWrap/>
            <w:tcMar>
              <w:left w:w="28" w:type="dxa"/>
              <w:right w:w="28" w:type="dxa"/>
            </w:tcMar>
            <w:vAlign w:val="center"/>
            <w:hideMark/>
          </w:tcPr>
          <w:p w14:paraId="2756D03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TD-C19-i03</w:t>
            </w:r>
          </w:p>
        </w:tc>
        <w:tc>
          <w:tcPr>
            <w:tcW w:w="1057" w:type="dxa"/>
            <w:shd w:val="clear" w:color="auto" w:fill="C4EFCE"/>
            <w:noWrap/>
            <w:tcMar>
              <w:left w:w="28" w:type="dxa"/>
              <w:right w:w="28" w:type="dxa"/>
            </w:tcMar>
            <w:vAlign w:val="center"/>
            <w:hideMark/>
          </w:tcPr>
          <w:p w14:paraId="487E3F25" w14:textId="26959C08"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74" w:type="dxa"/>
            <w:shd w:val="clear" w:color="auto" w:fill="C4EFCE"/>
            <w:noWrap/>
            <w:tcMar>
              <w:left w:w="28" w:type="dxa"/>
              <w:right w:w="28" w:type="dxa"/>
            </w:tcMar>
            <w:vAlign w:val="center"/>
            <w:hideMark/>
          </w:tcPr>
          <w:p w14:paraId="2E4949A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portugalského kryptografického riešenia verejnými orgánmi</w:t>
            </w:r>
          </w:p>
        </w:tc>
        <w:tc>
          <w:tcPr>
            <w:tcW w:w="1314" w:type="dxa"/>
            <w:shd w:val="clear" w:color="auto" w:fill="C4EFCE"/>
            <w:noWrap/>
            <w:tcMar>
              <w:left w:w="28" w:type="dxa"/>
              <w:right w:w="28" w:type="dxa"/>
            </w:tcMar>
            <w:vAlign w:val="center"/>
            <w:hideMark/>
          </w:tcPr>
          <w:p w14:paraId="4C9A8180"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10" w:type="dxa"/>
            <w:shd w:val="clear" w:color="auto" w:fill="C4EFCE"/>
            <w:noWrap/>
            <w:tcMar>
              <w:left w:w="28" w:type="dxa"/>
              <w:right w:w="28" w:type="dxa"/>
            </w:tcMar>
            <w:vAlign w:val="center"/>
            <w:hideMark/>
          </w:tcPr>
          <w:p w14:paraId="5E66E76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70" w:type="dxa"/>
            <w:shd w:val="clear" w:color="auto" w:fill="C4EFCE"/>
            <w:noWrap/>
            <w:tcMar>
              <w:left w:w="28" w:type="dxa"/>
              <w:right w:w="28" w:type="dxa"/>
            </w:tcMar>
            <w:vAlign w:val="center"/>
            <w:hideMark/>
          </w:tcPr>
          <w:p w14:paraId="2CC988A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5" w:type="dxa"/>
            <w:shd w:val="clear" w:color="auto" w:fill="C4EFCE"/>
            <w:noWrap/>
            <w:tcMar>
              <w:left w:w="28" w:type="dxa"/>
              <w:right w:w="28" w:type="dxa"/>
            </w:tcMar>
            <w:vAlign w:val="center"/>
            <w:hideMark/>
          </w:tcPr>
          <w:p w14:paraId="4A8C6E1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150</w:t>
            </w:r>
          </w:p>
        </w:tc>
        <w:tc>
          <w:tcPr>
            <w:tcW w:w="773" w:type="dxa"/>
            <w:shd w:val="clear" w:color="auto" w:fill="C4EFCE"/>
            <w:noWrap/>
            <w:tcMar>
              <w:left w:w="28" w:type="dxa"/>
              <w:right w:w="28" w:type="dxa"/>
            </w:tcMar>
            <w:vAlign w:val="center"/>
            <w:hideMark/>
          </w:tcPr>
          <w:p w14:paraId="086973FB" w14:textId="060B7E5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34" w:type="dxa"/>
            <w:shd w:val="clear" w:color="auto" w:fill="C4EFCE"/>
            <w:noWrap/>
            <w:tcMar>
              <w:left w:w="28" w:type="dxa"/>
              <w:right w:w="28" w:type="dxa"/>
            </w:tcMar>
            <w:vAlign w:val="center"/>
            <w:hideMark/>
          </w:tcPr>
          <w:p w14:paraId="50931A0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58" w:type="dxa"/>
            <w:shd w:val="clear" w:color="auto" w:fill="C4EFCE"/>
            <w:tcMar>
              <w:left w:w="28" w:type="dxa"/>
              <w:right w:w="28" w:type="dxa"/>
            </w:tcMar>
            <w:vAlign w:val="center"/>
            <w:hideMark/>
          </w:tcPr>
          <w:p w14:paraId="365B7BEE" w14:textId="48CA00B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verejných orgánov, ktorým sa poskytuje kryptografické vybavenie, ktoré 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právnymi požiadavkami [Reolução do</w:t>
            </w:r>
            <w:r w:rsidRPr="003F23AC">
              <w:rPr>
                <w:rFonts w:ascii="Times New Roman" w:hAnsi="Times New Roman" w:cs="Times New Roman"/>
                <w:i/>
                <w:noProof/>
                <w:lang w:val="sk-SK"/>
              </w:rPr>
              <w:t xml:space="preserve">Conselho de Ministros, </w:t>
            </w:r>
            <w:r w:rsidR="00A75B3C" w:rsidRPr="003F23AC">
              <w:rPr>
                <w:rFonts w:ascii="Times New Roman" w:hAnsi="Times New Roman" w:cs="Times New Roman"/>
                <w:i/>
                <w:noProof/>
                <w:lang w:val="sk-SK"/>
              </w:rPr>
              <w:t>č. </w:t>
            </w:r>
            <w:r w:rsidRPr="003F23AC">
              <w:rPr>
                <w:rFonts w:ascii="Times New Roman" w:hAnsi="Times New Roman" w:cs="Times New Roman"/>
                <w:i/>
                <w:noProof/>
                <w:lang w:val="sk-SK"/>
              </w:rPr>
              <w:t>16/96, de 22 de março – Instruções para</w:t>
            </w:r>
            <w:r w:rsidR="00A75B3C" w:rsidRPr="003F23AC">
              <w:rPr>
                <w:rFonts w:ascii="Times New Roman" w:hAnsi="Times New Roman" w:cs="Times New Roman"/>
                <w:i/>
                <w:noProof/>
                <w:lang w:val="sk-SK"/>
              </w:rPr>
              <w:t xml:space="preserve"> a </w:t>
            </w:r>
            <w:r w:rsidRPr="003F23AC">
              <w:rPr>
                <w:rFonts w:ascii="Times New Roman" w:hAnsi="Times New Roman" w:cs="Times New Roman"/>
                <w:i/>
                <w:noProof/>
                <w:lang w:val="sk-SK"/>
              </w:rPr>
              <w:t>Segurança Nacional, Segurança das Telecomunicações (SEGNAC 3), Capítulo 3</w:t>
            </w:r>
            <w:r w:rsidRPr="003F23AC">
              <w:rPr>
                <w:rFonts w:ascii="Times New Roman" w:hAnsi="Times New Roman" w:cs="Times New Roman"/>
                <w:noProof/>
                <w:lang w:val="sk-SK"/>
              </w:rPr>
              <w:t xml:space="preserve"> /Uznesenie Rady ministrov,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16/96, 22</w:t>
            </w:r>
            <w:r w:rsidR="00A75B3C" w:rsidRPr="003F23AC">
              <w:rPr>
                <w:rFonts w:ascii="Times New Roman" w:hAnsi="Times New Roman" w:cs="Times New Roman"/>
                <w:noProof/>
                <w:lang w:val="sk-SK"/>
              </w:rPr>
              <w:t>. marca</w:t>
            </w:r>
            <w:r w:rsidRPr="003F23AC">
              <w:rPr>
                <w:rFonts w:ascii="Times New Roman" w:hAnsi="Times New Roman" w:cs="Times New Roman"/>
                <w:noProof/>
                <w:lang w:val="sk-SK"/>
              </w:rPr>
              <w:t xml:space="preserve"> – Pokyny pre národnú bezpečnosť, telekomunikačnú bezpečnosť (SEGNAC 3), kapitola 3]. </w:t>
            </w:r>
          </w:p>
        </w:tc>
      </w:tr>
      <w:tr w:rsidR="008E475E" w:rsidRPr="003F23AC" w14:paraId="4FEFFAA1" w14:textId="77777777" w:rsidTr="008E475E">
        <w:trPr>
          <w:trHeight w:val="1969"/>
        </w:trPr>
        <w:tc>
          <w:tcPr>
            <w:tcW w:w="1059" w:type="dxa"/>
            <w:shd w:val="clear" w:color="auto" w:fill="C4EFCE"/>
            <w:tcMar>
              <w:left w:w="28" w:type="dxa"/>
              <w:right w:w="28" w:type="dxa"/>
            </w:tcMar>
            <w:vAlign w:val="center"/>
          </w:tcPr>
          <w:p w14:paraId="3A68F726" w14:textId="59EE31D4"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19.9</w:t>
            </w:r>
          </w:p>
        </w:tc>
        <w:tc>
          <w:tcPr>
            <w:tcW w:w="1185" w:type="dxa"/>
            <w:shd w:val="clear" w:color="auto" w:fill="C4EFCE"/>
            <w:noWrap/>
            <w:tcMar>
              <w:left w:w="28" w:type="dxa"/>
              <w:right w:w="28" w:type="dxa"/>
            </w:tcMar>
            <w:vAlign w:val="center"/>
          </w:tcPr>
          <w:p w14:paraId="67DE3F13" w14:textId="744B2D8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TD-C19-i03</w:t>
            </w:r>
          </w:p>
        </w:tc>
        <w:tc>
          <w:tcPr>
            <w:tcW w:w="1057" w:type="dxa"/>
            <w:shd w:val="clear" w:color="auto" w:fill="C4EFCE"/>
            <w:noWrap/>
            <w:tcMar>
              <w:left w:w="28" w:type="dxa"/>
              <w:right w:w="28" w:type="dxa"/>
            </w:tcMar>
            <w:vAlign w:val="center"/>
          </w:tcPr>
          <w:p w14:paraId="5426B223" w14:textId="234B8723"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74" w:type="dxa"/>
            <w:shd w:val="clear" w:color="auto" w:fill="C4EFCE"/>
            <w:noWrap/>
            <w:tcMar>
              <w:left w:w="28" w:type="dxa"/>
              <w:right w:w="28" w:type="dxa"/>
            </w:tcMar>
            <w:vAlign w:val="center"/>
          </w:tcPr>
          <w:p w14:paraId="6B8CDAAE" w14:textId="05621BA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Vykonávanie vnútroštátneho rámca kybernetickej bezpečnosti</w:t>
            </w:r>
          </w:p>
        </w:tc>
        <w:tc>
          <w:tcPr>
            <w:tcW w:w="1314" w:type="dxa"/>
            <w:shd w:val="clear" w:color="auto" w:fill="C4EFCE"/>
            <w:noWrap/>
            <w:tcMar>
              <w:left w:w="28" w:type="dxa"/>
              <w:right w:w="28" w:type="dxa"/>
            </w:tcMar>
            <w:vAlign w:val="center"/>
          </w:tcPr>
          <w:p w14:paraId="15AE299E" w14:textId="77777777" w:rsidR="00387C70" w:rsidRPr="003F23AC" w:rsidRDefault="00387C70" w:rsidP="003F23AC">
            <w:pPr>
              <w:spacing w:after="0" w:line="240" w:lineRule="auto"/>
              <w:rPr>
                <w:rFonts w:ascii="Times New Roman" w:eastAsia="Times New Roman" w:hAnsi="Times New Roman" w:cs="Times New Roman"/>
                <w:noProof/>
                <w:sz w:val="16"/>
                <w:lang w:val="sk-SK"/>
              </w:rPr>
            </w:pPr>
          </w:p>
        </w:tc>
        <w:tc>
          <w:tcPr>
            <w:tcW w:w="1110" w:type="dxa"/>
            <w:shd w:val="clear" w:color="auto" w:fill="C4EFCE"/>
            <w:noWrap/>
            <w:tcMar>
              <w:left w:w="28" w:type="dxa"/>
              <w:right w:w="28" w:type="dxa"/>
            </w:tcMar>
            <w:vAlign w:val="center"/>
          </w:tcPr>
          <w:p w14:paraId="557F5529" w14:textId="47FFDC8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70" w:type="dxa"/>
            <w:shd w:val="clear" w:color="auto" w:fill="C4EFCE"/>
            <w:noWrap/>
            <w:tcMar>
              <w:left w:w="28" w:type="dxa"/>
              <w:right w:w="28" w:type="dxa"/>
            </w:tcMar>
            <w:vAlign w:val="center"/>
          </w:tcPr>
          <w:p w14:paraId="10F2D9AB" w14:textId="31D9A02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5" w:type="dxa"/>
            <w:shd w:val="clear" w:color="auto" w:fill="C4EFCE"/>
            <w:noWrap/>
            <w:tcMar>
              <w:left w:w="28" w:type="dxa"/>
              <w:right w:w="28" w:type="dxa"/>
            </w:tcMar>
            <w:vAlign w:val="center"/>
          </w:tcPr>
          <w:p w14:paraId="4F952B72" w14:textId="3DF121B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47</w:t>
            </w:r>
          </w:p>
        </w:tc>
        <w:tc>
          <w:tcPr>
            <w:tcW w:w="773" w:type="dxa"/>
            <w:shd w:val="clear" w:color="auto" w:fill="C4EFCE"/>
            <w:noWrap/>
            <w:tcMar>
              <w:left w:w="28" w:type="dxa"/>
              <w:right w:w="28" w:type="dxa"/>
            </w:tcMar>
            <w:vAlign w:val="center"/>
          </w:tcPr>
          <w:p w14:paraId="28B08257" w14:textId="0D3F92A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34" w:type="dxa"/>
            <w:shd w:val="clear" w:color="auto" w:fill="C4EFCE"/>
            <w:noWrap/>
            <w:tcMar>
              <w:left w:w="28" w:type="dxa"/>
              <w:right w:w="28" w:type="dxa"/>
            </w:tcMar>
            <w:vAlign w:val="center"/>
          </w:tcPr>
          <w:p w14:paraId="168519DA" w14:textId="5F4A2B0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58" w:type="dxa"/>
            <w:shd w:val="clear" w:color="auto" w:fill="C4EFCE"/>
            <w:tcMar>
              <w:left w:w="28" w:type="dxa"/>
              <w:right w:w="28" w:type="dxa"/>
            </w:tcMar>
            <w:vAlign w:val="center"/>
          </w:tcPr>
          <w:p w14:paraId="0B3D764C" w14:textId="4508DDB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nových subjektov vo verejnej správe, na ktoré sa vzťahuje národný rámec kybernetickej bezpečnosti (pozri reformu TD-r34). Od týchto subjektov sa vyžaduje, aby vypracovali ukazovatele kybernetickej bezpečnosti, vykonávali vnútroštátny regulačný rámec</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regulačný rámec EÚ</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kybernetickej bezpečnosti,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to aj prostredníctvom orgánov posudzovania zhody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nových audítorov, ako aj vymedzením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monitorovaním modelu riadenia spolupráce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výmeny informácií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záujme vedomostnej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informačnej bezpečnosti.</w:t>
            </w:r>
          </w:p>
        </w:tc>
      </w:tr>
      <w:tr w:rsidR="008E475E" w:rsidRPr="003F23AC" w14:paraId="2F6B4CDF" w14:textId="77777777" w:rsidTr="008E475E">
        <w:trPr>
          <w:trHeight w:val="430"/>
        </w:trPr>
        <w:tc>
          <w:tcPr>
            <w:tcW w:w="1059" w:type="dxa"/>
            <w:shd w:val="clear" w:color="auto" w:fill="C4EFCE"/>
            <w:tcMar>
              <w:left w:w="28" w:type="dxa"/>
              <w:right w:w="28" w:type="dxa"/>
            </w:tcMar>
            <w:vAlign w:val="center"/>
            <w:hideMark/>
          </w:tcPr>
          <w:p w14:paraId="312AB79F"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19.10</w:t>
            </w:r>
          </w:p>
        </w:tc>
        <w:tc>
          <w:tcPr>
            <w:tcW w:w="1185" w:type="dxa"/>
            <w:shd w:val="clear" w:color="auto" w:fill="C4EFCE"/>
            <w:noWrap/>
            <w:tcMar>
              <w:left w:w="28" w:type="dxa"/>
              <w:right w:w="28" w:type="dxa"/>
            </w:tcMar>
            <w:vAlign w:val="center"/>
            <w:hideMark/>
          </w:tcPr>
          <w:p w14:paraId="4ED3282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TD-C19-i03</w:t>
            </w:r>
          </w:p>
        </w:tc>
        <w:tc>
          <w:tcPr>
            <w:tcW w:w="1057" w:type="dxa"/>
            <w:shd w:val="clear" w:color="auto" w:fill="C4EFCE"/>
            <w:noWrap/>
            <w:tcMar>
              <w:left w:w="28" w:type="dxa"/>
              <w:right w:w="28" w:type="dxa"/>
            </w:tcMar>
            <w:vAlign w:val="center"/>
            <w:hideMark/>
          </w:tcPr>
          <w:p w14:paraId="15B82E6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hideMark/>
          </w:tcPr>
          <w:p w14:paraId="55D8A471" w14:textId="740C0CB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budovania orgánov pre kybernetickú bezpečnosť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informačnú bezpečnosť</w:t>
            </w:r>
          </w:p>
        </w:tc>
        <w:tc>
          <w:tcPr>
            <w:tcW w:w="1314" w:type="dxa"/>
            <w:shd w:val="clear" w:color="auto" w:fill="C4EFCE"/>
            <w:noWrap/>
            <w:tcMar>
              <w:left w:w="28" w:type="dxa"/>
              <w:right w:w="28" w:type="dxa"/>
            </w:tcMar>
            <w:vAlign w:val="center"/>
            <w:hideMark/>
          </w:tcPr>
          <w:p w14:paraId="73297563" w14:textId="1A760F4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budovania orgánov pre kybernetickú bezpečnosť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informačnú bezpečnosť </w:t>
            </w:r>
          </w:p>
        </w:tc>
        <w:tc>
          <w:tcPr>
            <w:tcW w:w="1110" w:type="dxa"/>
            <w:shd w:val="clear" w:color="auto" w:fill="C4EFCE"/>
            <w:noWrap/>
            <w:tcMar>
              <w:left w:w="28" w:type="dxa"/>
              <w:right w:w="28" w:type="dxa"/>
            </w:tcMar>
            <w:vAlign w:val="center"/>
            <w:hideMark/>
          </w:tcPr>
          <w:p w14:paraId="18895E3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870" w:type="dxa"/>
            <w:shd w:val="clear" w:color="auto" w:fill="C4EFCE"/>
            <w:noWrap/>
            <w:tcMar>
              <w:left w:w="28" w:type="dxa"/>
              <w:right w:w="28" w:type="dxa"/>
            </w:tcMar>
            <w:vAlign w:val="center"/>
            <w:hideMark/>
          </w:tcPr>
          <w:p w14:paraId="68F0123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725" w:type="dxa"/>
            <w:shd w:val="clear" w:color="auto" w:fill="C4EFCE"/>
            <w:noWrap/>
            <w:tcMar>
              <w:left w:w="28" w:type="dxa"/>
              <w:right w:w="28" w:type="dxa"/>
            </w:tcMar>
            <w:vAlign w:val="center"/>
            <w:hideMark/>
          </w:tcPr>
          <w:p w14:paraId="5CF77E3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773" w:type="dxa"/>
            <w:shd w:val="clear" w:color="auto" w:fill="C4EFCE"/>
            <w:noWrap/>
            <w:tcMar>
              <w:left w:w="28" w:type="dxa"/>
              <w:right w:w="28" w:type="dxa"/>
            </w:tcMar>
            <w:vAlign w:val="center"/>
            <w:hideMark/>
          </w:tcPr>
          <w:p w14:paraId="1DB26465" w14:textId="6DC4CBD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34" w:type="dxa"/>
            <w:shd w:val="clear" w:color="auto" w:fill="C4EFCE"/>
            <w:noWrap/>
            <w:tcMar>
              <w:left w:w="28" w:type="dxa"/>
              <w:right w:w="28" w:type="dxa"/>
            </w:tcMar>
            <w:vAlign w:val="center"/>
            <w:hideMark/>
          </w:tcPr>
          <w:p w14:paraId="5FC22AB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58" w:type="dxa"/>
            <w:shd w:val="clear" w:color="auto" w:fill="C4EFCE"/>
            <w:tcMar>
              <w:left w:w="28" w:type="dxa"/>
              <w:right w:w="28" w:type="dxa"/>
            </w:tcMar>
            <w:vAlign w:val="center"/>
            <w:hideMark/>
          </w:tcPr>
          <w:p w14:paraId="36ECA463" w14:textId="0EA0D03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Dokončenie stavebných prác</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inštalácia vybavenia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primeranými technologickými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bezpečnostnými podmienkami na vybudovanie troch orgánov pre kybernetickú bezpečnosť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informačnú bezpečnosť.</w:t>
            </w:r>
          </w:p>
        </w:tc>
      </w:tr>
      <w:tr w:rsidR="008E475E" w:rsidRPr="003F23AC" w14:paraId="3DC45753" w14:textId="77777777" w:rsidTr="008E475E">
        <w:trPr>
          <w:trHeight w:val="430"/>
        </w:trPr>
        <w:tc>
          <w:tcPr>
            <w:tcW w:w="1059" w:type="dxa"/>
            <w:shd w:val="clear" w:color="auto" w:fill="C4EFCE"/>
            <w:tcMar>
              <w:left w:w="28" w:type="dxa"/>
              <w:right w:w="28" w:type="dxa"/>
            </w:tcMar>
            <w:vAlign w:val="center"/>
            <w:hideMark/>
          </w:tcPr>
          <w:p w14:paraId="4270D7DC"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19.11</w:t>
            </w:r>
          </w:p>
        </w:tc>
        <w:tc>
          <w:tcPr>
            <w:tcW w:w="1185" w:type="dxa"/>
            <w:shd w:val="clear" w:color="auto" w:fill="C4EFCE"/>
            <w:noWrap/>
            <w:tcMar>
              <w:left w:w="28" w:type="dxa"/>
              <w:right w:w="28" w:type="dxa"/>
            </w:tcMar>
            <w:vAlign w:val="center"/>
            <w:hideMark/>
          </w:tcPr>
          <w:p w14:paraId="7E15EC6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 – i04</w:t>
            </w:r>
          </w:p>
        </w:tc>
        <w:tc>
          <w:tcPr>
            <w:tcW w:w="1057" w:type="dxa"/>
            <w:shd w:val="clear" w:color="auto" w:fill="C4EFCE"/>
            <w:noWrap/>
            <w:tcMar>
              <w:left w:w="28" w:type="dxa"/>
              <w:right w:w="28" w:type="dxa"/>
            </w:tcMar>
            <w:vAlign w:val="center"/>
            <w:hideMark/>
          </w:tcPr>
          <w:p w14:paraId="2A1A6729" w14:textId="4FA7AE01"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74" w:type="dxa"/>
            <w:shd w:val="clear" w:color="auto" w:fill="C4EFCE"/>
            <w:noWrap/>
            <w:tcMar>
              <w:left w:w="28" w:type="dxa"/>
              <w:right w:w="28" w:type="dxa"/>
            </w:tcMar>
            <w:vAlign w:val="center"/>
            <w:hideMark/>
          </w:tcPr>
          <w:p w14:paraId="51F4579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Bezpečný mobilný komunikačný systém pre štátnych zamestnancov</w:t>
            </w:r>
          </w:p>
        </w:tc>
        <w:tc>
          <w:tcPr>
            <w:tcW w:w="1314" w:type="dxa"/>
            <w:shd w:val="clear" w:color="auto" w:fill="C4EFCE"/>
            <w:noWrap/>
            <w:tcMar>
              <w:left w:w="28" w:type="dxa"/>
              <w:right w:w="28" w:type="dxa"/>
            </w:tcMar>
            <w:vAlign w:val="center"/>
            <w:hideMark/>
          </w:tcPr>
          <w:p w14:paraId="25D1824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10" w:type="dxa"/>
            <w:shd w:val="clear" w:color="auto" w:fill="C4EFCE"/>
            <w:noWrap/>
            <w:tcMar>
              <w:left w:w="28" w:type="dxa"/>
              <w:right w:w="28" w:type="dxa"/>
            </w:tcMar>
            <w:vAlign w:val="center"/>
            <w:hideMark/>
          </w:tcPr>
          <w:p w14:paraId="717F43F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w:t>
            </w:r>
          </w:p>
        </w:tc>
        <w:tc>
          <w:tcPr>
            <w:tcW w:w="870" w:type="dxa"/>
            <w:shd w:val="clear" w:color="auto" w:fill="C4EFCE"/>
            <w:noWrap/>
            <w:tcMar>
              <w:left w:w="28" w:type="dxa"/>
              <w:right w:w="28" w:type="dxa"/>
            </w:tcMar>
            <w:vAlign w:val="center"/>
            <w:hideMark/>
          </w:tcPr>
          <w:p w14:paraId="3A5E5B3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5" w:type="dxa"/>
            <w:shd w:val="clear" w:color="auto" w:fill="C4EFCE"/>
            <w:noWrap/>
            <w:tcMar>
              <w:left w:w="28" w:type="dxa"/>
              <w:right w:w="28" w:type="dxa"/>
            </w:tcMar>
            <w:vAlign w:val="center"/>
            <w:hideMark/>
          </w:tcPr>
          <w:p w14:paraId="50DDAE0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95</w:t>
            </w:r>
          </w:p>
        </w:tc>
        <w:tc>
          <w:tcPr>
            <w:tcW w:w="773" w:type="dxa"/>
            <w:shd w:val="clear" w:color="auto" w:fill="C4EFCE"/>
            <w:noWrap/>
            <w:tcMar>
              <w:left w:w="28" w:type="dxa"/>
              <w:right w:w="28" w:type="dxa"/>
            </w:tcMar>
            <w:vAlign w:val="center"/>
            <w:hideMark/>
          </w:tcPr>
          <w:p w14:paraId="636A686F" w14:textId="3C92A46C"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34" w:type="dxa"/>
            <w:shd w:val="clear" w:color="auto" w:fill="C4EFCE"/>
            <w:noWrap/>
            <w:tcMar>
              <w:left w:w="28" w:type="dxa"/>
              <w:right w:w="28" w:type="dxa"/>
            </w:tcMar>
            <w:vAlign w:val="center"/>
            <w:hideMark/>
          </w:tcPr>
          <w:p w14:paraId="04354A0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4358" w:type="dxa"/>
            <w:shd w:val="clear" w:color="auto" w:fill="C4EFCE"/>
            <w:tcMar>
              <w:left w:w="28" w:type="dxa"/>
              <w:right w:w="28" w:type="dxa"/>
            </w:tcMar>
            <w:vAlign w:val="center"/>
            <w:hideMark/>
          </w:tcPr>
          <w:p w14:paraId="0B6506D9" w14:textId="7486C95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Percentuálny podiel zamestnancov štátnej správy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prístupom</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zabezpečenému hlasovému systému, systému zasielania správ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videokomunikačného systému.</w:t>
            </w:r>
          </w:p>
        </w:tc>
      </w:tr>
      <w:tr w:rsidR="008E475E" w:rsidRPr="003F23AC" w14:paraId="3CA6562D" w14:textId="77777777" w:rsidTr="008E475E">
        <w:trPr>
          <w:trHeight w:val="290"/>
        </w:trPr>
        <w:tc>
          <w:tcPr>
            <w:tcW w:w="1059" w:type="dxa"/>
            <w:shd w:val="clear" w:color="auto" w:fill="C4EFCE"/>
            <w:tcMar>
              <w:left w:w="28" w:type="dxa"/>
              <w:right w:w="28" w:type="dxa"/>
            </w:tcMar>
            <w:vAlign w:val="center"/>
            <w:hideMark/>
          </w:tcPr>
          <w:p w14:paraId="3056D03D"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19.12</w:t>
            </w:r>
          </w:p>
        </w:tc>
        <w:tc>
          <w:tcPr>
            <w:tcW w:w="1185" w:type="dxa"/>
            <w:shd w:val="clear" w:color="auto" w:fill="C4EFCE"/>
            <w:noWrap/>
            <w:tcMar>
              <w:left w:w="28" w:type="dxa"/>
              <w:right w:w="28" w:type="dxa"/>
            </w:tcMar>
            <w:vAlign w:val="center"/>
            <w:hideMark/>
          </w:tcPr>
          <w:p w14:paraId="0D7F79C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 – i04</w:t>
            </w:r>
          </w:p>
        </w:tc>
        <w:tc>
          <w:tcPr>
            <w:tcW w:w="1057" w:type="dxa"/>
            <w:shd w:val="clear" w:color="auto" w:fill="C4EFCE"/>
            <w:noWrap/>
            <w:tcMar>
              <w:left w:w="28" w:type="dxa"/>
              <w:right w:w="28" w:type="dxa"/>
            </w:tcMar>
            <w:vAlign w:val="center"/>
            <w:hideMark/>
          </w:tcPr>
          <w:p w14:paraId="6E6F4A9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hideMark/>
          </w:tcPr>
          <w:p w14:paraId="3E8D5C6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Dokončenie modernizácie kritických digitálnych infraštruktúr </w:t>
            </w:r>
          </w:p>
        </w:tc>
        <w:tc>
          <w:tcPr>
            <w:tcW w:w="1314" w:type="dxa"/>
            <w:shd w:val="clear" w:color="auto" w:fill="C4EFCE"/>
            <w:noWrap/>
            <w:tcMar>
              <w:left w:w="28" w:type="dxa"/>
              <w:right w:w="28" w:type="dxa"/>
            </w:tcMar>
            <w:vAlign w:val="center"/>
            <w:hideMark/>
          </w:tcPr>
          <w:p w14:paraId="501E6AED" w14:textId="3F87B09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modernizácie národnej siete vnútornej bezpečnosti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štátnej komunikačnej núdzovej siete</w:t>
            </w:r>
          </w:p>
        </w:tc>
        <w:tc>
          <w:tcPr>
            <w:tcW w:w="1110" w:type="dxa"/>
            <w:shd w:val="clear" w:color="auto" w:fill="C4EFCE"/>
            <w:noWrap/>
            <w:tcMar>
              <w:left w:w="28" w:type="dxa"/>
              <w:right w:w="28" w:type="dxa"/>
            </w:tcMar>
            <w:vAlign w:val="center"/>
            <w:hideMark/>
          </w:tcPr>
          <w:p w14:paraId="39F8F6F1"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70" w:type="dxa"/>
            <w:shd w:val="clear" w:color="auto" w:fill="C4EFCE"/>
            <w:noWrap/>
            <w:tcMar>
              <w:left w:w="28" w:type="dxa"/>
              <w:right w:w="28" w:type="dxa"/>
            </w:tcMar>
            <w:vAlign w:val="center"/>
            <w:hideMark/>
          </w:tcPr>
          <w:p w14:paraId="1F264429"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25" w:type="dxa"/>
            <w:shd w:val="clear" w:color="auto" w:fill="C4EFCE"/>
            <w:noWrap/>
            <w:tcMar>
              <w:left w:w="28" w:type="dxa"/>
              <w:right w:w="28" w:type="dxa"/>
            </w:tcMar>
            <w:vAlign w:val="center"/>
            <w:hideMark/>
          </w:tcPr>
          <w:p w14:paraId="1A118CBF"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noWrap/>
            <w:tcMar>
              <w:left w:w="28" w:type="dxa"/>
              <w:right w:w="28" w:type="dxa"/>
            </w:tcMar>
            <w:vAlign w:val="center"/>
            <w:hideMark/>
          </w:tcPr>
          <w:p w14:paraId="2E51498A" w14:textId="2659B16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34" w:type="dxa"/>
            <w:shd w:val="clear" w:color="auto" w:fill="C4EFCE"/>
            <w:noWrap/>
            <w:tcMar>
              <w:left w:w="28" w:type="dxa"/>
              <w:right w:w="28" w:type="dxa"/>
            </w:tcMar>
            <w:vAlign w:val="center"/>
            <w:hideMark/>
          </w:tcPr>
          <w:p w14:paraId="7F7EF7EA" w14:textId="0D64379A" w:rsidR="00387C70" w:rsidRPr="003F23AC" w:rsidRDefault="000F5AA4" w:rsidP="003F23AC">
            <w:pPr>
              <w:pStyle w:val="P68B1DB1-Normal8"/>
              <w:spacing w:after="0" w:line="240" w:lineRule="auto"/>
              <w:jc w:val="right"/>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358" w:type="dxa"/>
            <w:shd w:val="clear" w:color="auto" w:fill="C4EFCE"/>
            <w:tcMar>
              <w:left w:w="28" w:type="dxa"/>
              <w:right w:w="28" w:type="dxa"/>
            </w:tcMar>
            <w:hideMark/>
          </w:tcPr>
          <w:p w14:paraId="77C3601A" w14:textId="43D35AEE"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Dokončenie modernizácie kritických digitálnych infraštruktúr: I) 60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realizácie dodatočnej kapacity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národnej siete vnútornej bezpečnosti vrátane vysokej kapacity na spracovanie údajov, odolnosti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bezpečnosti</w:t>
            </w:r>
            <w:r w:rsidR="00A75B3C" w:rsidRPr="003F23AC">
              <w:rPr>
                <w:rFonts w:ascii="Times New Roman" w:hAnsi="Times New Roman" w:cs="Times New Roman"/>
                <w:noProof/>
                <w:lang w:val="sk-SK"/>
              </w:rPr>
              <w:t>:</w:t>
            </w:r>
          </w:p>
          <w:p w14:paraId="44F9C278" w14:textId="201B74F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II) 55</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realizácie úplného územného pokrytia, kapacity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prepúšťania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štátnej komunikačnej núdzovej siete</w:t>
            </w:r>
          </w:p>
        </w:tc>
      </w:tr>
      <w:tr w:rsidR="008E475E" w:rsidRPr="003F23AC" w14:paraId="3F8BAA6B" w14:textId="77777777" w:rsidTr="008E475E">
        <w:trPr>
          <w:trHeight w:val="290"/>
        </w:trPr>
        <w:tc>
          <w:tcPr>
            <w:tcW w:w="1059" w:type="dxa"/>
            <w:shd w:val="clear" w:color="auto" w:fill="C4EFCE"/>
            <w:tcMar>
              <w:left w:w="28" w:type="dxa"/>
              <w:right w:w="28" w:type="dxa"/>
            </w:tcMar>
            <w:vAlign w:val="center"/>
            <w:hideMark/>
          </w:tcPr>
          <w:p w14:paraId="60B7CB2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19.13</w:t>
            </w:r>
          </w:p>
        </w:tc>
        <w:tc>
          <w:tcPr>
            <w:tcW w:w="1185" w:type="dxa"/>
            <w:shd w:val="clear" w:color="auto" w:fill="C4EFCE"/>
            <w:noWrap/>
            <w:tcMar>
              <w:left w:w="28" w:type="dxa"/>
              <w:right w:w="28" w:type="dxa"/>
            </w:tcMar>
            <w:vAlign w:val="center"/>
            <w:hideMark/>
          </w:tcPr>
          <w:p w14:paraId="05F9B74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 – i04</w:t>
            </w:r>
          </w:p>
        </w:tc>
        <w:tc>
          <w:tcPr>
            <w:tcW w:w="1057" w:type="dxa"/>
            <w:shd w:val="clear" w:color="auto" w:fill="C4EFCE"/>
            <w:noWrap/>
            <w:tcMar>
              <w:left w:w="28" w:type="dxa"/>
              <w:right w:w="28" w:type="dxa"/>
            </w:tcMar>
            <w:vAlign w:val="center"/>
            <w:hideMark/>
          </w:tcPr>
          <w:p w14:paraId="57F9721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hideMark/>
          </w:tcPr>
          <w:p w14:paraId="179ABEE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Dokončenie modernizácie kritických digitálnych infraštruktúr </w:t>
            </w:r>
          </w:p>
        </w:tc>
        <w:tc>
          <w:tcPr>
            <w:tcW w:w="1314" w:type="dxa"/>
            <w:shd w:val="clear" w:color="auto" w:fill="C4EFCE"/>
            <w:noWrap/>
            <w:tcMar>
              <w:left w:w="28" w:type="dxa"/>
              <w:right w:w="28" w:type="dxa"/>
            </w:tcMar>
            <w:vAlign w:val="center"/>
            <w:hideMark/>
          </w:tcPr>
          <w:p w14:paraId="2699DED6" w14:textId="4626BC9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modernizácie národnej siete vnútornej bezpečnosti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štátnej komunikačnej núdzovej siete</w:t>
            </w:r>
          </w:p>
        </w:tc>
        <w:tc>
          <w:tcPr>
            <w:tcW w:w="1110" w:type="dxa"/>
            <w:shd w:val="clear" w:color="auto" w:fill="C4EFCE"/>
            <w:noWrap/>
            <w:tcMar>
              <w:left w:w="28" w:type="dxa"/>
              <w:right w:w="28" w:type="dxa"/>
            </w:tcMar>
            <w:vAlign w:val="center"/>
            <w:hideMark/>
          </w:tcPr>
          <w:p w14:paraId="78067F72"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70" w:type="dxa"/>
            <w:shd w:val="clear" w:color="auto" w:fill="C4EFCE"/>
            <w:noWrap/>
            <w:tcMar>
              <w:left w:w="28" w:type="dxa"/>
              <w:right w:w="28" w:type="dxa"/>
            </w:tcMar>
            <w:vAlign w:val="center"/>
            <w:hideMark/>
          </w:tcPr>
          <w:p w14:paraId="2C543219"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25" w:type="dxa"/>
            <w:shd w:val="clear" w:color="auto" w:fill="C4EFCE"/>
            <w:noWrap/>
            <w:tcMar>
              <w:left w:w="28" w:type="dxa"/>
              <w:right w:w="28" w:type="dxa"/>
            </w:tcMar>
            <w:vAlign w:val="center"/>
            <w:hideMark/>
          </w:tcPr>
          <w:p w14:paraId="3512C253"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noWrap/>
            <w:tcMar>
              <w:left w:w="28" w:type="dxa"/>
              <w:right w:w="28" w:type="dxa"/>
            </w:tcMar>
            <w:vAlign w:val="center"/>
            <w:hideMark/>
          </w:tcPr>
          <w:p w14:paraId="2BB5AA71" w14:textId="286AD60C"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34" w:type="dxa"/>
            <w:shd w:val="clear" w:color="auto" w:fill="C4EFCE"/>
            <w:noWrap/>
            <w:tcMar>
              <w:left w:w="28" w:type="dxa"/>
              <w:right w:w="28" w:type="dxa"/>
            </w:tcMar>
            <w:vAlign w:val="center"/>
            <w:hideMark/>
          </w:tcPr>
          <w:p w14:paraId="7358850B" w14:textId="77777777" w:rsidR="00387C70" w:rsidRPr="003F23AC" w:rsidRDefault="000F5AA4" w:rsidP="003F23AC">
            <w:pPr>
              <w:pStyle w:val="P68B1DB1-Normal8"/>
              <w:spacing w:after="0" w:line="240" w:lineRule="auto"/>
              <w:jc w:val="right"/>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58" w:type="dxa"/>
            <w:shd w:val="clear" w:color="auto" w:fill="C4EFCE"/>
            <w:tcMar>
              <w:left w:w="28" w:type="dxa"/>
              <w:right w:w="28" w:type="dxa"/>
            </w:tcMar>
            <w:vAlign w:val="center"/>
            <w:hideMark/>
          </w:tcPr>
          <w:p w14:paraId="58ACE1B4" w14:textId="1DF75222"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Dokončenie modernizácie kritických digitálnych infraštruktúr: I) uvedenie dodatočnej kapacity do prevádzky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národnej siete vnútornej bezpečnosti vrátane vysokej kapacity na spracovanie údajov, odolnosti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bezpečnosti</w:t>
            </w:r>
            <w:r w:rsidR="00A75B3C" w:rsidRPr="003F23AC">
              <w:rPr>
                <w:rFonts w:ascii="Times New Roman" w:hAnsi="Times New Roman" w:cs="Times New Roman"/>
                <w:noProof/>
                <w:lang w:val="sk-SK"/>
              </w:rPr>
              <w:t>:</w:t>
            </w:r>
          </w:p>
          <w:p w14:paraId="0D6FF793"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II) zavádzanie nových technologických architektúr, systémov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nástrojov so schopnosťou inteligentnej automatizácie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sofistikovanosti</w:t>
            </w:r>
          </w:p>
          <w:p w14:paraId="25F4E897" w14:textId="3501499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III) Štátna komunikačná núdzová sieť: dosiahnutie úplného územného pokrytia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zlepšenie jeho kapacity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prepúšťanie</w:t>
            </w:r>
          </w:p>
        </w:tc>
      </w:tr>
      <w:tr w:rsidR="008E475E" w:rsidRPr="003F23AC" w14:paraId="0A8D9375" w14:textId="77777777" w:rsidTr="008E475E">
        <w:trPr>
          <w:trHeight w:val="290"/>
        </w:trPr>
        <w:tc>
          <w:tcPr>
            <w:tcW w:w="1059" w:type="dxa"/>
            <w:shd w:val="clear" w:color="auto" w:fill="C4EFCE"/>
            <w:tcMar>
              <w:left w:w="28" w:type="dxa"/>
              <w:right w:w="28" w:type="dxa"/>
            </w:tcMar>
            <w:vAlign w:val="center"/>
            <w:hideMark/>
          </w:tcPr>
          <w:p w14:paraId="59CF7E22"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19.14</w:t>
            </w:r>
          </w:p>
        </w:tc>
        <w:tc>
          <w:tcPr>
            <w:tcW w:w="1185" w:type="dxa"/>
            <w:shd w:val="clear" w:color="auto" w:fill="C4EFCE"/>
            <w:noWrap/>
            <w:tcMar>
              <w:left w:w="28" w:type="dxa"/>
              <w:right w:w="28" w:type="dxa"/>
            </w:tcMar>
            <w:vAlign w:val="center"/>
            <w:hideMark/>
          </w:tcPr>
          <w:p w14:paraId="0826B3A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 – i04</w:t>
            </w:r>
          </w:p>
        </w:tc>
        <w:tc>
          <w:tcPr>
            <w:tcW w:w="1057" w:type="dxa"/>
            <w:shd w:val="clear" w:color="auto" w:fill="C4EFCE"/>
            <w:noWrap/>
            <w:tcMar>
              <w:left w:w="28" w:type="dxa"/>
              <w:right w:w="28" w:type="dxa"/>
            </w:tcMar>
            <w:vAlign w:val="center"/>
            <w:hideMark/>
          </w:tcPr>
          <w:p w14:paraId="4FC5A95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hideMark/>
          </w:tcPr>
          <w:p w14:paraId="6CFF1D03" w14:textId="764EE85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Modernizácia informačného systému bezpečnostných síl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služieb</w:t>
            </w:r>
          </w:p>
        </w:tc>
        <w:tc>
          <w:tcPr>
            <w:tcW w:w="1314" w:type="dxa"/>
            <w:shd w:val="clear" w:color="auto" w:fill="C4EFCE"/>
            <w:noWrap/>
            <w:tcMar>
              <w:left w:w="28" w:type="dxa"/>
              <w:right w:w="28" w:type="dxa"/>
            </w:tcMar>
            <w:vAlign w:val="center"/>
            <w:hideMark/>
          </w:tcPr>
          <w:p w14:paraId="12090031" w14:textId="077C514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Modernizácia informačných systémov bezpečnostných síl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služieb</w:t>
            </w:r>
          </w:p>
        </w:tc>
        <w:tc>
          <w:tcPr>
            <w:tcW w:w="1110" w:type="dxa"/>
            <w:shd w:val="clear" w:color="auto" w:fill="C4EFCE"/>
            <w:noWrap/>
            <w:tcMar>
              <w:left w:w="28" w:type="dxa"/>
              <w:right w:w="28" w:type="dxa"/>
            </w:tcMar>
            <w:vAlign w:val="center"/>
            <w:hideMark/>
          </w:tcPr>
          <w:p w14:paraId="7E59144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70" w:type="dxa"/>
            <w:shd w:val="clear" w:color="auto" w:fill="C4EFCE"/>
            <w:noWrap/>
            <w:tcMar>
              <w:left w:w="28" w:type="dxa"/>
              <w:right w:w="28" w:type="dxa"/>
            </w:tcMar>
            <w:vAlign w:val="center"/>
            <w:hideMark/>
          </w:tcPr>
          <w:p w14:paraId="3A6B64F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25" w:type="dxa"/>
            <w:shd w:val="clear" w:color="auto" w:fill="C4EFCE"/>
            <w:noWrap/>
            <w:tcMar>
              <w:left w:w="28" w:type="dxa"/>
              <w:right w:w="28" w:type="dxa"/>
            </w:tcMar>
            <w:vAlign w:val="center"/>
            <w:hideMark/>
          </w:tcPr>
          <w:p w14:paraId="450C75A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noWrap/>
            <w:tcMar>
              <w:left w:w="28" w:type="dxa"/>
              <w:right w:w="28" w:type="dxa"/>
            </w:tcMar>
            <w:vAlign w:val="center"/>
            <w:hideMark/>
          </w:tcPr>
          <w:p w14:paraId="0A0A4410" w14:textId="5FB1A3CE"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r w:rsidR="000F5AA4" w:rsidRPr="003F23AC">
              <w:rPr>
                <w:rFonts w:ascii="Times New Roman" w:hAnsi="Times New Roman" w:cs="Times New Roman"/>
                <w:noProof/>
                <w:lang w:val="sk-SK"/>
              </w:rPr>
              <w:t xml:space="preserve"> </w:t>
            </w:r>
          </w:p>
        </w:tc>
        <w:tc>
          <w:tcPr>
            <w:tcW w:w="434" w:type="dxa"/>
            <w:shd w:val="clear" w:color="auto" w:fill="C4EFCE"/>
            <w:noWrap/>
            <w:tcMar>
              <w:left w:w="28" w:type="dxa"/>
              <w:right w:w="28" w:type="dxa"/>
            </w:tcMar>
            <w:vAlign w:val="center"/>
            <w:hideMark/>
          </w:tcPr>
          <w:p w14:paraId="46E1DCB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358" w:type="dxa"/>
            <w:shd w:val="clear" w:color="auto" w:fill="C4EFCE"/>
            <w:tcMar>
              <w:left w:w="28" w:type="dxa"/>
              <w:right w:w="28" w:type="dxa"/>
            </w:tcMar>
            <w:vAlign w:val="center"/>
            <w:hideMark/>
          </w:tcPr>
          <w:p w14:paraId="03B30DDC" w14:textId="0EBC9D48"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Modernizácia IT systémov bezpečnostných síl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služieb</w:t>
            </w:r>
            <w:r w:rsidR="00A75B3C" w:rsidRPr="003F23AC">
              <w:rPr>
                <w:rFonts w:ascii="Times New Roman" w:hAnsi="Times New Roman" w:cs="Times New Roman"/>
                <w:noProof/>
                <w:lang w:val="sk-SK"/>
              </w:rPr>
              <w:t>:</w:t>
            </w:r>
          </w:p>
          <w:p w14:paraId="61DD86E9" w14:textId="6C3CA55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a) sprevádzkovanie obnovených informačných systémov SEF (riadenie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kontrola hraníc, policajná</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justičná spolupráca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spoločný európsky azylový systém); b) spoločné IT služby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bezpečnostných silách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službách</w:t>
            </w:r>
          </w:p>
        </w:tc>
      </w:tr>
      <w:tr w:rsidR="008E475E" w:rsidRPr="003F23AC" w14:paraId="09BA9EDE" w14:textId="77777777" w:rsidTr="008E475E">
        <w:trPr>
          <w:trHeight w:val="640"/>
        </w:trPr>
        <w:tc>
          <w:tcPr>
            <w:tcW w:w="1059" w:type="dxa"/>
            <w:shd w:val="clear" w:color="auto" w:fill="C4EFCE"/>
            <w:tcMar>
              <w:left w:w="28" w:type="dxa"/>
              <w:right w:w="28" w:type="dxa"/>
            </w:tcMar>
            <w:vAlign w:val="center"/>
            <w:hideMark/>
          </w:tcPr>
          <w:p w14:paraId="6AD2F9D4"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19.15</w:t>
            </w:r>
          </w:p>
        </w:tc>
        <w:tc>
          <w:tcPr>
            <w:tcW w:w="1185" w:type="dxa"/>
            <w:shd w:val="clear" w:color="auto" w:fill="C4EFCE"/>
            <w:noWrap/>
            <w:tcMar>
              <w:left w:w="28" w:type="dxa"/>
              <w:right w:w="28" w:type="dxa"/>
            </w:tcMar>
            <w:vAlign w:val="center"/>
            <w:hideMark/>
          </w:tcPr>
          <w:p w14:paraId="3AC7180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 – i04</w:t>
            </w:r>
          </w:p>
        </w:tc>
        <w:tc>
          <w:tcPr>
            <w:tcW w:w="1057" w:type="dxa"/>
            <w:shd w:val="clear" w:color="auto" w:fill="C4EFCE"/>
            <w:noWrap/>
            <w:tcMar>
              <w:left w:w="28" w:type="dxa"/>
              <w:right w:w="28" w:type="dxa"/>
            </w:tcMar>
            <w:vAlign w:val="center"/>
            <w:hideMark/>
          </w:tcPr>
          <w:p w14:paraId="02F2831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hideMark/>
          </w:tcPr>
          <w:p w14:paraId="2C9ADC9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Posilniť vládne centrum riadenia IT siete (RING)</w:t>
            </w:r>
          </w:p>
        </w:tc>
        <w:tc>
          <w:tcPr>
            <w:tcW w:w="1314" w:type="dxa"/>
            <w:shd w:val="clear" w:color="auto" w:fill="C4EFCE"/>
            <w:noWrap/>
            <w:tcMar>
              <w:left w:w="28" w:type="dxa"/>
              <w:right w:w="28" w:type="dxa"/>
            </w:tcMar>
            <w:vAlign w:val="center"/>
            <w:hideMark/>
          </w:tcPr>
          <w:p w14:paraId="4C0CAC2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Posilniť vládne centrum riadenia IT siete (RING) </w:t>
            </w:r>
          </w:p>
        </w:tc>
        <w:tc>
          <w:tcPr>
            <w:tcW w:w="1110" w:type="dxa"/>
            <w:shd w:val="clear" w:color="auto" w:fill="C4EFCE"/>
            <w:noWrap/>
            <w:tcMar>
              <w:left w:w="28" w:type="dxa"/>
              <w:right w:w="28" w:type="dxa"/>
            </w:tcMar>
            <w:vAlign w:val="center"/>
            <w:hideMark/>
          </w:tcPr>
          <w:p w14:paraId="1D34255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70" w:type="dxa"/>
            <w:shd w:val="clear" w:color="auto" w:fill="C4EFCE"/>
            <w:noWrap/>
            <w:tcMar>
              <w:left w:w="28" w:type="dxa"/>
              <w:right w:w="28" w:type="dxa"/>
            </w:tcMar>
            <w:vAlign w:val="center"/>
            <w:hideMark/>
          </w:tcPr>
          <w:p w14:paraId="748A1D2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25" w:type="dxa"/>
            <w:shd w:val="clear" w:color="auto" w:fill="C4EFCE"/>
            <w:noWrap/>
            <w:tcMar>
              <w:left w:w="28" w:type="dxa"/>
              <w:right w:w="28" w:type="dxa"/>
            </w:tcMar>
            <w:vAlign w:val="center"/>
            <w:hideMark/>
          </w:tcPr>
          <w:p w14:paraId="718E309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noWrap/>
            <w:tcMar>
              <w:left w:w="28" w:type="dxa"/>
              <w:right w:w="28" w:type="dxa"/>
            </w:tcMar>
            <w:vAlign w:val="center"/>
            <w:hideMark/>
          </w:tcPr>
          <w:p w14:paraId="76EC258A" w14:textId="05588CAF"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34" w:type="dxa"/>
            <w:shd w:val="clear" w:color="auto" w:fill="C4EFCE"/>
            <w:noWrap/>
            <w:tcMar>
              <w:left w:w="28" w:type="dxa"/>
              <w:right w:w="28" w:type="dxa"/>
            </w:tcMar>
            <w:vAlign w:val="center"/>
            <w:hideMark/>
          </w:tcPr>
          <w:p w14:paraId="5C6920F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58" w:type="dxa"/>
            <w:shd w:val="clear" w:color="auto" w:fill="C4EFCE"/>
            <w:tcMar>
              <w:left w:w="28" w:type="dxa"/>
              <w:right w:w="28" w:type="dxa"/>
            </w:tcMar>
            <w:vAlign w:val="center"/>
            <w:hideMark/>
          </w:tcPr>
          <w:p w14:paraId="48233525" w14:textId="73C9E5A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Cieľom je posilniť RING modernizáciou piatich kritických technologických infraštruktúr RING (ochrana firewallu; výpočtová technika, ukladanie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zálohovanie; Telefónia VoIP; videokonferencie;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aplikačný ekosystém)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cloud)</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modernizácia vývoja hlavných informačných systémov </w:t>
            </w:r>
          </w:p>
        </w:tc>
      </w:tr>
      <w:tr w:rsidR="008E475E" w:rsidRPr="003F23AC" w14:paraId="0767329D" w14:textId="77777777" w:rsidTr="008E475E">
        <w:trPr>
          <w:trHeight w:val="953"/>
        </w:trPr>
        <w:tc>
          <w:tcPr>
            <w:tcW w:w="1059" w:type="dxa"/>
            <w:shd w:val="clear" w:color="auto" w:fill="C4EFCE"/>
            <w:tcMar>
              <w:left w:w="28" w:type="dxa"/>
              <w:right w:w="28" w:type="dxa"/>
            </w:tcMar>
            <w:vAlign w:val="center"/>
          </w:tcPr>
          <w:p w14:paraId="18FB6E3B" w14:textId="16CADAA5"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19.28</w:t>
            </w:r>
          </w:p>
        </w:tc>
        <w:tc>
          <w:tcPr>
            <w:tcW w:w="1185" w:type="dxa"/>
            <w:shd w:val="clear" w:color="auto" w:fill="C4EFCE"/>
            <w:noWrap/>
            <w:tcMar>
              <w:left w:w="28" w:type="dxa"/>
              <w:right w:w="28" w:type="dxa"/>
            </w:tcMar>
            <w:vAlign w:val="center"/>
          </w:tcPr>
          <w:p w14:paraId="00C07FA4" w14:textId="7F329DC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TD-C19-i05-RAM</w:t>
            </w:r>
          </w:p>
        </w:tc>
        <w:tc>
          <w:tcPr>
            <w:tcW w:w="1057" w:type="dxa"/>
            <w:shd w:val="clear" w:color="auto" w:fill="C4EFCE"/>
            <w:noWrap/>
            <w:tcMar>
              <w:left w:w="28" w:type="dxa"/>
              <w:right w:w="28" w:type="dxa"/>
            </w:tcMar>
            <w:vAlign w:val="center"/>
          </w:tcPr>
          <w:p w14:paraId="73ED5E83" w14:textId="53DB606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tcPr>
          <w:p w14:paraId="744FC0AC" w14:textId="7F580C3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Funkčný prototyp centralizovaného riešenia správy údajov </w:t>
            </w:r>
          </w:p>
        </w:tc>
        <w:tc>
          <w:tcPr>
            <w:tcW w:w="1314" w:type="dxa"/>
            <w:shd w:val="clear" w:color="auto" w:fill="C4EFCE"/>
            <w:noWrap/>
            <w:tcMar>
              <w:left w:w="28" w:type="dxa"/>
              <w:right w:w="28" w:type="dxa"/>
            </w:tcMar>
            <w:vAlign w:val="center"/>
          </w:tcPr>
          <w:p w14:paraId="329F803E" w14:textId="7BB6F0B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Funkčný prototyp</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prevádzke</w:t>
            </w:r>
          </w:p>
        </w:tc>
        <w:tc>
          <w:tcPr>
            <w:tcW w:w="1110" w:type="dxa"/>
            <w:shd w:val="clear" w:color="auto" w:fill="C4EFCE"/>
            <w:noWrap/>
            <w:tcMar>
              <w:left w:w="28" w:type="dxa"/>
              <w:right w:w="28" w:type="dxa"/>
            </w:tcMar>
            <w:vAlign w:val="center"/>
          </w:tcPr>
          <w:p w14:paraId="2C07AACF"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70" w:type="dxa"/>
            <w:shd w:val="clear" w:color="auto" w:fill="C4EFCE"/>
            <w:noWrap/>
            <w:tcMar>
              <w:left w:w="28" w:type="dxa"/>
              <w:right w:w="28" w:type="dxa"/>
            </w:tcMar>
            <w:vAlign w:val="center"/>
          </w:tcPr>
          <w:p w14:paraId="3D308A56"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25" w:type="dxa"/>
            <w:shd w:val="clear" w:color="auto" w:fill="C4EFCE"/>
            <w:noWrap/>
            <w:tcMar>
              <w:left w:w="28" w:type="dxa"/>
              <w:right w:w="28" w:type="dxa"/>
            </w:tcMar>
            <w:vAlign w:val="center"/>
          </w:tcPr>
          <w:p w14:paraId="0A37D57E"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3" w:type="dxa"/>
            <w:shd w:val="clear" w:color="auto" w:fill="C4EFCE"/>
            <w:noWrap/>
            <w:tcMar>
              <w:left w:w="28" w:type="dxa"/>
              <w:right w:w="28" w:type="dxa"/>
            </w:tcMar>
            <w:vAlign w:val="center"/>
          </w:tcPr>
          <w:p w14:paraId="1B060ADB" w14:textId="5DA4007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34" w:type="dxa"/>
            <w:shd w:val="clear" w:color="auto" w:fill="C4EFCE"/>
            <w:noWrap/>
            <w:tcMar>
              <w:left w:w="28" w:type="dxa"/>
              <w:right w:w="28" w:type="dxa"/>
            </w:tcMar>
            <w:vAlign w:val="center"/>
          </w:tcPr>
          <w:p w14:paraId="51DB435B" w14:textId="3BB9B3A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358" w:type="dxa"/>
            <w:shd w:val="clear" w:color="auto" w:fill="C4EFCE"/>
            <w:tcMar>
              <w:left w:w="28" w:type="dxa"/>
              <w:right w:w="28" w:type="dxa"/>
            </w:tcMar>
            <w:vAlign w:val="center"/>
          </w:tcPr>
          <w:p w14:paraId="5E2D4942" w14:textId="77777777" w:rsidR="00387C70" w:rsidRPr="003F23AC" w:rsidRDefault="000F5AA4" w:rsidP="003F23AC">
            <w:pPr>
              <w:pStyle w:val="P68B1DB1-Normal8"/>
              <w:tabs>
                <w:tab w:val="left" w:pos="710"/>
                <w:tab w:val="right" w:pos="1963"/>
              </w:tabs>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Spustenie funkčného prototypu. Prototyp musí byť schopný simulovať tieto funkcie:</w:t>
            </w:r>
          </w:p>
          <w:p w14:paraId="0A60490A" w14:textId="17E46630" w:rsidR="00387C70" w:rsidRPr="003F23AC" w:rsidRDefault="000F5AA4" w:rsidP="003F23AC">
            <w:pPr>
              <w:pStyle w:val="P68B1DB1-Normal8"/>
              <w:tabs>
                <w:tab w:val="left" w:pos="710"/>
                <w:tab w:val="right" w:pos="1963"/>
              </w:tabs>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Vytvoriť nástroje na identifikáciu neefektívnosti, podvodov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iných rizikových oblastí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algoritmami umelej inteligencie,</w:t>
            </w:r>
          </w:p>
          <w:p w14:paraId="2091A90C"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—Sprístupniť služby umelej inteligencie rôznym oblastiam verejnej správy</w:t>
            </w:r>
          </w:p>
          <w:p w14:paraId="63B3E50E" w14:textId="1B79893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Automatizovať rozhodovanie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rôznych oblastiach verejnej správy.</w:t>
            </w:r>
          </w:p>
        </w:tc>
      </w:tr>
      <w:tr w:rsidR="008E475E" w:rsidRPr="003F23AC" w14:paraId="5CB7E1C4" w14:textId="77777777" w:rsidTr="008E475E">
        <w:trPr>
          <w:trHeight w:val="953"/>
        </w:trPr>
        <w:tc>
          <w:tcPr>
            <w:tcW w:w="1059" w:type="dxa"/>
            <w:shd w:val="clear" w:color="auto" w:fill="C4EFCE"/>
            <w:tcMar>
              <w:left w:w="28" w:type="dxa"/>
              <w:right w:w="28" w:type="dxa"/>
            </w:tcMar>
            <w:vAlign w:val="center"/>
            <w:hideMark/>
          </w:tcPr>
          <w:p w14:paraId="576D56A1"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19.16</w:t>
            </w:r>
          </w:p>
        </w:tc>
        <w:tc>
          <w:tcPr>
            <w:tcW w:w="1185" w:type="dxa"/>
            <w:shd w:val="clear" w:color="auto" w:fill="C4EFCE"/>
            <w:noWrap/>
            <w:tcMar>
              <w:left w:w="28" w:type="dxa"/>
              <w:right w:w="28" w:type="dxa"/>
            </w:tcMar>
            <w:vAlign w:val="center"/>
            <w:hideMark/>
          </w:tcPr>
          <w:p w14:paraId="18A1503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TD-C19-i05-RAM</w:t>
            </w:r>
          </w:p>
        </w:tc>
        <w:tc>
          <w:tcPr>
            <w:tcW w:w="1057" w:type="dxa"/>
            <w:shd w:val="clear" w:color="auto" w:fill="C4EFCE"/>
            <w:noWrap/>
            <w:tcMar>
              <w:left w:w="28" w:type="dxa"/>
              <w:right w:w="28" w:type="dxa"/>
            </w:tcMar>
            <w:vAlign w:val="center"/>
            <w:hideMark/>
          </w:tcPr>
          <w:p w14:paraId="7F8FB6EE" w14:textId="032ACEBE"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74" w:type="dxa"/>
            <w:shd w:val="clear" w:color="auto" w:fill="C4EFCE"/>
            <w:noWrap/>
            <w:tcMar>
              <w:left w:w="28" w:type="dxa"/>
              <w:right w:w="28" w:type="dxa"/>
            </w:tcMar>
            <w:vAlign w:val="center"/>
            <w:hideMark/>
          </w:tcPr>
          <w:p w14:paraId="4769BDF3" w14:textId="637BCEC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Verejné služby pre občanov, návštevníkov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podniky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p>
        </w:tc>
        <w:tc>
          <w:tcPr>
            <w:tcW w:w="1314" w:type="dxa"/>
            <w:shd w:val="clear" w:color="auto" w:fill="C4EFCE"/>
            <w:noWrap/>
            <w:tcMar>
              <w:left w:w="28" w:type="dxa"/>
              <w:right w:w="28" w:type="dxa"/>
            </w:tcMar>
            <w:vAlign w:val="center"/>
            <w:hideMark/>
          </w:tcPr>
          <w:p w14:paraId="3EA8E5E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10" w:type="dxa"/>
            <w:shd w:val="clear" w:color="auto" w:fill="C4EFCE"/>
            <w:noWrap/>
            <w:tcMar>
              <w:left w:w="28" w:type="dxa"/>
              <w:right w:w="28" w:type="dxa"/>
            </w:tcMar>
            <w:vAlign w:val="center"/>
            <w:hideMark/>
          </w:tcPr>
          <w:p w14:paraId="708975F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70" w:type="dxa"/>
            <w:shd w:val="clear" w:color="auto" w:fill="C4EFCE"/>
            <w:noWrap/>
            <w:tcMar>
              <w:left w:w="28" w:type="dxa"/>
              <w:right w:w="28" w:type="dxa"/>
            </w:tcMar>
            <w:vAlign w:val="center"/>
            <w:hideMark/>
          </w:tcPr>
          <w:p w14:paraId="648029E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5" w:type="dxa"/>
            <w:shd w:val="clear" w:color="auto" w:fill="C4EFCE"/>
            <w:noWrap/>
            <w:tcMar>
              <w:left w:w="28" w:type="dxa"/>
              <w:right w:w="28" w:type="dxa"/>
            </w:tcMar>
            <w:vAlign w:val="center"/>
            <w:hideMark/>
          </w:tcPr>
          <w:p w14:paraId="23D539C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w:t>
            </w:r>
          </w:p>
        </w:tc>
        <w:tc>
          <w:tcPr>
            <w:tcW w:w="773" w:type="dxa"/>
            <w:shd w:val="clear" w:color="auto" w:fill="C4EFCE"/>
            <w:noWrap/>
            <w:tcMar>
              <w:left w:w="28" w:type="dxa"/>
              <w:right w:w="28" w:type="dxa"/>
            </w:tcMar>
            <w:vAlign w:val="center"/>
            <w:hideMark/>
          </w:tcPr>
          <w:p w14:paraId="461712A3" w14:textId="7225D3B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34" w:type="dxa"/>
            <w:shd w:val="clear" w:color="auto" w:fill="C4EFCE"/>
            <w:noWrap/>
            <w:tcMar>
              <w:left w:w="28" w:type="dxa"/>
              <w:right w:w="28" w:type="dxa"/>
            </w:tcMar>
            <w:vAlign w:val="center"/>
            <w:hideMark/>
          </w:tcPr>
          <w:p w14:paraId="7E32D4A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58" w:type="dxa"/>
            <w:shd w:val="clear" w:color="auto" w:fill="C4EFCE"/>
            <w:tcMar>
              <w:left w:w="28" w:type="dxa"/>
              <w:right w:w="28" w:type="dxa"/>
            </w:tcMar>
            <w:vAlign w:val="center"/>
            <w:hideMark/>
          </w:tcPr>
          <w:p w14:paraId="7F14D18C" w14:textId="2DA32903"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nových zjednodušených digitalizovaných verejných služieb sprístupnených občanom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podnikom</w:t>
            </w:r>
          </w:p>
        </w:tc>
      </w:tr>
      <w:tr w:rsidR="008E475E" w:rsidRPr="003F23AC" w14:paraId="4DDCEA50" w14:textId="77777777" w:rsidTr="008E475E">
        <w:trPr>
          <w:trHeight w:val="290"/>
        </w:trPr>
        <w:tc>
          <w:tcPr>
            <w:tcW w:w="1059" w:type="dxa"/>
            <w:shd w:val="clear" w:color="auto" w:fill="C4EFCE"/>
            <w:tcMar>
              <w:left w:w="28" w:type="dxa"/>
              <w:right w:w="28" w:type="dxa"/>
            </w:tcMar>
            <w:vAlign w:val="center"/>
            <w:hideMark/>
          </w:tcPr>
          <w:p w14:paraId="155D0A6D"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19.17</w:t>
            </w:r>
          </w:p>
        </w:tc>
        <w:tc>
          <w:tcPr>
            <w:tcW w:w="1185" w:type="dxa"/>
            <w:shd w:val="clear" w:color="auto" w:fill="C4EFCE"/>
            <w:noWrap/>
            <w:tcMar>
              <w:left w:w="28" w:type="dxa"/>
              <w:right w:w="28" w:type="dxa"/>
            </w:tcMar>
            <w:vAlign w:val="center"/>
            <w:hideMark/>
          </w:tcPr>
          <w:p w14:paraId="2D65B27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TD-C19-i05-RAM</w:t>
            </w:r>
          </w:p>
        </w:tc>
        <w:tc>
          <w:tcPr>
            <w:tcW w:w="1057" w:type="dxa"/>
            <w:shd w:val="clear" w:color="auto" w:fill="C4EFCE"/>
            <w:noWrap/>
            <w:tcMar>
              <w:left w:w="28" w:type="dxa"/>
              <w:right w:w="28" w:type="dxa"/>
            </w:tcMar>
            <w:vAlign w:val="center"/>
            <w:hideMark/>
          </w:tcPr>
          <w:p w14:paraId="317D5CC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hideMark/>
          </w:tcPr>
          <w:p w14:paraId="315CD8F8" w14:textId="46630F0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Modernizácia kritickej infraštruktúry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počítačovej architektúry verejných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p>
        </w:tc>
        <w:tc>
          <w:tcPr>
            <w:tcW w:w="1314" w:type="dxa"/>
            <w:shd w:val="clear" w:color="auto" w:fill="C4EFCE"/>
            <w:noWrap/>
            <w:tcMar>
              <w:left w:w="28" w:type="dxa"/>
              <w:right w:w="28" w:type="dxa"/>
            </w:tcMar>
            <w:vAlign w:val="center"/>
            <w:hideMark/>
          </w:tcPr>
          <w:p w14:paraId="51FC6F0B" w14:textId="130F59D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Modernizácia kritickej infraštruktúry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počítačovej architektúry verejných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p>
        </w:tc>
        <w:tc>
          <w:tcPr>
            <w:tcW w:w="1110" w:type="dxa"/>
            <w:shd w:val="clear" w:color="auto" w:fill="C4EFCE"/>
            <w:noWrap/>
            <w:tcMar>
              <w:left w:w="28" w:type="dxa"/>
              <w:right w:w="28" w:type="dxa"/>
            </w:tcMar>
            <w:vAlign w:val="center"/>
            <w:hideMark/>
          </w:tcPr>
          <w:p w14:paraId="5C3CE7BD"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70" w:type="dxa"/>
            <w:shd w:val="clear" w:color="auto" w:fill="C4EFCE"/>
            <w:noWrap/>
            <w:tcMar>
              <w:left w:w="28" w:type="dxa"/>
              <w:right w:w="28" w:type="dxa"/>
            </w:tcMar>
            <w:vAlign w:val="center"/>
            <w:hideMark/>
          </w:tcPr>
          <w:p w14:paraId="2793295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25" w:type="dxa"/>
            <w:shd w:val="clear" w:color="auto" w:fill="C4EFCE"/>
            <w:noWrap/>
            <w:tcMar>
              <w:left w:w="28" w:type="dxa"/>
              <w:right w:w="28" w:type="dxa"/>
            </w:tcMar>
            <w:vAlign w:val="center"/>
            <w:hideMark/>
          </w:tcPr>
          <w:p w14:paraId="53A57C6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noWrap/>
            <w:tcMar>
              <w:left w:w="28" w:type="dxa"/>
              <w:right w:w="28" w:type="dxa"/>
            </w:tcMar>
            <w:vAlign w:val="center"/>
            <w:hideMark/>
          </w:tcPr>
          <w:p w14:paraId="0EA1F25B" w14:textId="5BE5D4C4"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34" w:type="dxa"/>
            <w:shd w:val="clear" w:color="auto" w:fill="C4EFCE"/>
            <w:noWrap/>
            <w:tcMar>
              <w:left w:w="28" w:type="dxa"/>
              <w:right w:w="28" w:type="dxa"/>
            </w:tcMar>
            <w:vAlign w:val="center"/>
            <w:hideMark/>
          </w:tcPr>
          <w:p w14:paraId="75DB415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58" w:type="dxa"/>
            <w:shd w:val="clear" w:color="auto" w:fill="C4EFCE"/>
            <w:tcMar>
              <w:left w:w="28" w:type="dxa"/>
              <w:right w:w="28" w:type="dxa"/>
            </w:tcMar>
            <w:vAlign w:val="center"/>
            <w:hideMark/>
          </w:tcPr>
          <w:p w14:paraId="0B384644" w14:textId="77777777" w:rsidR="00A75B3C"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Dokončenie digitálnej transformácie vo verejnej správe ARM, ktorá zahŕňa</w:t>
            </w:r>
            <w:r w:rsidR="00A75B3C" w:rsidRPr="003F23AC">
              <w:rPr>
                <w:rFonts w:ascii="Times New Roman" w:hAnsi="Times New Roman" w:cs="Times New Roman"/>
                <w:noProof/>
                <w:lang w:val="sk-SK"/>
              </w:rPr>
              <w:t>:</w:t>
            </w:r>
          </w:p>
          <w:p w14:paraId="4B00254F"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Zavedenie súkromnej siete 5G</w:t>
            </w:r>
          </w:p>
          <w:p w14:paraId="365CC02B"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Mobilné kontrolné stredisko pre sledovanie lesných požiarov</w:t>
            </w:r>
          </w:p>
          <w:p w14:paraId="35938E06"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Centralizácia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obnova existujúcich dátových centier regionálnej verejnej správy</w:t>
            </w:r>
          </w:p>
          <w:p w14:paraId="6C598E31"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Vykonávanie architektúry kybernetickej bezpečnosti (pozri nariadenie 34)</w:t>
            </w:r>
          </w:p>
          <w:p w14:paraId="1828F3CE"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Pripojiteľnosť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regionálnych budovách verejnej správy – nástroje digitálnej mobility pre zamestnancov verejného sektora</w:t>
            </w:r>
          </w:p>
          <w:p w14:paraId="718E4A96"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Digitálna odborná príprava zamestnancov verejného sektora</w:t>
            </w:r>
          </w:p>
          <w:p w14:paraId="24AF3F5D"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Zabezpečenie informačného systému riadenia verejných financií</w:t>
            </w:r>
          </w:p>
          <w:p w14:paraId="596B0D1F" w14:textId="7AD0508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Zabezpečenie systému správy verejného majetku</w:t>
            </w:r>
          </w:p>
          <w:p w14:paraId="5268118F" w14:textId="02F06B4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Interoperabilita justičného systému ARM</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vnútroštátnymi informačnými systémami</w:t>
            </w:r>
          </w:p>
          <w:p w14:paraId="77673804" w14:textId="63E1398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Projekt „Inteligentný prístupový bod“ (Inteli</w:t>
            </w:r>
          </w:p>
        </w:tc>
      </w:tr>
      <w:tr w:rsidR="008E475E" w:rsidRPr="003F23AC" w14:paraId="2A157D90" w14:textId="77777777" w:rsidTr="008E475E">
        <w:trPr>
          <w:trHeight w:val="290"/>
        </w:trPr>
        <w:tc>
          <w:tcPr>
            <w:tcW w:w="1059" w:type="dxa"/>
            <w:shd w:val="clear" w:color="auto" w:fill="C4EFCE"/>
            <w:tcMar>
              <w:left w:w="28" w:type="dxa"/>
              <w:right w:w="28" w:type="dxa"/>
            </w:tcMar>
            <w:vAlign w:val="center"/>
          </w:tcPr>
          <w:p w14:paraId="1C82B8D6" w14:textId="5B16A76A"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19.29</w:t>
            </w:r>
          </w:p>
        </w:tc>
        <w:tc>
          <w:tcPr>
            <w:tcW w:w="1185" w:type="dxa"/>
            <w:shd w:val="clear" w:color="auto" w:fill="C4EFCE"/>
            <w:noWrap/>
            <w:tcMar>
              <w:left w:w="28" w:type="dxa"/>
              <w:right w:w="28" w:type="dxa"/>
            </w:tcMar>
            <w:vAlign w:val="center"/>
          </w:tcPr>
          <w:p w14:paraId="5DF9BA4A" w14:textId="0F2186B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TD-C19-i05-RAM</w:t>
            </w:r>
          </w:p>
        </w:tc>
        <w:tc>
          <w:tcPr>
            <w:tcW w:w="1057" w:type="dxa"/>
            <w:shd w:val="clear" w:color="auto" w:fill="C4EFCE"/>
            <w:noWrap/>
            <w:tcMar>
              <w:left w:w="28" w:type="dxa"/>
              <w:right w:w="28" w:type="dxa"/>
            </w:tcMar>
            <w:vAlign w:val="center"/>
          </w:tcPr>
          <w:p w14:paraId="506C8CD6" w14:textId="143AFCD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tcPr>
          <w:p w14:paraId="6F63D36B" w14:textId="3601B6F1" w:rsidR="00387C70" w:rsidRPr="003F23AC" w:rsidRDefault="000F5AA4" w:rsidP="003F23AC">
            <w:pPr>
              <w:pStyle w:val="P68B1DB1-Normal8"/>
              <w:spacing w:before="120" w:after="0" w:line="240" w:lineRule="auto"/>
              <w:jc w:val="both"/>
              <w:rPr>
                <w:rFonts w:ascii="Times New Roman" w:eastAsia="Calibri" w:hAnsi="Times New Roman" w:cs="Times New Roman"/>
                <w:noProof/>
                <w:lang w:val="sk-SK"/>
              </w:rPr>
            </w:pPr>
            <w:r w:rsidRPr="003F23AC">
              <w:rPr>
                <w:rFonts w:ascii="Times New Roman" w:hAnsi="Times New Roman" w:cs="Times New Roman"/>
                <w:noProof/>
                <w:lang w:val="sk-SK"/>
              </w:rPr>
              <w:t>Centralizované riešenie správy údajov</w:t>
            </w:r>
          </w:p>
        </w:tc>
        <w:tc>
          <w:tcPr>
            <w:tcW w:w="1314" w:type="dxa"/>
            <w:shd w:val="clear" w:color="auto" w:fill="C4EFCE"/>
            <w:noWrap/>
            <w:tcMar>
              <w:left w:w="28" w:type="dxa"/>
              <w:right w:w="28" w:type="dxa"/>
            </w:tcMar>
            <w:vAlign w:val="center"/>
          </w:tcPr>
          <w:p w14:paraId="63B29C5E" w14:textId="6696CF27" w:rsidR="00387C70" w:rsidRPr="003F23AC" w:rsidRDefault="000F5AA4" w:rsidP="003F23AC">
            <w:pPr>
              <w:pStyle w:val="P68B1DB1-Normal8"/>
              <w:spacing w:after="0" w:line="240" w:lineRule="auto"/>
              <w:jc w:val="center"/>
              <w:rPr>
                <w:rFonts w:ascii="Times New Roman" w:eastAsia="Calibri" w:hAnsi="Times New Roman" w:cs="Times New Roman"/>
                <w:noProof/>
                <w:lang w:val="sk-SK"/>
              </w:rPr>
            </w:pPr>
            <w:r w:rsidRPr="003F23AC">
              <w:rPr>
                <w:rFonts w:ascii="Times New Roman" w:hAnsi="Times New Roman" w:cs="Times New Roman"/>
                <w:noProof/>
                <w:lang w:val="sk-SK"/>
              </w:rPr>
              <w:t>Centralizované riešenie správy údajov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prevádzke</w:t>
            </w:r>
          </w:p>
        </w:tc>
        <w:tc>
          <w:tcPr>
            <w:tcW w:w="1110" w:type="dxa"/>
            <w:shd w:val="clear" w:color="auto" w:fill="C4EFCE"/>
            <w:noWrap/>
            <w:tcMar>
              <w:left w:w="28" w:type="dxa"/>
              <w:right w:w="28" w:type="dxa"/>
            </w:tcMar>
            <w:vAlign w:val="center"/>
          </w:tcPr>
          <w:p w14:paraId="56259C96" w14:textId="77777777" w:rsidR="00387C70" w:rsidRPr="003F23AC" w:rsidRDefault="00387C70" w:rsidP="003F23AC">
            <w:pPr>
              <w:spacing w:after="0" w:line="240" w:lineRule="auto"/>
              <w:rPr>
                <w:rFonts w:ascii="Times New Roman" w:eastAsia="Times New Roman" w:hAnsi="Times New Roman" w:cs="Times New Roman"/>
                <w:noProof/>
                <w:sz w:val="16"/>
                <w:lang w:val="sk-SK"/>
              </w:rPr>
            </w:pPr>
          </w:p>
        </w:tc>
        <w:tc>
          <w:tcPr>
            <w:tcW w:w="870" w:type="dxa"/>
            <w:shd w:val="clear" w:color="auto" w:fill="C4EFCE"/>
            <w:noWrap/>
            <w:tcMar>
              <w:left w:w="28" w:type="dxa"/>
              <w:right w:w="28" w:type="dxa"/>
            </w:tcMar>
            <w:vAlign w:val="center"/>
          </w:tcPr>
          <w:p w14:paraId="7BF5098B"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25" w:type="dxa"/>
            <w:shd w:val="clear" w:color="auto" w:fill="C4EFCE"/>
            <w:noWrap/>
            <w:tcMar>
              <w:left w:w="28" w:type="dxa"/>
              <w:right w:w="28" w:type="dxa"/>
            </w:tcMar>
            <w:vAlign w:val="center"/>
          </w:tcPr>
          <w:p w14:paraId="027C1EA6"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3" w:type="dxa"/>
            <w:shd w:val="clear" w:color="auto" w:fill="C4EFCE"/>
            <w:noWrap/>
            <w:tcMar>
              <w:left w:w="28" w:type="dxa"/>
              <w:right w:w="28" w:type="dxa"/>
            </w:tcMar>
            <w:vAlign w:val="center"/>
          </w:tcPr>
          <w:p w14:paraId="6EB0713C" w14:textId="04DA6CC0"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34" w:type="dxa"/>
            <w:shd w:val="clear" w:color="auto" w:fill="C4EFCE"/>
            <w:noWrap/>
            <w:tcMar>
              <w:left w:w="28" w:type="dxa"/>
              <w:right w:w="28" w:type="dxa"/>
            </w:tcMar>
            <w:vAlign w:val="center"/>
          </w:tcPr>
          <w:p w14:paraId="01F50E14" w14:textId="3E0B805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58" w:type="dxa"/>
            <w:shd w:val="clear" w:color="auto" w:fill="C4EFCE"/>
            <w:tcMar>
              <w:left w:w="28" w:type="dxa"/>
              <w:right w:w="28" w:type="dxa"/>
            </w:tcMar>
            <w:vAlign w:val="center"/>
          </w:tcPr>
          <w:p w14:paraId="5A47B065" w14:textId="77777777" w:rsidR="00387C70" w:rsidRPr="003F23AC" w:rsidRDefault="000F5AA4" w:rsidP="003F23AC">
            <w:pPr>
              <w:pStyle w:val="P68B1DB1-Normal8"/>
              <w:spacing w:after="0" w:line="240" w:lineRule="auto"/>
              <w:jc w:val="both"/>
              <w:rPr>
                <w:rFonts w:ascii="Times New Roman" w:eastAsia="Calibri" w:hAnsi="Times New Roman" w:cs="Times New Roman"/>
                <w:noProof/>
                <w:lang w:val="sk-SK"/>
              </w:rPr>
            </w:pPr>
            <w:r w:rsidRPr="003F23AC">
              <w:rPr>
                <w:rFonts w:ascii="Times New Roman" w:hAnsi="Times New Roman" w:cs="Times New Roman"/>
                <w:noProof/>
                <w:lang w:val="sk-SK"/>
              </w:rPr>
              <w:t>Spustenie centralizovaného riešenia správy údajov. Musí byť:</w:t>
            </w:r>
          </w:p>
          <w:p w14:paraId="0B46F946" w14:textId="7808CD75" w:rsidR="00387C70" w:rsidRPr="003F23AC" w:rsidRDefault="000F5AA4" w:rsidP="003F23AC">
            <w:pPr>
              <w:pStyle w:val="P68B1DB1-Normal8"/>
              <w:tabs>
                <w:tab w:val="left" w:pos="710"/>
                <w:tab w:val="right" w:pos="1963"/>
              </w:tabs>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Vytvoriť nástroje na identifikáciu neefektívnosti, podvodov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iných rizikových oblastí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algoritmami umelej inteligencie,</w:t>
            </w:r>
          </w:p>
          <w:p w14:paraId="1B5EA3FE"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—Sprístupniť služby umelej inteligencie rôznym oblastiam verejnej správy</w:t>
            </w:r>
          </w:p>
          <w:p w14:paraId="3129C273" w14:textId="721E9C4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Automatizovať rozhodovanie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rôznych oblastiach verejnej správy.</w:t>
            </w:r>
          </w:p>
        </w:tc>
      </w:tr>
      <w:tr w:rsidR="008E475E" w:rsidRPr="003F23AC" w14:paraId="466B5AF3" w14:textId="77777777" w:rsidTr="008E475E">
        <w:trPr>
          <w:trHeight w:val="290"/>
        </w:trPr>
        <w:tc>
          <w:tcPr>
            <w:tcW w:w="1059" w:type="dxa"/>
            <w:shd w:val="clear" w:color="auto" w:fill="C4EFCE"/>
            <w:tcMar>
              <w:left w:w="28" w:type="dxa"/>
              <w:right w:w="28" w:type="dxa"/>
            </w:tcMar>
            <w:vAlign w:val="center"/>
          </w:tcPr>
          <w:p w14:paraId="7C2288AD" w14:textId="6CE5E3E0"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19.18</w:t>
            </w:r>
          </w:p>
        </w:tc>
        <w:tc>
          <w:tcPr>
            <w:tcW w:w="1185" w:type="dxa"/>
            <w:shd w:val="clear" w:color="auto" w:fill="C4EFCE"/>
            <w:noWrap/>
            <w:tcMar>
              <w:left w:w="28" w:type="dxa"/>
              <w:right w:w="28" w:type="dxa"/>
            </w:tcMar>
            <w:vAlign w:val="center"/>
          </w:tcPr>
          <w:p w14:paraId="53E2405E" w14:textId="254C07E6"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 – i06-RAA</w:t>
            </w:r>
          </w:p>
        </w:tc>
        <w:tc>
          <w:tcPr>
            <w:tcW w:w="1057" w:type="dxa"/>
            <w:shd w:val="clear" w:color="auto" w:fill="C4EFCE"/>
            <w:noWrap/>
            <w:tcMar>
              <w:left w:w="28" w:type="dxa"/>
              <w:right w:w="28" w:type="dxa"/>
            </w:tcMar>
            <w:vAlign w:val="center"/>
          </w:tcPr>
          <w:p w14:paraId="29CC492A" w14:textId="79FE0E9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tcPr>
          <w:p w14:paraId="1D1FA322" w14:textId="428C6462" w:rsidR="00387C70" w:rsidRPr="003F23AC" w:rsidRDefault="000F5AA4" w:rsidP="003F23AC">
            <w:pPr>
              <w:pStyle w:val="P68B1DB1-Normal8"/>
              <w:spacing w:before="120" w:after="0" w:line="240" w:lineRule="auto"/>
              <w:jc w:val="both"/>
              <w:rPr>
                <w:rFonts w:ascii="Times New Roman" w:eastAsia="Calibri" w:hAnsi="Times New Roman" w:cs="Times New Roman"/>
                <w:noProof/>
                <w:highlight w:val="cyan"/>
                <w:lang w:val="sk-SK"/>
              </w:rPr>
            </w:pPr>
            <w:r w:rsidRPr="003F23AC">
              <w:rPr>
                <w:rFonts w:ascii="Times New Roman" w:hAnsi="Times New Roman" w:cs="Times New Roman"/>
                <w:noProof/>
                <w:lang w:val="sk-SK"/>
              </w:rPr>
              <w:t>Digitalizácia regionálnej verejnej správy ARA</w:t>
            </w:r>
          </w:p>
        </w:tc>
        <w:tc>
          <w:tcPr>
            <w:tcW w:w="1314" w:type="dxa"/>
            <w:shd w:val="clear" w:color="auto" w:fill="C4EFCE"/>
            <w:noWrap/>
            <w:tcMar>
              <w:left w:w="28" w:type="dxa"/>
              <w:right w:w="28" w:type="dxa"/>
            </w:tcMar>
            <w:vAlign w:val="center"/>
          </w:tcPr>
          <w:p w14:paraId="61C1FEC8" w14:textId="112CCC7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Digitalizácia regionálnej verejnej správy ARA</w:t>
            </w:r>
          </w:p>
        </w:tc>
        <w:tc>
          <w:tcPr>
            <w:tcW w:w="1110" w:type="dxa"/>
            <w:shd w:val="clear" w:color="auto" w:fill="C4EFCE"/>
            <w:noWrap/>
            <w:tcMar>
              <w:left w:w="28" w:type="dxa"/>
              <w:right w:w="28" w:type="dxa"/>
            </w:tcMar>
            <w:vAlign w:val="center"/>
          </w:tcPr>
          <w:p w14:paraId="6A5817AB" w14:textId="77777777" w:rsidR="00387C70" w:rsidRPr="003F23AC" w:rsidRDefault="00387C70" w:rsidP="003F23AC">
            <w:pPr>
              <w:spacing w:after="0" w:line="240" w:lineRule="auto"/>
              <w:rPr>
                <w:rFonts w:ascii="Times New Roman" w:eastAsia="Times New Roman" w:hAnsi="Times New Roman" w:cs="Times New Roman"/>
                <w:noProof/>
                <w:sz w:val="16"/>
                <w:lang w:val="sk-SK"/>
              </w:rPr>
            </w:pPr>
          </w:p>
        </w:tc>
        <w:tc>
          <w:tcPr>
            <w:tcW w:w="870" w:type="dxa"/>
            <w:shd w:val="clear" w:color="auto" w:fill="C4EFCE"/>
            <w:noWrap/>
            <w:tcMar>
              <w:left w:w="28" w:type="dxa"/>
              <w:right w:w="28" w:type="dxa"/>
            </w:tcMar>
            <w:vAlign w:val="center"/>
          </w:tcPr>
          <w:p w14:paraId="5090F33B"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25" w:type="dxa"/>
            <w:shd w:val="clear" w:color="auto" w:fill="C4EFCE"/>
            <w:noWrap/>
            <w:tcMar>
              <w:left w:w="28" w:type="dxa"/>
              <w:right w:w="28" w:type="dxa"/>
            </w:tcMar>
            <w:vAlign w:val="center"/>
          </w:tcPr>
          <w:p w14:paraId="63CFFECA"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3" w:type="dxa"/>
            <w:shd w:val="clear" w:color="auto" w:fill="C4EFCE"/>
            <w:noWrap/>
            <w:tcMar>
              <w:left w:w="28" w:type="dxa"/>
              <w:right w:w="28" w:type="dxa"/>
            </w:tcMar>
            <w:vAlign w:val="center"/>
          </w:tcPr>
          <w:p w14:paraId="3D6E7BDA" w14:textId="438E63D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34" w:type="dxa"/>
            <w:shd w:val="clear" w:color="auto" w:fill="C4EFCE"/>
            <w:noWrap/>
            <w:tcMar>
              <w:left w:w="28" w:type="dxa"/>
              <w:right w:w="28" w:type="dxa"/>
            </w:tcMar>
            <w:vAlign w:val="center"/>
          </w:tcPr>
          <w:p w14:paraId="52922652" w14:textId="077714E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58" w:type="dxa"/>
            <w:shd w:val="clear" w:color="auto" w:fill="C4EFCE"/>
            <w:tcMar>
              <w:left w:w="28" w:type="dxa"/>
              <w:right w:w="28" w:type="dxa"/>
            </w:tcMar>
            <w:vAlign w:val="center"/>
          </w:tcPr>
          <w:p w14:paraId="7032DCB0" w14:textId="77777777" w:rsidR="00A75B3C" w:rsidRPr="003F23AC" w:rsidRDefault="000F5AA4" w:rsidP="003F23AC">
            <w:pPr>
              <w:pStyle w:val="P68B1DB1-Normal8"/>
              <w:tabs>
                <w:tab w:val="left" w:pos="710"/>
                <w:tab w:val="right" w:pos="1963"/>
              </w:tabs>
              <w:spacing w:after="0" w:line="288" w:lineRule="auto"/>
              <w:jc w:val="both"/>
              <w:rPr>
                <w:rFonts w:ascii="Times New Roman" w:hAnsi="Times New Roman" w:cs="Times New Roman"/>
                <w:noProof/>
                <w:lang w:val="sk-SK"/>
              </w:rPr>
            </w:pPr>
            <w:r w:rsidRPr="003F23AC">
              <w:rPr>
                <w:rFonts w:ascii="Times New Roman" w:hAnsi="Times New Roman" w:cs="Times New Roman"/>
                <w:noProof/>
                <w:lang w:val="sk-SK"/>
              </w:rPr>
              <w:t>Ukončenie piatich projektov</w:t>
            </w:r>
            <w:r w:rsidR="00A75B3C" w:rsidRPr="003F23AC">
              <w:rPr>
                <w:rFonts w:ascii="Times New Roman" w:hAnsi="Times New Roman" w:cs="Times New Roman"/>
                <w:noProof/>
                <w:lang w:val="sk-SK"/>
              </w:rPr>
              <w:t>:</w:t>
            </w:r>
          </w:p>
          <w:p w14:paraId="00874E87" w14:textId="77777777" w:rsidR="00A75B3C" w:rsidRPr="003F23AC" w:rsidRDefault="000F5AA4" w:rsidP="003F23AC">
            <w:pPr>
              <w:pStyle w:val="P68B1DB1-Normal8"/>
              <w:tabs>
                <w:tab w:val="left" w:pos="710"/>
                <w:tab w:val="right" w:pos="1963"/>
              </w:tabs>
              <w:spacing w:after="0" w:line="288" w:lineRule="auto"/>
              <w:jc w:val="both"/>
              <w:rPr>
                <w:rFonts w:ascii="Times New Roman" w:hAnsi="Times New Roman" w:cs="Times New Roman"/>
                <w:noProof/>
                <w:lang w:val="sk-SK"/>
              </w:rPr>
            </w:pPr>
            <w:r w:rsidRPr="003F23AC">
              <w:rPr>
                <w:rFonts w:ascii="Times New Roman" w:hAnsi="Times New Roman" w:cs="Times New Roman"/>
                <w:noProof/>
                <w:lang w:val="sk-SK"/>
              </w:rPr>
              <w:t>APR+ prístupná, inkluzívna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otvorená verejná správa</w:t>
            </w:r>
          </w:p>
          <w:p w14:paraId="3074EF7C" w14:textId="18C60A56" w:rsidR="00387C70" w:rsidRPr="003F23AC" w:rsidRDefault="000F5AA4" w:rsidP="003F23AC">
            <w:pPr>
              <w:pStyle w:val="P68B1DB1-Normal8"/>
              <w:tabs>
                <w:tab w:val="left" w:pos="710"/>
                <w:tab w:val="right" w:pos="1963"/>
              </w:tabs>
              <w:spacing w:after="0" w:line="288"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RPMN + pružnejšie verejné služby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systém kontroly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riadenia verejných financií.</w:t>
            </w:r>
          </w:p>
          <w:p w14:paraId="58324B87" w14:textId="77777777" w:rsidR="00A75B3C" w:rsidRPr="003F23AC" w:rsidRDefault="000F5AA4" w:rsidP="003F23AC">
            <w:pPr>
              <w:pStyle w:val="P68B1DB1-Normal8"/>
              <w:tabs>
                <w:tab w:val="left" w:pos="710"/>
                <w:tab w:val="right" w:pos="1963"/>
              </w:tabs>
              <w:spacing w:after="0" w:line="288" w:lineRule="auto"/>
              <w:jc w:val="both"/>
              <w:rPr>
                <w:rFonts w:ascii="Times New Roman" w:hAnsi="Times New Roman" w:cs="Times New Roman"/>
                <w:noProof/>
                <w:lang w:val="sk-SK"/>
              </w:rPr>
            </w:pPr>
            <w:r w:rsidRPr="003F23AC">
              <w:rPr>
                <w:rFonts w:ascii="Times New Roman" w:hAnsi="Times New Roman" w:cs="Times New Roman"/>
                <w:noProof/>
                <w:lang w:val="sk-SK"/>
              </w:rPr>
              <w:t>APR+ Proactiva</w:t>
            </w:r>
          </w:p>
          <w:p w14:paraId="4BD5069C" w14:textId="61DC36E1" w:rsidR="00387C70" w:rsidRPr="003F23AC" w:rsidRDefault="000F5AA4" w:rsidP="003F23AC">
            <w:pPr>
              <w:pStyle w:val="P68B1DB1-Normal8"/>
              <w:tabs>
                <w:tab w:val="left" w:pos="710"/>
                <w:tab w:val="right" w:pos="1963"/>
              </w:tabs>
              <w:spacing w:after="0" w:line="288" w:lineRule="auto"/>
              <w:jc w:val="both"/>
              <w:rPr>
                <w:rFonts w:ascii="Times New Roman" w:eastAsia="Arial" w:hAnsi="Times New Roman" w:cs="Times New Roman"/>
                <w:noProof/>
                <w:sz w:val="15"/>
                <w:lang w:val="sk-SK"/>
              </w:rPr>
            </w:pPr>
            <w:r w:rsidRPr="003F23AC">
              <w:rPr>
                <w:rFonts w:ascii="Times New Roman" w:hAnsi="Times New Roman" w:cs="Times New Roman"/>
                <w:noProof/>
                <w:lang w:val="sk-SK"/>
              </w:rPr>
              <w:t>Mobilný portál pre regionálnu verejnú správu – APR+ pripravený na budúcnosť</w:t>
            </w:r>
          </w:p>
        </w:tc>
      </w:tr>
      <w:tr w:rsidR="008E475E" w:rsidRPr="003F23AC" w14:paraId="700CCFFC" w14:textId="77777777" w:rsidTr="008E475E">
        <w:trPr>
          <w:trHeight w:val="430"/>
        </w:trPr>
        <w:tc>
          <w:tcPr>
            <w:tcW w:w="1059" w:type="dxa"/>
            <w:shd w:val="clear" w:color="auto" w:fill="C4EFCE"/>
            <w:tcMar>
              <w:left w:w="28" w:type="dxa"/>
              <w:right w:w="28" w:type="dxa"/>
            </w:tcMar>
            <w:vAlign w:val="center"/>
            <w:hideMark/>
          </w:tcPr>
          <w:p w14:paraId="6F89E37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19.19</w:t>
            </w:r>
          </w:p>
        </w:tc>
        <w:tc>
          <w:tcPr>
            <w:tcW w:w="1185" w:type="dxa"/>
            <w:shd w:val="clear" w:color="auto" w:fill="C4EFCE"/>
            <w:noWrap/>
            <w:tcMar>
              <w:left w:w="28" w:type="dxa"/>
              <w:right w:w="28" w:type="dxa"/>
            </w:tcMar>
            <w:vAlign w:val="center"/>
            <w:hideMark/>
          </w:tcPr>
          <w:p w14:paraId="17E815D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TD-C19-i07</w:t>
            </w:r>
          </w:p>
        </w:tc>
        <w:tc>
          <w:tcPr>
            <w:tcW w:w="1057" w:type="dxa"/>
            <w:shd w:val="clear" w:color="auto" w:fill="C4EFCE"/>
            <w:noWrap/>
            <w:tcMar>
              <w:left w:w="28" w:type="dxa"/>
              <w:right w:w="28" w:type="dxa"/>
            </w:tcMar>
            <w:vAlign w:val="center"/>
            <w:hideMark/>
          </w:tcPr>
          <w:p w14:paraId="3D998E6D" w14:textId="5CDECABA"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74" w:type="dxa"/>
            <w:shd w:val="clear" w:color="auto" w:fill="C4EFCE"/>
            <w:noWrap/>
            <w:tcMar>
              <w:left w:w="28" w:type="dxa"/>
              <w:right w:w="28" w:type="dxa"/>
            </w:tcMar>
            <w:vAlign w:val="center"/>
            <w:hideMark/>
          </w:tcPr>
          <w:p w14:paraId="46F9B87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Program stáží pre absolventov</w:t>
            </w:r>
          </w:p>
        </w:tc>
        <w:tc>
          <w:tcPr>
            <w:tcW w:w="1314" w:type="dxa"/>
            <w:shd w:val="clear" w:color="auto" w:fill="C4EFCE"/>
            <w:noWrap/>
            <w:tcMar>
              <w:left w:w="28" w:type="dxa"/>
              <w:right w:w="28" w:type="dxa"/>
            </w:tcMar>
            <w:vAlign w:val="center"/>
            <w:hideMark/>
          </w:tcPr>
          <w:p w14:paraId="7526E1B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10" w:type="dxa"/>
            <w:shd w:val="clear" w:color="auto" w:fill="C4EFCE"/>
            <w:noWrap/>
            <w:tcMar>
              <w:left w:w="28" w:type="dxa"/>
              <w:right w:w="28" w:type="dxa"/>
            </w:tcMar>
            <w:vAlign w:val="center"/>
            <w:hideMark/>
          </w:tcPr>
          <w:p w14:paraId="6FAEB2B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70" w:type="dxa"/>
            <w:shd w:val="clear" w:color="auto" w:fill="C4EFCE"/>
            <w:noWrap/>
            <w:tcMar>
              <w:left w:w="28" w:type="dxa"/>
              <w:right w:w="28" w:type="dxa"/>
            </w:tcMar>
            <w:vAlign w:val="center"/>
            <w:hideMark/>
          </w:tcPr>
          <w:p w14:paraId="1C0B63B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5" w:type="dxa"/>
            <w:shd w:val="clear" w:color="auto" w:fill="C4EFCE"/>
            <w:noWrap/>
            <w:tcMar>
              <w:left w:w="28" w:type="dxa"/>
              <w:right w:w="28" w:type="dxa"/>
            </w:tcMar>
            <w:vAlign w:val="center"/>
            <w:hideMark/>
          </w:tcPr>
          <w:p w14:paraId="7BFD045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1 500</w:t>
            </w:r>
          </w:p>
        </w:tc>
        <w:tc>
          <w:tcPr>
            <w:tcW w:w="773" w:type="dxa"/>
            <w:shd w:val="clear" w:color="auto" w:fill="C4EFCE"/>
            <w:noWrap/>
            <w:tcMar>
              <w:left w:w="28" w:type="dxa"/>
              <w:right w:w="28" w:type="dxa"/>
            </w:tcMar>
            <w:vAlign w:val="center"/>
            <w:hideMark/>
          </w:tcPr>
          <w:p w14:paraId="349DA6C0" w14:textId="0D586373"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34" w:type="dxa"/>
            <w:shd w:val="clear" w:color="auto" w:fill="C4EFCE"/>
            <w:noWrap/>
            <w:tcMar>
              <w:left w:w="28" w:type="dxa"/>
              <w:right w:w="28" w:type="dxa"/>
            </w:tcMar>
            <w:vAlign w:val="center"/>
            <w:hideMark/>
          </w:tcPr>
          <w:p w14:paraId="1F12DF8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358" w:type="dxa"/>
            <w:shd w:val="clear" w:color="auto" w:fill="C4EFCE"/>
            <w:tcMar>
              <w:left w:w="28" w:type="dxa"/>
              <w:right w:w="28" w:type="dxa"/>
            </w:tcMar>
            <w:vAlign w:val="center"/>
            <w:hideMark/>
          </w:tcPr>
          <w:p w14:paraId="321523D7" w14:textId="46D6496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absolventov, ktorí navštevovali program stáží vo verejnej správe zriadený</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rámci </w:t>
            </w:r>
            <w:r w:rsidRPr="003F23AC">
              <w:rPr>
                <w:rFonts w:ascii="Times New Roman" w:hAnsi="Times New Roman" w:cs="Times New Roman"/>
                <w:i/>
                <w:noProof/>
                <w:lang w:val="sk-SK"/>
              </w:rPr>
              <w:t xml:space="preserve">Resolução do Conselho de Ministros </w:t>
            </w:r>
            <w:r w:rsidR="00A75B3C" w:rsidRPr="003F23AC">
              <w:rPr>
                <w:rFonts w:ascii="Times New Roman" w:hAnsi="Times New Roman" w:cs="Times New Roman"/>
                <w:i/>
                <w:noProof/>
                <w:lang w:val="sk-SK"/>
              </w:rPr>
              <w:t>č. </w:t>
            </w:r>
            <w:r w:rsidRPr="003F23AC">
              <w:rPr>
                <w:rFonts w:ascii="Times New Roman" w:hAnsi="Times New Roman" w:cs="Times New Roman"/>
                <w:i/>
                <w:noProof/>
                <w:lang w:val="sk-SK"/>
              </w:rPr>
              <w:t>11/2021</w:t>
            </w:r>
            <w:r w:rsidR="00A75B3C" w:rsidRPr="003F23AC">
              <w:rPr>
                <w:rFonts w:ascii="Times New Roman" w:hAnsi="Times New Roman" w:cs="Times New Roman"/>
                <w:noProof/>
                <w:lang w:val="sk-SK"/>
              </w:rPr>
              <w:t xml:space="preserve"> </w:t>
            </w:r>
          </w:p>
        </w:tc>
      </w:tr>
      <w:tr w:rsidR="008E475E" w:rsidRPr="003F23AC" w14:paraId="7C101E4F" w14:textId="77777777" w:rsidTr="008E475E">
        <w:trPr>
          <w:trHeight w:val="845"/>
        </w:trPr>
        <w:tc>
          <w:tcPr>
            <w:tcW w:w="1059" w:type="dxa"/>
            <w:shd w:val="clear" w:color="auto" w:fill="C4EFCE"/>
            <w:tcMar>
              <w:left w:w="28" w:type="dxa"/>
              <w:right w:w="28" w:type="dxa"/>
            </w:tcMar>
            <w:vAlign w:val="center"/>
            <w:hideMark/>
          </w:tcPr>
          <w:p w14:paraId="3693F16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19.20</w:t>
            </w:r>
          </w:p>
        </w:tc>
        <w:tc>
          <w:tcPr>
            <w:tcW w:w="1185" w:type="dxa"/>
            <w:shd w:val="clear" w:color="auto" w:fill="C4EFCE"/>
            <w:noWrap/>
            <w:tcMar>
              <w:left w:w="28" w:type="dxa"/>
              <w:right w:w="28" w:type="dxa"/>
            </w:tcMar>
            <w:vAlign w:val="center"/>
            <w:hideMark/>
          </w:tcPr>
          <w:p w14:paraId="64A1DE9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TD-C19-i07</w:t>
            </w:r>
          </w:p>
        </w:tc>
        <w:tc>
          <w:tcPr>
            <w:tcW w:w="1057" w:type="dxa"/>
            <w:shd w:val="clear" w:color="auto" w:fill="C4EFCE"/>
            <w:noWrap/>
            <w:tcMar>
              <w:left w:w="28" w:type="dxa"/>
              <w:right w:w="28" w:type="dxa"/>
            </w:tcMar>
            <w:vAlign w:val="center"/>
            <w:hideMark/>
          </w:tcPr>
          <w:p w14:paraId="30E5AB63" w14:textId="225DA672"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74" w:type="dxa"/>
            <w:shd w:val="clear" w:color="auto" w:fill="C4EFCE"/>
            <w:noWrap/>
            <w:tcMar>
              <w:left w:w="28" w:type="dxa"/>
              <w:right w:w="28" w:type="dxa"/>
            </w:tcMar>
            <w:vAlign w:val="center"/>
            <w:hideMark/>
          </w:tcPr>
          <w:p w14:paraId="75ECCEF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Zamestnanci verejnej služby pracujúci na diaľku </w:t>
            </w:r>
          </w:p>
        </w:tc>
        <w:tc>
          <w:tcPr>
            <w:tcW w:w="1314" w:type="dxa"/>
            <w:shd w:val="clear" w:color="auto" w:fill="C4EFCE"/>
            <w:noWrap/>
            <w:tcMar>
              <w:left w:w="28" w:type="dxa"/>
              <w:right w:w="28" w:type="dxa"/>
            </w:tcMar>
            <w:vAlign w:val="center"/>
            <w:hideMark/>
          </w:tcPr>
          <w:p w14:paraId="18CC464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10" w:type="dxa"/>
            <w:shd w:val="clear" w:color="auto" w:fill="C4EFCE"/>
            <w:noWrap/>
            <w:tcMar>
              <w:left w:w="28" w:type="dxa"/>
              <w:right w:w="28" w:type="dxa"/>
            </w:tcMar>
            <w:vAlign w:val="center"/>
            <w:hideMark/>
          </w:tcPr>
          <w:p w14:paraId="6FAFD66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w:t>
            </w:r>
          </w:p>
        </w:tc>
        <w:tc>
          <w:tcPr>
            <w:tcW w:w="870" w:type="dxa"/>
            <w:shd w:val="clear" w:color="auto" w:fill="C4EFCE"/>
            <w:noWrap/>
            <w:tcMar>
              <w:left w:w="28" w:type="dxa"/>
              <w:right w:w="28" w:type="dxa"/>
            </w:tcMar>
            <w:vAlign w:val="center"/>
            <w:hideMark/>
          </w:tcPr>
          <w:p w14:paraId="47C0D60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5" w:type="dxa"/>
            <w:shd w:val="clear" w:color="auto" w:fill="C4EFCE"/>
            <w:noWrap/>
            <w:tcMar>
              <w:left w:w="28" w:type="dxa"/>
              <w:right w:w="28" w:type="dxa"/>
            </w:tcMar>
            <w:vAlign w:val="center"/>
            <w:hideMark/>
          </w:tcPr>
          <w:p w14:paraId="4BDFB5C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25</w:t>
            </w:r>
          </w:p>
        </w:tc>
        <w:tc>
          <w:tcPr>
            <w:tcW w:w="773" w:type="dxa"/>
            <w:shd w:val="clear" w:color="auto" w:fill="C4EFCE"/>
            <w:noWrap/>
            <w:tcMar>
              <w:left w:w="28" w:type="dxa"/>
              <w:right w:w="28" w:type="dxa"/>
            </w:tcMar>
            <w:vAlign w:val="center"/>
            <w:hideMark/>
          </w:tcPr>
          <w:p w14:paraId="604CF745" w14:textId="013782E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34" w:type="dxa"/>
            <w:shd w:val="clear" w:color="auto" w:fill="C4EFCE"/>
            <w:noWrap/>
            <w:tcMar>
              <w:left w:w="28" w:type="dxa"/>
              <w:right w:w="28" w:type="dxa"/>
            </w:tcMar>
            <w:vAlign w:val="center"/>
            <w:hideMark/>
          </w:tcPr>
          <w:p w14:paraId="03B6EE7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358" w:type="dxa"/>
            <w:shd w:val="clear" w:color="auto" w:fill="C4EFCE"/>
            <w:tcMar>
              <w:left w:w="28" w:type="dxa"/>
              <w:right w:w="28" w:type="dxa"/>
            </w:tcMar>
            <w:vAlign w:val="center"/>
            <w:hideMark/>
          </w:tcPr>
          <w:p w14:paraId="1BE6B08F" w14:textId="53686E85"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Percentuálny podiel pracovníkov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funkciami zlučiteľnými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teleprácou, ktorí účinne pracujú pri práci na diaľku</w:t>
            </w:r>
          </w:p>
        </w:tc>
      </w:tr>
      <w:tr w:rsidR="008E475E" w:rsidRPr="003F23AC" w14:paraId="257C5019" w14:textId="77777777" w:rsidTr="008E475E">
        <w:trPr>
          <w:trHeight w:val="290"/>
        </w:trPr>
        <w:tc>
          <w:tcPr>
            <w:tcW w:w="1059" w:type="dxa"/>
            <w:shd w:val="clear" w:color="auto" w:fill="C4EFCE"/>
            <w:tcMar>
              <w:left w:w="28" w:type="dxa"/>
              <w:right w:w="28" w:type="dxa"/>
            </w:tcMar>
            <w:vAlign w:val="center"/>
            <w:hideMark/>
          </w:tcPr>
          <w:p w14:paraId="1167BE07"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19.21</w:t>
            </w:r>
          </w:p>
        </w:tc>
        <w:tc>
          <w:tcPr>
            <w:tcW w:w="1185" w:type="dxa"/>
            <w:shd w:val="clear" w:color="auto" w:fill="C4EFCE"/>
            <w:noWrap/>
            <w:tcMar>
              <w:left w:w="28" w:type="dxa"/>
              <w:right w:w="28" w:type="dxa"/>
            </w:tcMar>
            <w:vAlign w:val="center"/>
            <w:hideMark/>
          </w:tcPr>
          <w:p w14:paraId="53F1D9C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TD-C19-i07</w:t>
            </w:r>
          </w:p>
        </w:tc>
        <w:tc>
          <w:tcPr>
            <w:tcW w:w="1057" w:type="dxa"/>
            <w:shd w:val="clear" w:color="auto" w:fill="C4EFCE"/>
            <w:noWrap/>
            <w:tcMar>
              <w:left w:w="28" w:type="dxa"/>
              <w:right w:w="28" w:type="dxa"/>
            </w:tcMar>
            <w:vAlign w:val="center"/>
            <w:hideMark/>
          </w:tcPr>
          <w:p w14:paraId="003D5D5A" w14:textId="5C18FFBA"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74" w:type="dxa"/>
            <w:shd w:val="clear" w:color="auto" w:fill="C4EFCE"/>
            <w:noWrap/>
            <w:tcMar>
              <w:left w:w="28" w:type="dxa"/>
              <w:right w:w="28" w:type="dxa"/>
            </w:tcMar>
            <w:vAlign w:val="center"/>
            <w:hideMark/>
          </w:tcPr>
          <w:p w14:paraId="4D32EAE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Odborná príprava zamestnancov verejnej správy</w:t>
            </w:r>
          </w:p>
        </w:tc>
        <w:tc>
          <w:tcPr>
            <w:tcW w:w="1314" w:type="dxa"/>
            <w:shd w:val="clear" w:color="auto" w:fill="C4EFCE"/>
            <w:noWrap/>
            <w:tcMar>
              <w:left w:w="28" w:type="dxa"/>
              <w:right w:w="28" w:type="dxa"/>
            </w:tcMar>
            <w:vAlign w:val="center"/>
            <w:hideMark/>
          </w:tcPr>
          <w:p w14:paraId="356BB73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110" w:type="dxa"/>
            <w:shd w:val="clear" w:color="auto" w:fill="C4EFCE"/>
            <w:noWrap/>
            <w:tcMar>
              <w:left w:w="28" w:type="dxa"/>
              <w:right w:w="28" w:type="dxa"/>
            </w:tcMar>
            <w:vAlign w:val="center"/>
            <w:hideMark/>
          </w:tcPr>
          <w:p w14:paraId="0061239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870" w:type="dxa"/>
            <w:shd w:val="clear" w:color="auto" w:fill="C4EFCE"/>
            <w:noWrap/>
            <w:tcMar>
              <w:left w:w="28" w:type="dxa"/>
              <w:right w:w="28" w:type="dxa"/>
            </w:tcMar>
            <w:vAlign w:val="center"/>
            <w:hideMark/>
          </w:tcPr>
          <w:p w14:paraId="299EDA1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725" w:type="dxa"/>
            <w:shd w:val="clear" w:color="auto" w:fill="C4EFCE"/>
            <w:noWrap/>
            <w:tcMar>
              <w:left w:w="28" w:type="dxa"/>
              <w:right w:w="28" w:type="dxa"/>
            </w:tcMar>
            <w:vAlign w:val="center"/>
            <w:hideMark/>
          </w:tcPr>
          <w:p w14:paraId="4E220285" w14:textId="3C6BE53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96 400</w:t>
            </w:r>
          </w:p>
        </w:tc>
        <w:tc>
          <w:tcPr>
            <w:tcW w:w="773" w:type="dxa"/>
            <w:shd w:val="clear" w:color="auto" w:fill="C4EFCE"/>
            <w:noWrap/>
            <w:tcMar>
              <w:left w:w="28" w:type="dxa"/>
              <w:right w:w="28" w:type="dxa"/>
            </w:tcMar>
            <w:vAlign w:val="center"/>
            <w:hideMark/>
          </w:tcPr>
          <w:p w14:paraId="09C77FD6" w14:textId="4756917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34" w:type="dxa"/>
            <w:shd w:val="clear" w:color="auto" w:fill="C4EFCE"/>
            <w:noWrap/>
            <w:tcMar>
              <w:left w:w="28" w:type="dxa"/>
              <w:right w:w="28" w:type="dxa"/>
            </w:tcMar>
            <w:vAlign w:val="center"/>
            <w:hideMark/>
          </w:tcPr>
          <w:p w14:paraId="457FEE3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4358" w:type="dxa"/>
            <w:shd w:val="clear" w:color="auto" w:fill="C4EFCE"/>
            <w:tcMar>
              <w:left w:w="28" w:type="dxa"/>
              <w:right w:w="28" w:type="dxa"/>
            </w:tcMar>
            <w:vAlign w:val="center"/>
            <w:hideMark/>
          </w:tcPr>
          <w:p w14:paraId="5E2A4ED8" w14:textId="22A511B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účastníkov odbornej prípravy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týchto programoch budovania kapacít:</w:t>
            </w:r>
          </w:p>
          <w:p w14:paraId="34184182"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i/>
                <w:noProof/>
                <w:lang w:val="sk-SK"/>
              </w:rPr>
              <w:t>Programa de capacitação Digital</w:t>
            </w:r>
          </w:p>
          <w:p w14:paraId="0FE76E30"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Vyššie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vysokoškolské vzdelávanie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riadenia</w:t>
            </w:r>
          </w:p>
          <w:p w14:paraId="519FE3FF" w14:textId="77777777" w:rsidR="00A75B3C" w:rsidRPr="003F23AC" w:rsidRDefault="000F5AA4" w:rsidP="003F23AC">
            <w:pPr>
              <w:pStyle w:val="P68B1DB1-Normal8"/>
              <w:spacing w:after="0" w:line="240" w:lineRule="auto"/>
              <w:jc w:val="both"/>
              <w:rPr>
                <w:rFonts w:ascii="Times New Roman" w:hAnsi="Times New Roman" w:cs="Times New Roman"/>
                <w:i/>
                <w:noProof/>
                <w:lang w:val="sk-SK"/>
              </w:rPr>
            </w:pPr>
            <w:r w:rsidRPr="003F23AC">
              <w:rPr>
                <w:rFonts w:ascii="Times New Roman" w:hAnsi="Times New Roman" w:cs="Times New Roman"/>
                <w:noProof/>
                <w:lang w:val="sk-SK"/>
              </w:rPr>
              <w:t xml:space="preserve">Odborná príprava pre </w:t>
            </w:r>
            <w:r w:rsidRPr="003F23AC">
              <w:rPr>
                <w:rFonts w:ascii="Times New Roman" w:hAnsi="Times New Roman" w:cs="Times New Roman"/>
                <w:i/>
                <w:noProof/>
                <w:lang w:val="sk-SK"/>
              </w:rPr>
              <w:t>Lojas do Cidadão/Espaços Cidadão</w:t>
            </w:r>
          </w:p>
          <w:p w14:paraId="0FECBC55"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i/>
                <w:noProof/>
                <w:lang w:val="sk-SK"/>
              </w:rPr>
              <w:t>Program Qualifica AP</w:t>
            </w:r>
          </w:p>
          <w:p w14:paraId="6471EAAE" w14:textId="7DFA8C7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PlanAPP – projekt plánovania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prognostických zručností</w:t>
            </w:r>
          </w:p>
          <w:p w14:paraId="57E273AB" w14:textId="2AC231AE"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SIADAP</w:t>
            </w:r>
          </w:p>
        </w:tc>
      </w:tr>
      <w:tr w:rsidR="008E475E" w:rsidRPr="003F23AC" w14:paraId="7FBC13AB" w14:textId="77777777" w:rsidTr="008E475E">
        <w:trPr>
          <w:trHeight w:val="290"/>
        </w:trPr>
        <w:tc>
          <w:tcPr>
            <w:tcW w:w="1059" w:type="dxa"/>
            <w:shd w:val="clear" w:color="auto" w:fill="C4EFCE"/>
            <w:tcMar>
              <w:left w:w="28" w:type="dxa"/>
              <w:right w:w="28" w:type="dxa"/>
            </w:tcMar>
            <w:vAlign w:val="center"/>
          </w:tcPr>
          <w:p w14:paraId="58D022BD" w14:textId="64345F0E"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19.22</w:t>
            </w:r>
          </w:p>
        </w:tc>
        <w:tc>
          <w:tcPr>
            <w:tcW w:w="1185" w:type="dxa"/>
            <w:shd w:val="clear" w:color="auto" w:fill="C4EFCE"/>
            <w:noWrap/>
            <w:tcMar>
              <w:left w:w="28" w:type="dxa"/>
              <w:right w:w="28" w:type="dxa"/>
            </w:tcMar>
            <w:vAlign w:val="center"/>
          </w:tcPr>
          <w:p w14:paraId="43D1A15C" w14:textId="13068CEA"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TD-C19-r34</w:t>
            </w:r>
          </w:p>
        </w:tc>
        <w:tc>
          <w:tcPr>
            <w:tcW w:w="1057" w:type="dxa"/>
            <w:shd w:val="clear" w:color="auto" w:fill="C4EFCE"/>
            <w:noWrap/>
            <w:tcMar>
              <w:left w:w="28" w:type="dxa"/>
              <w:right w:w="28" w:type="dxa"/>
            </w:tcMar>
            <w:vAlign w:val="center"/>
          </w:tcPr>
          <w:p w14:paraId="5C282FC5" w14:textId="21349B74"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tcPr>
          <w:p w14:paraId="0CBD813F" w14:textId="660102B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právneho rámca pre digitálnu transformáciu verejnej správy</w:t>
            </w:r>
          </w:p>
        </w:tc>
        <w:tc>
          <w:tcPr>
            <w:tcW w:w="1314" w:type="dxa"/>
            <w:shd w:val="clear" w:color="auto" w:fill="C4EFCE"/>
            <w:noWrap/>
            <w:tcMar>
              <w:left w:w="28" w:type="dxa"/>
              <w:right w:w="28" w:type="dxa"/>
            </w:tcMar>
            <w:vAlign w:val="center"/>
          </w:tcPr>
          <w:p w14:paraId="5D13F7D8" w14:textId="7CE7177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právneho rámca pre digitálnu transformáciu verejnej správy</w:t>
            </w:r>
          </w:p>
        </w:tc>
        <w:tc>
          <w:tcPr>
            <w:tcW w:w="1110" w:type="dxa"/>
            <w:shd w:val="clear" w:color="auto" w:fill="C4EFCE"/>
            <w:noWrap/>
            <w:tcMar>
              <w:left w:w="28" w:type="dxa"/>
              <w:right w:w="28" w:type="dxa"/>
            </w:tcMar>
            <w:vAlign w:val="center"/>
          </w:tcPr>
          <w:p w14:paraId="62180EE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70" w:type="dxa"/>
            <w:shd w:val="clear" w:color="auto" w:fill="C4EFCE"/>
            <w:noWrap/>
            <w:tcMar>
              <w:left w:w="28" w:type="dxa"/>
              <w:right w:w="28" w:type="dxa"/>
            </w:tcMar>
            <w:vAlign w:val="center"/>
          </w:tcPr>
          <w:p w14:paraId="4FFFBFC7"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25" w:type="dxa"/>
            <w:shd w:val="clear" w:color="auto" w:fill="C4EFCE"/>
            <w:noWrap/>
            <w:tcMar>
              <w:left w:w="28" w:type="dxa"/>
              <w:right w:w="28" w:type="dxa"/>
            </w:tcMar>
            <w:vAlign w:val="center"/>
          </w:tcPr>
          <w:p w14:paraId="216D20AB" w14:textId="77777777" w:rsidR="00387C70" w:rsidRPr="003F23AC" w:rsidRDefault="00387C70" w:rsidP="003F23AC">
            <w:pPr>
              <w:spacing w:after="0" w:line="240" w:lineRule="auto"/>
              <w:jc w:val="center"/>
              <w:rPr>
                <w:rFonts w:ascii="Times New Roman" w:eastAsia="Times New Roman" w:hAnsi="Times New Roman" w:cs="Times New Roman"/>
                <w:noProof/>
                <w:sz w:val="16"/>
                <w:highlight w:val="yellow"/>
                <w:lang w:val="sk-SK"/>
              </w:rPr>
            </w:pPr>
          </w:p>
        </w:tc>
        <w:tc>
          <w:tcPr>
            <w:tcW w:w="773" w:type="dxa"/>
            <w:shd w:val="clear" w:color="auto" w:fill="C4EFCE"/>
            <w:noWrap/>
            <w:tcMar>
              <w:left w:w="28" w:type="dxa"/>
              <w:right w:w="28" w:type="dxa"/>
            </w:tcMar>
            <w:vAlign w:val="center"/>
          </w:tcPr>
          <w:p w14:paraId="728AFEC2" w14:textId="6D79C6D0"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34" w:type="dxa"/>
            <w:shd w:val="clear" w:color="auto" w:fill="C4EFCE"/>
            <w:noWrap/>
            <w:tcMar>
              <w:left w:w="28" w:type="dxa"/>
              <w:right w:w="28" w:type="dxa"/>
            </w:tcMar>
            <w:vAlign w:val="center"/>
          </w:tcPr>
          <w:p w14:paraId="595C52FC" w14:textId="2C81155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4358" w:type="dxa"/>
            <w:shd w:val="clear" w:color="auto" w:fill="C4EFCE"/>
            <w:tcMar>
              <w:left w:w="28" w:type="dxa"/>
              <w:right w:w="28" w:type="dxa"/>
            </w:tcMar>
            <w:vAlign w:val="center"/>
          </w:tcPr>
          <w:p w14:paraId="152F3E8A"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Nadobudnutie účinnosti právneho rámca pre digitálnu transformáciu verejnej správy</w:t>
            </w:r>
            <w:r w:rsidR="00A75B3C" w:rsidRPr="003F23AC">
              <w:rPr>
                <w:rFonts w:ascii="Times New Roman" w:hAnsi="Times New Roman" w:cs="Times New Roman"/>
                <w:noProof/>
                <w:lang w:val="sk-SK"/>
              </w:rPr>
              <w:t>:</w:t>
            </w:r>
          </w:p>
          <w:p w14:paraId="44730E70" w14:textId="7777777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I) Stratégia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prierezový akčný plán digitálnej transformácie verejnej správy</w:t>
            </w:r>
            <w:r w:rsidR="00A75B3C" w:rsidRPr="003F23AC">
              <w:rPr>
                <w:rFonts w:ascii="Times New Roman" w:hAnsi="Times New Roman" w:cs="Times New Roman"/>
                <w:noProof/>
                <w:lang w:val="sk-SK"/>
              </w:rPr>
              <w:t xml:space="preserve"> a</w:t>
            </w:r>
          </w:p>
          <w:p w14:paraId="45E866C9" w14:textId="1684D3F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II) Legislatívny balík (vrátane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CNCS)</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národnom rámci kybernetickej bezpečnosti, ktorý vychádza zo zákona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46/2018</w:t>
            </w:r>
            <w:r w:rsidR="00A75B3C" w:rsidRPr="003F23AC">
              <w:rPr>
                <w:rFonts w:ascii="Times New Roman" w:hAnsi="Times New Roman" w:cs="Times New Roman"/>
                <w:noProof/>
                <w:lang w:val="sk-SK"/>
              </w:rPr>
              <w:t xml:space="preserve"> </w:t>
            </w:r>
          </w:p>
        </w:tc>
      </w:tr>
      <w:tr w:rsidR="008E475E" w:rsidRPr="003F23AC" w14:paraId="6ACE826A" w14:textId="77777777" w:rsidTr="008E475E">
        <w:trPr>
          <w:trHeight w:val="640"/>
        </w:trPr>
        <w:tc>
          <w:tcPr>
            <w:tcW w:w="1059" w:type="dxa"/>
            <w:shd w:val="clear" w:color="auto" w:fill="C4EFCE"/>
            <w:tcMar>
              <w:left w:w="28" w:type="dxa"/>
              <w:right w:w="28" w:type="dxa"/>
            </w:tcMar>
            <w:vAlign w:val="center"/>
            <w:hideMark/>
          </w:tcPr>
          <w:p w14:paraId="5C1ED785"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19.23</w:t>
            </w:r>
          </w:p>
        </w:tc>
        <w:tc>
          <w:tcPr>
            <w:tcW w:w="1185" w:type="dxa"/>
            <w:shd w:val="clear" w:color="auto" w:fill="C4EFCE"/>
            <w:noWrap/>
            <w:tcMar>
              <w:left w:w="28" w:type="dxa"/>
              <w:right w:w="28" w:type="dxa"/>
            </w:tcMar>
            <w:vAlign w:val="center"/>
            <w:hideMark/>
          </w:tcPr>
          <w:p w14:paraId="263EFDA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TD-C19-r35</w:t>
            </w:r>
          </w:p>
        </w:tc>
        <w:tc>
          <w:tcPr>
            <w:tcW w:w="1057" w:type="dxa"/>
            <w:shd w:val="clear" w:color="auto" w:fill="C4EFCE"/>
            <w:noWrap/>
            <w:tcMar>
              <w:left w:w="28" w:type="dxa"/>
              <w:right w:w="28" w:type="dxa"/>
            </w:tcMar>
            <w:vAlign w:val="center"/>
            <w:hideMark/>
          </w:tcPr>
          <w:p w14:paraId="5996D96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hideMark/>
          </w:tcPr>
          <w:p w14:paraId="0B1FDC9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legislatívneho balíka na reorganizáciu verejnej správy</w:t>
            </w:r>
          </w:p>
        </w:tc>
        <w:tc>
          <w:tcPr>
            <w:tcW w:w="1314" w:type="dxa"/>
            <w:shd w:val="clear" w:color="auto" w:fill="C4EFCE"/>
            <w:noWrap/>
            <w:tcMar>
              <w:left w:w="28" w:type="dxa"/>
              <w:right w:w="28" w:type="dxa"/>
            </w:tcMar>
            <w:vAlign w:val="center"/>
            <w:hideMark/>
          </w:tcPr>
          <w:p w14:paraId="605DD32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legislatívneho balíka na reorganizáciu verejnej správy</w:t>
            </w:r>
          </w:p>
        </w:tc>
        <w:tc>
          <w:tcPr>
            <w:tcW w:w="1110" w:type="dxa"/>
            <w:shd w:val="clear" w:color="auto" w:fill="C4EFCE"/>
            <w:noWrap/>
            <w:tcMar>
              <w:left w:w="28" w:type="dxa"/>
              <w:right w:w="28" w:type="dxa"/>
            </w:tcMar>
            <w:vAlign w:val="center"/>
            <w:hideMark/>
          </w:tcPr>
          <w:p w14:paraId="0A7AAAF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70" w:type="dxa"/>
            <w:shd w:val="clear" w:color="auto" w:fill="C4EFCE"/>
            <w:noWrap/>
            <w:tcMar>
              <w:left w:w="28" w:type="dxa"/>
              <w:right w:w="28" w:type="dxa"/>
            </w:tcMar>
            <w:vAlign w:val="center"/>
            <w:hideMark/>
          </w:tcPr>
          <w:p w14:paraId="1EFE25E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25" w:type="dxa"/>
            <w:shd w:val="clear" w:color="auto" w:fill="C4EFCE"/>
            <w:noWrap/>
            <w:tcMar>
              <w:left w:w="28" w:type="dxa"/>
              <w:right w:w="28" w:type="dxa"/>
            </w:tcMar>
            <w:vAlign w:val="center"/>
            <w:hideMark/>
          </w:tcPr>
          <w:p w14:paraId="17016DD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noWrap/>
            <w:tcMar>
              <w:left w:w="28" w:type="dxa"/>
              <w:right w:w="28" w:type="dxa"/>
            </w:tcMar>
            <w:vAlign w:val="center"/>
            <w:hideMark/>
          </w:tcPr>
          <w:p w14:paraId="2CDF4678" w14:textId="750E6C3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34" w:type="dxa"/>
            <w:shd w:val="clear" w:color="auto" w:fill="C4EFCE"/>
            <w:noWrap/>
            <w:tcMar>
              <w:left w:w="28" w:type="dxa"/>
              <w:right w:w="28" w:type="dxa"/>
            </w:tcMar>
            <w:vAlign w:val="center"/>
            <w:hideMark/>
          </w:tcPr>
          <w:p w14:paraId="0C9F250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358" w:type="dxa"/>
            <w:shd w:val="clear" w:color="auto" w:fill="C4EFCE"/>
            <w:tcMar>
              <w:left w:w="28" w:type="dxa"/>
              <w:right w:w="28" w:type="dxa"/>
            </w:tcMar>
            <w:vAlign w:val="center"/>
            <w:hideMark/>
          </w:tcPr>
          <w:p w14:paraId="505BBF80" w14:textId="4221AAA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právnych predpisov potrebných na vykonanie funkčných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organizačných zmien ústrednej verejnej správy na základe správy </w:t>
            </w:r>
            <w:r w:rsidRPr="003F23AC">
              <w:rPr>
                <w:rFonts w:ascii="Times New Roman" w:hAnsi="Times New Roman" w:cs="Times New Roman"/>
                <w:i/>
                <w:noProof/>
                <w:lang w:val="sk-SK"/>
              </w:rPr>
              <w:t>Estrutura de</w:t>
            </w:r>
            <w:r w:rsidRPr="003F23AC">
              <w:rPr>
                <w:rFonts w:ascii="Times New Roman" w:hAnsi="Times New Roman" w:cs="Times New Roman"/>
                <w:noProof/>
                <w:lang w:val="sk-SK"/>
              </w:rPr>
              <w:t xml:space="preserve"> missão vytvorenej uznesením Rady ministrov </w:t>
            </w:r>
          </w:p>
        </w:tc>
      </w:tr>
      <w:tr w:rsidR="008E475E" w:rsidRPr="003F23AC" w14:paraId="3BEC967D" w14:textId="77777777" w:rsidTr="008E475E">
        <w:trPr>
          <w:trHeight w:val="430"/>
        </w:trPr>
        <w:tc>
          <w:tcPr>
            <w:tcW w:w="1059" w:type="dxa"/>
            <w:shd w:val="clear" w:color="auto" w:fill="C4EFCE"/>
            <w:tcMar>
              <w:left w:w="28" w:type="dxa"/>
              <w:right w:w="28" w:type="dxa"/>
            </w:tcMar>
            <w:vAlign w:val="center"/>
            <w:hideMark/>
          </w:tcPr>
          <w:p w14:paraId="0F6E127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19.24</w:t>
            </w:r>
          </w:p>
        </w:tc>
        <w:tc>
          <w:tcPr>
            <w:tcW w:w="1185" w:type="dxa"/>
            <w:shd w:val="clear" w:color="auto" w:fill="C4EFCE"/>
            <w:noWrap/>
            <w:tcMar>
              <w:left w:w="28" w:type="dxa"/>
              <w:right w:w="28" w:type="dxa"/>
            </w:tcMar>
            <w:vAlign w:val="center"/>
            <w:hideMark/>
          </w:tcPr>
          <w:p w14:paraId="0CC675A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TD-C19-r36</w:t>
            </w:r>
          </w:p>
        </w:tc>
        <w:tc>
          <w:tcPr>
            <w:tcW w:w="1057" w:type="dxa"/>
            <w:shd w:val="clear" w:color="auto" w:fill="C4EFCE"/>
            <w:noWrap/>
            <w:tcMar>
              <w:left w:w="28" w:type="dxa"/>
              <w:right w:w="28" w:type="dxa"/>
            </w:tcMar>
            <w:vAlign w:val="center"/>
            <w:hideMark/>
          </w:tcPr>
          <w:p w14:paraId="349C8A7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hideMark/>
          </w:tcPr>
          <w:p w14:paraId="7479E32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Zriadenie Národného správneho inštitútu, I.P.</w:t>
            </w:r>
          </w:p>
        </w:tc>
        <w:tc>
          <w:tcPr>
            <w:tcW w:w="1314" w:type="dxa"/>
            <w:shd w:val="clear" w:color="auto" w:fill="C4EFCE"/>
            <w:noWrap/>
            <w:tcMar>
              <w:left w:w="28" w:type="dxa"/>
              <w:right w:w="28" w:type="dxa"/>
            </w:tcMar>
            <w:vAlign w:val="center"/>
            <w:hideMark/>
          </w:tcPr>
          <w:p w14:paraId="030C582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Zriadenie Národného správneho inštitútu, I.P. prostredníctvom právneho aktu</w:t>
            </w:r>
          </w:p>
        </w:tc>
        <w:tc>
          <w:tcPr>
            <w:tcW w:w="1110" w:type="dxa"/>
            <w:shd w:val="clear" w:color="auto" w:fill="C4EFCE"/>
            <w:noWrap/>
            <w:tcMar>
              <w:left w:w="28" w:type="dxa"/>
              <w:right w:w="28" w:type="dxa"/>
            </w:tcMar>
            <w:vAlign w:val="center"/>
            <w:hideMark/>
          </w:tcPr>
          <w:p w14:paraId="0B9E120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70" w:type="dxa"/>
            <w:shd w:val="clear" w:color="auto" w:fill="C4EFCE"/>
            <w:noWrap/>
            <w:tcMar>
              <w:left w:w="28" w:type="dxa"/>
              <w:right w:w="28" w:type="dxa"/>
            </w:tcMar>
            <w:vAlign w:val="center"/>
            <w:hideMark/>
          </w:tcPr>
          <w:p w14:paraId="4A2766A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25" w:type="dxa"/>
            <w:shd w:val="clear" w:color="auto" w:fill="C4EFCE"/>
            <w:noWrap/>
            <w:tcMar>
              <w:left w:w="28" w:type="dxa"/>
              <w:right w:w="28" w:type="dxa"/>
            </w:tcMar>
            <w:vAlign w:val="center"/>
            <w:hideMark/>
          </w:tcPr>
          <w:p w14:paraId="649ABF2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773" w:type="dxa"/>
            <w:shd w:val="clear" w:color="auto" w:fill="C4EFCE"/>
            <w:noWrap/>
            <w:tcMar>
              <w:left w:w="28" w:type="dxa"/>
              <w:right w:w="28" w:type="dxa"/>
            </w:tcMar>
            <w:vAlign w:val="center"/>
            <w:hideMark/>
          </w:tcPr>
          <w:p w14:paraId="1FA4DEB7" w14:textId="42FD10B0"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34" w:type="dxa"/>
            <w:shd w:val="clear" w:color="auto" w:fill="C4EFCE"/>
            <w:noWrap/>
            <w:tcMar>
              <w:left w:w="28" w:type="dxa"/>
              <w:right w:w="28" w:type="dxa"/>
            </w:tcMar>
            <w:vAlign w:val="center"/>
            <w:hideMark/>
          </w:tcPr>
          <w:p w14:paraId="1300E34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4358" w:type="dxa"/>
            <w:shd w:val="clear" w:color="auto" w:fill="C4EFCE"/>
            <w:tcMar>
              <w:left w:w="28" w:type="dxa"/>
              <w:right w:w="28" w:type="dxa"/>
            </w:tcMar>
            <w:vAlign w:val="center"/>
            <w:hideMark/>
          </w:tcPr>
          <w:p w14:paraId="241B071D" w14:textId="7777777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Zriadenie prostredníctvom právneho aktu </w:t>
            </w:r>
            <w:r w:rsidRPr="003F23AC">
              <w:rPr>
                <w:rFonts w:ascii="Times New Roman" w:hAnsi="Times New Roman" w:cs="Times New Roman"/>
                <w:i/>
                <w:noProof/>
                <w:lang w:val="sk-SK"/>
              </w:rPr>
              <w:t>Instituto Nacional de Administração, IP</w:t>
            </w:r>
            <w:r w:rsidRPr="003F23AC">
              <w:rPr>
                <w:rFonts w:ascii="Times New Roman" w:hAnsi="Times New Roman" w:cs="Times New Roman"/>
                <w:noProof/>
                <w:lang w:val="sk-SK"/>
              </w:rPr>
              <w:t>, ktoré umožňuje odbornú prípravu pre verejnú správu</w:t>
            </w:r>
          </w:p>
        </w:tc>
      </w:tr>
      <w:tr w:rsidR="008E475E" w:rsidRPr="003F23AC" w14:paraId="7E83CB0B" w14:textId="77777777" w:rsidTr="008E475E">
        <w:trPr>
          <w:trHeight w:val="430"/>
        </w:trPr>
        <w:tc>
          <w:tcPr>
            <w:tcW w:w="1059" w:type="dxa"/>
            <w:shd w:val="clear" w:color="auto" w:fill="C4EFCE"/>
            <w:tcMar>
              <w:left w:w="28" w:type="dxa"/>
              <w:right w:w="28" w:type="dxa"/>
            </w:tcMar>
            <w:vAlign w:val="center"/>
          </w:tcPr>
          <w:p w14:paraId="18E9975D" w14:textId="11D15DFC"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19.30</w:t>
            </w:r>
          </w:p>
        </w:tc>
        <w:tc>
          <w:tcPr>
            <w:tcW w:w="1185" w:type="dxa"/>
            <w:shd w:val="clear" w:color="auto" w:fill="C4EFCE"/>
            <w:noWrap/>
            <w:tcMar>
              <w:left w:w="28" w:type="dxa"/>
              <w:right w:w="28" w:type="dxa"/>
            </w:tcMar>
            <w:vAlign w:val="center"/>
          </w:tcPr>
          <w:p w14:paraId="5460871A" w14:textId="02F65AC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TD-C19-r41</w:t>
            </w:r>
          </w:p>
        </w:tc>
        <w:tc>
          <w:tcPr>
            <w:tcW w:w="1057" w:type="dxa"/>
            <w:shd w:val="clear" w:color="auto" w:fill="C4EFCE"/>
            <w:noWrap/>
            <w:tcMar>
              <w:left w:w="28" w:type="dxa"/>
              <w:right w:w="28" w:type="dxa"/>
            </w:tcMar>
            <w:vAlign w:val="center"/>
          </w:tcPr>
          <w:p w14:paraId="162BD2C1" w14:textId="67F68A48"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tcPr>
          <w:p w14:paraId="2A40F594" w14:textId="066FFC7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legislatívneho aktu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prístupe</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verejným službám</w:t>
            </w:r>
          </w:p>
        </w:tc>
        <w:tc>
          <w:tcPr>
            <w:tcW w:w="1314" w:type="dxa"/>
            <w:shd w:val="clear" w:color="auto" w:fill="C4EFCE"/>
            <w:noWrap/>
            <w:tcMar>
              <w:left w:w="28" w:type="dxa"/>
              <w:right w:w="28" w:type="dxa"/>
            </w:tcMar>
            <w:vAlign w:val="center"/>
          </w:tcPr>
          <w:p w14:paraId="191A02D6" w14:textId="3057883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Ustanovenie právnych predpisov</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nadobudnutí účinnosti právnych predpisov </w:t>
            </w:r>
          </w:p>
        </w:tc>
        <w:tc>
          <w:tcPr>
            <w:tcW w:w="1110" w:type="dxa"/>
            <w:shd w:val="clear" w:color="auto" w:fill="C4EFCE"/>
            <w:noWrap/>
            <w:tcMar>
              <w:left w:w="28" w:type="dxa"/>
              <w:right w:w="28" w:type="dxa"/>
            </w:tcMar>
            <w:vAlign w:val="center"/>
          </w:tcPr>
          <w:p w14:paraId="15EB9DF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70" w:type="dxa"/>
            <w:shd w:val="clear" w:color="auto" w:fill="C4EFCE"/>
            <w:noWrap/>
            <w:tcMar>
              <w:left w:w="28" w:type="dxa"/>
              <w:right w:w="28" w:type="dxa"/>
            </w:tcMar>
            <w:vAlign w:val="center"/>
          </w:tcPr>
          <w:p w14:paraId="0B16E3FF"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25" w:type="dxa"/>
            <w:shd w:val="clear" w:color="auto" w:fill="C4EFCE"/>
            <w:noWrap/>
            <w:tcMar>
              <w:left w:w="28" w:type="dxa"/>
              <w:right w:w="28" w:type="dxa"/>
            </w:tcMar>
            <w:vAlign w:val="center"/>
          </w:tcPr>
          <w:p w14:paraId="08355F05"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3" w:type="dxa"/>
            <w:shd w:val="clear" w:color="auto" w:fill="C4EFCE"/>
            <w:noWrap/>
            <w:tcMar>
              <w:left w:w="28" w:type="dxa"/>
              <w:right w:w="28" w:type="dxa"/>
            </w:tcMar>
            <w:vAlign w:val="center"/>
          </w:tcPr>
          <w:p w14:paraId="028AEAD5" w14:textId="19911D82"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434" w:type="dxa"/>
            <w:shd w:val="clear" w:color="auto" w:fill="C4EFCE"/>
            <w:noWrap/>
            <w:tcMar>
              <w:left w:w="28" w:type="dxa"/>
              <w:right w:w="28" w:type="dxa"/>
            </w:tcMar>
            <w:vAlign w:val="center"/>
          </w:tcPr>
          <w:p w14:paraId="265FA0B5" w14:textId="7DD6FBC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58" w:type="dxa"/>
            <w:shd w:val="clear" w:color="auto" w:fill="C4EFCE"/>
            <w:tcMar>
              <w:left w:w="28" w:type="dxa"/>
              <w:right w:w="28" w:type="dxa"/>
            </w:tcMar>
            <w:vAlign w:val="center"/>
          </w:tcPr>
          <w:p w14:paraId="3DA5037E" w14:textId="4E17333B"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legislatívneho aktu, ktorým sa harmonizuje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konsoliduje osobný</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online 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verejným službám, ako aj rozšíri počet služieb dostupných na jednotnom portáli pre verejné služby.</w:t>
            </w:r>
            <w:r w:rsidR="00A75B3C" w:rsidRPr="003F23AC">
              <w:rPr>
                <w:rFonts w:ascii="Times New Roman" w:hAnsi="Times New Roman" w:cs="Times New Roman"/>
                <w:noProof/>
                <w:lang w:val="sk-SK"/>
              </w:rPr>
              <w:t xml:space="preserve"> </w:t>
            </w:r>
          </w:p>
        </w:tc>
      </w:tr>
      <w:tr w:rsidR="008E475E" w:rsidRPr="003F23AC" w14:paraId="70FA8B5F" w14:textId="77777777" w:rsidTr="008E475E">
        <w:trPr>
          <w:trHeight w:val="430"/>
        </w:trPr>
        <w:tc>
          <w:tcPr>
            <w:tcW w:w="1059" w:type="dxa"/>
            <w:shd w:val="clear" w:color="auto" w:fill="C4EFCE"/>
            <w:tcMar>
              <w:left w:w="28" w:type="dxa"/>
              <w:right w:w="28" w:type="dxa"/>
            </w:tcMar>
            <w:vAlign w:val="center"/>
          </w:tcPr>
          <w:p w14:paraId="5D5EB9E9" w14:textId="2177C7F7"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19.31</w:t>
            </w:r>
          </w:p>
        </w:tc>
        <w:tc>
          <w:tcPr>
            <w:tcW w:w="1185" w:type="dxa"/>
            <w:shd w:val="clear" w:color="auto" w:fill="C4EFCE"/>
            <w:noWrap/>
            <w:tcMar>
              <w:left w:w="28" w:type="dxa"/>
              <w:right w:w="28" w:type="dxa"/>
            </w:tcMar>
            <w:vAlign w:val="center"/>
          </w:tcPr>
          <w:p w14:paraId="160F0E2B" w14:textId="668FB811" w:rsidR="00387C70" w:rsidRPr="003F23AC" w:rsidRDefault="000F5AA4" w:rsidP="003F23AC">
            <w:pPr>
              <w:pStyle w:val="P68B1DB1-Bodytext1013"/>
              <w:spacing w:after="0"/>
              <w:jc w:val="center"/>
              <w:rPr>
                <w:rFonts w:ascii="Times New Roman" w:hAnsi="Times New Roman" w:cs="Times New Roman"/>
                <w:noProof/>
                <w:lang w:val="sk-SK"/>
              </w:rPr>
            </w:pPr>
            <w:r w:rsidRPr="003F23AC">
              <w:rPr>
                <w:rFonts w:ascii="Times New Roman" w:hAnsi="Times New Roman" w:cs="Times New Roman"/>
                <w:noProof/>
                <w:lang w:val="sk-SK"/>
              </w:rPr>
              <w:t>TD-C19-r42</w:t>
            </w:r>
          </w:p>
        </w:tc>
        <w:tc>
          <w:tcPr>
            <w:tcW w:w="1057" w:type="dxa"/>
            <w:shd w:val="clear" w:color="auto" w:fill="C4EFCE"/>
            <w:noWrap/>
            <w:tcMar>
              <w:left w:w="28" w:type="dxa"/>
              <w:right w:w="28" w:type="dxa"/>
            </w:tcMar>
            <w:vAlign w:val="center"/>
          </w:tcPr>
          <w:p w14:paraId="5A9F3806" w14:textId="793E38C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M</w:t>
            </w:r>
          </w:p>
        </w:tc>
        <w:tc>
          <w:tcPr>
            <w:tcW w:w="1574" w:type="dxa"/>
            <w:shd w:val="clear" w:color="auto" w:fill="C4EFCE"/>
            <w:noWrap/>
            <w:tcMar>
              <w:left w:w="28" w:type="dxa"/>
              <w:right w:w="28" w:type="dxa"/>
            </w:tcMar>
            <w:vAlign w:val="center"/>
          </w:tcPr>
          <w:p w14:paraId="2935250F" w14:textId="2D44B127" w:rsidR="00387C70" w:rsidRPr="003F23AC" w:rsidRDefault="000F5AA4" w:rsidP="003F23AC">
            <w:pPr>
              <w:pStyle w:val="P68B1DB1-Bodytext1013"/>
              <w:jc w:val="center"/>
              <w:rPr>
                <w:rFonts w:ascii="Times New Roman" w:hAnsi="Times New Roman" w:cs="Times New Roman"/>
                <w:noProof/>
                <w:lang w:val="sk-SK"/>
              </w:rPr>
            </w:pPr>
            <w:r w:rsidRPr="003F23AC">
              <w:rPr>
                <w:rFonts w:ascii="Times New Roman" w:hAnsi="Times New Roman" w:cs="Times New Roman"/>
                <w:noProof/>
                <w:lang w:val="sk-SK"/>
              </w:rPr>
              <w:t>Nadobudnutie účinnosti legislatívneho aktu, ktorým sa reviduje SIADAP</w:t>
            </w:r>
          </w:p>
        </w:tc>
        <w:tc>
          <w:tcPr>
            <w:tcW w:w="1314" w:type="dxa"/>
            <w:shd w:val="clear" w:color="auto" w:fill="C4EFCE"/>
            <w:noWrap/>
            <w:tcMar>
              <w:left w:w="28" w:type="dxa"/>
              <w:right w:w="28" w:type="dxa"/>
            </w:tcMar>
            <w:vAlign w:val="center"/>
          </w:tcPr>
          <w:p w14:paraId="76DB72FC" w14:textId="7C5BE05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Ustanovenie legislatívneho aktu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nadobudnutí účinnosti legislatívneho aktu </w:t>
            </w:r>
          </w:p>
        </w:tc>
        <w:tc>
          <w:tcPr>
            <w:tcW w:w="1110" w:type="dxa"/>
            <w:shd w:val="clear" w:color="auto" w:fill="C4EFCE"/>
            <w:noWrap/>
            <w:tcMar>
              <w:left w:w="28" w:type="dxa"/>
              <w:right w:w="28" w:type="dxa"/>
            </w:tcMar>
            <w:vAlign w:val="center"/>
          </w:tcPr>
          <w:p w14:paraId="5BD712C6" w14:textId="68D529B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870" w:type="dxa"/>
            <w:shd w:val="clear" w:color="auto" w:fill="C4EFCE"/>
            <w:noWrap/>
            <w:tcMar>
              <w:left w:w="28" w:type="dxa"/>
              <w:right w:w="28" w:type="dxa"/>
            </w:tcMar>
            <w:vAlign w:val="center"/>
          </w:tcPr>
          <w:p w14:paraId="64F81F0D" w14:textId="54AE8BA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725" w:type="dxa"/>
            <w:shd w:val="clear" w:color="auto" w:fill="C4EFCE"/>
            <w:noWrap/>
            <w:tcMar>
              <w:left w:w="28" w:type="dxa"/>
              <w:right w:w="28" w:type="dxa"/>
            </w:tcMar>
            <w:vAlign w:val="center"/>
          </w:tcPr>
          <w:p w14:paraId="1DCC2FDC" w14:textId="4731542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773" w:type="dxa"/>
            <w:shd w:val="clear" w:color="auto" w:fill="C4EFCE"/>
            <w:noWrap/>
            <w:tcMar>
              <w:left w:w="28" w:type="dxa"/>
              <w:right w:w="28" w:type="dxa"/>
            </w:tcMar>
            <w:vAlign w:val="center"/>
          </w:tcPr>
          <w:p w14:paraId="3D54C13F" w14:textId="249D465E"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r w:rsidR="000F5AA4" w:rsidRPr="003F23AC">
              <w:rPr>
                <w:rFonts w:ascii="Times New Roman" w:hAnsi="Times New Roman" w:cs="Times New Roman"/>
                <w:noProof/>
                <w:lang w:val="sk-SK"/>
              </w:rPr>
              <w:t xml:space="preserve"> </w:t>
            </w:r>
          </w:p>
        </w:tc>
        <w:tc>
          <w:tcPr>
            <w:tcW w:w="434" w:type="dxa"/>
            <w:shd w:val="clear" w:color="auto" w:fill="C4EFCE"/>
            <w:noWrap/>
            <w:tcMar>
              <w:left w:w="28" w:type="dxa"/>
              <w:right w:w="28" w:type="dxa"/>
            </w:tcMar>
            <w:vAlign w:val="center"/>
          </w:tcPr>
          <w:p w14:paraId="77865BCF" w14:textId="2D5D08F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2024</w:t>
            </w:r>
          </w:p>
        </w:tc>
        <w:tc>
          <w:tcPr>
            <w:tcW w:w="4358" w:type="dxa"/>
            <w:shd w:val="clear" w:color="auto" w:fill="C4EFCE"/>
            <w:tcMar>
              <w:left w:w="28" w:type="dxa"/>
              <w:right w:w="28" w:type="dxa"/>
            </w:tcMar>
            <w:vAlign w:val="center"/>
          </w:tcPr>
          <w:p w14:paraId="787D10CD" w14:textId="2872E339"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legislatívneho aktu, ktorým sa zreviduje integrovaný systém riadenia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hodnotenia výkonnosti verejnej správy (SIADAP) podľa charakteristík opísaných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opise opatrenia. </w:t>
            </w:r>
          </w:p>
        </w:tc>
      </w:tr>
      <w:tr w:rsidR="008E475E" w:rsidRPr="003F23AC" w14:paraId="595052CD" w14:textId="77777777" w:rsidTr="008E475E">
        <w:trPr>
          <w:trHeight w:val="430"/>
        </w:trPr>
        <w:tc>
          <w:tcPr>
            <w:tcW w:w="1059" w:type="dxa"/>
            <w:shd w:val="clear" w:color="auto" w:fill="C4EFCE"/>
            <w:tcMar>
              <w:left w:w="28" w:type="dxa"/>
              <w:right w:w="28" w:type="dxa"/>
            </w:tcMar>
            <w:vAlign w:val="center"/>
          </w:tcPr>
          <w:p w14:paraId="6673DA96" w14:textId="12B6BD26"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19.32</w:t>
            </w:r>
          </w:p>
        </w:tc>
        <w:tc>
          <w:tcPr>
            <w:tcW w:w="1185" w:type="dxa"/>
            <w:shd w:val="clear" w:color="auto" w:fill="C4EFCE"/>
            <w:noWrap/>
            <w:tcMar>
              <w:left w:w="28" w:type="dxa"/>
              <w:right w:w="28" w:type="dxa"/>
            </w:tcMar>
            <w:vAlign w:val="center"/>
          </w:tcPr>
          <w:p w14:paraId="0595A2A8" w14:textId="3B18423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TD-C19-r42</w:t>
            </w:r>
          </w:p>
        </w:tc>
        <w:tc>
          <w:tcPr>
            <w:tcW w:w="1057" w:type="dxa"/>
            <w:shd w:val="clear" w:color="auto" w:fill="C4EFCE"/>
            <w:noWrap/>
            <w:tcMar>
              <w:left w:w="28" w:type="dxa"/>
              <w:right w:w="28" w:type="dxa"/>
            </w:tcMar>
            <w:vAlign w:val="center"/>
          </w:tcPr>
          <w:p w14:paraId="588DCBAA" w14:textId="2DD3035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tcPr>
          <w:p w14:paraId="52CB2148" w14:textId="13350A3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legislatívneho aktu, ktorým sa reviduje profil kompetencií verejnej správy</w:t>
            </w:r>
          </w:p>
        </w:tc>
        <w:tc>
          <w:tcPr>
            <w:tcW w:w="1314" w:type="dxa"/>
            <w:shd w:val="clear" w:color="auto" w:fill="C4EFCE"/>
            <w:noWrap/>
            <w:tcMar>
              <w:left w:w="28" w:type="dxa"/>
              <w:right w:w="28" w:type="dxa"/>
            </w:tcMar>
            <w:vAlign w:val="center"/>
          </w:tcPr>
          <w:p w14:paraId="55C8AFE8" w14:textId="52B1A26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Ustanovenie legislatívneho aktu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nadobudnutí účinnosti legislatívneho aktu </w:t>
            </w:r>
          </w:p>
        </w:tc>
        <w:tc>
          <w:tcPr>
            <w:tcW w:w="1110" w:type="dxa"/>
            <w:shd w:val="clear" w:color="auto" w:fill="C4EFCE"/>
            <w:noWrap/>
            <w:tcMar>
              <w:left w:w="28" w:type="dxa"/>
              <w:right w:w="28" w:type="dxa"/>
            </w:tcMar>
            <w:vAlign w:val="center"/>
          </w:tcPr>
          <w:p w14:paraId="0F112E93" w14:textId="3E369BD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870" w:type="dxa"/>
            <w:shd w:val="clear" w:color="auto" w:fill="C4EFCE"/>
            <w:noWrap/>
            <w:tcMar>
              <w:left w:w="28" w:type="dxa"/>
              <w:right w:w="28" w:type="dxa"/>
            </w:tcMar>
            <w:vAlign w:val="center"/>
          </w:tcPr>
          <w:p w14:paraId="21348855" w14:textId="50047F4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725" w:type="dxa"/>
            <w:shd w:val="clear" w:color="auto" w:fill="C4EFCE"/>
            <w:noWrap/>
            <w:tcMar>
              <w:left w:w="28" w:type="dxa"/>
              <w:right w:w="28" w:type="dxa"/>
            </w:tcMar>
            <w:vAlign w:val="center"/>
          </w:tcPr>
          <w:p w14:paraId="775EF0EE" w14:textId="5792FB1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773" w:type="dxa"/>
            <w:shd w:val="clear" w:color="auto" w:fill="C4EFCE"/>
            <w:noWrap/>
            <w:tcMar>
              <w:left w:w="28" w:type="dxa"/>
              <w:right w:w="28" w:type="dxa"/>
            </w:tcMar>
            <w:vAlign w:val="center"/>
          </w:tcPr>
          <w:p w14:paraId="104DC251" w14:textId="079CFBBC"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34" w:type="dxa"/>
            <w:shd w:val="clear" w:color="auto" w:fill="C4EFCE"/>
            <w:noWrap/>
            <w:tcMar>
              <w:left w:w="28" w:type="dxa"/>
              <w:right w:w="28" w:type="dxa"/>
            </w:tcMar>
            <w:vAlign w:val="center"/>
          </w:tcPr>
          <w:p w14:paraId="1224479D" w14:textId="0B9B8D9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4358" w:type="dxa"/>
            <w:shd w:val="clear" w:color="auto" w:fill="C4EFCE"/>
            <w:tcMar>
              <w:left w:w="28" w:type="dxa"/>
              <w:right w:w="28" w:type="dxa"/>
            </w:tcMar>
            <w:vAlign w:val="center"/>
          </w:tcPr>
          <w:p w14:paraId="14DC0FA1" w14:textId="48ADFE80"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Revidovaný profil kompetencií verejnej správy nadobudne účinnosť. </w:t>
            </w:r>
          </w:p>
        </w:tc>
      </w:tr>
      <w:tr w:rsidR="008E475E" w:rsidRPr="003F23AC" w14:paraId="68DA236C" w14:textId="77777777" w:rsidTr="008E475E">
        <w:trPr>
          <w:trHeight w:val="430"/>
        </w:trPr>
        <w:tc>
          <w:tcPr>
            <w:tcW w:w="1059" w:type="dxa"/>
            <w:shd w:val="clear" w:color="auto" w:fill="C4EFCE"/>
            <w:tcMar>
              <w:left w:w="28" w:type="dxa"/>
              <w:right w:w="28" w:type="dxa"/>
            </w:tcMar>
            <w:vAlign w:val="center"/>
          </w:tcPr>
          <w:p w14:paraId="21E8FF8C" w14:textId="4DFC5787"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19.33</w:t>
            </w:r>
          </w:p>
        </w:tc>
        <w:tc>
          <w:tcPr>
            <w:tcW w:w="1185" w:type="dxa"/>
            <w:shd w:val="clear" w:color="auto" w:fill="C4EFCE"/>
            <w:noWrap/>
            <w:tcMar>
              <w:left w:w="28" w:type="dxa"/>
              <w:right w:w="28" w:type="dxa"/>
            </w:tcMar>
            <w:vAlign w:val="center"/>
          </w:tcPr>
          <w:p w14:paraId="02A0505D" w14:textId="6C5C6A0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TD-C19-r42</w:t>
            </w:r>
          </w:p>
        </w:tc>
        <w:tc>
          <w:tcPr>
            <w:tcW w:w="1057" w:type="dxa"/>
            <w:shd w:val="clear" w:color="auto" w:fill="C4EFCE"/>
            <w:noWrap/>
            <w:tcMar>
              <w:left w:w="28" w:type="dxa"/>
              <w:right w:w="28" w:type="dxa"/>
            </w:tcMar>
            <w:vAlign w:val="center"/>
          </w:tcPr>
          <w:p w14:paraId="5B37C398" w14:textId="0D9687E6"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574" w:type="dxa"/>
            <w:shd w:val="clear" w:color="auto" w:fill="C4EFCE"/>
            <w:noWrap/>
            <w:tcMar>
              <w:left w:w="28" w:type="dxa"/>
              <w:right w:w="28" w:type="dxa"/>
            </w:tcMar>
            <w:vAlign w:val="center"/>
          </w:tcPr>
          <w:p w14:paraId="055786D3" w14:textId="285B3590"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Uvedenie nového systému SIADAP do prevádzky</w:t>
            </w:r>
          </w:p>
        </w:tc>
        <w:tc>
          <w:tcPr>
            <w:tcW w:w="1314" w:type="dxa"/>
            <w:shd w:val="clear" w:color="auto" w:fill="C4EFCE"/>
            <w:noWrap/>
            <w:tcMar>
              <w:left w:w="28" w:type="dxa"/>
              <w:right w:w="28" w:type="dxa"/>
            </w:tcMar>
            <w:vAlign w:val="center"/>
          </w:tcPr>
          <w:p w14:paraId="09DC06A7" w14:textId="64B6C46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Uvedenie nového systému SIADAP do prevádzky </w:t>
            </w:r>
          </w:p>
        </w:tc>
        <w:tc>
          <w:tcPr>
            <w:tcW w:w="1110" w:type="dxa"/>
            <w:shd w:val="clear" w:color="auto" w:fill="C4EFCE"/>
            <w:noWrap/>
            <w:tcMar>
              <w:left w:w="28" w:type="dxa"/>
              <w:right w:w="28" w:type="dxa"/>
            </w:tcMar>
            <w:vAlign w:val="center"/>
          </w:tcPr>
          <w:p w14:paraId="58F7D868" w14:textId="1F6A8D9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870" w:type="dxa"/>
            <w:shd w:val="clear" w:color="auto" w:fill="C4EFCE"/>
            <w:noWrap/>
            <w:tcMar>
              <w:left w:w="28" w:type="dxa"/>
              <w:right w:w="28" w:type="dxa"/>
            </w:tcMar>
            <w:vAlign w:val="center"/>
          </w:tcPr>
          <w:p w14:paraId="37360046" w14:textId="55C6ECB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725" w:type="dxa"/>
            <w:shd w:val="clear" w:color="auto" w:fill="C4EFCE"/>
            <w:noWrap/>
            <w:tcMar>
              <w:left w:w="28" w:type="dxa"/>
              <w:right w:w="28" w:type="dxa"/>
            </w:tcMar>
            <w:vAlign w:val="center"/>
          </w:tcPr>
          <w:p w14:paraId="2DB545E3" w14:textId="4B7402E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773" w:type="dxa"/>
            <w:shd w:val="clear" w:color="auto" w:fill="C4EFCE"/>
            <w:noWrap/>
            <w:tcMar>
              <w:left w:w="28" w:type="dxa"/>
              <w:right w:w="28" w:type="dxa"/>
            </w:tcMar>
            <w:vAlign w:val="center"/>
          </w:tcPr>
          <w:p w14:paraId="1E46E1BF" w14:textId="2FECA53F"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434" w:type="dxa"/>
            <w:shd w:val="clear" w:color="auto" w:fill="C4EFCE"/>
            <w:noWrap/>
            <w:tcMar>
              <w:left w:w="28" w:type="dxa"/>
              <w:right w:w="28" w:type="dxa"/>
            </w:tcMar>
            <w:vAlign w:val="center"/>
          </w:tcPr>
          <w:p w14:paraId="204F0C6B" w14:textId="0102386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4358" w:type="dxa"/>
            <w:shd w:val="clear" w:color="auto" w:fill="C4EFCE"/>
            <w:tcMar>
              <w:left w:w="28" w:type="dxa"/>
              <w:right w:w="28" w:type="dxa"/>
            </w:tcMar>
            <w:vAlign w:val="center"/>
          </w:tcPr>
          <w:p w14:paraId="139C28E9" w14:textId="3792E5F4" w:rsidR="00387C70" w:rsidRPr="003F23AC" w:rsidRDefault="000F5AA4" w:rsidP="003F23AC">
            <w:pPr>
              <w:pStyle w:val="P68B1DB1-Bodytext1013"/>
              <w:spacing w:line="240" w:lineRule="auto"/>
              <w:jc w:val="both"/>
              <w:rPr>
                <w:rFonts w:ascii="Times New Roman" w:eastAsia="MS Mincho" w:hAnsi="Times New Roman" w:cs="Times New Roman"/>
                <w:noProof/>
                <w:lang w:val="sk-SK"/>
              </w:rPr>
            </w:pPr>
            <w:r w:rsidRPr="003F23AC">
              <w:rPr>
                <w:rFonts w:ascii="Times New Roman" w:hAnsi="Times New Roman" w:cs="Times New Roman"/>
                <w:noProof/>
                <w:lang w:val="sk-SK"/>
              </w:rPr>
              <w:t>Sprevádzkovanie nového systému SIADAP vrátane príslušnej IT platformy. Používateľom systému SIADAP je</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dispozícii osobitná odborná príprava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naučiť sa používať IT platformu.</w:t>
            </w:r>
          </w:p>
        </w:tc>
      </w:tr>
      <w:tr w:rsidR="008E475E" w:rsidRPr="003F23AC" w14:paraId="3BD666CA" w14:textId="77777777" w:rsidTr="008E475E">
        <w:trPr>
          <w:trHeight w:val="430"/>
        </w:trPr>
        <w:tc>
          <w:tcPr>
            <w:tcW w:w="1059" w:type="dxa"/>
            <w:shd w:val="clear" w:color="auto" w:fill="C4EFCE"/>
            <w:tcMar>
              <w:left w:w="28" w:type="dxa"/>
              <w:right w:w="28" w:type="dxa"/>
            </w:tcMar>
            <w:vAlign w:val="center"/>
          </w:tcPr>
          <w:p w14:paraId="1A621731" w14:textId="4130020B"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19.34</w:t>
            </w:r>
          </w:p>
        </w:tc>
        <w:tc>
          <w:tcPr>
            <w:tcW w:w="1185" w:type="dxa"/>
            <w:shd w:val="clear" w:color="auto" w:fill="C4EFCE"/>
            <w:noWrap/>
            <w:tcMar>
              <w:left w:w="28" w:type="dxa"/>
              <w:right w:w="28" w:type="dxa"/>
            </w:tcMar>
            <w:vAlign w:val="center"/>
          </w:tcPr>
          <w:p w14:paraId="40206F7E" w14:textId="2D382AD0"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TD-C19-i08</w:t>
            </w:r>
          </w:p>
        </w:tc>
        <w:tc>
          <w:tcPr>
            <w:tcW w:w="1057" w:type="dxa"/>
            <w:shd w:val="clear" w:color="auto" w:fill="C4EFCE"/>
            <w:noWrap/>
            <w:tcMar>
              <w:left w:w="28" w:type="dxa"/>
              <w:right w:w="28" w:type="dxa"/>
            </w:tcMar>
            <w:vAlign w:val="center"/>
          </w:tcPr>
          <w:p w14:paraId="3762138F" w14:textId="70675931"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xml:space="preserve"> M</w:t>
            </w:r>
          </w:p>
        </w:tc>
        <w:tc>
          <w:tcPr>
            <w:tcW w:w="1574" w:type="dxa"/>
            <w:shd w:val="clear" w:color="auto" w:fill="C4EFCE"/>
            <w:noWrap/>
            <w:tcMar>
              <w:left w:w="28" w:type="dxa"/>
              <w:right w:w="28" w:type="dxa"/>
            </w:tcMar>
            <w:vAlign w:val="center"/>
          </w:tcPr>
          <w:p w14:paraId="4895262C" w14:textId="47D5ADE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Spustenie portálu inteligentných území</w:t>
            </w:r>
          </w:p>
        </w:tc>
        <w:tc>
          <w:tcPr>
            <w:tcW w:w="1314" w:type="dxa"/>
            <w:shd w:val="clear" w:color="auto" w:fill="C4EFCE"/>
            <w:noWrap/>
            <w:tcMar>
              <w:left w:w="28" w:type="dxa"/>
              <w:right w:w="28" w:type="dxa"/>
            </w:tcMar>
            <w:vAlign w:val="center"/>
          </w:tcPr>
          <w:p w14:paraId="1CE63BEE" w14:textId="5802B8DD"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Spustenie portálu inteligentných území</w:t>
            </w:r>
            <w:r w:rsidR="00A75B3C" w:rsidRPr="003F23AC">
              <w:rPr>
                <w:rFonts w:ascii="Times New Roman" w:hAnsi="Times New Roman" w:cs="Times New Roman"/>
                <w:noProof/>
                <w:lang w:val="sk-SK"/>
              </w:rPr>
              <w:t xml:space="preserve"> </w:t>
            </w:r>
          </w:p>
        </w:tc>
        <w:tc>
          <w:tcPr>
            <w:tcW w:w="1110" w:type="dxa"/>
            <w:shd w:val="clear" w:color="auto" w:fill="C4EFCE"/>
            <w:noWrap/>
            <w:tcMar>
              <w:left w:w="28" w:type="dxa"/>
              <w:right w:w="28" w:type="dxa"/>
            </w:tcMar>
            <w:vAlign w:val="center"/>
          </w:tcPr>
          <w:p w14:paraId="4795DA0D" w14:textId="4161F638"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xml:space="preserve"> </w:t>
            </w:r>
          </w:p>
        </w:tc>
        <w:tc>
          <w:tcPr>
            <w:tcW w:w="870" w:type="dxa"/>
            <w:shd w:val="clear" w:color="auto" w:fill="C4EFCE"/>
            <w:noWrap/>
            <w:tcMar>
              <w:left w:w="28" w:type="dxa"/>
              <w:right w:w="28" w:type="dxa"/>
            </w:tcMar>
            <w:vAlign w:val="center"/>
          </w:tcPr>
          <w:p w14:paraId="5ADAEE3A" w14:textId="662F911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xml:space="preserve"> </w:t>
            </w:r>
          </w:p>
        </w:tc>
        <w:tc>
          <w:tcPr>
            <w:tcW w:w="725" w:type="dxa"/>
            <w:shd w:val="clear" w:color="auto" w:fill="C4EFCE"/>
            <w:noWrap/>
            <w:tcMar>
              <w:left w:w="28" w:type="dxa"/>
              <w:right w:w="28" w:type="dxa"/>
            </w:tcMar>
            <w:vAlign w:val="center"/>
          </w:tcPr>
          <w:p w14:paraId="1BF2082E" w14:textId="49DE1BE3"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xml:space="preserve"> </w:t>
            </w:r>
          </w:p>
        </w:tc>
        <w:tc>
          <w:tcPr>
            <w:tcW w:w="773" w:type="dxa"/>
            <w:shd w:val="clear" w:color="auto" w:fill="C4EFCE"/>
            <w:noWrap/>
            <w:tcMar>
              <w:left w:w="28" w:type="dxa"/>
              <w:right w:w="28" w:type="dxa"/>
            </w:tcMar>
            <w:vAlign w:val="center"/>
          </w:tcPr>
          <w:p w14:paraId="2F308FC6" w14:textId="333AFBFA"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 štvrťrok</w:t>
            </w:r>
          </w:p>
        </w:tc>
        <w:tc>
          <w:tcPr>
            <w:tcW w:w="434" w:type="dxa"/>
            <w:shd w:val="clear" w:color="auto" w:fill="C4EFCE"/>
            <w:noWrap/>
            <w:tcMar>
              <w:left w:w="28" w:type="dxa"/>
              <w:right w:w="28" w:type="dxa"/>
            </w:tcMar>
            <w:vAlign w:val="center"/>
          </w:tcPr>
          <w:p w14:paraId="75086835" w14:textId="0DBEA283"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2025</w:t>
            </w:r>
          </w:p>
        </w:tc>
        <w:tc>
          <w:tcPr>
            <w:tcW w:w="4358" w:type="dxa"/>
            <w:shd w:val="clear" w:color="auto" w:fill="C4EFCE"/>
            <w:tcMar>
              <w:left w:w="28" w:type="dxa"/>
              <w:right w:w="28" w:type="dxa"/>
            </w:tcMar>
            <w:vAlign w:val="center"/>
          </w:tcPr>
          <w:p w14:paraId="5E92ABD1" w14:textId="0E316B0E"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Spustenie online webového sídla (t. j. portálu) poskytujúceho online register informácií na miestnej, regionálnej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vnútroštátnej úrovni.</w:t>
            </w:r>
            <w:r w:rsidR="00A75B3C" w:rsidRPr="003F23AC">
              <w:rPr>
                <w:rFonts w:ascii="Times New Roman" w:hAnsi="Times New Roman" w:cs="Times New Roman"/>
                <w:noProof/>
                <w:lang w:val="sk-SK"/>
              </w:rPr>
              <w:t xml:space="preserve"> </w:t>
            </w:r>
          </w:p>
        </w:tc>
      </w:tr>
      <w:tr w:rsidR="008E475E" w:rsidRPr="003F23AC" w14:paraId="561E4208" w14:textId="77777777" w:rsidTr="008E475E">
        <w:trPr>
          <w:trHeight w:val="430"/>
        </w:trPr>
        <w:tc>
          <w:tcPr>
            <w:tcW w:w="1059" w:type="dxa"/>
            <w:shd w:val="clear" w:color="auto" w:fill="C4EFCE"/>
            <w:tcMar>
              <w:left w:w="28" w:type="dxa"/>
              <w:right w:w="28" w:type="dxa"/>
            </w:tcMar>
            <w:vAlign w:val="center"/>
          </w:tcPr>
          <w:p w14:paraId="1C29C0D2" w14:textId="68CA64B4"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19.35</w:t>
            </w:r>
          </w:p>
        </w:tc>
        <w:tc>
          <w:tcPr>
            <w:tcW w:w="1185" w:type="dxa"/>
            <w:shd w:val="clear" w:color="auto" w:fill="C4EFCE"/>
            <w:noWrap/>
            <w:tcMar>
              <w:left w:w="28" w:type="dxa"/>
              <w:right w:w="28" w:type="dxa"/>
            </w:tcMar>
            <w:vAlign w:val="center"/>
          </w:tcPr>
          <w:p w14:paraId="08D6F6EF" w14:textId="5FBF4181" w:rsidR="00387C70" w:rsidRPr="003F23AC" w:rsidRDefault="000F5AA4" w:rsidP="003F23AC">
            <w:pPr>
              <w:pStyle w:val="P68B1DB1-Bodytext1013"/>
              <w:spacing w:after="0"/>
              <w:jc w:val="center"/>
              <w:rPr>
                <w:rFonts w:ascii="Times New Roman" w:hAnsi="Times New Roman" w:cs="Times New Roman"/>
                <w:noProof/>
                <w:lang w:val="sk-SK"/>
              </w:rPr>
            </w:pPr>
            <w:r w:rsidRPr="003F23AC">
              <w:rPr>
                <w:rFonts w:ascii="Times New Roman" w:hAnsi="Times New Roman" w:cs="Times New Roman"/>
                <w:noProof/>
                <w:lang w:val="sk-SK"/>
              </w:rPr>
              <w:t>TD-C19-i08</w:t>
            </w:r>
          </w:p>
        </w:tc>
        <w:tc>
          <w:tcPr>
            <w:tcW w:w="1057" w:type="dxa"/>
            <w:shd w:val="clear" w:color="auto" w:fill="C4EFCE"/>
            <w:noWrap/>
            <w:tcMar>
              <w:left w:w="28" w:type="dxa"/>
              <w:right w:w="28" w:type="dxa"/>
            </w:tcMar>
            <w:vAlign w:val="center"/>
          </w:tcPr>
          <w:p w14:paraId="39CBDC9B" w14:textId="028DD878"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tcPr>
          <w:p w14:paraId="5CDAFF79" w14:textId="16E44D01"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Inteligentné územia: Platformy mestského riadenia, digitálne dvojčatá</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prehľad verejnej politiky</w:t>
            </w:r>
          </w:p>
        </w:tc>
        <w:tc>
          <w:tcPr>
            <w:tcW w:w="1314" w:type="dxa"/>
            <w:shd w:val="clear" w:color="auto" w:fill="C4EFCE"/>
            <w:noWrap/>
            <w:tcMar>
              <w:left w:w="28" w:type="dxa"/>
              <w:right w:w="28" w:type="dxa"/>
            </w:tcMar>
            <w:vAlign w:val="center"/>
          </w:tcPr>
          <w:p w14:paraId="5887A4A4" w14:textId="53E1A8D7" w:rsidR="00387C70" w:rsidRPr="003F23AC" w:rsidRDefault="000F5AA4" w:rsidP="003F23AC">
            <w:pPr>
              <w:pStyle w:val="P68B1DB1-Normal8"/>
              <w:spacing w:after="0" w:line="240" w:lineRule="auto"/>
              <w:jc w:val="center"/>
              <w:rPr>
                <w:rFonts w:ascii="Times New Roman" w:eastAsia="Calibri" w:hAnsi="Times New Roman" w:cs="Times New Roman"/>
                <w:noProof/>
                <w:lang w:val="sk-SK"/>
              </w:rPr>
            </w:pPr>
            <w:r w:rsidRPr="003F23AC">
              <w:rPr>
                <w:rFonts w:ascii="Times New Roman" w:hAnsi="Times New Roman" w:cs="Times New Roman"/>
                <w:noProof/>
                <w:lang w:val="sk-SK"/>
              </w:rPr>
              <w:t>Obce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platformami mestského riadenia, vytvorenie digitálnych dvojčiat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spustenie prehľadu verejnej politiky</w:t>
            </w:r>
          </w:p>
        </w:tc>
        <w:tc>
          <w:tcPr>
            <w:tcW w:w="1110" w:type="dxa"/>
            <w:shd w:val="clear" w:color="auto" w:fill="C4EFCE"/>
            <w:noWrap/>
            <w:tcMar>
              <w:left w:w="28" w:type="dxa"/>
              <w:right w:w="28" w:type="dxa"/>
            </w:tcMar>
            <w:vAlign w:val="center"/>
          </w:tcPr>
          <w:p w14:paraId="66C3FFB1" w14:textId="620351DF" w:rsidR="00387C70" w:rsidRPr="003F23AC" w:rsidRDefault="00387C70" w:rsidP="003F23AC">
            <w:pPr>
              <w:spacing w:after="0" w:line="240" w:lineRule="auto"/>
              <w:jc w:val="center"/>
              <w:rPr>
                <w:rFonts w:ascii="Times New Roman" w:hAnsi="Times New Roman" w:cs="Times New Roman"/>
                <w:noProof/>
                <w:sz w:val="16"/>
                <w:lang w:val="sk-SK"/>
              </w:rPr>
            </w:pPr>
          </w:p>
        </w:tc>
        <w:tc>
          <w:tcPr>
            <w:tcW w:w="870" w:type="dxa"/>
            <w:shd w:val="clear" w:color="auto" w:fill="C4EFCE"/>
            <w:noWrap/>
            <w:tcMar>
              <w:left w:w="28" w:type="dxa"/>
              <w:right w:w="28" w:type="dxa"/>
            </w:tcMar>
            <w:vAlign w:val="center"/>
          </w:tcPr>
          <w:p w14:paraId="08351A85" w14:textId="3468C050" w:rsidR="00387C70" w:rsidRPr="003F23AC" w:rsidRDefault="00387C70" w:rsidP="003F23AC">
            <w:pPr>
              <w:spacing w:after="0" w:line="240" w:lineRule="auto"/>
              <w:jc w:val="center"/>
              <w:rPr>
                <w:rFonts w:ascii="Times New Roman" w:hAnsi="Times New Roman" w:cs="Times New Roman"/>
                <w:noProof/>
                <w:sz w:val="16"/>
                <w:lang w:val="sk-SK"/>
              </w:rPr>
            </w:pPr>
          </w:p>
        </w:tc>
        <w:tc>
          <w:tcPr>
            <w:tcW w:w="725" w:type="dxa"/>
            <w:shd w:val="clear" w:color="auto" w:fill="C4EFCE"/>
            <w:noWrap/>
            <w:tcMar>
              <w:left w:w="28" w:type="dxa"/>
              <w:right w:w="28" w:type="dxa"/>
            </w:tcMar>
            <w:vAlign w:val="center"/>
          </w:tcPr>
          <w:p w14:paraId="78472566" w14:textId="31A690E9" w:rsidR="00387C70" w:rsidRPr="003F23AC" w:rsidRDefault="00387C70" w:rsidP="003F23AC">
            <w:pPr>
              <w:spacing w:after="0" w:line="240" w:lineRule="auto"/>
              <w:jc w:val="center"/>
              <w:rPr>
                <w:rFonts w:ascii="Times New Roman" w:hAnsi="Times New Roman" w:cs="Times New Roman"/>
                <w:noProof/>
                <w:sz w:val="16"/>
                <w:lang w:val="sk-SK"/>
              </w:rPr>
            </w:pPr>
          </w:p>
        </w:tc>
        <w:tc>
          <w:tcPr>
            <w:tcW w:w="773" w:type="dxa"/>
            <w:shd w:val="clear" w:color="auto" w:fill="C4EFCE"/>
            <w:noWrap/>
            <w:tcMar>
              <w:left w:w="28" w:type="dxa"/>
              <w:right w:w="28" w:type="dxa"/>
            </w:tcMar>
            <w:vAlign w:val="center"/>
          </w:tcPr>
          <w:p w14:paraId="5C72A606" w14:textId="7AB80CEC"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 štvrťrok</w:t>
            </w:r>
          </w:p>
        </w:tc>
        <w:tc>
          <w:tcPr>
            <w:tcW w:w="434" w:type="dxa"/>
            <w:shd w:val="clear" w:color="auto" w:fill="C4EFCE"/>
            <w:noWrap/>
            <w:tcMar>
              <w:left w:w="28" w:type="dxa"/>
              <w:right w:w="28" w:type="dxa"/>
            </w:tcMar>
            <w:vAlign w:val="center"/>
          </w:tcPr>
          <w:p w14:paraId="35582AA4" w14:textId="7E5EFB41"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2026</w:t>
            </w:r>
          </w:p>
        </w:tc>
        <w:tc>
          <w:tcPr>
            <w:tcW w:w="4358" w:type="dxa"/>
            <w:shd w:val="clear" w:color="auto" w:fill="C4EFCE"/>
            <w:tcMar>
              <w:left w:w="28" w:type="dxa"/>
              <w:right w:w="28" w:type="dxa"/>
            </w:tcMar>
            <w:vAlign w:val="center"/>
          </w:tcPr>
          <w:p w14:paraId="1A3A289D" w14:textId="7A28551D"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Platforma mestského riadenia sa zriadi alebo zmodernizuje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75 obciach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Comunidades Intermunicipais/Oblasti Metropolitanas.</w:t>
            </w:r>
          </w:p>
          <w:p w14:paraId="5DF67326" w14:textId="15FAAA70" w:rsidR="00387C70" w:rsidRPr="003F23AC" w:rsidRDefault="00387C70" w:rsidP="003F23AC">
            <w:pPr>
              <w:pStyle w:val="Bodytext10"/>
              <w:spacing w:after="0" w:line="240" w:lineRule="auto"/>
              <w:jc w:val="both"/>
              <w:rPr>
                <w:rFonts w:ascii="Times New Roman" w:hAnsi="Times New Roman" w:cs="Times New Roman"/>
                <w:noProof/>
                <w:sz w:val="16"/>
                <w:lang w:val="sk-SK"/>
              </w:rPr>
            </w:pPr>
          </w:p>
          <w:p w14:paraId="0EC040A8" w14:textId="75E15E45"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Vytvorí sa päť digitálnych dvojčiat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národných prioritných oblastiach, ako sú voda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poľnohospodárstvo, odolnosť voči zmene klímy, mobilita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dekarbonizácia, zdravie, energetika, cestovný ruch, civilná ochrana.</w:t>
            </w:r>
          </w:p>
          <w:p w14:paraId="59ADF51D" w14:textId="15FAAA70" w:rsidR="00387C70" w:rsidRPr="003F23AC" w:rsidRDefault="00387C70" w:rsidP="003F23AC">
            <w:pPr>
              <w:pStyle w:val="Bodytext10"/>
              <w:spacing w:after="0" w:line="240" w:lineRule="auto"/>
              <w:jc w:val="both"/>
              <w:rPr>
                <w:rFonts w:ascii="Times New Roman" w:hAnsi="Times New Roman" w:cs="Times New Roman"/>
                <w:noProof/>
                <w:sz w:val="16"/>
                <w:lang w:val="sk-SK"/>
              </w:rPr>
            </w:pPr>
          </w:p>
          <w:p w14:paraId="1268B617" w14:textId="7CEE4523"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Spustený prehľad musí byť</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dispozícii ústredným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regionálnym aktérom.</w:t>
            </w:r>
          </w:p>
        </w:tc>
      </w:tr>
      <w:tr w:rsidR="008E475E" w:rsidRPr="003F23AC" w14:paraId="1F719612" w14:textId="77777777" w:rsidTr="008E475E">
        <w:trPr>
          <w:trHeight w:val="430"/>
        </w:trPr>
        <w:tc>
          <w:tcPr>
            <w:tcW w:w="1059" w:type="dxa"/>
            <w:shd w:val="clear" w:color="auto" w:fill="C4EFCE"/>
            <w:tcMar>
              <w:left w:w="28" w:type="dxa"/>
              <w:right w:w="28" w:type="dxa"/>
            </w:tcMar>
            <w:vAlign w:val="center"/>
          </w:tcPr>
          <w:p w14:paraId="628865B2" w14:textId="55E9CCCC" w:rsidR="00387C70" w:rsidRPr="003F23AC" w:rsidRDefault="000F5AA4" w:rsidP="003F23AC">
            <w:pPr>
              <w:pStyle w:val="P68B1DB1-Normal11"/>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19.36</w:t>
            </w:r>
          </w:p>
        </w:tc>
        <w:tc>
          <w:tcPr>
            <w:tcW w:w="1185" w:type="dxa"/>
            <w:shd w:val="clear" w:color="auto" w:fill="C4EFCE"/>
            <w:noWrap/>
            <w:tcMar>
              <w:left w:w="28" w:type="dxa"/>
              <w:right w:w="28" w:type="dxa"/>
            </w:tcMar>
            <w:vAlign w:val="center"/>
          </w:tcPr>
          <w:p w14:paraId="25B23B67" w14:textId="600B4833" w:rsidR="00387C70" w:rsidRPr="003F23AC" w:rsidRDefault="000F5AA4" w:rsidP="003F23AC">
            <w:pPr>
              <w:pStyle w:val="P68B1DB1-Bodytext1013"/>
              <w:spacing w:after="0"/>
              <w:jc w:val="center"/>
              <w:rPr>
                <w:rFonts w:ascii="Times New Roman" w:hAnsi="Times New Roman" w:cs="Times New Roman"/>
                <w:noProof/>
                <w:lang w:val="sk-SK"/>
              </w:rPr>
            </w:pPr>
            <w:r w:rsidRPr="003F23AC">
              <w:rPr>
                <w:rFonts w:ascii="Times New Roman" w:hAnsi="Times New Roman" w:cs="Times New Roman"/>
                <w:noProof/>
                <w:lang w:val="sk-SK"/>
              </w:rPr>
              <w:t>TD-C19-i08</w:t>
            </w:r>
          </w:p>
        </w:tc>
        <w:tc>
          <w:tcPr>
            <w:tcW w:w="1057" w:type="dxa"/>
            <w:shd w:val="clear" w:color="auto" w:fill="C4EFCE"/>
            <w:noWrap/>
            <w:tcMar>
              <w:left w:w="28" w:type="dxa"/>
              <w:right w:w="28" w:type="dxa"/>
            </w:tcMar>
            <w:vAlign w:val="center"/>
          </w:tcPr>
          <w:p w14:paraId="419D9ACF" w14:textId="2C9A231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1574" w:type="dxa"/>
            <w:shd w:val="clear" w:color="auto" w:fill="C4EFCE"/>
            <w:noWrap/>
            <w:tcMar>
              <w:left w:w="28" w:type="dxa"/>
              <w:right w:w="28" w:type="dxa"/>
            </w:tcMar>
            <w:vAlign w:val="center"/>
          </w:tcPr>
          <w:p w14:paraId="5648E079" w14:textId="40C85FEB"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Odborná príprava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inteligentných území</w:t>
            </w:r>
          </w:p>
        </w:tc>
        <w:tc>
          <w:tcPr>
            <w:tcW w:w="1314" w:type="dxa"/>
            <w:shd w:val="clear" w:color="auto" w:fill="C4EFCE"/>
            <w:noWrap/>
            <w:tcMar>
              <w:left w:w="28" w:type="dxa"/>
              <w:right w:w="28" w:type="dxa"/>
            </w:tcMar>
            <w:vAlign w:val="center"/>
          </w:tcPr>
          <w:p w14:paraId="44D863AA" w14:textId="77777777" w:rsidR="00387C70" w:rsidRPr="003F23AC" w:rsidRDefault="00387C70" w:rsidP="003F23AC">
            <w:pPr>
              <w:spacing w:after="0" w:line="240" w:lineRule="auto"/>
              <w:jc w:val="center"/>
              <w:rPr>
                <w:rFonts w:ascii="Times New Roman" w:hAnsi="Times New Roman" w:cs="Times New Roman"/>
                <w:noProof/>
                <w:sz w:val="16"/>
                <w:lang w:val="sk-SK"/>
              </w:rPr>
            </w:pPr>
          </w:p>
        </w:tc>
        <w:tc>
          <w:tcPr>
            <w:tcW w:w="1110" w:type="dxa"/>
            <w:shd w:val="clear" w:color="auto" w:fill="C4EFCE"/>
            <w:noWrap/>
            <w:tcMar>
              <w:left w:w="28" w:type="dxa"/>
              <w:right w:w="28" w:type="dxa"/>
            </w:tcMar>
            <w:vAlign w:val="center"/>
          </w:tcPr>
          <w:p w14:paraId="3C744534" w14:textId="471C353F"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Počet</w:t>
            </w:r>
          </w:p>
        </w:tc>
        <w:tc>
          <w:tcPr>
            <w:tcW w:w="870" w:type="dxa"/>
            <w:shd w:val="clear" w:color="auto" w:fill="C4EFCE"/>
            <w:noWrap/>
            <w:tcMar>
              <w:left w:w="28" w:type="dxa"/>
              <w:right w:w="28" w:type="dxa"/>
            </w:tcMar>
            <w:vAlign w:val="center"/>
          </w:tcPr>
          <w:p w14:paraId="538FAA91" w14:textId="20339339"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0</w:t>
            </w:r>
          </w:p>
        </w:tc>
        <w:tc>
          <w:tcPr>
            <w:tcW w:w="725" w:type="dxa"/>
            <w:shd w:val="clear" w:color="auto" w:fill="C4EFCE"/>
            <w:noWrap/>
            <w:tcMar>
              <w:left w:w="28" w:type="dxa"/>
              <w:right w:w="28" w:type="dxa"/>
            </w:tcMar>
            <w:vAlign w:val="center"/>
          </w:tcPr>
          <w:p w14:paraId="498F4BE0" w14:textId="75A3A34E"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650</w:t>
            </w:r>
          </w:p>
        </w:tc>
        <w:tc>
          <w:tcPr>
            <w:tcW w:w="773" w:type="dxa"/>
            <w:shd w:val="clear" w:color="auto" w:fill="C4EFCE"/>
            <w:noWrap/>
            <w:tcMar>
              <w:left w:w="28" w:type="dxa"/>
              <w:right w:w="28" w:type="dxa"/>
            </w:tcMar>
            <w:vAlign w:val="center"/>
          </w:tcPr>
          <w:p w14:paraId="195EA9FE" w14:textId="533AF84E" w:rsidR="00387C70" w:rsidRPr="003F23AC" w:rsidRDefault="00FF0A91"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4. štvrťrok</w:t>
            </w:r>
          </w:p>
        </w:tc>
        <w:tc>
          <w:tcPr>
            <w:tcW w:w="434" w:type="dxa"/>
            <w:shd w:val="clear" w:color="auto" w:fill="C4EFCE"/>
            <w:noWrap/>
            <w:tcMar>
              <w:left w:w="28" w:type="dxa"/>
              <w:right w:w="28" w:type="dxa"/>
            </w:tcMar>
            <w:vAlign w:val="center"/>
          </w:tcPr>
          <w:p w14:paraId="5FAC320A" w14:textId="68759A95"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2025</w:t>
            </w:r>
          </w:p>
        </w:tc>
        <w:tc>
          <w:tcPr>
            <w:tcW w:w="4358" w:type="dxa"/>
            <w:shd w:val="clear" w:color="auto" w:fill="C4EFCE"/>
            <w:tcMar>
              <w:left w:w="28" w:type="dxa"/>
              <w:right w:w="28" w:type="dxa"/>
            </w:tcMar>
            <w:vAlign w:val="center"/>
          </w:tcPr>
          <w:p w14:paraId="6C088F62" w14:textId="3D36A3C1"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Počet verejných zamestnancov, ktorí absolvovali odbornú prípravu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zberu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správy údajov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iného obsahu súvisiaceho</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inteligentnými mestami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budovami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udržateľnosti.</w:t>
            </w:r>
          </w:p>
        </w:tc>
      </w:tr>
    </w:tbl>
    <w:p w14:paraId="7E5600AA"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u w:val="single"/>
          <w:lang w:val="sk-SK"/>
        </w:rPr>
      </w:pPr>
    </w:p>
    <w:p w14:paraId="24A85F36"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sectPr w:rsidR="00387C70" w:rsidRPr="003F23AC" w:rsidSect="00E00EDD">
          <w:headerReference w:type="even" r:id="rId350"/>
          <w:headerReference w:type="default" r:id="rId351"/>
          <w:footerReference w:type="even" r:id="rId352"/>
          <w:footerReference w:type="default" r:id="rId353"/>
          <w:headerReference w:type="first" r:id="rId354"/>
          <w:footerReference w:type="first" r:id="rId355"/>
          <w:pgSz w:w="16839" w:h="11907" w:orient="landscape"/>
          <w:pgMar w:top="1134" w:right="1134" w:bottom="1134" w:left="1134" w:header="567" w:footer="567" w:gutter="0"/>
          <w:cols w:space="720"/>
          <w:docGrid w:linePitch="360"/>
        </w:sectPr>
      </w:pPr>
    </w:p>
    <w:p w14:paraId="6A596265" w14:textId="77777777"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T. KOMPONENT 20: Digitálna škola</w:t>
      </w:r>
    </w:p>
    <w:p w14:paraId="3CBABF35" w14:textId="56329F73"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Portugalsko malo</w:t>
      </w:r>
      <w:r w:rsidR="00A75B3C" w:rsidRPr="003F23AC">
        <w:rPr>
          <w:rFonts w:cs="Times New Roman"/>
          <w:noProof/>
          <w:lang w:val="sk-SK"/>
        </w:rPr>
        <w:t xml:space="preserve"> v </w:t>
      </w:r>
      <w:r w:rsidRPr="003F23AC">
        <w:rPr>
          <w:rFonts w:cs="Times New Roman"/>
          <w:noProof/>
          <w:lang w:val="sk-SK"/>
        </w:rPr>
        <w:t>roku 2019 hodnoty pod európskymi priemermi, pokiaľ ide</w:t>
      </w:r>
      <w:r w:rsidR="00A75B3C" w:rsidRPr="003F23AC">
        <w:rPr>
          <w:rFonts w:cs="Times New Roman"/>
          <w:noProof/>
          <w:lang w:val="sk-SK"/>
        </w:rPr>
        <w:t xml:space="preserve"> o </w:t>
      </w:r>
      <w:r w:rsidRPr="003F23AC">
        <w:rPr>
          <w:rFonts w:cs="Times New Roman"/>
          <w:noProof/>
          <w:lang w:val="sk-SK"/>
        </w:rPr>
        <w:t>každodenné používanie internetu (65</w:t>
      </w:r>
      <w:r w:rsidR="00A75B3C" w:rsidRPr="003F23AC">
        <w:rPr>
          <w:rFonts w:cs="Times New Roman"/>
          <w:noProof/>
          <w:lang w:val="sk-SK"/>
        </w:rPr>
        <w:t> %</w:t>
      </w:r>
      <w:r w:rsidRPr="003F23AC">
        <w:rPr>
          <w:rFonts w:cs="Times New Roman"/>
          <w:noProof/>
          <w:lang w:val="sk-SK"/>
        </w:rPr>
        <w:t>), využívanie online verejných služieb (41</w:t>
      </w:r>
      <w:r w:rsidR="00A75B3C" w:rsidRPr="003F23AC">
        <w:rPr>
          <w:rFonts w:cs="Times New Roman"/>
          <w:noProof/>
          <w:lang w:val="sk-SK"/>
        </w:rPr>
        <w:t> %</w:t>
      </w:r>
      <w:r w:rsidRPr="003F23AC">
        <w:rPr>
          <w:rFonts w:cs="Times New Roman"/>
          <w:noProof/>
          <w:lang w:val="sk-SK"/>
        </w:rPr>
        <w:t>)</w:t>
      </w:r>
      <w:r w:rsidR="00A75B3C" w:rsidRPr="003F23AC">
        <w:rPr>
          <w:rFonts w:cs="Times New Roman"/>
          <w:noProof/>
          <w:lang w:val="sk-SK"/>
        </w:rPr>
        <w:t xml:space="preserve"> a </w:t>
      </w:r>
      <w:r w:rsidRPr="003F23AC">
        <w:rPr>
          <w:rFonts w:cs="Times New Roman"/>
          <w:noProof/>
          <w:lang w:val="sk-SK"/>
        </w:rPr>
        <w:t>odborníkov na IKT na trhu práce (2,4</w:t>
      </w:r>
      <w:r w:rsidR="00A75B3C" w:rsidRPr="003F23AC">
        <w:rPr>
          <w:rFonts w:cs="Times New Roman"/>
          <w:noProof/>
          <w:lang w:val="sk-SK"/>
        </w:rPr>
        <w:t> %</w:t>
      </w:r>
      <w:r w:rsidRPr="003F23AC">
        <w:rPr>
          <w:rFonts w:cs="Times New Roman"/>
          <w:noProof/>
          <w:lang w:val="sk-SK"/>
        </w:rPr>
        <w:t>) (údaje Eurostatu/observatórium digitálnych zručností)</w:t>
      </w:r>
      <w:r w:rsidR="00A75B3C" w:rsidRPr="003F23AC">
        <w:rPr>
          <w:rFonts w:cs="Times New Roman"/>
          <w:noProof/>
          <w:lang w:val="sk-SK"/>
        </w:rPr>
        <w:t xml:space="preserve"> a </w:t>
      </w:r>
      <w:r w:rsidRPr="003F23AC">
        <w:rPr>
          <w:rFonts w:cs="Times New Roman"/>
          <w:noProof/>
          <w:lang w:val="sk-SK"/>
        </w:rPr>
        <w:t>stanovilo ambiciózne ciele do roku 2025 pre tieto ukazovatele (80</w:t>
      </w:r>
      <w:r w:rsidR="00A75B3C" w:rsidRPr="003F23AC">
        <w:rPr>
          <w:rFonts w:cs="Times New Roman"/>
          <w:noProof/>
          <w:lang w:val="sk-SK"/>
        </w:rPr>
        <w:t> %</w:t>
      </w:r>
      <w:r w:rsidRPr="003F23AC">
        <w:rPr>
          <w:rFonts w:cs="Times New Roman"/>
          <w:noProof/>
          <w:lang w:val="sk-SK"/>
        </w:rPr>
        <w:t>, 75</w:t>
      </w:r>
      <w:r w:rsidR="00A75B3C" w:rsidRPr="003F23AC">
        <w:rPr>
          <w:rFonts w:cs="Times New Roman"/>
          <w:noProof/>
          <w:lang w:val="sk-SK"/>
        </w:rPr>
        <w:t> % a </w:t>
      </w:r>
      <w:r w:rsidRPr="003F23AC">
        <w:rPr>
          <w:rFonts w:cs="Times New Roman"/>
          <w:noProof/>
          <w:lang w:val="sk-SK"/>
        </w:rPr>
        <w:t>5</w:t>
      </w:r>
      <w:r w:rsidR="00A75B3C" w:rsidRPr="003F23AC">
        <w:rPr>
          <w:rFonts w:cs="Times New Roman"/>
          <w:noProof/>
          <w:lang w:val="sk-SK"/>
        </w:rPr>
        <w:t> %</w:t>
      </w:r>
      <w:r w:rsidRPr="003F23AC">
        <w:rPr>
          <w:rFonts w:cs="Times New Roman"/>
          <w:noProof/>
          <w:lang w:val="sk-SK"/>
        </w:rPr>
        <w:t>). Spomedzi odborníkov na IKT na trhu práce tvorili ženy 18,3</w:t>
      </w:r>
      <w:r w:rsidR="00A75B3C" w:rsidRPr="003F23AC">
        <w:rPr>
          <w:rFonts w:cs="Times New Roman"/>
          <w:noProof/>
          <w:lang w:val="sk-SK"/>
        </w:rPr>
        <w:t> % a </w:t>
      </w:r>
      <w:r w:rsidRPr="003F23AC">
        <w:rPr>
          <w:rFonts w:cs="Times New Roman"/>
          <w:noProof/>
          <w:lang w:val="sk-SK"/>
        </w:rPr>
        <w:t>muži 81,7</w:t>
      </w:r>
      <w:r w:rsidR="00A75B3C" w:rsidRPr="003F23AC">
        <w:rPr>
          <w:rFonts w:cs="Times New Roman"/>
          <w:noProof/>
          <w:lang w:val="sk-SK"/>
        </w:rPr>
        <w:t> %</w:t>
      </w:r>
      <w:r w:rsidRPr="003F23AC">
        <w:rPr>
          <w:rFonts w:cs="Times New Roman"/>
          <w:noProof/>
          <w:lang w:val="sk-SK"/>
        </w:rPr>
        <w:t xml:space="preserve"> (údaje Eurostatu)</w:t>
      </w:r>
      <w:r w:rsidR="00A75B3C" w:rsidRPr="003F23AC">
        <w:rPr>
          <w:rFonts w:cs="Times New Roman"/>
          <w:noProof/>
          <w:lang w:val="sk-SK"/>
        </w:rPr>
        <w:t>.</w:t>
      </w:r>
    </w:p>
    <w:p w14:paraId="3D0CAE16" w14:textId="4A480F64"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tejto zložky je vytvoriť podmienky pre vzdelávacie, pedagogické</w:t>
      </w:r>
      <w:r w:rsidR="00A75B3C" w:rsidRPr="003F23AC">
        <w:rPr>
          <w:rFonts w:cs="Times New Roman"/>
          <w:noProof/>
          <w:lang w:val="sk-SK"/>
        </w:rPr>
        <w:t xml:space="preserve"> a </w:t>
      </w:r>
      <w:r w:rsidRPr="003F23AC">
        <w:rPr>
          <w:rFonts w:cs="Times New Roman"/>
          <w:noProof/>
          <w:lang w:val="sk-SK"/>
        </w:rPr>
        <w:t>manažérske inovácie portugalského systému základného</w:t>
      </w:r>
      <w:r w:rsidR="00A75B3C" w:rsidRPr="003F23AC">
        <w:rPr>
          <w:rFonts w:cs="Times New Roman"/>
          <w:noProof/>
          <w:lang w:val="sk-SK"/>
        </w:rPr>
        <w:t xml:space="preserve"> a </w:t>
      </w:r>
      <w:r w:rsidRPr="003F23AC">
        <w:rPr>
          <w:rFonts w:cs="Times New Roman"/>
          <w:noProof/>
          <w:lang w:val="sk-SK"/>
        </w:rPr>
        <w:t>stredoškolského vzdelávania. To sa dosiahne rozvojom digitálnych zručností učiteľov, študentov</w:t>
      </w:r>
      <w:r w:rsidR="00A75B3C" w:rsidRPr="003F23AC">
        <w:rPr>
          <w:rFonts w:cs="Times New Roman"/>
          <w:noProof/>
          <w:lang w:val="sk-SK"/>
        </w:rPr>
        <w:t xml:space="preserve"> a </w:t>
      </w:r>
      <w:r w:rsidRPr="003F23AC">
        <w:rPr>
          <w:rFonts w:cs="Times New Roman"/>
          <w:noProof/>
          <w:lang w:val="sk-SK"/>
        </w:rPr>
        <w:t>zamestnancov škôl, integráciou digitálnych technológií do rôznych oblastí učebných plánov</w:t>
      </w:r>
      <w:r w:rsidR="00A75B3C" w:rsidRPr="003F23AC">
        <w:rPr>
          <w:rFonts w:cs="Times New Roman"/>
          <w:noProof/>
          <w:lang w:val="sk-SK"/>
        </w:rPr>
        <w:t xml:space="preserve"> a </w:t>
      </w:r>
      <w:r w:rsidRPr="003F23AC">
        <w:rPr>
          <w:rFonts w:cs="Times New Roman"/>
          <w:noProof/>
          <w:lang w:val="sk-SK"/>
        </w:rPr>
        <w:t>poskytnutím vhodného vybavenia. Očakáva sa, že to zase prispeje</w:t>
      </w:r>
      <w:r w:rsidR="00A75B3C" w:rsidRPr="003F23AC">
        <w:rPr>
          <w:rFonts w:cs="Times New Roman"/>
          <w:noProof/>
          <w:lang w:val="sk-SK"/>
        </w:rPr>
        <w:t xml:space="preserve"> k </w:t>
      </w:r>
      <w:r w:rsidRPr="003F23AC">
        <w:rPr>
          <w:rFonts w:cs="Times New Roman"/>
          <w:noProof/>
          <w:lang w:val="sk-SK"/>
        </w:rPr>
        <w:t>digitálnej transformácii</w:t>
      </w:r>
      <w:r w:rsidR="00A75B3C" w:rsidRPr="003F23AC">
        <w:rPr>
          <w:rFonts w:cs="Times New Roman"/>
          <w:noProof/>
          <w:lang w:val="sk-SK"/>
        </w:rPr>
        <w:t xml:space="preserve"> a </w:t>
      </w:r>
      <w:r w:rsidRPr="003F23AC">
        <w:rPr>
          <w:rFonts w:cs="Times New Roman"/>
          <w:noProof/>
          <w:lang w:val="sk-SK"/>
        </w:rPr>
        <w:t>inkluzívnemu</w:t>
      </w:r>
      <w:r w:rsidR="00A75B3C" w:rsidRPr="003F23AC">
        <w:rPr>
          <w:rFonts w:cs="Times New Roman"/>
          <w:noProof/>
          <w:lang w:val="sk-SK"/>
        </w:rPr>
        <w:t xml:space="preserve"> a </w:t>
      </w:r>
      <w:r w:rsidRPr="003F23AC">
        <w:rPr>
          <w:rFonts w:cs="Times New Roman"/>
          <w:noProof/>
          <w:lang w:val="sk-SK"/>
        </w:rPr>
        <w:t>udržateľnému rastu hospodárstva.</w:t>
      </w:r>
    </w:p>
    <w:p w14:paraId="2A7F6906" w14:textId="3A760A5D"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zložka prispieva</w:t>
      </w:r>
      <w:r w:rsidR="00A75B3C" w:rsidRPr="003F23AC">
        <w:rPr>
          <w:rFonts w:cs="Times New Roman"/>
          <w:noProof/>
          <w:lang w:val="sk-SK"/>
        </w:rPr>
        <w:t xml:space="preserve"> k </w:t>
      </w:r>
      <w:r w:rsidRPr="003F23AC">
        <w:rPr>
          <w:rFonts w:cs="Times New Roman"/>
          <w:noProof/>
          <w:lang w:val="sk-SK"/>
        </w:rPr>
        <w:t>plneniu odporúčania pre jednotlivé krajiny</w:t>
      </w:r>
      <w:r w:rsidR="00A75B3C" w:rsidRPr="003F23AC">
        <w:rPr>
          <w:rFonts w:cs="Times New Roman"/>
          <w:noProof/>
          <w:lang w:val="sk-SK"/>
        </w:rPr>
        <w:t xml:space="preserve"> s </w:t>
      </w:r>
      <w:r w:rsidRPr="003F23AC">
        <w:rPr>
          <w:rFonts w:cs="Times New Roman"/>
          <w:noProof/>
          <w:lang w:val="sk-SK"/>
        </w:rPr>
        <w:t>cieľom zlepšiť úroveň zručností obyvateľstva, najmä ich digitálnu gramotnosť (odporúčanie pre jednotlivé krajiny 2 2019),</w:t>
      </w:r>
      <w:r w:rsidR="00A75B3C" w:rsidRPr="003F23AC">
        <w:rPr>
          <w:rFonts w:cs="Times New Roman"/>
          <w:noProof/>
          <w:lang w:val="sk-SK"/>
        </w:rPr>
        <w:t xml:space="preserve"> a </w:t>
      </w:r>
      <w:r w:rsidRPr="003F23AC">
        <w:rPr>
          <w:rFonts w:cs="Times New Roman"/>
          <w:noProof/>
          <w:lang w:val="sk-SK"/>
        </w:rPr>
        <w:t>podporiť využívanie digitálnych technológií na zabezpečenie rovnakého prístupu ku kvalitnému vzdelávaniu</w:t>
      </w:r>
      <w:r w:rsidR="00A75B3C" w:rsidRPr="003F23AC">
        <w:rPr>
          <w:rFonts w:cs="Times New Roman"/>
          <w:noProof/>
          <w:lang w:val="sk-SK"/>
        </w:rPr>
        <w:t xml:space="preserve"> a </w:t>
      </w:r>
      <w:r w:rsidRPr="003F23AC">
        <w:rPr>
          <w:rFonts w:cs="Times New Roman"/>
          <w:noProof/>
          <w:lang w:val="sk-SK"/>
        </w:rPr>
        <w:t>odbornej príprave (odporúčanie pre jednotlivé krajiny 2 2020).</w:t>
      </w:r>
    </w:p>
    <w:p w14:paraId="12D9A922" w14:textId="6D6FC5B2" w:rsidR="00A75B3C" w:rsidRPr="003F23AC" w:rsidRDefault="000F5AA4" w:rsidP="003F23AC">
      <w:pPr>
        <w:pStyle w:val="P68B1DB1-Normal4"/>
        <w:spacing w:before="40" w:after="0" w:line="259" w:lineRule="auto"/>
        <w:jc w:val="both"/>
        <w:outlineLvl w:val="1"/>
        <w:rPr>
          <w:rFonts w:cs="Times New Roman"/>
          <w:noProof/>
          <w:lang w:val="sk-SK"/>
        </w:rPr>
      </w:pPr>
      <w:r w:rsidRPr="003F23AC">
        <w:rPr>
          <w:rFonts w:cs="Times New Roman"/>
          <w:noProof/>
          <w:lang w:val="sk-SK"/>
        </w:rPr>
        <w:t>Očakáva sa, že žiadne opatrenie</w:t>
      </w:r>
      <w:r w:rsidR="00A75B3C" w:rsidRPr="003F23AC">
        <w:rPr>
          <w:rFonts w:cs="Times New Roman"/>
          <w:noProof/>
          <w:lang w:val="sk-SK"/>
        </w:rPr>
        <w:t xml:space="preserve"> v </w:t>
      </w:r>
      <w:r w:rsidRPr="003F23AC">
        <w:rPr>
          <w:rFonts w:cs="Times New Roman"/>
          <w:noProof/>
          <w:lang w:val="sk-SK"/>
        </w:rPr>
        <w:t>tejto zložke výrazne nenarúša plnenie environmentálnych cieľov</w:t>
      </w:r>
      <w:r w:rsidR="00A75B3C" w:rsidRPr="003F23AC">
        <w:rPr>
          <w:rFonts w:cs="Times New Roman"/>
          <w:noProof/>
          <w:lang w:val="sk-SK"/>
        </w:rPr>
        <w:t xml:space="preserve"> v </w:t>
      </w:r>
      <w:r w:rsidRPr="003F23AC">
        <w:rPr>
          <w:rFonts w:cs="Times New Roman"/>
          <w:noProof/>
          <w:lang w:val="sk-SK"/>
        </w:rPr>
        <w:t>zmysle článku 17 nariadenia (EÚ) 2020/852, pričom sa zohľadní opis opatrení</w:t>
      </w:r>
      <w:r w:rsidR="00A75B3C" w:rsidRPr="003F23AC">
        <w:rPr>
          <w:rFonts w:cs="Times New Roman"/>
          <w:noProof/>
          <w:lang w:val="sk-SK"/>
        </w:rPr>
        <w:t xml:space="preserve"> a </w:t>
      </w:r>
      <w:r w:rsidRPr="003F23AC">
        <w:rPr>
          <w:rFonts w:cs="Times New Roman"/>
          <w:noProof/>
          <w:lang w:val="sk-SK"/>
        </w:rPr>
        <w:t>zmierňujúce kroky stanovené</w:t>
      </w:r>
      <w:r w:rsidR="00A75B3C" w:rsidRPr="003F23AC">
        <w:rPr>
          <w:rFonts w:cs="Times New Roman"/>
          <w:noProof/>
          <w:lang w:val="sk-SK"/>
        </w:rPr>
        <w:t xml:space="preserve"> v </w:t>
      </w:r>
      <w:r w:rsidRPr="003F23AC">
        <w:rPr>
          <w:rFonts w:cs="Times New Roman"/>
          <w:noProof/>
          <w:lang w:val="sk-SK"/>
        </w:rPr>
        <w:t>pláne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technickým usmernením týkajúcim sa zásady „výrazne nenarušiť“ (2021/C58/01)</w:t>
      </w:r>
      <w:r w:rsidR="00A75B3C" w:rsidRPr="003F23AC">
        <w:rPr>
          <w:rFonts w:cs="Times New Roman"/>
          <w:noProof/>
          <w:lang w:val="sk-SK"/>
        </w:rPr>
        <w:t>.</w:t>
      </w:r>
    </w:p>
    <w:p w14:paraId="3B662D2B" w14:textId="6346167D"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noProof/>
          <w:sz w:val="24"/>
          <w:lang w:val="sk-SK"/>
        </w:rPr>
      </w:pPr>
    </w:p>
    <w:p w14:paraId="59DF8EE1" w14:textId="447B2BA0"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T.1.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707939C8"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Reforma TD-r37: Reforma digitálneho vzdelávania</w:t>
      </w:r>
    </w:p>
    <w:p w14:paraId="29703233" w14:textId="0874E74E"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opatrenia je vypracovať nový digitálny prístup</w:t>
      </w:r>
      <w:r w:rsidR="00A75B3C" w:rsidRPr="003F23AC">
        <w:rPr>
          <w:rFonts w:cs="Times New Roman"/>
          <w:noProof/>
          <w:lang w:val="sk-SK"/>
        </w:rPr>
        <w:t xml:space="preserve"> k </w:t>
      </w:r>
      <w:r w:rsidRPr="003F23AC">
        <w:rPr>
          <w:rFonts w:cs="Times New Roman"/>
          <w:noProof/>
          <w:lang w:val="sk-SK"/>
        </w:rPr>
        <w:t>vzdelávaniu</w:t>
      </w:r>
      <w:r w:rsidR="00A75B3C" w:rsidRPr="003F23AC">
        <w:rPr>
          <w:rFonts w:cs="Times New Roman"/>
          <w:noProof/>
          <w:lang w:val="sk-SK"/>
        </w:rPr>
        <w:t xml:space="preserve"> s </w:t>
      </w:r>
      <w:r w:rsidRPr="003F23AC">
        <w:rPr>
          <w:rFonts w:cs="Times New Roman"/>
          <w:noProof/>
          <w:lang w:val="sk-SK"/>
        </w:rPr>
        <w:t>využitím existujúcich politík verejného vzdelávania, najmä systému autonómie</w:t>
      </w:r>
      <w:r w:rsidR="00A75B3C" w:rsidRPr="003F23AC">
        <w:rPr>
          <w:rFonts w:cs="Times New Roman"/>
          <w:noProof/>
          <w:lang w:val="sk-SK"/>
        </w:rPr>
        <w:t xml:space="preserve"> a </w:t>
      </w:r>
      <w:r w:rsidRPr="003F23AC">
        <w:rPr>
          <w:rFonts w:cs="Times New Roman"/>
          <w:noProof/>
          <w:lang w:val="sk-SK"/>
        </w:rPr>
        <w:t>flexibility učebných plánov. Cieľom tejto reformy je zaviesť kvalitatívny skok pri pedagogickom využívaní digitálnych technológií</w:t>
      </w:r>
      <w:r w:rsidR="00A75B3C" w:rsidRPr="003F23AC">
        <w:rPr>
          <w:rFonts w:cs="Times New Roman"/>
          <w:noProof/>
          <w:lang w:val="sk-SK"/>
        </w:rPr>
        <w:t xml:space="preserve"> a o </w:t>
      </w:r>
      <w:r w:rsidRPr="003F23AC">
        <w:rPr>
          <w:rFonts w:cs="Times New Roman"/>
          <w:noProof/>
          <w:lang w:val="sk-SK"/>
        </w:rPr>
        <w:t>tom, ako sa majú začleniť do procesu získavania poznatkov. Cieľom reformy je tiež zmierniť riziká vylúčenia</w:t>
      </w:r>
      <w:r w:rsidR="00A75B3C" w:rsidRPr="003F23AC">
        <w:rPr>
          <w:rFonts w:cs="Times New Roman"/>
          <w:noProof/>
          <w:lang w:val="sk-SK"/>
        </w:rPr>
        <w:t xml:space="preserve"> a </w:t>
      </w:r>
      <w:r w:rsidRPr="003F23AC">
        <w:rPr>
          <w:rFonts w:cs="Times New Roman"/>
          <w:noProof/>
          <w:lang w:val="sk-SK"/>
        </w:rPr>
        <w:t>znevýhodnenia vo vzdelávacích procesoch znížením sociálnych</w:t>
      </w:r>
      <w:r w:rsidR="00A75B3C" w:rsidRPr="003F23AC">
        <w:rPr>
          <w:rFonts w:cs="Times New Roman"/>
          <w:noProof/>
          <w:lang w:val="sk-SK"/>
        </w:rPr>
        <w:t xml:space="preserve"> a </w:t>
      </w:r>
      <w:r w:rsidRPr="003F23AC">
        <w:rPr>
          <w:rFonts w:cs="Times New Roman"/>
          <w:noProof/>
          <w:lang w:val="sk-SK"/>
        </w:rPr>
        <w:t>vzdelávacích nerovností</w:t>
      </w:r>
      <w:r w:rsidR="00A75B3C" w:rsidRPr="003F23AC">
        <w:rPr>
          <w:rFonts w:cs="Times New Roman"/>
          <w:noProof/>
          <w:lang w:val="sk-SK"/>
        </w:rPr>
        <w:t xml:space="preserve"> v </w:t>
      </w:r>
      <w:r w:rsidRPr="003F23AC">
        <w:rPr>
          <w:rFonts w:cs="Times New Roman"/>
          <w:noProof/>
          <w:lang w:val="sk-SK"/>
        </w:rPr>
        <w:t>prístupe</w:t>
      </w:r>
      <w:r w:rsidR="00A75B3C" w:rsidRPr="003F23AC">
        <w:rPr>
          <w:rFonts w:cs="Times New Roman"/>
          <w:noProof/>
          <w:lang w:val="sk-SK"/>
        </w:rPr>
        <w:t xml:space="preserve"> k </w:t>
      </w:r>
      <w:r w:rsidRPr="003F23AC">
        <w:rPr>
          <w:rFonts w:cs="Times New Roman"/>
          <w:noProof/>
          <w:lang w:val="sk-SK"/>
        </w:rPr>
        <w:t>digitálnym technológiám. Reforma digitálneho vzdelávania je zameraná na vzdelávaciu komunitu (žiakov, pedagogických pracovníkov</w:t>
      </w:r>
      <w:r w:rsidR="00A75B3C" w:rsidRPr="003F23AC">
        <w:rPr>
          <w:rFonts w:cs="Times New Roman"/>
          <w:noProof/>
          <w:lang w:val="sk-SK"/>
        </w:rPr>
        <w:t xml:space="preserve"> a </w:t>
      </w:r>
      <w:r w:rsidRPr="003F23AC">
        <w:rPr>
          <w:rFonts w:cs="Times New Roman"/>
          <w:noProof/>
          <w:lang w:val="sk-SK"/>
        </w:rPr>
        <w:t>nepedagogických pracovníkov)</w:t>
      </w:r>
      <w:r w:rsidR="00A75B3C" w:rsidRPr="003F23AC">
        <w:rPr>
          <w:rFonts w:cs="Times New Roman"/>
          <w:noProof/>
          <w:lang w:val="sk-SK"/>
        </w:rPr>
        <w:t>.</w:t>
      </w:r>
    </w:p>
    <w:p w14:paraId="25A9EDB2" w14:textId="1A3AF81C"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Reforma pozostáva</w:t>
      </w:r>
      <w:r w:rsidR="00A75B3C" w:rsidRPr="003F23AC">
        <w:rPr>
          <w:rFonts w:cs="Times New Roman"/>
          <w:noProof/>
          <w:lang w:val="sk-SK"/>
        </w:rPr>
        <w:t xml:space="preserve"> z </w:t>
      </w:r>
      <w:r w:rsidRPr="003F23AC">
        <w:rPr>
          <w:rFonts w:cs="Times New Roman"/>
          <w:noProof/>
          <w:lang w:val="sk-SK"/>
        </w:rPr>
        <w:t>opatrení na zabezpečenie toho, aby 95</w:t>
      </w:r>
      <w:r w:rsidR="00A75B3C" w:rsidRPr="003F23AC">
        <w:rPr>
          <w:rFonts w:cs="Times New Roman"/>
          <w:noProof/>
          <w:lang w:val="sk-SK"/>
        </w:rPr>
        <w:t> %</w:t>
      </w:r>
      <w:r w:rsidRPr="003F23AC">
        <w:rPr>
          <w:rFonts w:cs="Times New Roman"/>
          <w:noProof/>
          <w:lang w:val="sk-SK"/>
        </w:rPr>
        <w:t xml:space="preserve"> učiteľov vo verejnej vzdelávacej sieti absolvovalo odbornú prípravu</w:t>
      </w:r>
      <w:r w:rsidR="00A75B3C" w:rsidRPr="003F23AC">
        <w:rPr>
          <w:rFonts w:cs="Times New Roman"/>
          <w:noProof/>
          <w:lang w:val="sk-SK"/>
        </w:rPr>
        <w:t xml:space="preserve"> v </w:t>
      </w:r>
      <w:r w:rsidRPr="003F23AC">
        <w:rPr>
          <w:rFonts w:cs="Times New Roman"/>
          <w:noProof/>
          <w:lang w:val="sk-SK"/>
        </w:rPr>
        <w:t>oblasti základných alebo pokročilejších digitálnych zručností vrátane integrácie digitálnych technológií do učebných osnov</w:t>
      </w:r>
      <w:r w:rsidR="00A75B3C" w:rsidRPr="003F23AC">
        <w:rPr>
          <w:rFonts w:cs="Times New Roman"/>
          <w:noProof/>
          <w:lang w:val="sk-SK"/>
        </w:rPr>
        <w:t>.</w:t>
      </w:r>
    </w:p>
    <w:p w14:paraId="5FE5A2B5" w14:textId="44BD4889"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tejto reformy sa dokončí do 31</w:t>
      </w:r>
      <w:r w:rsidR="00A75B3C" w:rsidRPr="003F23AC">
        <w:rPr>
          <w:rFonts w:cs="Times New Roman"/>
          <w:noProof/>
          <w:lang w:val="sk-SK"/>
        </w:rPr>
        <w:t>. decembra</w:t>
      </w:r>
      <w:r w:rsidRPr="003F23AC">
        <w:rPr>
          <w:rFonts w:cs="Times New Roman"/>
          <w:noProof/>
          <w:lang w:val="sk-SK"/>
        </w:rPr>
        <w:t xml:space="preserve"> 2025.</w:t>
      </w:r>
    </w:p>
    <w:p w14:paraId="079FE2F5"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TD-C20-i01: Digitálna transformácia vo vzdelávaní</w:t>
      </w:r>
    </w:p>
    <w:p w14:paraId="1BD28562" w14:textId="69987D1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Ciele investície sú: I) odstrániť prekážky prístupu ku kvalitnému internetu</w:t>
      </w:r>
      <w:r w:rsidR="00A75B3C" w:rsidRPr="003F23AC">
        <w:rPr>
          <w:rFonts w:cs="Times New Roman"/>
          <w:noProof/>
          <w:lang w:val="sk-SK"/>
        </w:rPr>
        <w:t xml:space="preserve"> v </w:t>
      </w:r>
      <w:r w:rsidRPr="003F23AC">
        <w:rPr>
          <w:rFonts w:cs="Times New Roman"/>
          <w:noProof/>
          <w:lang w:val="sk-SK"/>
        </w:rPr>
        <w:t>školskom prostredí; II) odstrániť obmedzenia integrovaného používania technologických</w:t>
      </w:r>
      <w:r w:rsidR="00A75B3C" w:rsidRPr="003F23AC">
        <w:rPr>
          <w:rFonts w:cs="Times New Roman"/>
          <w:noProof/>
          <w:lang w:val="sk-SK"/>
        </w:rPr>
        <w:t xml:space="preserve"> a </w:t>
      </w:r>
      <w:r w:rsidRPr="003F23AC">
        <w:rPr>
          <w:rFonts w:cs="Times New Roman"/>
          <w:noProof/>
          <w:lang w:val="sk-SK"/>
        </w:rPr>
        <w:t>digitálnych zariadení</w:t>
      </w:r>
      <w:r w:rsidR="00A75B3C" w:rsidRPr="003F23AC">
        <w:rPr>
          <w:rFonts w:cs="Times New Roman"/>
          <w:noProof/>
          <w:lang w:val="sk-SK"/>
        </w:rPr>
        <w:t xml:space="preserve"> a </w:t>
      </w:r>
      <w:r w:rsidRPr="003F23AC">
        <w:rPr>
          <w:rFonts w:cs="Times New Roman"/>
          <w:noProof/>
          <w:lang w:val="sk-SK"/>
        </w:rPr>
        <w:t>odstrániť nedostatok špecializovaného vybavenia na rozvoj digitálnych zručností</w:t>
      </w:r>
      <w:r w:rsidR="00A75B3C" w:rsidRPr="003F23AC">
        <w:rPr>
          <w:rFonts w:cs="Times New Roman"/>
          <w:noProof/>
          <w:lang w:val="sk-SK"/>
        </w:rPr>
        <w:t xml:space="preserve"> a </w:t>
      </w:r>
      <w:r w:rsidRPr="003F23AC">
        <w:rPr>
          <w:rFonts w:cs="Times New Roman"/>
          <w:noProof/>
          <w:lang w:val="sk-SK"/>
        </w:rPr>
        <w:t>stimulovať pokračovanie kariéry</w:t>
      </w:r>
      <w:r w:rsidR="00A75B3C" w:rsidRPr="003F23AC">
        <w:rPr>
          <w:rFonts w:cs="Times New Roman"/>
          <w:noProof/>
          <w:lang w:val="sk-SK"/>
        </w:rPr>
        <w:t xml:space="preserve"> v </w:t>
      </w:r>
      <w:r w:rsidRPr="003F23AC">
        <w:rPr>
          <w:rFonts w:cs="Times New Roman"/>
          <w:noProof/>
          <w:lang w:val="sk-SK"/>
        </w:rPr>
        <w:t>oblasti STEAM, podporovať rovnakú účasť dievčat</w:t>
      </w:r>
      <w:r w:rsidR="00A75B3C" w:rsidRPr="003F23AC">
        <w:rPr>
          <w:rFonts w:cs="Times New Roman"/>
          <w:noProof/>
          <w:lang w:val="sk-SK"/>
        </w:rPr>
        <w:t xml:space="preserve"> a </w:t>
      </w:r>
      <w:r w:rsidRPr="003F23AC">
        <w:rPr>
          <w:rFonts w:cs="Times New Roman"/>
          <w:noProof/>
          <w:lang w:val="sk-SK"/>
        </w:rPr>
        <w:t>chlapcov; III) prekonať nedostatočné využívanie digitálnych vzdelávacích zdrojov</w:t>
      </w:r>
      <w:r w:rsidR="00A75B3C" w:rsidRPr="003F23AC">
        <w:rPr>
          <w:rFonts w:cs="Times New Roman"/>
          <w:noProof/>
          <w:lang w:val="sk-SK"/>
        </w:rPr>
        <w:t xml:space="preserve"> v </w:t>
      </w:r>
      <w:r w:rsidRPr="003F23AC">
        <w:rPr>
          <w:rFonts w:cs="Times New Roman"/>
          <w:noProof/>
          <w:lang w:val="sk-SK"/>
        </w:rPr>
        <w:t>procese vzdelávania</w:t>
      </w:r>
      <w:r w:rsidR="00A75B3C" w:rsidRPr="003F23AC">
        <w:rPr>
          <w:rFonts w:cs="Times New Roman"/>
          <w:noProof/>
          <w:lang w:val="sk-SK"/>
        </w:rPr>
        <w:t xml:space="preserve"> a v </w:t>
      </w:r>
      <w:r w:rsidRPr="003F23AC">
        <w:rPr>
          <w:rFonts w:cs="Times New Roman"/>
          <w:noProof/>
          <w:lang w:val="sk-SK"/>
        </w:rPr>
        <w:t>procese hodnotenia;</w:t>
      </w:r>
      <w:r w:rsidR="00A75B3C" w:rsidRPr="003F23AC">
        <w:rPr>
          <w:rFonts w:cs="Times New Roman"/>
          <w:noProof/>
          <w:lang w:val="sk-SK"/>
        </w:rPr>
        <w:t xml:space="preserve"> a </w:t>
      </w:r>
      <w:r w:rsidRPr="003F23AC">
        <w:rPr>
          <w:rFonts w:cs="Times New Roman"/>
          <w:noProof/>
          <w:lang w:val="sk-SK"/>
        </w:rPr>
        <w:t>iv) prekonať rozptýlenosť</w:t>
      </w:r>
      <w:r w:rsidR="00A75B3C" w:rsidRPr="003F23AC">
        <w:rPr>
          <w:rFonts w:cs="Times New Roman"/>
          <w:noProof/>
          <w:lang w:val="sk-SK"/>
        </w:rPr>
        <w:t xml:space="preserve"> a </w:t>
      </w:r>
      <w:r w:rsidRPr="003F23AC">
        <w:rPr>
          <w:rFonts w:cs="Times New Roman"/>
          <w:noProof/>
          <w:lang w:val="sk-SK"/>
        </w:rPr>
        <w:t>neefektívnosť riadiacich</w:t>
      </w:r>
      <w:r w:rsidR="00A75B3C" w:rsidRPr="003F23AC">
        <w:rPr>
          <w:rFonts w:cs="Times New Roman"/>
          <w:noProof/>
          <w:lang w:val="sk-SK"/>
        </w:rPr>
        <w:t xml:space="preserve"> a </w:t>
      </w:r>
      <w:r w:rsidRPr="003F23AC">
        <w:rPr>
          <w:rFonts w:cs="Times New Roman"/>
          <w:noProof/>
          <w:lang w:val="sk-SK"/>
        </w:rPr>
        <w:t>informačných systémov vzdelávacieho systému preskúmaním</w:t>
      </w:r>
      <w:r w:rsidR="00A75B3C" w:rsidRPr="003F23AC">
        <w:rPr>
          <w:rFonts w:cs="Times New Roman"/>
          <w:noProof/>
          <w:lang w:val="sk-SK"/>
        </w:rPr>
        <w:t xml:space="preserve"> a </w:t>
      </w:r>
      <w:r w:rsidRPr="003F23AC">
        <w:rPr>
          <w:rFonts w:cs="Times New Roman"/>
          <w:noProof/>
          <w:lang w:val="sk-SK"/>
        </w:rPr>
        <w:t>aktualizáciou metodík</w:t>
      </w:r>
      <w:r w:rsidR="00A75B3C" w:rsidRPr="003F23AC">
        <w:rPr>
          <w:rFonts w:cs="Times New Roman"/>
          <w:noProof/>
          <w:lang w:val="sk-SK"/>
        </w:rPr>
        <w:t xml:space="preserve"> a </w:t>
      </w:r>
      <w:r w:rsidRPr="003F23AC">
        <w:rPr>
          <w:rFonts w:cs="Times New Roman"/>
          <w:noProof/>
          <w:lang w:val="sk-SK"/>
        </w:rPr>
        <w:t>procesov riadenia</w:t>
      </w:r>
      <w:r w:rsidR="00A75B3C" w:rsidRPr="003F23AC">
        <w:rPr>
          <w:rFonts w:cs="Times New Roman"/>
          <w:noProof/>
          <w:lang w:val="sk-SK"/>
        </w:rPr>
        <w:t xml:space="preserve"> a </w:t>
      </w:r>
      <w:r w:rsidRPr="003F23AC">
        <w:rPr>
          <w:rFonts w:cs="Times New Roman"/>
          <w:noProof/>
          <w:lang w:val="sk-SK"/>
        </w:rPr>
        <w:t>správy škôl.</w:t>
      </w:r>
    </w:p>
    <w:p w14:paraId="7653B2CD" w14:textId="77777777"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investícia pozostáva z:</w:t>
      </w:r>
    </w:p>
    <w:p w14:paraId="03FF5724" w14:textId="108785EE" w:rsidR="00387C70" w:rsidRPr="003F23AC" w:rsidRDefault="000F5AA4" w:rsidP="003F23AC">
      <w:pPr>
        <w:pStyle w:val="P68B1DB1-Normal4"/>
        <w:numPr>
          <w:ilvl w:val="0"/>
          <w:numId w:val="38"/>
        </w:numPr>
        <w:spacing w:before="40" w:after="160" w:line="259" w:lineRule="auto"/>
        <w:contextualSpacing/>
        <w:jc w:val="both"/>
        <w:rPr>
          <w:rFonts w:eastAsiaTheme="minorEastAsia" w:cs="Times New Roman"/>
          <w:noProof/>
          <w:lang w:val="sk-SK"/>
        </w:rPr>
      </w:pPr>
      <w:r w:rsidRPr="003F23AC">
        <w:rPr>
          <w:rFonts w:cs="Times New Roman"/>
          <w:noProof/>
          <w:lang w:val="sk-SK"/>
        </w:rPr>
        <w:t>Rozšírenie pripojenia škôl rozšírením internetového pripojenia rozšírenej siete vzdelávania zo 40 na 300 Gb/s, prepojením základných</w:t>
      </w:r>
      <w:r w:rsidR="00A75B3C" w:rsidRPr="003F23AC">
        <w:rPr>
          <w:rFonts w:cs="Times New Roman"/>
          <w:noProof/>
          <w:lang w:val="sk-SK"/>
        </w:rPr>
        <w:t xml:space="preserve"> a </w:t>
      </w:r>
      <w:r w:rsidRPr="003F23AC">
        <w:rPr>
          <w:rFonts w:cs="Times New Roman"/>
          <w:noProof/>
          <w:lang w:val="sk-SK"/>
        </w:rPr>
        <w:t>stredných škôl</w:t>
      </w:r>
      <w:r w:rsidR="00A75B3C" w:rsidRPr="003F23AC">
        <w:rPr>
          <w:rFonts w:cs="Times New Roman"/>
          <w:noProof/>
          <w:lang w:val="sk-SK"/>
        </w:rPr>
        <w:t xml:space="preserve"> s </w:t>
      </w:r>
      <w:r w:rsidRPr="003F23AC">
        <w:rPr>
          <w:rFonts w:cs="Times New Roman"/>
          <w:noProof/>
          <w:lang w:val="sk-SK"/>
        </w:rPr>
        <w:t>rozšírenou sieťou vzdelávania</w:t>
      </w:r>
      <w:r w:rsidR="00A75B3C" w:rsidRPr="003F23AC">
        <w:rPr>
          <w:rFonts w:cs="Times New Roman"/>
          <w:noProof/>
          <w:lang w:val="sk-SK"/>
        </w:rPr>
        <w:t xml:space="preserve"> a </w:t>
      </w:r>
      <w:r w:rsidRPr="003F23AC">
        <w:rPr>
          <w:rFonts w:cs="Times New Roman"/>
          <w:noProof/>
          <w:lang w:val="sk-SK"/>
        </w:rPr>
        <w:t>poskytnutím pripojenia aspoň 1 Gb/s</w:t>
      </w:r>
      <w:r w:rsidR="00A75B3C" w:rsidRPr="003F23AC">
        <w:rPr>
          <w:rFonts w:cs="Times New Roman"/>
          <w:noProof/>
          <w:lang w:val="sk-SK"/>
        </w:rPr>
        <w:t xml:space="preserve"> a </w:t>
      </w:r>
      <w:r w:rsidRPr="003F23AC">
        <w:rPr>
          <w:rFonts w:cs="Times New Roman"/>
          <w:noProof/>
          <w:lang w:val="sk-SK"/>
        </w:rPr>
        <w:t>rozšírením miestnej siete</w:t>
      </w:r>
      <w:r w:rsidR="00A75B3C" w:rsidRPr="003F23AC">
        <w:rPr>
          <w:rFonts w:cs="Times New Roman"/>
          <w:noProof/>
          <w:lang w:val="sk-SK"/>
        </w:rPr>
        <w:t xml:space="preserve"> o </w:t>
      </w:r>
      <w:r w:rsidRPr="003F23AC">
        <w:rPr>
          <w:rFonts w:cs="Times New Roman"/>
          <w:noProof/>
          <w:lang w:val="sk-SK"/>
        </w:rPr>
        <w:t>40 nových prístupových bodov pre každú školu.</w:t>
      </w:r>
    </w:p>
    <w:p w14:paraId="75BEAC82" w14:textId="299CEE09" w:rsidR="00387C70" w:rsidRPr="003F23AC" w:rsidRDefault="000F5AA4" w:rsidP="003F23AC">
      <w:pPr>
        <w:pStyle w:val="P68B1DB1-Normal4"/>
        <w:numPr>
          <w:ilvl w:val="0"/>
          <w:numId w:val="38"/>
        </w:numPr>
        <w:spacing w:before="40" w:after="160" w:line="259" w:lineRule="auto"/>
        <w:contextualSpacing/>
        <w:jc w:val="both"/>
        <w:rPr>
          <w:rFonts w:eastAsiaTheme="minorEastAsia" w:cs="Times New Roman"/>
          <w:noProof/>
          <w:lang w:val="sk-SK"/>
        </w:rPr>
      </w:pPr>
      <w:r w:rsidRPr="003F23AC">
        <w:rPr>
          <w:rFonts w:cs="Times New Roman"/>
          <w:noProof/>
          <w:lang w:val="sk-SK"/>
        </w:rPr>
        <w:t>Poskytnúť študentom</w:t>
      </w:r>
      <w:r w:rsidR="00A75B3C" w:rsidRPr="003F23AC">
        <w:rPr>
          <w:rFonts w:cs="Times New Roman"/>
          <w:noProof/>
          <w:lang w:val="sk-SK"/>
        </w:rPr>
        <w:t xml:space="preserve"> a </w:t>
      </w:r>
      <w:r w:rsidRPr="003F23AC">
        <w:rPr>
          <w:rFonts w:cs="Times New Roman"/>
          <w:noProof/>
          <w:lang w:val="sk-SK"/>
        </w:rPr>
        <w:t>učiteľom 600000 počítačov, modernizovať projekčné vybavenie</w:t>
      </w:r>
      <w:r w:rsidR="00A75B3C" w:rsidRPr="003F23AC">
        <w:rPr>
          <w:rFonts w:cs="Times New Roman"/>
          <w:noProof/>
          <w:lang w:val="sk-SK"/>
        </w:rPr>
        <w:t xml:space="preserve"> v </w:t>
      </w:r>
      <w:r w:rsidRPr="003F23AC">
        <w:rPr>
          <w:rFonts w:cs="Times New Roman"/>
          <w:noProof/>
          <w:lang w:val="sk-SK"/>
        </w:rPr>
        <w:t>triedach (40000 projektorov)</w:t>
      </w:r>
      <w:r w:rsidR="00A75B3C" w:rsidRPr="003F23AC">
        <w:rPr>
          <w:rFonts w:cs="Times New Roman"/>
          <w:noProof/>
          <w:lang w:val="sk-SK"/>
        </w:rPr>
        <w:t xml:space="preserve"> a </w:t>
      </w:r>
      <w:r w:rsidRPr="003F23AC">
        <w:rPr>
          <w:rFonts w:cs="Times New Roman"/>
          <w:noProof/>
          <w:lang w:val="sk-SK"/>
        </w:rPr>
        <w:t>poskytnúť školám digitálne vzdelávacie laboratóriá vybavené pokročilými vzdelávacími digitálnymi technológiami, ako sú 3D tlačiarne</w:t>
      </w:r>
      <w:r w:rsidR="00A75B3C" w:rsidRPr="003F23AC">
        <w:rPr>
          <w:rFonts w:cs="Times New Roman"/>
          <w:noProof/>
          <w:lang w:val="sk-SK"/>
        </w:rPr>
        <w:t xml:space="preserve"> a </w:t>
      </w:r>
      <w:r w:rsidRPr="003F23AC">
        <w:rPr>
          <w:rFonts w:cs="Times New Roman"/>
          <w:noProof/>
          <w:lang w:val="sk-SK"/>
        </w:rPr>
        <w:t>vzdelávacie roboty (1300).</w:t>
      </w:r>
    </w:p>
    <w:p w14:paraId="2EECEC6A" w14:textId="1AD124CF" w:rsidR="00387C70" w:rsidRPr="003F23AC" w:rsidRDefault="000F5AA4" w:rsidP="003F23AC">
      <w:pPr>
        <w:pStyle w:val="P68B1DB1-Normal4"/>
        <w:numPr>
          <w:ilvl w:val="0"/>
          <w:numId w:val="38"/>
        </w:numPr>
        <w:spacing w:before="40" w:after="160" w:line="259" w:lineRule="auto"/>
        <w:contextualSpacing/>
        <w:jc w:val="both"/>
        <w:rPr>
          <w:rFonts w:eastAsiaTheme="minorEastAsia" w:cs="Times New Roman"/>
          <w:noProof/>
          <w:lang w:val="sk-SK"/>
        </w:rPr>
      </w:pPr>
      <w:r w:rsidRPr="003F23AC">
        <w:rPr>
          <w:rFonts w:cs="Times New Roman"/>
          <w:noProof/>
          <w:lang w:val="sk-SK"/>
        </w:rPr>
        <w:t>Rozvoj</w:t>
      </w:r>
      <w:r w:rsidR="00A75B3C" w:rsidRPr="003F23AC">
        <w:rPr>
          <w:rFonts w:cs="Times New Roman"/>
          <w:noProof/>
          <w:lang w:val="sk-SK"/>
        </w:rPr>
        <w:t xml:space="preserve"> a </w:t>
      </w:r>
      <w:r w:rsidRPr="003F23AC">
        <w:rPr>
          <w:rFonts w:cs="Times New Roman"/>
          <w:noProof/>
          <w:lang w:val="sk-SK"/>
        </w:rPr>
        <w:t>prijímanie nových digitálnych vzdelávacích zdrojov (95</w:t>
      </w:r>
      <w:r w:rsidR="00A75B3C" w:rsidRPr="003F23AC">
        <w:rPr>
          <w:rFonts w:cs="Times New Roman"/>
          <w:noProof/>
          <w:lang w:val="sk-SK"/>
        </w:rPr>
        <w:t> %</w:t>
      </w:r>
      <w:r w:rsidRPr="003F23AC">
        <w:rPr>
          <w:rFonts w:cs="Times New Roman"/>
          <w:noProof/>
          <w:lang w:val="sk-SK"/>
        </w:rPr>
        <w:t xml:space="preserve"> predmetov</w:t>
      </w:r>
      <w:r w:rsidR="00A75B3C" w:rsidRPr="003F23AC">
        <w:rPr>
          <w:rFonts w:cs="Times New Roman"/>
          <w:noProof/>
          <w:lang w:val="sk-SK"/>
        </w:rPr>
        <w:t xml:space="preserve"> v </w:t>
      </w:r>
      <w:r w:rsidRPr="003F23AC">
        <w:rPr>
          <w:rFonts w:cs="Times New Roman"/>
          <w:noProof/>
          <w:lang w:val="sk-SK"/>
        </w:rPr>
        <w:t>učebných osnovách primárneho</w:t>
      </w:r>
      <w:r w:rsidR="00A75B3C" w:rsidRPr="003F23AC">
        <w:rPr>
          <w:rFonts w:cs="Times New Roman"/>
          <w:noProof/>
          <w:lang w:val="sk-SK"/>
        </w:rPr>
        <w:t xml:space="preserve"> a </w:t>
      </w:r>
      <w:r w:rsidRPr="003F23AC">
        <w:rPr>
          <w:rFonts w:cs="Times New Roman"/>
          <w:noProof/>
          <w:lang w:val="sk-SK"/>
        </w:rPr>
        <w:t>sekundárneho vzdelávania vrátane telesnej výchovy</w:t>
      </w:r>
      <w:r w:rsidR="00A75B3C" w:rsidRPr="003F23AC">
        <w:rPr>
          <w:rFonts w:cs="Times New Roman"/>
          <w:noProof/>
          <w:lang w:val="sk-SK"/>
        </w:rPr>
        <w:t xml:space="preserve"> a </w:t>
      </w:r>
      <w:r w:rsidRPr="003F23AC">
        <w:rPr>
          <w:rFonts w:cs="Times New Roman"/>
          <w:noProof/>
          <w:lang w:val="sk-SK"/>
        </w:rPr>
        <w:t>športu) vrátane digitalizácie hodnotiacich testov.</w:t>
      </w:r>
    </w:p>
    <w:p w14:paraId="52367BA5" w14:textId="2C6F8B2F" w:rsidR="00387C70" w:rsidRPr="003F23AC" w:rsidRDefault="000F5AA4" w:rsidP="003F23AC">
      <w:pPr>
        <w:pStyle w:val="P68B1DB1-Normal4"/>
        <w:numPr>
          <w:ilvl w:val="0"/>
          <w:numId w:val="38"/>
        </w:numPr>
        <w:spacing w:before="40" w:after="160" w:line="259" w:lineRule="auto"/>
        <w:contextualSpacing/>
        <w:jc w:val="both"/>
        <w:rPr>
          <w:rFonts w:eastAsiaTheme="minorEastAsia" w:cs="Times New Roman"/>
          <w:noProof/>
          <w:lang w:val="sk-SK"/>
        </w:rPr>
      </w:pPr>
      <w:r w:rsidRPr="003F23AC">
        <w:rPr>
          <w:rFonts w:cs="Times New Roman"/>
          <w:noProof/>
          <w:lang w:val="sk-SK"/>
        </w:rPr>
        <w:t>Poskytnúť školám „jednotný systém identity“ na riadenie školskej komunity, zbližovanie</w:t>
      </w:r>
      <w:r w:rsidR="00A75B3C" w:rsidRPr="003F23AC">
        <w:rPr>
          <w:rFonts w:cs="Times New Roman"/>
          <w:noProof/>
          <w:lang w:val="sk-SK"/>
        </w:rPr>
        <w:t xml:space="preserve"> a </w:t>
      </w:r>
      <w:r w:rsidRPr="003F23AC">
        <w:rPr>
          <w:rFonts w:cs="Times New Roman"/>
          <w:noProof/>
          <w:lang w:val="sk-SK"/>
        </w:rPr>
        <w:t>integráciu informačných systémov riadenia vzdelávania</w:t>
      </w:r>
      <w:r w:rsidR="00A75B3C" w:rsidRPr="003F23AC">
        <w:rPr>
          <w:rFonts w:cs="Times New Roman"/>
          <w:noProof/>
          <w:lang w:val="sk-SK"/>
        </w:rPr>
        <w:t xml:space="preserve"> a </w:t>
      </w:r>
      <w:r w:rsidRPr="003F23AC">
        <w:rPr>
          <w:rFonts w:cs="Times New Roman"/>
          <w:noProof/>
          <w:lang w:val="sk-SK"/>
        </w:rPr>
        <w:t>poskytovanie vhodných riešení IT, 15000 rôznych zariadení (medzi počítačmi, skenermi</w:t>
      </w:r>
      <w:r w:rsidR="00A75B3C" w:rsidRPr="003F23AC">
        <w:rPr>
          <w:rFonts w:cs="Times New Roman"/>
          <w:noProof/>
          <w:lang w:val="sk-SK"/>
        </w:rPr>
        <w:t xml:space="preserve"> a </w:t>
      </w:r>
      <w:r w:rsidRPr="003F23AC">
        <w:rPr>
          <w:rFonts w:cs="Times New Roman"/>
          <w:noProof/>
          <w:lang w:val="sk-SK"/>
        </w:rPr>
        <w:t>tlačiarňami)</w:t>
      </w:r>
      <w:r w:rsidR="00A75B3C" w:rsidRPr="003F23AC">
        <w:rPr>
          <w:rFonts w:cs="Times New Roman"/>
          <w:noProof/>
          <w:lang w:val="sk-SK"/>
        </w:rPr>
        <w:t xml:space="preserve"> s </w:t>
      </w:r>
      <w:r w:rsidRPr="003F23AC">
        <w:rPr>
          <w:rFonts w:cs="Times New Roman"/>
          <w:noProof/>
          <w:lang w:val="sk-SK"/>
        </w:rPr>
        <w:t>cieľom dosiahnuť efektívnejšie</w:t>
      </w:r>
      <w:r w:rsidR="00A75B3C" w:rsidRPr="003F23AC">
        <w:rPr>
          <w:rFonts w:cs="Times New Roman"/>
          <w:noProof/>
          <w:lang w:val="sk-SK"/>
        </w:rPr>
        <w:t xml:space="preserve"> a </w:t>
      </w:r>
      <w:r w:rsidRPr="003F23AC">
        <w:rPr>
          <w:rFonts w:cs="Times New Roman"/>
          <w:noProof/>
          <w:lang w:val="sk-SK"/>
        </w:rPr>
        <w:t>transparentnejšie fungovanie vzdelávacieho systému vrátane racionalizácie výdavkov škôl.</w:t>
      </w:r>
    </w:p>
    <w:p w14:paraId="0F323A51" w14:textId="56CC75BC"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14F3F2F2" w14:textId="777777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TD-C20 – i02-RAA: Digitálne vzdelávanie (Azory)</w:t>
      </w:r>
    </w:p>
    <w:p w14:paraId="2EA19699" w14:textId="546F9C78"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opatrenia je zabezpečiť prístup</w:t>
      </w:r>
      <w:r w:rsidR="00A75B3C" w:rsidRPr="003F23AC">
        <w:rPr>
          <w:rFonts w:cs="Times New Roman"/>
          <w:noProof/>
          <w:lang w:val="sk-SK"/>
        </w:rPr>
        <w:t xml:space="preserve"> k </w:t>
      </w:r>
      <w:r w:rsidRPr="003F23AC">
        <w:rPr>
          <w:rFonts w:cs="Times New Roman"/>
          <w:noProof/>
          <w:lang w:val="sk-SK"/>
        </w:rPr>
        <w:t>využívaniu digitálnych technológií, podporovať rovnosť príležitostí</w:t>
      </w:r>
      <w:r w:rsidR="00A75B3C" w:rsidRPr="003F23AC">
        <w:rPr>
          <w:rFonts w:cs="Times New Roman"/>
          <w:noProof/>
          <w:lang w:val="sk-SK"/>
        </w:rPr>
        <w:t xml:space="preserve"> a </w:t>
      </w:r>
      <w:r w:rsidRPr="003F23AC">
        <w:rPr>
          <w:rFonts w:cs="Times New Roman"/>
          <w:noProof/>
          <w:lang w:val="sk-SK"/>
        </w:rPr>
        <w:t>viesť</w:t>
      </w:r>
      <w:r w:rsidR="00A75B3C" w:rsidRPr="003F23AC">
        <w:rPr>
          <w:rFonts w:cs="Times New Roman"/>
          <w:noProof/>
          <w:lang w:val="sk-SK"/>
        </w:rPr>
        <w:t xml:space="preserve"> k </w:t>
      </w:r>
      <w:r w:rsidRPr="003F23AC">
        <w:rPr>
          <w:rFonts w:cs="Times New Roman"/>
          <w:noProof/>
          <w:lang w:val="sk-SK"/>
        </w:rPr>
        <w:t>významnému zlepšeniu prostriedkov vzdelávania</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akčným plánom digitálneho vzdelávania Európskej únie</w:t>
      </w:r>
      <w:r w:rsidR="00A75B3C" w:rsidRPr="003F23AC">
        <w:rPr>
          <w:rFonts w:cs="Times New Roman"/>
          <w:noProof/>
          <w:lang w:val="sk-SK"/>
        </w:rPr>
        <w:t>.</w:t>
      </w:r>
    </w:p>
    <w:p w14:paraId="5C7D6298" w14:textId="1E12B8A1"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Táto investícia pozostáva</w:t>
      </w:r>
      <w:r w:rsidR="00A75B3C" w:rsidRPr="003F23AC">
        <w:rPr>
          <w:rFonts w:cs="Times New Roman"/>
          <w:noProof/>
          <w:lang w:val="sk-SK"/>
        </w:rPr>
        <w:t xml:space="preserve"> z </w:t>
      </w:r>
      <w:r w:rsidRPr="003F23AC">
        <w:rPr>
          <w:rFonts w:cs="Times New Roman"/>
          <w:noProof/>
          <w:lang w:val="sk-SK"/>
        </w:rPr>
        <w:t>podpory rozvoja digitálnych zručností vzdelávacej komunity so zameraním na študentov, ich rodičov aj učiteľov</w:t>
      </w:r>
      <w:r w:rsidR="00A75B3C" w:rsidRPr="003F23AC">
        <w:rPr>
          <w:rFonts w:cs="Times New Roman"/>
          <w:noProof/>
          <w:lang w:val="sk-SK"/>
        </w:rPr>
        <w:t xml:space="preserve"> a </w:t>
      </w:r>
      <w:r w:rsidRPr="003F23AC">
        <w:rPr>
          <w:rFonts w:cs="Times New Roman"/>
          <w:noProof/>
          <w:lang w:val="sk-SK"/>
        </w:rPr>
        <w:t>zahŕňa cielené opatrenia</w:t>
      </w:r>
      <w:r w:rsidR="00A75B3C" w:rsidRPr="003F23AC">
        <w:rPr>
          <w:rFonts w:cs="Times New Roman"/>
          <w:noProof/>
          <w:lang w:val="sk-SK"/>
        </w:rPr>
        <w:t xml:space="preserve"> v </w:t>
      </w:r>
      <w:r w:rsidRPr="003F23AC">
        <w:rPr>
          <w:rFonts w:cs="Times New Roman"/>
          <w:noProof/>
          <w:lang w:val="sk-SK"/>
        </w:rPr>
        <w:t>týchto oblastiach:</w:t>
      </w:r>
    </w:p>
    <w:p w14:paraId="513C3B5B" w14:textId="201E4FD4" w:rsidR="00387C70" w:rsidRPr="003F23AC" w:rsidRDefault="000F5AA4" w:rsidP="003F23AC">
      <w:pPr>
        <w:pStyle w:val="P68B1DB1-Normal4"/>
        <w:numPr>
          <w:ilvl w:val="0"/>
          <w:numId w:val="38"/>
        </w:numPr>
        <w:spacing w:before="40" w:after="160" w:line="259" w:lineRule="auto"/>
        <w:contextualSpacing/>
        <w:jc w:val="both"/>
        <w:rPr>
          <w:rFonts w:eastAsiaTheme="minorEastAsia" w:cs="Times New Roman"/>
          <w:noProof/>
          <w:lang w:val="sk-SK"/>
        </w:rPr>
      </w:pPr>
      <w:r w:rsidRPr="003F23AC">
        <w:rPr>
          <w:rFonts w:cs="Times New Roman"/>
          <w:noProof/>
          <w:lang w:val="sk-SK"/>
        </w:rPr>
        <w:t>Strojové zariadenia: 31900 nových mobilných IT zariadení pre predškolské, základné</w:t>
      </w:r>
      <w:r w:rsidR="00A75B3C" w:rsidRPr="003F23AC">
        <w:rPr>
          <w:rFonts w:cs="Times New Roman"/>
          <w:noProof/>
          <w:lang w:val="sk-SK"/>
        </w:rPr>
        <w:t xml:space="preserve"> a </w:t>
      </w:r>
      <w:r w:rsidRPr="003F23AC">
        <w:rPr>
          <w:rFonts w:cs="Times New Roman"/>
          <w:noProof/>
          <w:lang w:val="sk-SK"/>
        </w:rPr>
        <w:t>stredoškolské vzdelávanie vrátane nadviazania na modernizáciu</w:t>
      </w:r>
      <w:r w:rsidR="00A75B3C" w:rsidRPr="003F23AC">
        <w:rPr>
          <w:rFonts w:cs="Times New Roman"/>
          <w:noProof/>
          <w:lang w:val="sk-SK"/>
        </w:rPr>
        <w:t xml:space="preserve"> a </w:t>
      </w:r>
      <w:r w:rsidRPr="003F23AC">
        <w:rPr>
          <w:rFonts w:cs="Times New Roman"/>
          <w:noProof/>
          <w:lang w:val="sk-SK"/>
        </w:rPr>
        <w:t>softvér</w:t>
      </w:r>
      <w:r w:rsidR="00A75B3C" w:rsidRPr="003F23AC">
        <w:rPr>
          <w:rFonts w:cs="Times New Roman"/>
          <w:noProof/>
          <w:lang w:val="sk-SK"/>
        </w:rPr>
        <w:t xml:space="preserve"> a </w:t>
      </w:r>
      <w:r w:rsidRPr="003F23AC">
        <w:rPr>
          <w:rFonts w:cs="Times New Roman"/>
          <w:noProof/>
          <w:lang w:val="sk-SK"/>
        </w:rPr>
        <w:t>zabezpečenie vybavenia na úrovni školy</w:t>
      </w:r>
      <w:r w:rsidR="00A75B3C" w:rsidRPr="003F23AC">
        <w:rPr>
          <w:rFonts w:cs="Times New Roman"/>
          <w:noProof/>
          <w:lang w:val="sk-SK"/>
        </w:rPr>
        <w:t xml:space="preserve"> s </w:t>
      </w:r>
      <w:r w:rsidRPr="003F23AC">
        <w:rPr>
          <w:rFonts w:cs="Times New Roman"/>
          <w:noProof/>
          <w:lang w:val="sk-SK"/>
        </w:rPr>
        <w:t>najmenej 1080 novými interaktívnymi obrazovkami, 100 nových špecializovaných laboratórnych zariadení, 100 nových 3D tlačiarní</w:t>
      </w:r>
      <w:r w:rsidR="00A75B3C" w:rsidRPr="003F23AC">
        <w:rPr>
          <w:rFonts w:cs="Times New Roman"/>
          <w:noProof/>
          <w:lang w:val="sk-SK"/>
        </w:rPr>
        <w:t xml:space="preserve"> a </w:t>
      </w:r>
      <w:r w:rsidRPr="003F23AC">
        <w:rPr>
          <w:rFonts w:cs="Times New Roman"/>
          <w:noProof/>
          <w:lang w:val="sk-SK"/>
        </w:rPr>
        <w:t>150 nových vzdelávacích robotov;</w:t>
      </w:r>
    </w:p>
    <w:p w14:paraId="0EBDFF9B" w14:textId="4A02106F" w:rsidR="00387C70" w:rsidRPr="003F23AC" w:rsidRDefault="000F5AA4" w:rsidP="003F23AC">
      <w:pPr>
        <w:pStyle w:val="P68B1DB1-Normal4"/>
        <w:numPr>
          <w:ilvl w:val="0"/>
          <w:numId w:val="38"/>
        </w:numPr>
        <w:spacing w:before="40" w:after="160" w:line="259" w:lineRule="auto"/>
        <w:contextualSpacing/>
        <w:jc w:val="both"/>
        <w:rPr>
          <w:rFonts w:eastAsiaTheme="minorEastAsia" w:cs="Times New Roman"/>
          <w:noProof/>
          <w:lang w:val="sk-SK"/>
        </w:rPr>
      </w:pPr>
      <w:r w:rsidRPr="003F23AC">
        <w:rPr>
          <w:rFonts w:cs="Times New Roman"/>
          <w:noProof/>
          <w:lang w:val="sk-SK"/>
        </w:rPr>
        <w:t>Digitálne vzdelávacie zdroje: digitalizácia vzdelávacích zdrojov</w:t>
      </w:r>
      <w:r w:rsidR="00A75B3C" w:rsidRPr="003F23AC">
        <w:rPr>
          <w:rFonts w:cs="Times New Roman"/>
          <w:noProof/>
          <w:lang w:val="sk-SK"/>
        </w:rPr>
        <w:t xml:space="preserve"> s </w:t>
      </w:r>
      <w:r w:rsidRPr="003F23AC">
        <w:rPr>
          <w:rFonts w:cs="Times New Roman"/>
          <w:noProof/>
          <w:lang w:val="sk-SK"/>
        </w:rPr>
        <w:t>cieľom dostať 100</w:t>
      </w:r>
      <w:r w:rsidR="00A75B3C" w:rsidRPr="003F23AC">
        <w:rPr>
          <w:rFonts w:cs="Times New Roman"/>
          <w:noProof/>
          <w:lang w:val="sk-SK"/>
        </w:rPr>
        <w:t> %</w:t>
      </w:r>
      <w:r w:rsidRPr="003F23AC">
        <w:rPr>
          <w:rFonts w:cs="Times New Roman"/>
          <w:noProof/>
          <w:lang w:val="sk-SK"/>
        </w:rPr>
        <w:t xml:space="preserve"> žiakov</w:t>
      </w:r>
      <w:r w:rsidR="00A75B3C" w:rsidRPr="003F23AC">
        <w:rPr>
          <w:rFonts w:cs="Times New Roman"/>
          <w:noProof/>
          <w:lang w:val="sk-SK"/>
        </w:rPr>
        <w:t xml:space="preserve"> v </w:t>
      </w:r>
      <w:r w:rsidRPr="003F23AC">
        <w:rPr>
          <w:rFonts w:cs="Times New Roman"/>
          <w:noProof/>
          <w:lang w:val="sk-SK"/>
        </w:rPr>
        <w:t>autonómnej oblasti Azory prostredníctvom digitálnych príručiek;</w:t>
      </w:r>
    </w:p>
    <w:p w14:paraId="5FE3B056" w14:textId="1F8957AD" w:rsidR="00A75B3C" w:rsidRPr="003F23AC" w:rsidRDefault="000F5AA4" w:rsidP="003F23AC">
      <w:pPr>
        <w:pStyle w:val="P68B1DB1-Normal4"/>
        <w:numPr>
          <w:ilvl w:val="0"/>
          <w:numId w:val="38"/>
        </w:numPr>
        <w:spacing w:before="40" w:after="160" w:line="259" w:lineRule="auto"/>
        <w:contextualSpacing/>
        <w:jc w:val="both"/>
        <w:rPr>
          <w:rFonts w:cs="Times New Roman"/>
          <w:noProof/>
          <w:lang w:val="sk-SK"/>
        </w:rPr>
      </w:pPr>
      <w:r w:rsidRPr="003F23AC">
        <w:rPr>
          <w:rFonts w:cs="Times New Roman"/>
          <w:noProof/>
          <w:lang w:val="sk-SK"/>
        </w:rPr>
        <w:t>Digitálne kompetencie: 24 modulov odbornej prípravy venovaných učiteľom</w:t>
      </w:r>
      <w:r w:rsidR="00A75B3C" w:rsidRPr="003F23AC">
        <w:rPr>
          <w:rFonts w:cs="Times New Roman"/>
          <w:noProof/>
          <w:lang w:val="sk-SK"/>
        </w:rPr>
        <w:t xml:space="preserve"> a </w:t>
      </w:r>
      <w:r w:rsidRPr="003F23AC">
        <w:rPr>
          <w:rFonts w:cs="Times New Roman"/>
          <w:noProof/>
          <w:lang w:val="sk-SK"/>
        </w:rPr>
        <w:t>rodičom študentov</w:t>
      </w:r>
      <w:r w:rsidR="00A75B3C" w:rsidRPr="003F23AC">
        <w:rPr>
          <w:rFonts w:cs="Times New Roman"/>
          <w:noProof/>
          <w:lang w:val="sk-SK"/>
        </w:rPr>
        <w:t>;</w:t>
      </w:r>
    </w:p>
    <w:p w14:paraId="185493A5" w14:textId="6A80BA28" w:rsidR="00A75B3C" w:rsidRPr="003F23AC" w:rsidRDefault="000F5AA4" w:rsidP="003F23AC">
      <w:pPr>
        <w:pStyle w:val="P68B1DB1-Normal4"/>
        <w:numPr>
          <w:ilvl w:val="0"/>
          <w:numId w:val="38"/>
        </w:numPr>
        <w:spacing w:before="40" w:after="160" w:line="259" w:lineRule="auto"/>
        <w:contextualSpacing/>
        <w:jc w:val="both"/>
        <w:rPr>
          <w:rFonts w:cs="Times New Roman"/>
          <w:noProof/>
          <w:lang w:val="sk-SK"/>
        </w:rPr>
      </w:pPr>
      <w:r w:rsidRPr="003F23AC">
        <w:rPr>
          <w:rFonts w:cs="Times New Roman"/>
          <w:noProof/>
          <w:lang w:val="sk-SK"/>
        </w:rPr>
        <w:t>Prepojenosť: opatrenia na zlepšenie prepojenia škôl</w:t>
      </w:r>
      <w:r w:rsidR="00A75B3C" w:rsidRPr="003F23AC">
        <w:rPr>
          <w:rFonts w:cs="Times New Roman"/>
          <w:noProof/>
          <w:lang w:val="sk-SK"/>
        </w:rPr>
        <w:t xml:space="preserve"> v </w:t>
      </w:r>
      <w:r w:rsidRPr="003F23AC">
        <w:rPr>
          <w:rFonts w:cs="Times New Roman"/>
          <w:noProof/>
          <w:lang w:val="sk-SK"/>
        </w:rPr>
        <w:t>autonómnej oblasti Azory na najmenej 1 Gbps. Nákup</w:t>
      </w:r>
      <w:r w:rsidR="00A75B3C" w:rsidRPr="003F23AC">
        <w:rPr>
          <w:rFonts w:cs="Times New Roman"/>
          <w:noProof/>
          <w:lang w:val="sk-SK"/>
        </w:rPr>
        <w:t xml:space="preserve"> a </w:t>
      </w:r>
      <w:r w:rsidRPr="003F23AC">
        <w:rPr>
          <w:rFonts w:cs="Times New Roman"/>
          <w:noProof/>
          <w:lang w:val="sk-SK"/>
        </w:rPr>
        <w:t>inštalácia 1500 spínačov</w:t>
      </w:r>
      <w:r w:rsidR="00A75B3C" w:rsidRPr="003F23AC">
        <w:rPr>
          <w:rFonts w:cs="Times New Roman"/>
          <w:noProof/>
          <w:lang w:val="sk-SK"/>
        </w:rPr>
        <w:t xml:space="preserve"> a </w:t>
      </w:r>
      <w:r w:rsidRPr="003F23AC">
        <w:rPr>
          <w:rFonts w:cs="Times New Roman"/>
          <w:noProof/>
          <w:lang w:val="sk-SK"/>
        </w:rPr>
        <w:t>APS</w:t>
      </w:r>
      <w:r w:rsidR="00A75B3C" w:rsidRPr="003F23AC">
        <w:rPr>
          <w:rFonts w:cs="Times New Roman"/>
          <w:noProof/>
          <w:lang w:val="sk-SK"/>
        </w:rPr>
        <w:t>.</w:t>
      </w:r>
    </w:p>
    <w:p w14:paraId="1A26EC6C" w14:textId="751C2BFE"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6248B184" w14:textId="4041F786"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TD-C20 – i03-RAM: Urýchlenie digitalizácie vzdelávania ARM</w:t>
      </w:r>
    </w:p>
    <w:p w14:paraId="19CEFD55" w14:textId="14D5FA85"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Cieľom opatrenia je vytvoriť proaktívnejší, inovatívnejší, inkluzívnejší, autonómnejší, spravodlivejší</w:t>
      </w:r>
      <w:r w:rsidR="00A75B3C" w:rsidRPr="003F23AC">
        <w:rPr>
          <w:rFonts w:cs="Times New Roman"/>
          <w:noProof/>
          <w:lang w:val="sk-SK"/>
        </w:rPr>
        <w:t xml:space="preserve"> a </w:t>
      </w:r>
      <w:r w:rsidRPr="003F23AC">
        <w:rPr>
          <w:rFonts w:cs="Times New Roman"/>
          <w:noProof/>
          <w:lang w:val="sk-SK"/>
        </w:rPr>
        <w:t>otvorenejší vzdelávací systém</w:t>
      </w:r>
      <w:r w:rsidR="00A75B3C" w:rsidRPr="003F23AC">
        <w:rPr>
          <w:rFonts w:cs="Times New Roman"/>
          <w:noProof/>
          <w:lang w:val="sk-SK"/>
        </w:rPr>
        <w:t xml:space="preserve"> v </w:t>
      </w:r>
      <w:r w:rsidRPr="003F23AC">
        <w:rPr>
          <w:rFonts w:cs="Times New Roman"/>
          <w:noProof/>
          <w:lang w:val="sk-SK"/>
        </w:rPr>
        <w:t>autonómnej oblasti Madeira vo verejných</w:t>
      </w:r>
      <w:r w:rsidR="00A75B3C" w:rsidRPr="003F23AC">
        <w:rPr>
          <w:rFonts w:cs="Times New Roman"/>
          <w:noProof/>
          <w:lang w:val="sk-SK"/>
        </w:rPr>
        <w:t xml:space="preserve"> a </w:t>
      </w:r>
      <w:r w:rsidRPr="003F23AC">
        <w:rPr>
          <w:rFonts w:cs="Times New Roman"/>
          <w:noProof/>
          <w:lang w:val="sk-SK"/>
        </w:rPr>
        <w:t>súkromných školách.</w:t>
      </w:r>
    </w:p>
    <w:p w14:paraId="34D95A54" w14:textId="4B2EC1C0"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poskytovania kvalitného vzdelávania</w:t>
      </w:r>
      <w:r w:rsidR="00A75B3C" w:rsidRPr="003F23AC">
        <w:rPr>
          <w:rFonts w:cs="Times New Roman"/>
          <w:noProof/>
          <w:lang w:val="sk-SK"/>
        </w:rPr>
        <w:t xml:space="preserve"> a </w:t>
      </w:r>
      <w:r w:rsidRPr="003F23AC">
        <w:rPr>
          <w:rFonts w:cs="Times New Roman"/>
          <w:noProof/>
          <w:lang w:val="sk-SK"/>
        </w:rPr>
        <w:t>odbornej prípravy</w:t>
      </w:r>
      <w:r w:rsidR="00A75B3C" w:rsidRPr="003F23AC">
        <w:rPr>
          <w:rFonts w:cs="Times New Roman"/>
          <w:noProof/>
          <w:lang w:val="sk-SK"/>
        </w:rPr>
        <w:t xml:space="preserve"> a </w:t>
      </w:r>
      <w:r w:rsidRPr="003F23AC">
        <w:rPr>
          <w:rFonts w:cs="Times New Roman"/>
          <w:noProof/>
          <w:lang w:val="sk-SK"/>
        </w:rPr>
        <w:t>kvalifikácie, prípravy detí</w:t>
      </w:r>
      <w:r w:rsidR="00A75B3C" w:rsidRPr="003F23AC">
        <w:rPr>
          <w:rFonts w:cs="Times New Roman"/>
          <w:noProof/>
          <w:lang w:val="sk-SK"/>
        </w:rPr>
        <w:t xml:space="preserve"> a </w:t>
      </w:r>
      <w:r w:rsidRPr="003F23AC">
        <w:rPr>
          <w:rFonts w:cs="Times New Roman"/>
          <w:noProof/>
          <w:lang w:val="sk-SK"/>
        </w:rPr>
        <w:t>žiakov na riešenie výziev dvadsiateho prvého storočia vrátane digitálnej transformácie prostredníctvom osobitných opatrení</w:t>
      </w:r>
      <w:r w:rsidR="00A75B3C" w:rsidRPr="003F23AC">
        <w:rPr>
          <w:rFonts w:cs="Times New Roman"/>
          <w:noProof/>
          <w:lang w:val="sk-SK"/>
        </w:rPr>
        <w:t xml:space="preserve"> v </w:t>
      </w:r>
      <w:r w:rsidRPr="003F23AC">
        <w:rPr>
          <w:rFonts w:cs="Times New Roman"/>
          <w:noProof/>
          <w:lang w:val="sk-SK"/>
        </w:rPr>
        <w:t>týchto oblastiach:</w:t>
      </w:r>
    </w:p>
    <w:p w14:paraId="6E749B90" w14:textId="329B8027" w:rsidR="00387C70" w:rsidRPr="003F23AC" w:rsidRDefault="000F5AA4" w:rsidP="003F23AC">
      <w:pPr>
        <w:pStyle w:val="P68B1DB1-Normal4"/>
        <w:numPr>
          <w:ilvl w:val="0"/>
          <w:numId w:val="39"/>
        </w:numPr>
        <w:spacing w:before="40" w:after="160" w:line="259" w:lineRule="auto"/>
        <w:contextualSpacing/>
        <w:jc w:val="both"/>
        <w:rPr>
          <w:rFonts w:eastAsiaTheme="minorEastAsia" w:cs="Times New Roman"/>
          <w:noProof/>
          <w:lang w:val="sk-SK"/>
        </w:rPr>
      </w:pPr>
      <w:r w:rsidRPr="003F23AC">
        <w:rPr>
          <w:rFonts w:cs="Times New Roman"/>
          <w:noProof/>
          <w:lang w:val="sk-SK"/>
        </w:rPr>
        <w:t>Digitálne vzdelávacie zdroje</w:t>
      </w:r>
      <w:r w:rsidR="00A75B3C" w:rsidRPr="003F23AC">
        <w:rPr>
          <w:rFonts w:cs="Times New Roman"/>
          <w:noProof/>
          <w:lang w:val="sk-SK"/>
        </w:rPr>
        <w:t xml:space="preserve"> a </w:t>
      </w:r>
      <w:r w:rsidRPr="003F23AC">
        <w:rPr>
          <w:rFonts w:cs="Times New Roman"/>
          <w:noProof/>
          <w:lang w:val="sk-SK"/>
        </w:rPr>
        <w:t>vybavenie:</w:t>
      </w:r>
      <w:r w:rsidR="00A75B3C" w:rsidRPr="003F23AC">
        <w:rPr>
          <w:rFonts w:cs="Times New Roman"/>
          <w:noProof/>
          <w:lang w:val="sk-SK"/>
        </w:rPr>
        <w:t xml:space="preserve"> V </w:t>
      </w:r>
      <w:r w:rsidRPr="003F23AC">
        <w:rPr>
          <w:rFonts w:cs="Times New Roman"/>
          <w:noProof/>
          <w:lang w:val="sk-SK"/>
        </w:rPr>
        <w:t>rámci projektu „digitálnych príručiek“ sa zameriava na poskytovanie viacerých digitálnych vzdelávacích zdrojov</w:t>
      </w:r>
      <w:r w:rsidR="00A75B3C" w:rsidRPr="003F23AC">
        <w:rPr>
          <w:rFonts w:cs="Times New Roman"/>
          <w:noProof/>
          <w:lang w:val="sk-SK"/>
        </w:rPr>
        <w:t xml:space="preserve"> v </w:t>
      </w:r>
      <w:r w:rsidRPr="003F23AC">
        <w:rPr>
          <w:rFonts w:cs="Times New Roman"/>
          <w:noProof/>
          <w:lang w:val="sk-SK"/>
        </w:rPr>
        <w:t>rôznych formátoch</w:t>
      </w:r>
      <w:r w:rsidR="00A75B3C" w:rsidRPr="003F23AC">
        <w:rPr>
          <w:rFonts w:cs="Times New Roman"/>
          <w:noProof/>
          <w:lang w:val="sk-SK"/>
        </w:rPr>
        <w:t xml:space="preserve"> a </w:t>
      </w:r>
      <w:r w:rsidRPr="003F23AC">
        <w:rPr>
          <w:rFonts w:cs="Times New Roman"/>
          <w:noProof/>
          <w:lang w:val="sk-SK"/>
        </w:rPr>
        <w:t>rôznych typológiách (naanimácie, simulácie, trojrozmerné videá alebo iné), poskytovanie vybavenia (tablety alebo laptopy</w:t>
      </w:r>
      <w:r w:rsidR="00A75B3C" w:rsidRPr="003F23AC">
        <w:rPr>
          <w:rFonts w:cs="Times New Roman"/>
          <w:noProof/>
          <w:lang w:val="sk-SK"/>
        </w:rPr>
        <w:t xml:space="preserve"> v </w:t>
      </w:r>
      <w:r w:rsidRPr="003F23AC">
        <w:rPr>
          <w:rFonts w:cs="Times New Roman"/>
          <w:noProof/>
          <w:lang w:val="sk-SK"/>
        </w:rPr>
        <w:t>závislosti od roku vyučovania)</w:t>
      </w:r>
      <w:r w:rsidR="00A75B3C" w:rsidRPr="003F23AC">
        <w:rPr>
          <w:rFonts w:cs="Times New Roman"/>
          <w:noProof/>
          <w:lang w:val="sk-SK"/>
        </w:rPr>
        <w:t xml:space="preserve"> a </w:t>
      </w:r>
      <w:r w:rsidRPr="003F23AC">
        <w:rPr>
          <w:rFonts w:cs="Times New Roman"/>
          <w:noProof/>
          <w:lang w:val="sk-SK"/>
        </w:rPr>
        <w:t>prístup</w:t>
      </w:r>
      <w:r w:rsidR="00A75B3C" w:rsidRPr="003F23AC">
        <w:rPr>
          <w:rFonts w:cs="Times New Roman"/>
          <w:noProof/>
          <w:lang w:val="sk-SK"/>
        </w:rPr>
        <w:t xml:space="preserve"> k </w:t>
      </w:r>
      <w:r w:rsidRPr="003F23AC">
        <w:rPr>
          <w:rFonts w:cs="Times New Roman"/>
          <w:noProof/>
          <w:lang w:val="sk-SK"/>
        </w:rPr>
        <w:t>digitálnym učebniciam</w:t>
      </w:r>
      <w:r w:rsidR="00A75B3C" w:rsidRPr="003F23AC">
        <w:rPr>
          <w:rFonts w:cs="Times New Roman"/>
          <w:noProof/>
          <w:lang w:val="sk-SK"/>
        </w:rPr>
        <w:t xml:space="preserve"> s </w:t>
      </w:r>
      <w:r w:rsidRPr="003F23AC">
        <w:rPr>
          <w:rFonts w:cs="Times New Roman"/>
          <w:noProof/>
          <w:lang w:val="sk-SK"/>
        </w:rPr>
        <w:t>cieľom zabezpečiť, aby vzdelávacia komunita (žiaci, učitelia, starší pedagogickí technici, technici technickej pomoci, poskytovatelia vzdelávania) mala zabezpečený prístup</w:t>
      </w:r>
      <w:r w:rsidR="00A75B3C" w:rsidRPr="003F23AC">
        <w:rPr>
          <w:rFonts w:cs="Times New Roman"/>
          <w:noProof/>
          <w:lang w:val="sk-SK"/>
        </w:rPr>
        <w:t xml:space="preserve"> k </w:t>
      </w:r>
      <w:r w:rsidRPr="003F23AC">
        <w:rPr>
          <w:rFonts w:cs="Times New Roman"/>
          <w:noProof/>
          <w:lang w:val="sk-SK"/>
        </w:rPr>
        <w:t>obsahu dostupnému prostredníctvom digitalizácie vzdelávania.</w:t>
      </w:r>
      <w:r w:rsidR="00A75B3C" w:rsidRPr="003F23AC">
        <w:rPr>
          <w:rFonts w:cs="Times New Roman"/>
          <w:noProof/>
          <w:lang w:val="sk-SK"/>
        </w:rPr>
        <w:t xml:space="preserve"> V </w:t>
      </w:r>
      <w:r w:rsidRPr="003F23AC">
        <w:rPr>
          <w:rFonts w:cs="Times New Roman"/>
          <w:noProof/>
          <w:lang w:val="sk-SK"/>
        </w:rPr>
        <w:t>prípade všetkých žiakov (15910 žiakov) zahŕňa: 1 tablet alebo laptop,</w:t>
      </w:r>
      <w:r w:rsidR="00A75B3C" w:rsidRPr="003F23AC">
        <w:rPr>
          <w:rFonts w:cs="Times New Roman"/>
          <w:noProof/>
          <w:lang w:val="sk-SK"/>
        </w:rPr>
        <w:t xml:space="preserve"> v </w:t>
      </w:r>
      <w:r w:rsidRPr="003F23AC">
        <w:rPr>
          <w:rFonts w:cs="Times New Roman"/>
          <w:noProof/>
          <w:lang w:val="sk-SK"/>
        </w:rPr>
        <w:t>závislosti od roku školskej dochádzky, 1 licencia na virtuálny prístup na školskú dochádzku platná pre každý školský rok; 1 Osobná</w:t>
      </w:r>
      <w:r w:rsidR="00A75B3C" w:rsidRPr="003F23AC">
        <w:rPr>
          <w:rFonts w:cs="Times New Roman"/>
          <w:noProof/>
          <w:lang w:val="sk-SK"/>
        </w:rPr>
        <w:t xml:space="preserve"> a </w:t>
      </w:r>
      <w:r w:rsidRPr="003F23AC">
        <w:rPr>
          <w:rFonts w:cs="Times New Roman"/>
          <w:noProof/>
          <w:lang w:val="sk-SK"/>
        </w:rPr>
        <w:t>neprenosná licencia na digitálnu verziu každej školskej príručky prijatej na školskú dochádzku.</w:t>
      </w:r>
    </w:p>
    <w:p w14:paraId="33CC753E" w14:textId="77777777" w:rsidR="00A75B3C" w:rsidRPr="003F23AC" w:rsidRDefault="000F5AA4" w:rsidP="003F23AC">
      <w:pPr>
        <w:pStyle w:val="P68B1DB1-Normal4"/>
        <w:numPr>
          <w:ilvl w:val="0"/>
          <w:numId w:val="39"/>
        </w:numPr>
        <w:spacing w:before="40" w:after="160" w:line="259" w:lineRule="auto"/>
        <w:contextualSpacing/>
        <w:jc w:val="both"/>
        <w:rPr>
          <w:rFonts w:cs="Times New Roman"/>
          <w:noProof/>
          <w:lang w:val="sk-SK"/>
        </w:rPr>
      </w:pPr>
      <w:r w:rsidRPr="003F23AC">
        <w:rPr>
          <w:rFonts w:cs="Times New Roman"/>
          <w:noProof/>
          <w:lang w:val="sk-SK"/>
        </w:rPr>
        <w:t>Pripojiteľnosť</w:t>
      </w:r>
      <w:r w:rsidR="00A75B3C" w:rsidRPr="003F23AC">
        <w:rPr>
          <w:rFonts w:cs="Times New Roman"/>
          <w:noProof/>
          <w:lang w:val="sk-SK"/>
        </w:rPr>
        <w:t xml:space="preserve"> a </w:t>
      </w:r>
      <w:r w:rsidRPr="003F23AC">
        <w:rPr>
          <w:rFonts w:cs="Times New Roman"/>
          <w:noProof/>
          <w:lang w:val="sk-SK"/>
        </w:rPr>
        <w:t>vybavenie pre školy:</w:t>
      </w:r>
      <w:r w:rsidR="00A75B3C" w:rsidRPr="003F23AC">
        <w:rPr>
          <w:rFonts w:cs="Times New Roman"/>
          <w:noProof/>
          <w:lang w:val="sk-SK"/>
        </w:rPr>
        <w:t xml:space="preserve"> s </w:t>
      </w:r>
      <w:r w:rsidRPr="003F23AC">
        <w:rPr>
          <w:rFonts w:cs="Times New Roman"/>
          <w:noProof/>
          <w:lang w:val="sk-SK"/>
        </w:rPr>
        <w:t>cieľom vybaviť školy priestormi „inovatívneho vzdelávania“ (34 „Inovatívna environmentálna učňovská príprava“; 22‚labín Makerspace‘; 15 priestorov na vzdelávanie</w:t>
      </w:r>
      <w:r w:rsidR="00A75B3C" w:rsidRPr="003F23AC">
        <w:rPr>
          <w:rFonts w:cs="Times New Roman"/>
          <w:noProof/>
          <w:lang w:val="sk-SK"/>
        </w:rPr>
        <w:t xml:space="preserve"> v </w:t>
      </w:r>
      <w:r w:rsidRPr="003F23AC">
        <w:rPr>
          <w:rFonts w:cs="Times New Roman"/>
          <w:noProof/>
          <w:lang w:val="sk-SK"/>
        </w:rPr>
        <w:t>oblasti starostlivosti</w:t>
      </w:r>
      <w:r w:rsidR="00A75B3C" w:rsidRPr="003F23AC">
        <w:rPr>
          <w:rFonts w:cs="Times New Roman"/>
          <w:noProof/>
          <w:lang w:val="sk-SK"/>
        </w:rPr>
        <w:t xml:space="preserve"> o </w:t>
      </w:r>
      <w:r w:rsidRPr="003F23AC">
        <w:rPr>
          <w:rFonts w:cs="Times New Roman"/>
          <w:noProof/>
          <w:lang w:val="sk-SK"/>
        </w:rPr>
        <w:t>deti; 20 „Inovatívne priestory“ – na základe koncepcie miestnosti</w:t>
      </w:r>
      <w:r w:rsidRPr="003F23AC">
        <w:rPr>
          <w:rFonts w:cs="Times New Roman"/>
          <w:noProof/>
          <w:lang w:val="sk-SK"/>
        </w:rPr>
        <w:footnoteReference w:id="77"/>
      </w:r>
      <w:r w:rsidRPr="003F23AC">
        <w:rPr>
          <w:rFonts w:cs="Times New Roman"/>
          <w:noProof/>
          <w:lang w:val="sk-SK"/>
        </w:rPr>
        <w:t>Snoezelen – podpora inklúzie</w:t>
      </w:r>
      <w:r w:rsidR="00A75B3C" w:rsidRPr="003F23AC">
        <w:rPr>
          <w:rFonts w:cs="Times New Roman"/>
          <w:noProof/>
          <w:lang w:val="sk-SK"/>
        </w:rPr>
        <w:t xml:space="preserve"> a </w:t>
      </w:r>
      <w:r w:rsidRPr="003F23AC">
        <w:rPr>
          <w:rFonts w:cs="Times New Roman"/>
          <w:noProof/>
          <w:lang w:val="sk-SK"/>
        </w:rPr>
        <w:t>digitálnej gramotnosti</w:t>
      </w:r>
      <w:r w:rsidR="00A75B3C" w:rsidRPr="003F23AC">
        <w:rPr>
          <w:rFonts w:cs="Times New Roman"/>
          <w:noProof/>
          <w:lang w:val="sk-SK"/>
        </w:rPr>
        <w:t xml:space="preserve"> s </w:t>
      </w:r>
      <w:r w:rsidRPr="003F23AC">
        <w:rPr>
          <w:rFonts w:cs="Times New Roman"/>
          <w:noProof/>
          <w:lang w:val="sk-SK"/>
        </w:rPr>
        <w:t>„Vzdelávacími inovačnými centrami pre programovanie</w:t>
      </w:r>
      <w:r w:rsidR="00A75B3C" w:rsidRPr="003F23AC">
        <w:rPr>
          <w:rFonts w:cs="Times New Roman"/>
          <w:noProof/>
          <w:lang w:val="sk-SK"/>
        </w:rPr>
        <w:t xml:space="preserve"> a </w:t>
      </w:r>
      <w:r w:rsidRPr="003F23AC">
        <w:rPr>
          <w:rFonts w:cs="Times New Roman"/>
          <w:noProof/>
          <w:lang w:val="sk-SK"/>
        </w:rPr>
        <w:t>robotovanie“, jedno pre každú školu,</w:t>
      </w:r>
    </w:p>
    <w:p w14:paraId="41A8F250" w14:textId="5ECE84E0" w:rsidR="00A75B3C" w:rsidRPr="003F23AC" w:rsidRDefault="000F5AA4" w:rsidP="003F23AC">
      <w:pPr>
        <w:pStyle w:val="P68B1DB1-Normal4"/>
        <w:numPr>
          <w:ilvl w:val="0"/>
          <w:numId w:val="39"/>
        </w:numPr>
        <w:spacing w:before="40" w:after="160" w:line="259" w:lineRule="auto"/>
        <w:contextualSpacing/>
        <w:jc w:val="both"/>
        <w:rPr>
          <w:rFonts w:cs="Times New Roman"/>
          <w:noProof/>
          <w:lang w:val="sk-SK"/>
        </w:rPr>
      </w:pPr>
      <w:r w:rsidRPr="003F23AC">
        <w:rPr>
          <w:rFonts w:cs="Times New Roman"/>
          <w:noProof/>
          <w:lang w:val="sk-SK"/>
        </w:rPr>
        <w:t>Digitálne kompetencie:</w:t>
      </w:r>
      <w:r w:rsidR="00A75B3C" w:rsidRPr="003F23AC">
        <w:rPr>
          <w:rFonts w:cs="Times New Roman"/>
          <w:noProof/>
          <w:lang w:val="sk-SK"/>
        </w:rPr>
        <w:t xml:space="preserve"> s </w:t>
      </w:r>
      <w:r w:rsidRPr="003F23AC">
        <w:rPr>
          <w:rFonts w:cs="Times New Roman"/>
          <w:noProof/>
          <w:lang w:val="sk-SK"/>
        </w:rPr>
        <w:t>aktivitami odbornej prípravy ponúkanými učiteľom</w:t>
      </w:r>
      <w:r w:rsidR="00A75B3C" w:rsidRPr="003F23AC">
        <w:rPr>
          <w:rFonts w:cs="Times New Roman"/>
          <w:noProof/>
          <w:lang w:val="sk-SK"/>
        </w:rPr>
        <w:t xml:space="preserve"> a </w:t>
      </w:r>
      <w:r w:rsidRPr="003F23AC">
        <w:rPr>
          <w:rFonts w:cs="Times New Roman"/>
          <w:noProof/>
          <w:lang w:val="sk-SK"/>
        </w:rPr>
        <w:t>nepedagogickým pracovníkom (odborníci vyššieho vzdelávania, technickí asistenti)</w:t>
      </w:r>
      <w:r w:rsidR="00A75B3C" w:rsidRPr="003F23AC">
        <w:rPr>
          <w:rFonts w:cs="Times New Roman"/>
          <w:noProof/>
          <w:lang w:val="sk-SK"/>
        </w:rPr>
        <w:t>.</w:t>
      </w:r>
    </w:p>
    <w:p w14:paraId="116BAADB" w14:textId="66195F5B" w:rsidR="00387C70" w:rsidRPr="003F23AC" w:rsidRDefault="000F5AA4" w:rsidP="003F23AC">
      <w:pPr>
        <w:pStyle w:val="P68B1DB1-Normal4"/>
        <w:spacing w:before="40" w:after="0" w:line="259" w:lineRule="auto"/>
        <w:jc w:val="both"/>
        <w:rPr>
          <w:rFonts w:eastAsiaTheme="minorEastAsia" w:cs="Times New Roman"/>
          <w:noProof/>
          <w:lang w:val="sk-SK"/>
        </w:rPr>
        <w:sectPr w:rsidR="00387C70" w:rsidRPr="003F23AC" w:rsidSect="00E00EDD">
          <w:headerReference w:type="even" r:id="rId356"/>
          <w:headerReference w:type="default" r:id="rId357"/>
          <w:footerReference w:type="even" r:id="rId358"/>
          <w:footerReference w:type="default" r:id="rId359"/>
          <w:headerReference w:type="first" r:id="rId360"/>
          <w:footerReference w:type="first" r:id="rId361"/>
          <w:pgSz w:w="11907" w:h="16839"/>
          <w:pgMar w:top="1134" w:right="1134" w:bottom="1134" w:left="1134" w:header="567" w:footer="567" w:gutter="0"/>
          <w:cols w:space="720"/>
          <w:docGrid w:linePitch="360"/>
        </w:sect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6A865438" w14:textId="4E3ACA10"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T.2.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p w14:paraId="3E59DF2E"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1474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134"/>
        <w:gridCol w:w="1701"/>
        <w:gridCol w:w="1275"/>
        <w:gridCol w:w="993"/>
        <w:gridCol w:w="992"/>
        <w:gridCol w:w="992"/>
        <w:gridCol w:w="827"/>
        <w:gridCol w:w="448"/>
        <w:gridCol w:w="3969"/>
      </w:tblGrid>
      <w:tr w:rsidR="00387C70" w:rsidRPr="003F23AC" w14:paraId="161579D1" w14:textId="77777777" w:rsidTr="008E475E">
        <w:trPr>
          <w:trHeight w:val="910"/>
          <w:tblHeader/>
        </w:trPr>
        <w:tc>
          <w:tcPr>
            <w:tcW w:w="1135" w:type="dxa"/>
            <w:vMerge w:val="restart"/>
            <w:shd w:val="clear" w:color="auto" w:fill="BDD6EE"/>
            <w:tcMar>
              <w:left w:w="28" w:type="dxa"/>
              <w:right w:w="28" w:type="dxa"/>
            </w:tcMar>
            <w:vAlign w:val="center"/>
            <w:hideMark/>
          </w:tcPr>
          <w:p w14:paraId="18D3C4B3"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76" w:type="dxa"/>
            <w:vMerge w:val="restart"/>
            <w:shd w:val="clear" w:color="auto" w:fill="BDD6EE"/>
            <w:tcMar>
              <w:left w:w="28" w:type="dxa"/>
              <w:right w:w="28" w:type="dxa"/>
            </w:tcMar>
            <w:vAlign w:val="center"/>
            <w:hideMark/>
          </w:tcPr>
          <w:p w14:paraId="0F2DCA77"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34" w:type="dxa"/>
            <w:vMerge w:val="restart"/>
            <w:shd w:val="clear" w:color="auto" w:fill="BDD6EE"/>
            <w:tcMar>
              <w:left w:w="28" w:type="dxa"/>
              <w:right w:w="28" w:type="dxa"/>
            </w:tcMar>
            <w:vAlign w:val="center"/>
            <w:hideMark/>
          </w:tcPr>
          <w:p w14:paraId="6ABCFCFD" w14:textId="4ED9A5A5"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1701" w:type="dxa"/>
            <w:vMerge w:val="restart"/>
            <w:shd w:val="clear" w:color="auto" w:fill="BDD6EE"/>
            <w:tcMar>
              <w:left w:w="28" w:type="dxa"/>
              <w:right w:w="28" w:type="dxa"/>
            </w:tcMar>
            <w:vAlign w:val="center"/>
            <w:hideMark/>
          </w:tcPr>
          <w:p w14:paraId="6F4253DE"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275" w:type="dxa"/>
            <w:vMerge w:val="restart"/>
            <w:shd w:val="clear" w:color="auto" w:fill="BDD6EE"/>
            <w:tcMar>
              <w:left w:w="28" w:type="dxa"/>
              <w:right w:w="28" w:type="dxa"/>
            </w:tcMar>
            <w:vAlign w:val="center"/>
            <w:hideMark/>
          </w:tcPr>
          <w:p w14:paraId="5E98634F"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977" w:type="dxa"/>
            <w:gridSpan w:val="3"/>
            <w:shd w:val="clear" w:color="auto" w:fill="BDD6EE"/>
            <w:tcMar>
              <w:left w:w="28" w:type="dxa"/>
              <w:right w:w="28" w:type="dxa"/>
            </w:tcMar>
            <w:vAlign w:val="center"/>
            <w:hideMark/>
          </w:tcPr>
          <w:p w14:paraId="1726AAB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75" w:type="dxa"/>
            <w:gridSpan w:val="2"/>
            <w:shd w:val="clear" w:color="auto" w:fill="BDD6EE"/>
            <w:tcMar>
              <w:left w:w="28" w:type="dxa"/>
              <w:right w:w="28" w:type="dxa"/>
            </w:tcMar>
            <w:vAlign w:val="center"/>
            <w:hideMark/>
          </w:tcPr>
          <w:p w14:paraId="416EE56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3969" w:type="dxa"/>
            <w:vMerge w:val="restart"/>
            <w:shd w:val="clear" w:color="auto" w:fill="BDD6EE"/>
            <w:tcMar>
              <w:left w:w="28" w:type="dxa"/>
              <w:right w:w="28" w:type="dxa"/>
            </w:tcMar>
            <w:vAlign w:val="center"/>
            <w:hideMark/>
          </w:tcPr>
          <w:p w14:paraId="566259A2" w14:textId="5B359CA2"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624748BC" w14:textId="77777777" w:rsidTr="008E475E">
        <w:trPr>
          <w:trHeight w:val="470"/>
          <w:tblHeader/>
        </w:trPr>
        <w:tc>
          <w:tcPr>
            <w:tcW w:w="1135" w:type="dxa"/>
            <w:vMerge/>
            <w:tcMar>
              <w:left w:w="28" w:type="dxa"/>
              <w:right w:w="28" w:type="dxa"/>
            </w:tcMar>
            <w:vAlign w:val="center"/>
            <w:hideMark/>
          </w:tcPr>
          <w:p w14:paraId="50EEF1DC"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6" w:type="dxa"/>
            <w:vMerge/>
            <w:tcMar>
              <w:left w:w="28" w:type="dxa"/>
              <w:right w:w="28" w:type="dxa"/>
            </w:tcMar>
            <w:vAlign w:val="center"/>
            <w:hideMark/>
          </w:tcPr>
          <w:p w14:paraId="79C161D4"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34" w:type="dxa"/>
            <w:vMerge/>
            <w:tcMar>
              <w:left w:w="28" w:type="dxa"/>
              <w:right w:w="28" w:type="dxa"/>
            </w:tcMar>
            <w:vAlign w:val="center"/>
            <w:hideMark/>
          </w:tcPr>
          <w:p w14:paraId="0AD30B37" w14:textId="1F95A1E3"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701" w:type="dxa"/>
            <w:vMerge/>
            <w:tcMar>
              <w:left w:w="28" w:type="dxa"/>
              <w:right w:w="28" w:type="dxa"/>
            </w:tcMar>
            <w:vAlign w:val="center"/>
            <w:hideMark/>
          </w:tcPr>
          <w:p w14:paraId="5D61E092"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5" w:type="dxa"/>
            <w:vMerge/>
            <w:tcMar>
              <w:left w:w="28" w:type="dxa"/>
              <w:right w:w="28" w:type="dxa"/>
            </w:tcMar>
            <w:vAlign w:val="center"/>
            <w:hideMark/>
          </w:tcPr>
          <w:p w14:paraId="0EF12599"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993" w:type="dxa"/>
            <w:shd w:val="clear" w:color="auto" w:fill="BDD6EE"/>
            <w:tcMar>
              <w:left w:w="28" w:type="dxa"/>
              <w:right w:w="28" w:type="dxa"/>
            </w:tcMar>
            <w:vAlign w:val="center"/>
            <w:hideMark/>
          </w:tcPr>
          <w:p w14:paraId="543C08EA"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992" w:type="dxa"/>
            <w:shd w:val="clear" w:color="auto" w:fill="BDD6EE"/>
            <w:tcMar>
              <w:left w:w="28" w:type="dxa"/>
              <w:right w:w="28" w:type="dxa"/>
            </w:tcMar>
            <w:vAlign w:val="center"/>
            <w:hideMark/>
          </w:tcPr>
          <w:p w14:paraId="1E2EEAE7" w14:textId="724BCE1A"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992" w:type="dxa"/>
            <w:shd w:val="clear" w:color="auto" w:fill="BDD6EE"/>
            <w:tcMar>
              <w:left w:w="28" w:type="dxa"/>
              <w:right w:w="28" w:type="dxa"/>
            </w:tcMar>
            <w:vAlign w:val="center"/>
            <w:hideMark/>
          </w:tcPr>
          <w:p w14:paraId="08F656FE" w14:textId="6A50916B"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827" w:type="dxa"/>
            <w:shd w:val="clear" w:color="auto" w:fill="BDD6EE"/>
            <w:tcMar>
              <w:left w:w="28" w:type="dxa"/>
              <w:right w:w="28" w:type="dxa"/>
            </w:tcMar>
            <w:vAlign w:val="center"/>
            <w:hideMark/>
          </w:tcPr>
          <w:p w14:paraId="6D741527" w14:textId="26EACF01"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448" w:type="dxa"/>
            <w:shd w:val="clear" w:color="auto" w:fill="BDD6EE"/>
            <w:tcMar>
              <w:left w:w="28" w:type="dxa"/>
              <w:right w:w="28" w:type="dxa"/>
            </w:tcMar>
            <w:vAlign w:val="center"/>
            <w:hideMark/>
          </w:tcPr>
          <w:p w14:paraId="195C72EE"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3969" w:type="dxa"/>
            <w:vMerge/>
            <w:tcMar>
              <w:left w:w="28" w:type="dxa"/>
              <w:right w:w="28" w:type="dxa"/>
            </w:tcMar>
            <w:vAlign w:val="center"/>
            <w:hideMark/>
          </w:tcPr>
          <w:p w14:paraId="0AB1CE62"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72498156" w14:textId="77777777" w:rsidTr="008E475E">
        <w:trPr>
          <w:trHeight w:val="430"/>
        </w:trPr>
        <w:tc>
          <w:tcPr>
            <w:tcW w:w="1135" w:type="dxa"/>
            <w:shd w:val="clear" w:color="auto" w:fill="C4EFCE"/>
            <w:tcMar>
              <w:left w:w="28" w:type="dxa"/>
              <w:right w:w="28" w:type="dxa"/>
            </w:tcMar>
            <w:vAlign w:val="center"/>
            <w:hideMark/>
          </w:tcPr>
          <w:p w14:paraId="63BE4AE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20.1</w:t>
            </w:r>
          </w:p>
        </w:tc>
        <w:tc>
          <w:tcPr>
            <w:tcW w:w="1276" w:type="dxa"/>
            <w:shd w:val="clear" w:color="auto" w:fill="C4EFCE"/>
            <w:noWrap/>
            <w:tcMar>
              <w:left w:w="28" w:type="dxa"/>
              <w:right w:w="28" w:type="dxa"/>
            </w:tcMar>
            <w:vAlign w:val="center"/>
            <w:hideMark/>
          </w:tcPr>
          <w:p w14:paraId="164C94B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TD-C20-r37</w:t>
            </w:r>
          </w:p>
        </w:tc>
        <w:tc>
          <w:tcPr>
            <w:tcW w:w="1134" w:type="dxa"/>
            <w:shd w:val="clear" w:color="auto" w:fill="C4EFCE"/>
            <w:noWrap/>
            <w:tcMar>
              <w:left w:w="28" w:type="dxa"/>
              <w:right w:w="28" w:type="dxa"/>
            </w:tcMar>
            <w:vAlign w:val="center"/>
            <w:hideMark/>
          </w:tcPr>
          <w:p w14:paraId="12F2735F" w14:textId="046FFFEC"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7A40C825" w14:textId="1414010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Odborná príprava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digitálnych zručností pre učiteľov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nepedagogických zamestnancov vo verejnej vzdelávacej sieti</w:t>
            </w:r>
          </w:p>
        </w:tc>
        <w:tc>
          <w:tcPr>
            <w:tcW w:w="1275" w:type="dxa"/>
            <w:shd w:val="clear" w:color="auto" w:fill="C4EFCE"/>
            <w:noWrap/>
            <w:tcMar>
              <w:left w:w="28" w:type="dxa"/>
              <w:right w:w="28" w:type="dxa"/>
            </w:tcMar>
            <w:vAlign w:val="center"/>
            <w:hideMark/>
          </w:tcPr>
          <w:p w14:paraId="224B1BF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367CBB8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w:t>
            </w:r>
          </w:p>
        </w:tc>
        <w:tc>
          <w:tcPr>
            <w:tcW w:w="992" w:type="dxa"/>
            <w:shd w:val="clear" w:color="auto" w:fill="C4EFCE"/>
            <w:noWrap/>
            <w:tcMar>
              <w:left w:w="28" w:type="dxa"/>
              <w:right w:w="28" w:type="dxa"/>
            </w:tcMar>
            <w:vAlign w:val="center"/>
            <w:hideMark/>
          </w:tcPr>
          <w:p w14:paraId="6A3414D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0</w:t>
            </w:r>
          </w:p>
        </w:tc>
        <w:tc>
          <w:tcPr>
            <w:tcW w:w="992" w:type="dxa"/>
            <w:shd w:val="clear" w:color="auto" w:fill="C4EFCE"/>
            <w:noWrap/>
            <w:tcMar>
              <w:left w:w="28" w:type="dxa"/>
              <w:right w:w="28" w:type="dxa"/>
            </w:tcMar>
            <w:vAlign w:val="center"/>
            <w:hideMark/>
          </w:tcPr>
          <w:p w14:paraId="6B108FA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95</w:t>
            </w:r>
          </w:p>
        </w:tc>
        <w:tc>
          <w:tcPr>
            <w:tcW w:w="827" w:type="dxa"/>
            <w:shd w:val="clear" w:color="auto" w:fill="C4EFCE"/>
            <w:noWrap/>
            <w:tcMar>
              <w:left w:w="28" w:type="dxa"/>
              <w:right w:w="28" w:type="dxa"/>
            </w:tcMar>
            <w:vAlign w:val="center"/>
            <w:hideMark/>
          </w:tcPr>
          <w:p w14:paraId="75635301" w14:textId="5B6603B4"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hideMark/>
          </w:tcPr>
          <w:p w14:paraId="7E7431B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4AA33588" w14:textId="1AC944C8"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Percentuálny podiel učiteľov vo verejnej vzdelávacej sieti, ktorí absolvovali odbornú prípravu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základných alebo pokročilejších digitálnych zručností vrátane (pre učiteľov)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oblasti integrácie digitálnych technológií do učebných osnov </w:t>
            </w:r>
          </w:p>
        </w:tc>
      </w:tr>
      <w:tr w:rsidR="00387C70" w:rsidRPr="003F23AC" w14:paraId="7114F95D" w14:textId="77777777" w:rsidTr="008E475E">
        <w:trPr>
          <w:trHeight w:val="300"/>
        </w:trPr>
        <w:tc>
          <w:tcPr>
            <w:tcW w:w="1135" w:type="dxa"/>
            <w:shd w:val="clear" w:color="auto" w:fill="C4EFCE"/>
            <w:tcMar>
              <w:left w:w="28" w:type="dxa"/>
              <w:right w:w="28" w:type="dxa"/>
            </w:tcMar>
            <w:vAlign w:val="center"/>
          </w:tcPr>
          <w:p w14:paraId="08F3C5C5"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w:t>
            </w:r>
          </w:p>
        </w:tc>
        <w:tc>
          <w:tcPr>
            <w:tcW w:w="1276" w:type="dxa"/>
            <w:shd w:val="clear" w:color="auto" w:fill="C4EFCE"/>
            <w:noWrap/>
            <w:tcMar>
              <w:left w:w="28" w:type="dxa"/>
              <w:right w:w="28" w:type="dxa"/>
            </w:tcMar>
            <w:vAlign w:val="center"/>
          </w:tcPr>
          <w:p w14:paraId="0AF6BE0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TD-C20-i01</w:t>
            </w:r>
          </w:p>
        </w:tc>
        <w:tc>
          <w:tcPr>
            <w:tcW w:w="1134" w:type="dxa"/>
            <w:shd w:val="clear" w:color="auto" w:fill="C4EFCE"/>
            <w:noWrap/>
            <w:tcMar>
              <w:left w:w="28" w:type="dxa"/>
              <w:right w:w="28" w:type="dxa"/>
            </w:tcMar>
            <w:vAlign w:val="center"/>
          </w:tcPr>
          <w:p w14:paraId="36E5EE5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2DF62002" w14:textId="394FF2F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Podpis zmlúv na nákup jednotlivých počítačov pre žiakov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učiteľov</w:t>
            </w:r>
          </w:p>
        </w:tc>
        <w:tc>
          <w:tcPr>
            <w:tcW w:w="1275" w:type="dxa"/>
            <w:shd w:val="clear" w:color="auto" w:fill="C4EFCE"/>
            <w:noWrap/>
            <w:tcMar>
              <w:left w:w="28" w:type="dxa"/>
              <w:right w:w="28" w:type="dxa"/>
            </w:tcMar>
            <w:vAlign w:val="center"/>
          </w:tcPr>
          <w:p w14:paraId="5636A55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Zmluva bola podpísaná </w:t>
            </w:r>
          </w:p>
        </w:tc>
        <w:tc>
          <w:tcPr>
            <w:tcW w:w="993" w:type="dxa"/>
            <w:shd w:val="clear" w:color="auto" w:fill="C4EFCE"/>
            <w:noWrap/>
            <w:tcMar>
              <w:left w:w="28" w:type="dxa"/>
              <w:right w:w="28" w:type="dxa"/>
            </w:tcMar>
            <w:vAlign w:val="center"/>
          </w:tcPr>
          <w:p w14:paraId="097313A5"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1EC54429"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10D49A9C"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27" w:type="dxa"/>
            <w:shd w:val="clear" w:color="auto" w:fill="C4EFCE"/>
            <w:noWrap/>
            <w:tcMar>
              <w:left w:w="28" w:type="dxa"/>
              <w:right w:w="28" w:type="dxa"/>
            </w:tcMar>
            <w:vAlign w:val="center"/>
          </w:tcPr>
          <w:p w14:paraId="473C119D" w14:textId="31A7912F"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tcPr>
          <w:p w14:paraId="667C7DB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2021</w:t>
            </w:r>
          </w:p>
        </w:tc>
        <w:tc>
          <w:tcPr>
            <w:tcW w:w="3969" w:type="dxa"/>
            <w:shd w:val="clear" w:color="auto" w:fill="C4EFCE"/>
            <w:tcMar>
              <w:left w:w="28" w:type="dxa"/>
              <w:right w:w="28" w:type="dxa"/>
            </w:tcMar>
            <w:vAlign w:val="center"/>
          </w:tcPr>
          <w:p w14:paraId="50EEB7FB" w14:textId="5C6A6A01"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Podpísanie zmlúv na nákup 600000 nových prenosných počítačov určených na požičiavanie učiteľom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žiakom</w:t>
            </w:r>
          </w:p>
        </w:tc>
      </w:tr>
      <w:tr w:rsidR="00387C70" w:rsidRPr="003F23AC" w14:paraId="085E7F63" w14:textId="77777777" w:rsidTr="008E475E">
        <w:trPr>
          <w:trHeight w:val="300"/>
        </w:trPr>
        <w:tc>
          <w:tcPr>
            <w:tcW w:w="1135" w:type="dxa"/>
            <w:shd w:val="clear" w:color="auto" w:fill="C4EFCE"/>
            <w:tcMar>
              <w:left w:w="28" w:type="dxa"/>
              <w:right w:w="28" w:type="dxa"/>
            </w:tcMar>
            <w:vAlign w:val="center"/>
            <w:hideMark/>
          </w:tcPr>
          <w:p w14:paraId="4CAF552D"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20.3</w:t>
            </w:r>
          </w:p>
        </w:tc>
        <w:tc>
          <w:tcPr>
            <w:tcW w:w="1276" w:type="dxa"/>
            <w:shd w:val="clear" w:color="auto" w:fill="C4EFCE"/>
            <w:noWrap/>
            <w:tcMar>
              <w:left w:w="28" w:type="dxa"/>
              <w:right w:w="28" w:type="dxa"/>
            </w:tcMar>
            <w:vAlign w:val="center"/>
            <w:hideMark/>
          </w:tcPr>
          <w:p w14:paraId="7D638AD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TD-C20-i01</w:t>
            </w:r>
          </w:p>
        </w:tc>
        <w:tc>
          <w:tcPr>
            <w:tcW w:w="1134" w:type="dxa"/>
            <w:shd w:val="clear" w:color="auto" w:fill="C4EFCE"/>
            <w:noWrap/>
            <w:tcMar>
              <w:left w:w="28" w:type="dxa"/>
              <w:right w:w="28" w:type="dxa"/>
            </w:tcMar>
            <w:vAlign w:val="center"/>
            <w:hideMark/>
          </w:tcPr>
          <w:p w14:paraId="6ED35996" w14:textId="0B68801A"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3D20C1E8" w14:textId="1509BAA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Počítače na individuálne použitie žiakov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učiteľov</w:t>
            </w:r>
          </w:p>
        </w:tc>
        <w:tc>
          <w:tcPr>
            <w:tcW w:w="1275" w:type="dxa"/>
            <w:shd w:val="clear" w:color="auto" w:fill="C4EFCE"/>
            <w:noWrap/>
            <w:tcMar>
              <w:left w:w="28" w:type="dxa"/>
              <w:right w:w="28" w:type="dxa"/>
            </w:tcMar>
            <w:vAlign w:val="center"/>
            <w:hideMark/>
          </w:tcPr>
          <w:p w14:paraId="2CBBC93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3B22CD9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41371EA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450 000</w:t>
            </w:r>
          </w:p>
        </w:tc>
        <w:tc>
          <w:tcPr>
            <w:tcW w:w="992" w:type="dxa"/>
            <w:shd w:val="clear" w:color="auto" w:fill="C4EFCE"/>
            <w:noWrap/>
            <w:tcMar>
              <w:left w:w="28" w:type="dxa"/>
              <w:right w:w="28" w:type="dxa"/>
            </w:tcMar>
            <w:vAlign w:val="center"/>
            <w:hideMark/>
          </w:tcPr>
          <w:p w14:paraId="7AA0015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1 050 000</w:t>
            </w:r>
          </w:p>
        </w:tc>
        <w:tc>
          <w:tcPr>
            <w:tcW w:w="827" w:type="dxa"/>
            <w:shd w:val="clear" w:color="auto" w:fill="C4EFCE"/>
            <w:noWrap/>
            <w:tcMar>
              <w:left w:w="28" w:type="dxa"/>
              <w:right w:w="28" w:type="dxa"/>
            </w:tcMar>
            <w:vAlign w:val="center"/>
            <w:hideMark/>
          </w:tcPr>
          <w:p w14:paraId="675FB560" w14:textId="47190D18"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hideMark/>
          </w:tcPr>
          <w:p w14:paraId="5DBE173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69" w:type="dxa"/>
            <w:shd w:val="clear" w:color="auto" w:fill="C4EFCE"/>
            <w:tcMar>
              <w:left w:w="28" w:type="dxa"/>
              <w:right w:w="28" w:type="dxa"/>
            </w:tcMar>
            <w:vAlign w:val="center"/>
            <w:hideMark/>
          </w:tcPr>
          <w:p w14:paraId="608C7B2E" w14:textId="7748C36A"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prenosných počítačov poskytnutých učiteľom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žiakom na základných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stredných verejných školách</w:t>
            </w:r>
          </w:p>
        </w:tc>
      </w:tr>
      <w:tr w:rsidR="00387C70" w:rsidRPr="003F23AC" w14:paraId="73850E68" w14:textId="77777777" w:rsidTr="008E475E">
        <w:trPr>
          <w:trHeight w:val="640"/>
        </w:trPr>
        <w:tc>
          <w:tcPr>
            <w:tcW w:w="1135" w:type="dxa"/>
            <w:shd w:val="clear" w:color="auto" w:fill="C4EFCE"/>
            <w:tcMar>
              <w:left w:w="28" w:type="dxa"/>
              <w:right w:w="28" w:type="dxa"/>
            </w:tcMar>
            <w:vAlign w:val="center"/>
            <w:hideMark/>
          </w:tcPr>
          <w:p w14:paraId="2C49AD1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20.4</w:t>
            </w:r>
          </w:p>
        </w:tc>
        <w:tc>
          <w:tcPr>
            <w:tcW w:w="1276" w:type="dxa"/>
            <w:shd w:val="clear" w:color="auto" w:fill="C4EFCE"/>
            <w:noWrap/>
            <w:tcMar>
              <w:left w:w="28" w:type="dxa"/>
              <w:right w:w="28" w:type="dxa"/>
            </w:tcMar>
            <w:vAlign w:val="center"/>
            <w:hideMark/>
          </w:tcPr>
          <w:p w14:paraId="21831B9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TD-C20-i01</w:t>
            </w:r>
          </w:p>
        </w:tc>
        <w:tc>
          <w:tcPr>
            <w:tcW w:w="1134" w:type="dxa"/>
            <w:shd w:val="clear" w:color="auto" w:fill="C4EFCE"/>
            <w:noWrap/>
            <w:tcMar>
              <w:left w:w="28" w:type="dxa"/>
              <w:right w:w="28" w:type="dxa"/>
            </w:tcMar>
            <w:vAlign w:val="center"/>
            <w:hideMark/>
          </w:tcPr>
          <w:p w14:paraId="3DC5179D" w14:textId="0281E557"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4D27B3A2" w14:textId="19BABEC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Modernizácia pripojiteľnosti na základných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stredných školách</w:t>
            </w:r>
          </w:p>
        </w:tc>
        <w:tc>
          <w:tcPr>
            <w:tcW w:w="1275" w:type="dxa"/>
            <w:shd w:val="clear" w:color="auto" w:fill="C4EFCE"/>
            <w:noWrap/>
            <w:tcMar>
              <w:left w:w="28" w:type="dxa"/>
              <w:right w:w="28" w:type="dxa"/>
            </w:tcMar>
            <w:vAlign w:val="center"/>
            <w:hideMark/>
          </w:tcPr>
          <w:p w14:paraId="0723204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6999EFC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92" w:type="dxa"/>
            <w:shd w:val="clear" w:color="auto" w:fill="C4EFCE"/>
            <w:noWrap/>
            <w:tcMar>
              <w:left w:w="28" w:type="dxa"/>
              <w:right w:w="28" w:type="dxa"/>
            </w:tcMar>
            <w:vAlign w:val="center"/>
            <w:hideMark/>
          </w:tcPr>
          <w:p w14:paraId="519070A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hideMark/>
          </w:tcPr>
          <w:p w14:paraId="2D3F45F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95</w:t>
            </w:r>
          </w:p>
        </w:tc>
        <w:tc>
          <w:tcPr>
            <w:tcW w:w="827" w:type="dxa"/>
            <w:shd w:val="clear" w:color="auto" w:fill="C4EFCE"/>
            <w:noWrap/>
            <w:tcMar>
              <w:left w:w="28" w:type="dxa"/>
              <w:right w:w="28" w:type="dxa"/>
            </w:tcMar>
            <w:vAlign w:val="center"/>
            <w:hideMark/>
          </w:tcPr>
          <w:p w14:paraId="6F6CA3AB" w14:textId="6460293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hideMark/>
          </w:tcPr>
          <w:p w14:paraId="35CFD022" w14:textId="10E5C0B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hideMark/>
          </w:tcPr>
          <w:p w14:paraId="00706952" w14:textId="3F50368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Percentuálny podiel základných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stredných verejných škôl</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kontinentálnom Portugalsku, ktoré 1) sú pripojené</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rozšírenej sieti vzdelávania 300 Gb/s</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pripojením najmenej 1 Gbps;</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2) mať miestne siete školských oblastí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priemerom 40 prístupových bodov Wi-fi. </w:t>
            </w:r>
          </w:p>
        </w:tc>
      </w:tr>
      <w:tr w:rsidR="00387C70" w:rsidRPr="003F23AC" w14:paraId="28357C41" w14:textId="77777777" w:rsidTr="008E475E">
        <w:trPr>
          <w:trHeight w:val="1060"/>
        </w:trPr>
        <w:tc>
          <w:tcPr>
            <w:tcW w:w="1135" w:type="dxa"/>
            <w:shd w:val="clear" w:color="auto" w:fill="C4EFCE"/>
            <w:tcMar>
              <w:left w:w="28" w:type="dxa"/>
              <w:right w:w="28" w:type="dxa"/>
            </w:tcMar>
            <w:vAlign w:val="center"/>
            <w:hideMark/>
          </w:tcPr>
          <w:p w14:paraId="52869EA6"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20.5</w:t>
            </w:r>
          </w:p>
        </w:tc>
        <w:tc>
          <w:tcPr>
            <w:tcW w:w="1276" w:type="dxa"/>
            <w:shd w:val="clear" w:color="auto" w:fill="C4EFCE"/>
            <w:noWrap/>
            <w:tcMar>
              <w:left w:w="28" w:type="dxa"/>
              <w:right w:w="28" w:type="dxa"/>
            </w:tcMar>
            <w:vAlign w:val="center"/>
            <w:hideMark/>
          </w:tcPr>
          <w:p w14:paraId="118116D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TD-C20-i01</w:t>
            </w:r>
          </w:p>
        </w:tc>
        <w:tc>
          <w:tcPr>
            <w:tcW w:w="1134" w:type="dxa"/>
            <w:shd w:val="clear" w:color="auto" w:fill="C4EFCE"/>
            <w:noWrap/>
            <w:tcMar>
              <w:left w:w="28" w:type="dxa"/>
              <w:right w:w="28" w:type="dxa"/>
            </w:tcMar>
            <w:vAlign w:val="center"/>
            <w:hideMark/>
          </w:tcPr>
          <w:p w14:paraId="20568D27" w14:textId="00121B76"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3371D07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Nainštalované laboratóriá digitálneho vzdelávania</w:t>
            </w:r>
          </w:p>
        </w:tc>
        <w:tc>
          <w:tcPr>
            <w:tcW w:w="1275" w:type="dxa"/>
            <w:shd w:val="clear" w:color="auto" w:fill="C4EFCE"/>
            <w:noWrap/>
            <w:tcMar>
              <w:left w:w="28" w:type="dxa"/>
              <w:right w:w="28" w:type="dxa"/>
            </w:tcMar>
            <w:vAlign w:val="center"/>
            <w:hideMark/>
          </w:tcPr>
          <w:p w14:paraId="3057EB2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37E61E2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121F7AD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hideMark/>
          </w:tcPr>
          <w:p w14:paraId="5CB928B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1 300</w:t>
            </w:r>
          </w:p>
        </w:tc>
        <w:tc>
          <w:tcPr>
            <w:tcW w:w="827" w:type="dxa"/>
            <w:shd w:val="clear" w:color="auto" w:fill="C4EFCE"/>
            <w:noWrap/>
            <w:tcMar>
              <w:left w:w="28" w:type="dxa"/>
              <w:right w:w="28" w:type="dxa"/>
            </w:tcMar>
            <w:vAlign w:val="center"/>
            <w:hideMark/>
          </w:tcPr>
          <w:p w14:paraId="465B78FA" w14:textId="08191CC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hideMark/>
          </w:tcPr>
          <w:p w14:paraId="3E3CE4C3" w14:textId="7A64BB4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hideMark/>
          </w:tcPr>
          <w:p w14:paraId="4120F3CB" w14:textId="254DF082"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nových laboratórií digitálneho vzdelávania nainštalovaných na základných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stredných verejných školách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kontinentálnom Portugalsku so špecializovaným projektovým vybavením, ako sú robotické súpravy, 3D tlačiarne, meracie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testovacie zariadenia, rôzne nástroje, vývojové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simulačné moduly, elektronické komponenty, laserové prístroje na záznam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rezanie alebo iné,</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vyvinúť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znásobiť experimentálne výpočtové, programovacie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robotické kluby.</w:t>
            </w:r>
          </w:p>
        </w:tc>
      </w:tr>
      <w:tr w:rsidR="00387C70" w:rsidRPr="003F23AC" w14:paraId="39151C53" w14:textId="77777777" w:rsidTr="008E475E">
        <w:trPr>
          <w:trHeight w:val="300"/>
        </w:trPr>
        <w:tc>
          <w:tcPr>
            <w:tcW w:w="1135" w:type="dxa"/>
            <w:shd w:val="clear" w:color="auto" w:fill="C4EFCE"/>
            <w:tcMar>
              <w:left w:w="28" w:type="dxa"/>
              <w:right w:w="28" w:type="dxa"/>
            </w:tcMar>
            <w:vAlign w:val="center"/>
            <w:hideMark/>
          </w:tcPr>
          <w:p w14:paraId="26EC845C"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20.6</w:t>
            </w:r>
          </w:p>
        </w:tc>
        <w:tc>
          <w:tcPr>
            <w:tcW w:w="1276" w:type="dxa"/>
            <w:shd w:val="clear" w:color="auto" w:fill="C4EFCE"/>
            <w:noWrap/>
            <w:tcMar>
              <w:left w:w="28" w:type="dxa"/>
              <w:right w:w="28" w:type="dxa"/>
            </w:tcMar>
            <w:vAlign w:val="center"/>
            <w:hideMark/>
          </w:tcPr>
          <w:p w14:paraId="5A9E807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TD-C20-i01</w:t>
            </w:r>
          </w:p>
        </w:tc>
        <w:tc>
          <w:tcPr>
            <w:tcW w:w="1134" w:type="dxa"/>
            <w:shd w:val="clear" w:color="auto" w:fill="C4EFCE"/>
            <w:noWrap/>
            <w:tcMar>
              <w:left w:w="28" w:type="dxa"/>
              <w:right w:w="28" w:type="dxa"/>
            </w:tcMar>
            <w:vAlign w:val="center"/>
            <w:hideMark/>
          </w:tcPr>
          <w:p w14:paraId="0DB3DE55" w14:textId="0779FE4B"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486508B8" w14:textId="236535C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Triedy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novým projekčným vybavením</w:t>
            </w:r>
          </w:p>
        </w:tc>
        <w:tc>
          <w:tcPr>
            <w:tcW w:w="1275" w:type="dxa"/>
            <w:shd w:val="clear" w:color="auto" w:fill="C4EFCE"/>
            <w:noWrap/>
            <w:tcMar>
              <w:left w:w="28" w:type="dxa"/>
              <w:right w:w="28" w:type="dxa"/>
            </w:tcMar>
            <w:vAlign w:val="center"/>
            <w:hideMark/>
          </w:tcPr>
          <w:p w14:paraId="670C4A4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5D8A013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125DBE7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hideMark/>
          </w:tcPr>
          <w:p w14:paraId="31610ED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40 000</w:t>
            </w:r>
          </w:p>
        </w:tc>
        <w:tc>
          <w:tcPr>
            <w:tcW w:w="827" w:type="dxa"/>
            <w:shd w:val="clear" w:color="auto" w:fill="C4EFCE"/>
            <w:noWrap/>
            <w:tcMar>
              <w:left w:w="28" w:type="dxa"/>
              <w:right w:w="28" w:type="dxa"/>
            </w:tcMar>
            <w:vAlign w:val="center"/>
            <w:hideMark/>
          </w:tcPr>
          <w:p w14:paraId="7382EA47" w14:textId="35DBACF6"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448" w:type="dxa"/>
            <w:shd w:val="clear" w:color="auto" w:fill="C4EFCE"/>
            <w:noWrap/>
            <w:tcMar>
              <w:left w:w="28" w:type="dxa"/>
              <w:right w:w="28" w:type="dxa"/>
            </w:tcMar>
            <w:vAlign w:val="center"/>
            <w:hideMark/>
          </w:tcPr>
          <w:p w14:paraId="00628B06" w14:textId="10DF44DB"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hideMark/>
          </w:tcPr>
          <w:p w14:paraId="5F7C27F0" w14:textId="2169ECED"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tried na základných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stredných verejných školách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novým prognostickým vybavením </w:t>
            </w:r>
          </w:p>
        </w:tc>
      </w:tr>
      <w:tr w:rsidR="00387C70" w:rsidRPr="003F23AC" w14:paraId="651A2DB2" w14:textId="77777777" w:rsidTr="008E475E">
        <w:trPr>
          <w:trHeight w:val="850"/>
        </w:trPr>
        <w:tc>
          <w:tcPr>
            <w:tcW w:w="1135" w:type="dxa"/>
            <w:shd w:val="clear" w:color="auto" w:fill="C4EFCE"/>
            <w:tcMar>
              <w:left w:w="28" w:type="dxa"/>
              <w:right w:w="28" w:type="dxa"/>
            </w:tcMar>
            <w:vAlign w:val="center"/>
            <w:hideMark/>
          </w:tcPr>
          <w:p w14:paraId="79EC60DC"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20.7</w:t>
            </w:r>
          </w:p>
        </w:tc>
        <w:tc>
          <w:tcPr>
            <w:tcW w:w="1276" w:type="dxa"/>
            <w:shd w:val="clear" w:color="auto" w:fill="C4EFCE"/>
            <w:noWrap/>
            <w:tcMar>
              <w:left w:w="28" w:type="dxa"/>
              <w:right w:w="28" w:type="dxa"/>
            </w:tcMar>
            <w:vAlign w:val="center"/>
            <w:hideMark/>
          </w:tcPr>
          <w:p w14:paraId="7C4CC76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TD-C20-i01</w:t>
            </w:r>
          </w:p>
        </w:tc>
        <w:tc>
          <w:tcPr>
            <w:tcW w:w="1134" w:type="dxa"/>
            <w:shd w:val="clear" w:color="auto" w:fill="C4EFCE"/>
            <w:noWrap/>
            <w:tcMar>
              <w:left w:w="28" w:type="dxa"/>
              <w:right w:w="28" w:type="dxa"/>
            </w:tcMar>
            <w:vAlign w:val="center"/>
            <w:hideMark/>
          </w:tcPr>
          <w:p w14:paraId="288B1223" w14:textId="73C0323E"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7A43A07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Posilnenie riadenia škôl</w:t>
            </w:r>
          </w:p>
        </w:tc>
        <w:tc>
          <w:tcPr>
            <w:tcW w:w="1275" w:type="dxa"/>
            <w:shd w:val="clear" w:color="auto" w:fill="C4EFCE"/>
            <w:noWrap/>
            <w:tcMar>
              <w:left w:w="28" w:type="dxa"/>
              <w:right w:w="28" w:type="dxa"/>
            </w:tcMar>
            <w:vAlign w:val="center"/>
            <w:hideMark/>
          </w:tcPr>
          <w:p w14:paraId="0F6F76E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42306F9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w:t>
            </w:r>
          </w:p>
        </w:tc>
        <w:tc>
          <w:tcPr>
            <w:tcW w:w="992" w:type="dxa"/>
            <w:shd w:val="clear" w:color="auto" w:fill="C4EFCE"/>
            <w:noWrap/>
            <w:tcMar>
              <w:left w:w="28" w:type="dxa"/>
              <w:right w:w="28" w:type="dxa"/>
            </w:tcMar>
            <w:vAlign w:val="center"/>
            <w:hideMark/>
          </w:tcPr>
          <w:p w14:paraId="5735527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30</w:t>
            </w:r>
          </w:p>
        </w:tc>
        <w:tc>
          <w:tcPr>
            <w:tcW w:w="992" w:type="dxa"/>
            <w:shd w:val="clear" w:color="auto" w:fill="C4EFCE"/>
            <w:noWrap/>
            <w:tcMar>
              <w:left w:w="28" w:type="dxa"/>
              <w:right w:w="28" w:type="dxa"/>
            </w:tcMar>
            <w:vAlign w:val="center"/>
            <w:hideMark/>
          </w:tcPr>
          <w:p w14:paraId="33A86C1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95</w:t>
            </w:r>
          </w:p>
        </w:tc>
        <w:tc>
          <w:tcPr>
            <w:tcW w:w="827" w:type="dxa"/>
            <w:shd w:val="clear" w:color="auto" w:fill="C4EFCE"/>
            <w:noWrap/>
            <w:tcMar>
              <w:left w:w="28" w:type="dxa"/>
              <w:right w:w="28" w:type="dxa"/>
            </w:tcMar>
            <w:vAlign w:val="center"/>
            <w:hideMark/>
          </w:tcPr>
          <w:p w14:paraId="5F47097D" w14:textId="0829DE11"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hideMark/>
          </w:tcPr>
          <w:p w14:paraId="4343F28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hideMark/>
          </w:tcPr>
          <w:p w14:paraId="20BBF106" w14:textId="43302EA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Percentuálny podiel základných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stredných verejných škôl</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kontinentálnom Portugalsku, ktoré 1) prijali jednotný systém identity; 2) prepojený</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informačnými systémami riadenia vzdelávania ministerstva školstva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3) prijal systém School 360 vrátane dodávky 15000 počítačov používaných pri riadení škôl.</w:t>
            </w:r>
          </w:p>
        </w:tc>
      </w:tr>
      <w:tr w:rsidR="00387C70" w:rsidRPr="003F23AC" w14:paraId="3EE0A428" w14:textId="77777777" w:rsidTr="008E475E">
        <w:trPr>
          <w:trHeight w:val="430"/>
        </w:trPr>
        <w:tc>
          <w:tcPr>
            <w:tcW w:w="1135" w:type="dxa"/>
            <w:shd w:val="clear" w:color="auto" w:fill="C4EFCE"/>
            <w:tcMar>
              <w:left w:w="28" w:type="dxa"/>
              <w:right w:w="28" w:type="dxa"/>
            </w:tcMar>
            <w:vAlign w:val="center"/>
            <w:hideMark/>
          </w:tcPr>
          <w:p w14:paraId="3858008C"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20.8</w:t>
            </w:r>
          </w:p>
        </w:tc>
        <w:tc>
          <w:tcPr>
            <w:tcW w:w="1276" w:type="dxa"/>
            <w:shd w:val="clear" w:color="auto" w:fill="C4EFCE"/>
            <w:noWrap/>
            <w:tcMar>
              <w:left w:w="28" w:type="dxa"/>
              <w:right w:w="28" w:type="dxa"/>
            </w:tcMar>
            <w:vAlign w:val="center"/>
            <w:hideMark/>
          </w:tcPr>
          <w:p w14:paraId="2319D08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TD-C20-i01</w:t>
            </w:r>
          </w:p>
        </w:tc>
        <w:tc>
          <w:tcPr>
            <w:tcW w:w="1134" w:type="dxa"/>
            <w:shd w:val="clear" w:color="auto" w:fill="C4EFCE"/>
            <w:noWrap/>
            <w:tcMar>
              <w:left w:w="28" w:type="dxa"/>
              <w:right w:w="28" w:type="dxa"/>
            </w:tcMar>
            <w:vAlign w:val="center"/>
            <w:hideMark/>
          </w:tcPr>
          <w:p w14:paraId="3060AFF1" w14:textId="572888A4"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084A8A8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Digitálne vzdelávacie zdroje</w:t>
            </w:r>
          </w:p>
        </w:tc>
        <w:tc>
          <w:tcPr>
            <w:tcW w:w="1275" w:type="dxa"/>
            <w:shd w:val="clear" w:color="auto" w:fill="C4EFCE"/>
            <w:noWrap/>
            <w:tcMar>
              <w:left w:w="28" w:type="dxa"/>
              <w:right w:w="28" w:type="dxa"/>
            </w:tcMar>
            <w:vAlign w:val="center"/>
            <w:hideMark/>
          </w:tcPr>
          <w:p w14:paraId="2EB1AFB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71AFDD2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w:t>
            </w:r>
          </w:p>
        </w:tc>
        <w:tc>
          <w:tcPr>
            <w:tcW w:w="992" w:type="dxa"/>
            <w:shd w:val="clear" w:color="auto" w:fill="C4EFCE"/>
            <w:noWrap/>
            <w:tcMar>
              <w:left w:w="28" w:type="dxa"/>
              <w:right w:w="28" w:type="dxa"/>
            </w:tcMar>
            <w:vAlign w:val="center"/>
            <w:hideMark/>
          </w:tcPr>
          <w:p w14:paraId="02C4AFF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hideMark/>
          </w:tcPr>
          <w:p w14:paraId="4E9F353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95</w:t>
            </w:r>
          </w:p>
        </w:tc>
        <w:tc>
          <w:tcPr>
            <w:tcW w:w="827" w:type="dxa"/>
            <w:shd w:val="clear" w:color="auto" w:fill="C4EFCE"/>
            <w:noWrap/>
            <w:tcMar>
              <w:left w:w="28" w:type="dxa"/>
              <w:right w:w="28" w:type="dxa"/>
            </w:tcMar>
            <w:vAlign w:val="center"/>
            <w:hideMark/>
          </w:tcPr>
          <w:p w14:paraId="4CC9C924" w14:textId="27D77D7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hideMark/>
          </w:tcPr>
          <w:p w14:paraId="7436371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5EECD628" w14:textId="26FDFE37"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Percentuálny podiel predmetov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učebných osnovách primárneho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sekundárneho vzdelávania vrátane telesnej výchovy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športu, pre ktoré sa dokončila tvorba digitálnych vzdelávacích zdrojov.</w:t>
            </w:r>
          </w:p>
        </w:tc>
      </w:tr>
      <w:tr w:rsidR="00387C70" w:rsidRPr="003F23AC" w14:paraId="6583B735" w14:textId="77777777" w:rsidTr="008E475E">
        <w:trPr>
          <w:trHeight w:val="300"/>
        </w:trPr>
        <w:tc>
          <w:tcPr>
            <w:tcW w:w="1135" w:type="dxa"/>
            <w:shd w:val="clear" w:color="auto" w:fill="C4EFCE"/>
            <w:tcMar>
              <w:left w:w="28" w:type="dxa"/>
              <w:right w:w="28" w:type="dxa"/>
            </w:tcMar>
            <w:vAlign w:val="center"/>
            <w:hideMark/>
          </w:tcPr>
          <w:p w14:paraId="4B067463"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20.9</w:t>
            </w:r>
          </w:p>
        </w:tc>
        <w:tc>
          <w:tcPr>
            <w:tcW w:w="1276" w:type="dxa"/>
            <w:shd w:val="clear" w:color="auto" w:fill="C4EFCE"/>
            <w:noWrap/>
            <w:tcMar>
              <w:left w:w="28" w:type="dxa"/>
              <w:right w:w="28" w:type="dxa"/>
            </w:tcMar>
            <w:vAlign w:val="center"/>
            <w:hideMark/>
          </w:tcPr>
          <w:p w14:paraId="51ABDC5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TD-C20-i01</w:t>
            </w:r>
          </w:p>
        </w:tc>
        <w:tc>
          <w:tcPr>
            <w:tcW w:w="1134" w:type="dxa"/>
            <w:shd w:val="clear" w:color="auto" w:fill="C4EFCE"/>
            <w:noWrap/>
            <w:tcMar>
              <w:left w:w="28" w:type="dxa"/>
              <w:right w:w="28" w:type="dxa"/>
            </w:tcMar>
            <w:vAlign w:val="center"/>
            <w:hideMark/>
          </w:tcPr>
          <w:p w14:paraId="493108C4" w14:textId="5CCFF0FE"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792A1726" w14:textId="34B10FC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Digitálne testy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skúšky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školách </w:t>
            </w:r>
          </w:p>
        </w:tc>
        <w:tc>
          <w:tcPr>
            <w:tcW w:w="1275" w:type="dxa"/>
            <w:shd w:val="clear" w:color="auto" w:fill="C4EFCE"/>
            <w:noWrap/>
            <w:tcMar>
              <w:left w:w="28" w:type="dxa"/>
              <w:right w:w="28" w:type="dxa"/>
            </w:tcMar>
            <w:vAlign w:val="center"/>
            <w:hideMark/>
          </w:tcPr>
          <w:p w14:paraId="5EC705B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1434041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w:t>
            </w:r>
          </w:p>
        </w:tc>
        <w:tc>
          <w:tcPr>
            <w:tcW w:w="992" w:type="dxa"/>
            <w:shd w:val="clear" w:color="auto" w:fill="C4EFCE"/>
            <w:noWrap/>
            <w:tcMar>
              <w:left w:w="28" w:type="dxa"/>
              <w:right w:w="28" w:type="dxa"/>
            </w:tcMar>
            <w:vAlign w:val="center"/>
            <w:hideMark/>
          </w:tcPr>
          <w:p w14:paraId="2A8DDDC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hideMark/>
          </w:tcPr>
          <w:p w14:paraId="1F827CC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95</w:t>
            </w:r>
          </w:p>
        </w:tc>
        <w:tc>
          <w:tcPr>
            <w:tcW w:w="827" w:type="dxa"/>
            <w:shd w:val="clear" w:color="auto" w:fill="C4EFCE"/>
            <w:noWrap/>
            <w:tcMar>
              <w:left w:w="28" w:type="dxa"/>
              <w:right w:w="28" w:type="dxa"/>
            </w:tcMar>
            <w:vAlign w:val="center"/>
            <w:hideMark/>
          </w:tcPr>
          <w:p w14:paraId="6BF8C0F1" w14:textId="03C6028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hideMark/>
          </w:tcPr>
          <w:p w14:paraId="410ECCA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6FCEA458" w14:textId="3960235B"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Percentuálny podiel záverečných testov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skúšok bodového hodnotenia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škole, ktoré boli digitalizované.</w:t>
            </w:r>
          </w:p>
        </w:tc>
      </w:tr>
      <w:tr w:rsidR="00387C70" w:rsidRPr="003F23AC" w14:paraId="1835F478" w14:textId="77777777" w:rsidTr="008E475E">
        <w:trPr>
          <w:trHeight w:val="640"/>
        </w:trPr>
        <w:tc>
          <w:tcPr>
            <w:tcW w:w="1135" w:type="dxa"/>
            <w:shd w:val="clear" w:color="auto" w:fill="C4EFCE"/>
            <w:tcMar>
              <w:left w:w="28" w:type="dxa"/>
              <w:right w:w="28" w:type="dxa"/>
            </w:tcMar>
            <w:vAlign w:val="center"/>
            <w:hideMark/>
          </w:tcPr>
          <w:p w14:paraId="0918542F"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20.10</w:t>
            </w:r>
          </w:p>
        </w:tc>
        <w:tc>
          <w:tcPr>
            <w:tcW w:w="1276" w:type="dxa"/>
            <w:shd w:val="clear" w:color="auto" w:fill="C4EFCE"/>
            <w:noWrap/>
            <w:tcMar>
              <w:left w:w="28" w:type="dxa"/>
              <w:right w:w="28" w:type="dxa"/>
            </w:tcMar>
            <w:vAlign w:val="center"/>
            <w:hideMark/>
          </w:tcPr>
          <w:p w14:paraId="0562401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TD-C20-i02-RAA</w:t>
            </w:r>
          </w:p>
        </w:tc>
        <w:tc>
          <w:tcPr>
            <w:tcW w:w="1134" w:type="dxa"/>
            <w:shd w:val="clear" w:color="auto" w:fill="C4EFCE"/>
            <w:noWrap/>
            <w:tcMar>
              <w:left w:w="28" w:type="dxa"/>
              <w:right w:w="28" w:type="dxa"/>
            </w:tcMar>
            <w:vAlign w:val="center"/>
            <w:hideMark/>
          </w:tcPr>
          <w:p w14:paraId="2541112A" w14:textId="02771167"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4C3C4030" w14:textId="0583107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Hromadné otvorené online kurzy pre učiteľov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rodičov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ARA</w:t>
            </w:r>
          </w:p>
        </w:tc>
        <w:tc>
          <w:tcPr>
            <w:tcW w:w="1275" w:type="dxa"/>
            <w:shd w:val="clear" w:color="auto" w:fill="C4EFCE"/>
            <w:noWrap/>
            <w:tcMar>
              <w:left w:w="28" w:type="dxa"/>
              <w:right w:w="28" w:type="dxa"/>
            </w:tcMar>
            <w:vAlign w:val="center"/>
            <w:hideMark/>
          </w:tcPr>
          <w:p w14:paraId="3E7759A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03B79BA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Počet</w:t>
            </w:r>
          </w:p>
        </w:tc>
        <w:tc>
          <w:tcPr>
            <w:tcW w:w="992" w:type="dxa"/>
            <w:shd w:val="clear" w:color="auto" w:fill="C4EFCE"/>
            <w:noWrap/>
            <w:tcMar>
              <w:left w:w="28" w:type="dxa"/>
              <w:right w:w="28" w:type="dxa"/>
            </w:tcMar>
            <w:vAlign w:val="center"/>
            <w:hideMark/>
          </w:tcPr>
          <w:p w14:paraId="35DA7DA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0</w:t>
            </w:r>
          </w:p>
        </w:tc>
        <w:tc>
          <w:tcPr>
            <w:tcW w:w="992" w:type="dxa"/>
            <w:shd w:val="clear" w:color="auto" w:fill="C4EFCE"/>
            <w:noWrap/>
            <w:tcMar>
              <w:left w:w="28" w:type="dxa"/>
              <w:right w:w="28" w:type="dxa"/>
            </w:tcMar>
            <w:vAlign w:val="center"/>
            <w:hideMark/>
          </w:tcPr>
          <w:p w14:paraId="1A1252E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w:t>
            </w:r>
          </w:p>
        </w:tc>
        <w:tc>
          <w:tcPr>
            <w:tcW w:w="827" w:type="dxa"/>
            <w:shd w:val="clear" w:color="auto" w:fill="C4EFCE"/>
            <w:noWrap/>
            <w:tcMar>
              <w:left w:w="28" w:type="dxa"/>
              <w:right w:w="28" w:type="dxa"/>
            </w:tcMar>
            <w:vAlign w:val="center"/>
            <w:hideMark/>
          </w:tcPr>
          <w:p w14:paraId="4C03DB82" w14:textId="72F14000"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hideMark/>
          </w:tcPr>
          <w:p w14:paraId="4B08F7C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69" w:type="dxa"/>
            <w:shd w:val="clear" w:color="auto" w:fill="C4EFCE"/>
            <w:tcMar>
              <w:left w:w="28" w:type="dxa"/>
              <w:right w:w="28" w:type="dxa"/>
            </w:tcMar>
            <w:vAlign w:val="center"/>
            <w:hideMark/>
          </w:tcPr>
          <w:p w14:paraId="32162FD6" w14:textId="2E8D62C6"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hromadných otvorených online kurzov vytvorených na podporu rozvoja digitálnych zručností pre vzdelávanie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triede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dištančné vzdelávanie vrátane poskytovania inštruktážov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portálu pre obstarávanie digitálnych kompetencií. MOOC sú dostupné online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voľne prístupné učiteľom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rodičom študentov.</w:t>
            </w:r>
          </w:p>
        </w:tc>
      </w:tr>
      <w:tr w:rsidR="00387C70" w:rsidRPr="003F23AC" w14:paraId="460A159F" w14:textId="77777777" w:rsidTr="008E475E">
        <w:trPr>
          <w:trHeight w:val="430"/>
        </w:trPr>
        <w:tc>
          <w:tcPr>
            <w:tcW w:w="1135" w:type="dxa"/>
            <w:shd w:val="clear" w:color="auto" w:fill="C4EFCE"/>
            <w:tcMar>
              <w:left w:w="28" w:type="dxa"/>
              <w:right w:w="28" w:type="dxa"/>
            </w:tcMar>
            <w:vAlign w:val="center"/>
            <w:hideMark/>
          </w:tcPr>
          <w:p w14:paraId="68F05D42"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20.11</w:t>
            </w:r>
          </w:p>
        </w:tc>
        <w:tc>
          <w:tcPr>
            <w:tcW w:w="1276" w:type="dxa"/>
            <w:shd w:val="clear" w:color="auto" w:fill="C4EFCE"/>
            <w:noWrap/>
            <w:tcMar>
              <w:left w:w="28" w:type="dxa"/>
              <w:right w:w="28" w:type="dxa"/>
            </w:tcMar>
            <w:vAlign w:val="center"/>
            <w:hideMark/>
          </w:tcPr>
          <w:p w14:paraId="6836999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TD-C20-i02-RAA</w:t>
            </w:r>
          </w:p>
        </w:tc>
        <w:tc>
          <w:tcPr>
            <w:tcW w:w="1134" w:type="dxa"/>
            <w:shd w:val="clear" w:color="auto" w:fill="C4EFCE"/>
            <w:noWrap/>
            <w:tcMar>
              <w:left w:w="28" w:type="dxa"/>
              <w:right w:w="28" w:type="dxa"/>
            </w:tcMar>
            <w:vAlign w:val="center"/>
            <w:hideMark/>
          </w:tcPr>
          <w:p w14:paraId="11B05124" w14:textId="29F81949"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34258687" w14:textId="5224835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Nové notebooky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tablety pre školy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ARA</w:t>
            </w:r>
          </w:p>
        </w:tc>
        <w:tc>
          <w:tcPr>
            <w:tcW w:w="1275" w:type="dxa"/>
            <w:shd w:val="clear" w:color="auto" w:fill="C4EFCE"/>
            <w:noWrap/>
            <w:tcMar>
              <w:left w:w="28" w:type="dxa"/>
              <w:right w:w="28" w:type="dxa"/>
            </w:tcMar>
            <w:vAlign w:val="center"/>
            <w:hideMark/>
          </w:tcPr>
          <w:p w14:paraId="1EA6C89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7F699FF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Počet</w:t>
            </w:r>
          </w:p>
        </w:tc>
        <w:tc>
          <w:tcPr>
            <w:tcW w:w="992" w:type="dxa"/>
            <w:shd w:val="clear" w:color="auto" w:fill="C4EFCE"/>
            <w:noWrap/>
            <w:tcMar>
              <w:left w:w="28" w:type="dxa"/>
              <w:right w:w="28" w:type="dxa"/>
            </w:tcMar>
            <w:vAlign w:val="center"/>
            <w:hideMark/>
          </w:tcPr>
          <w:p w14:paraId="1229DA0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0</w:t>
            </w:r>
          </w:p>
        </w:tc>
        <w:tc>
          <w:tcPr>
            <w:tcW w:w="992" w:type="dxa"/>
            <w:shd w:val="clear" w:color="auto" w:fill="C4EFCE"/>
            <w:noWrap/>
            <w:tcMar>
              <w:left w:w="28" w:type="dxa"/>
              <w:right w:w="28" w:type="dxa"/>
            </w:tcMar>
            <w:vAlign w:val="center"/>
            <w:hideMark/>
          </w:tcPr>
          <w:p w14:paraId="6A9D697F" w14:textId="606152B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31 900 </w:t>
            </w:r>
          </w:p>
        </w:tc>
        <w:tc>
          <w:tcPr>
            <w:tcW w:w="827" w:type="dxa"/>
            <w:shd w:val="clear" w:color="auto" w:fill="C4EFCE"/>
            <w:noWrap/>
            <w:tcMar>
              <w:left w:w="28" w:type="dxa"/>
              <w:right w:w="28" w:type="dxa"/>
            </w:tcMar>
            <w:vAlign w:val="center"/>
            <w:hideMark/>
          </w:tcPr>
          <w:p w14:paraId="33E5271F" w14:textId="769BB21A"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hideMark/>
          </w:tcPr>
          <w:p w14:paraId="791A9F0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0D530C43" w14:textId="0B9398C3" w:rsidR="00387C70" w:rsidRPr="003F23AC" w:rsidRDefault="000F5AA4" w:rsidP="003F23AC">
            <w:pPr>
              <w:pStyle w:val="P68B1DB1-Normal8"/>
              <w:spacing w:after="0" w:line="240" w:lineRule="auto"/>
              <w:jc w:val="both"/>
              <w:rPr>
                <w:rFonts w:ascii="Times New Roman" w:eastAsia="Times New Roman" w:hAnsi="Times New Roman" w:cs="Times New Roman"/>
                <w:noProof/>
                <w:highlight w:val="yellow"/>
                <w:lang w:val="sk-SK"/>
              </w:rPr>
            </w:pPr>
            <w:r w:rsidRPr="003F23AC">
              <w:rPr>
                <w:rFonts w:ascii="Times New Roman" w:hAnsi="Times New Roman" w:cs="Times New Roman"/>
                <w:noProof/>
                <w:lang w:val="sk-SK"/>
              </w:rPr>
              <w:t>Počet nových prenosných počítačov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tabliet pre predškolské vzdelávanie, 1</w:t>
            </w:r>
            <w:r w:rsidR="00A75B3C" w:rsidRPr="003F23AC">
              <w:rPr>
                <w:rFonts w:ascii="Times New Roman" w:hAnsi="Times New Roman" w:cs="Times New Roman"/>
                <w:noProof/>
                <w:lang w:val="sk-SK"/>
              </w:rPr>
              <w:t>. a </w:t>
            </w:r>
            <w:r w:rsidRPr="003F23AC">
              <w:rPr>
                <w:rFonts w:ascii="Times New Roman" w:hAnsi="Times New Roman" w:cs="Times New Roman"/>
                <w:noProof/>
                <w:lang w:val="sk-SK"/>
              </w:rPr>
              <w:t>2. cyklus</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sekundárne vzdelávanie, </w:t>
            </w:r>
          </w:p>
        </w:tc>
      </w:tr>
      <w:tr w:rsidR="00387C70" w:rsidRPr="003F23AC" w14:paraId="717DE77B" w14:textId="77777777" w:rsidTr="008E475E">
        <w:trPr>
          <w:trHeight w:val="420"/>
        </w:trPr>
        <w:tc>
          <w:tcPr>
            <w:tcW w:w="1135" w:type="dxa"/>
            <w:shd w:val="clear" w:color="auto" w:fill="C4EFCE"/>
            <w:tcMar>
              <w:left w:w="28" w:type="dxa"/>
              <w:right w:w="28" w:type="dxa"/>
            </w:tcMar>
            <w:vAlign w:val="center"/>
            <w:hideMark/>
          </w:tcPr>
          <w:p w14:paraId="0BEC3FD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20.12</w:t>
            </w:r>
          </w:p>
        </w:tc>
        <w:tc>
          <w:tcPr>
            <w:tcW w:w="1276" w:type="dxa"/>
            <w:shd w:val="clear" w:color="auto" w:fill="C4EFCE"/>
            <w:noWrap/>
            <w:tcMar>
              <w:left w:w="28" w:type="dxa"/>
              <w:right w:w="28" w:type="dxa"/>
            </w:tcMar>
            <w:vAlign w:val="center"/>
            <w:hideMark/>
          </w:tcPr>
          <w:p w14:paraId="0159F51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TD-C20-i02-RAA</w:t>
            </w:r>
          </w:p>
        </w:tc>
        <w:tc>
          <w:tcPr>
            <w:tcW w:w="1134" w:type="dxa"/>
            <w:shd w:val="clear" w:color="auto" w:fill="C4EFCE"/>
            <w:noWrap/>
            <w:tcMar>
              <w:left w:w="28" w:type="dxa"/>
              <w:right w:w="28" w:type="dxa"/>
            </w:tcMar>
            <w:vAlign w:val="center"/>
            <w:hideMark/>
          </w:tcPr>
          <w:p w14:paraId="731C795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26675CAB" w14:textId="21E7A87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Digitálne vybavenie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digitálne vzdelávacie zdroje škôl</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ARA</w:t>
            </w:r>
          </w:p>
        </w:tc>
        <w:tc>
          <w:tcPr>
            <w:tcW w:w="1275" w:type="dxa"/>
            <w:shd w:val="clear" w:color="auto" w:fill="C4EFCE"/>
            <w:noWrap/>
            <w:tcMar>
              <w:left w:w="28" w:type="dxa"/>
              <w:right w:w="28" w:type="dxa"/>
            </w:tcMar>
            <w:vAlign w:val="center"/>
            <w:hideMark/>
          </w:tcPr>
          <w:p w14:paraId="665AC058" w14:textId="066F61C9"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Poskytovanie digitálneho vybavenia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digitálnych vzdelávacích zdrojov školám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ARA </w:t>
            </w:r>
          </w:p>
        </w:tc>
        <w:tc>
          <w:tcPr>
            <w:tcW w:w="993" w:type="dxa"/>
            <w:shd w:val="clear" w:color="auto" w:fill="C4EFCE"/>
            <w:noWrap/>
            <w:tcMar>
              <w:left w:w="28" w:type="dxa"/>
              <w:right w:w="28" w:type="dxa"/>
            </w:tcMar>
            <w:vAlign w:val="center"/>
            <w:hideMark/>
          </w:tcPr>
          <w:p w14:paraId="4291E0F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717013E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73B8A39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827" w:type="dxa"/>
            <w:shd w:val="clear" w:color="auto" w:fill="C4EFCE"/>
            <w:noWrap/>
            <w:tcMar>
              <w:left w:w="28" w:type="dxa"/>
              <w:right w:w="28" w:type="dxa"/>
            </w:tcMar>
            <w:vAlign w:val="center"/>
            <w:hideMark/>
          </w:tcPr>
          <w:p w14:paraId="0D69B374" w14:textId="52F284D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hideMark/>
          </w:tcPr>
          <w:p w14:paraId="2B160E8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34669224" w14:textId="3ED3D927"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Dokončenie distribúcie týchto digitálnych zariadení do škôl</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autonómnej oblasti Azory: pripojenie na internet aspoň 1 Gb/s</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95</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škôl, 1080 nových interaktívnych obrazoviek, 100 nových špecializovaných laboratórnych zariadení, 100 nových 3D tlačiarní, 150 nových vzdelávacích robotov. Okrem toho musia všetky verejné školy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štyri súkromné školy ponúkať digitálne príručky pre všetkých študentov. Nakúpi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inštaluje sa 1500 spínačov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APS</w:t>
            </w:r>
            <w:r w:rsidR="00A75B3C" w:rsidRPr="003F23AC">
              <w:rPr>
                <w:rFonts w:ascii="Times New Roman" w:hAnsi="Times New Roman" w:cs="Times New Roman"/>
                <w:noProof/>
                <w:lang w:val="sk-SK"/>
              </w:rPr>
              <w:t>.</w:t>
            </w:r>
          </w:p>
          <w:p w14:paraId="08384363" w14:textId="2AE87F40" w:rsidR="00387C70" w:rsidRPr="003F23AC" w:rsidRDefault="00387C70" w:rsidP="003F23AC">
            <w:pPr>
              <w:spacing w:after="0" w:line="240" w:lineRule="auto"/>
              <w:jc w:val="both"/>
              <w:rPr>
                <w:rFonts w:ascii="Times New Roman" w:eastAsia="Times New Roman" w:hAnsi="Times New Roman" w:cs="Times New Roman"/>
                <w:noProof/>
                <w:sz w:val="16"/>
                <w:lang w:val="sk-SK"/>
              </w:rPr>
            </w:pPr>
          </w:p>
        </w:tc>
      </w:tr>
      <w:tr w:rsidR="00387C70" w:rsidRPr="003F23AC" w14:paraId="10C91F97" w14:textId="77777777" w:rsidTr="008E475E">
        <w:trPr>
          <w:trHeight w:val="640"/>
        </w:trPr>
        <w:tc>
          <w:tcPr>
            <w:tcW w:w="1135" w:type="dxa"/>
            <w:shd w:val="clear" w:color="auto" w:fill="C4EFCE"/>
            <w:tcMar>
              <w:left w:w="28" w:type="dxa"/>
              <w:right w:w="28" w:type="dxa"/>
            </w:tcMar>
            <w:vAlign w:val="center"/>
            <w:hideMark/>
          </w:tcPr>
          <w:p w14:paraId="7E9B20A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20.13</w:t>
            </w:r>
          </w:p>
        </w:tc>
        <w:tc>
          <w:tcPr>
            <w:tcW w:w="1276" w:type="dxa"/>
            <w:shd w:val="clear" w:color="auto" w:fill="C4EFCE"/>
            <w:noWrap/>
            <w:tcMar>
              <w:left w:w="28" w:type="dxa"/>
              <w:right w:w="28" w:type="dxa"/>
            </w:tcMar>
            <w:vAlign w:val="center"/>
            <w:hideMark/>
          </w:tcPr>
          <w:p w14:paraId="2040DD1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TD-C20-i02-RAA</w:t>
            </w:r>
          </w:p>
        </w:tc>
        <w:tc>
          <w:tcPr>
            <w:tcW w:w="1134" w:type="dxa"/>
            <w:shd w:val="clear" w:color="auto" w:fill="C4EFCE"/>
            <w:noWrap/>
            <w:tcMar>
              <w:left w:w="28" w:type="dxa"/>
              <w:right w:w="28" w:type="dxa"/>
            </w:tcMar>
            <w:vAlign w:val="center"/>
            <w:hideMark/>
          </w:tcPr>
          <w:p w14:paraId="736FAD20" w14:textId="3F1B682E"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1E518DAD" w14:textId="5DA9E88F"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Hromadné otvorené online kurzy pre učiteľov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rodičov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ARA</w:t>
            </w:r>
          </w:p>
        </w:tc>
        <w:tc>
          <w:tcPr>
            <w:tcW w:w="1275" w:type="dxa"/>
            <w:shd w:val="clear" w:color="auto" w:fill="C4EFCE"/>
            <w:noWrap/>
            <w:tcMar>
              <w:left w:w="28" w:type="dxa"/>
              <w:right w:w="28" w:type="dxa"/>
            </w:tcMar>
            <w:vAlign w:val="center"/>
            <w:hideMark/>
          </w:tcPr>
          <w:p w14:paraId="39B4F2C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6DD36AD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Počet</w:t>
            </w:r>
          </w:p>
        </w:tc>
        <w:tc>
          <w:tcPr>
            <w:tcW w:w="992" w:type="dxa"/>
            <w:shd w:val="clear" w:color="auto" w:fill="C4EFCE"/>
            <w:noWrap/>
            <w:tcMar>
              <w:left w:w="28" w:type="dxa"/>
              <w:right w:w="28" w:type="dxa"/>
            </w:tcMar>
            <w:vAlign w:val="center"/>
            <w:hideMark/>
          </w:tcPr>
          <w:p w14:paraId="62B718D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w:t>
            </w:r>
          </w:p>
        </w:tc>
        <w:tc>
          <w:tcPr>
            <w:tcW w:w="992" w:type="dxa"/>
            <w:shd w:val="clear" w:color="auto" w:fill="C4EFCE"/>
            <w:noWrap/>
            <w:tcMar>
              <w:left w:w="28" w:type="dxa"/>
              <w:right w:w="28" w:type="dxa"/>
            </w:tcMar>
            <w:vAlign w:val="center"/>
            <w:hideMark/>
          </w:tcPr>
          <w:p w14:paraId="2541D73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24 </w:t>
            </w:r>
          </w:p>
        </w:tc>
        <w:tc>
          <w:tcPr>
            <w:tcW w:w="827" w:type="dxa"/>
            <w:shd w:val="clear" w:color="auto" w:fill="C4EFCE"/>
            <w:noWrap/>
            <w:tcMar>
              <w:left w:w="28" w:type="dxa"/>
              <w:right w:w="28" w:type="dxa"/>
            </w:tcMar>
            <w:vAlign w:val="center"/>
            <w:hideMark/>
          </w:tcPr>
          <w:p w14:paraId="69EB09C9" w14:textId="5DC40A0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hideMark/>
          </w:tcPr>
          <w:p w14:paraId="78E360E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460A3612" w14:textId="126BE67F"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hromadných otvorených online kurzov vytvorených na podporu rozvoja digitálnych zručností pre vzdelávanie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triede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dištančné vzdelávanie vrátane poskytovania inštruktážov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portálu pre obstarávanie digitálnych kompetencií. MOOC sú dostupné online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voľne prístupné učiteľom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rodičom študentov.</w:t>
            </w:r>
          </w:p>
        </w:tc>
      </w:tr>
      <w:tr w:rsidR="00387C70" w:rsidRPr="003F23AC" w14:paraId="1D223056" w14:textId="77777777" w:rsidTr="008E475E">
        <w:trPr>
          <w:trHeight w:val="430"/>
        </w:trPr>
        <w:tc>
          <w:tcPr>
            <w:tcW w:w="1135" w:type="dxa"/>
            <w:shd w:val="clear" w:color="auto" w:fill="C4EFCE"/>
            <w:tcMar>
              <w:left w:w="28" w:type="dxa"/>
              <w:right w:w="28" w:type="dxa"/>
            </w:tcMar>
            <w:vAlign w:val="center"/>
            <w:hideMark/>
          </w:tcPr>
          <w:p w14:paraId="0ECDAF89"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20.14</w:t>
            </w:r>
          </w:p>
        </w:tc>
        <w:tc>
          <w:tcPr>
            <w:tcW w:w="1276" w:type="dxa"/>
            <w:shd w:val="clear" w:color="auto" w:fill="C4EFCE"/>
            <w:noWrap/>
            <w:tcMar>
              <w:left w:w="28" w:type="dxa"/>
              <w:right w:w="28" w:type="dxa"/>
            </w:tcMar>
            <w:vAlign w:val="center"/>
            <w:hideMark/>
          </w:tcPr>
          <w:p w14:paraId="03D3DFC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TD-C20-i03-RAM</w:t>
            </w:r>
          </w:p>
        </w:tc>
        <w:tc>
          <w:tcPr>
            <w:tcW w:w="1134" w:type="dxa"/>
            <w:shd w:val="clear" w:color="auto" w:fill="C4EFCE"/>
            <w:noWrap/>
            <w:tcMar>
              <w:left w:w="28" w:type="dxa"/>
              <w:right w:w="28" w:type="dxa"/>
            </w:tcMar>
            <w:vAlign w:val="center"/>
            <w:hideMark/>
          </w:tcPr>
          <w:p w14:paraId="723CBA4B" w14:textId="41EB0895"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1EC3C9C2" w14:textId="4DD54AC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Digitálne príručky pre žiakov druhého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tretieho cyklu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študentov stredných škôl</w:t>
            </w:r>
          </w:p>
        </w:tc>
        <w:tc>
          <w:tcPr>
            <w:tcW w:w="1275" w:type="dxa"/>
            <w:shd w:val="clear" w:color="auto" w:fill="C4EFCE"/>
            <w:noWrap/>
            <w:tcMar>
              <w:left w:w="28" w:type="dxa"/>
              <w:right w:w="28" w:type="dxa"/>
            </w:tcMar>
            <w:vAlign w:val="center"/>
            <w:hideMark/>
          </w:tcPr>
          <w:p w14:paraId="581FCA5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56A2C55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3D79BB5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0</w:t>
            </w:r>
          </w:p>
        </w:tc>
        <w:tc>
          <w:tcPr>
            <w:tcW w:w="992" w:type="dxa"/>
            <w:shd w:val="clear" w:color="auto" w:fill="C4EFCE"/>
            <w:noWrap/>
            <w:tcMar>
              <w:left w:w="28" w:type="dxa"/>
              <w:right w:w="28" w:type="dxa"/>
            </w:tcMar>
            <w:vAlign w:val="center"/>
            <w:hideMark/>
          </w:tcPr>
          <w:p w14:paraId="021450B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5 120</w:t>
            </w:r>
          </w:p>
        </w:tc>
        <w:tc>
          <w:tcPr>
            <w:tcW w:w="827" w:type="dxa"/>
            <w:shd w:val="clear" w:color="auto" w:fill="C4EFCE"/>
            <w:noWrap/>
            <w:tcMar>
              <w:left w:w="28" w:type="dxa"/>
              <w:right w:w="28" w:type="dxa"/>
            </w:tcMar>
            <w:vAlign w:val="center"/>
            <w:hideMark/>
          </w:tcPr>
          <w:p w14:paraId="606A70F3" w14:textId="69B51C97"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hideMark/>
          </w:tcPr>
          <w:p w14:paraId="6E7BF1A5"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2022</w:t>
            </w:r>
          </w:p>
        </w:tc>
        <w:tc>
          <w:tcPr>
            <w:tcW w:w="3969" w:type="dxa"/>
            <w:shd w:val="clear" w:color="auto" w:fill="C4EFCE"/>
            <w:tcMar>
              <w:left w:w="28" w:type="dxa"/>
              <w:right w:w="28" w:type="dxa"/>
            </w:tcMar>
            <w:vAlign w:val="center"/>
            <w:hideMark/>
          </w:tcPr>
          <w:p w14:paraId="23F22FD8" w14:textId="2AB4EF3C"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žiakov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2</w:t>
            </w:r>
            <w:r w:rsidR="00A75B3C" w:rsidRPr="003F23AC">
              <w:rPr>
                <w:rFonts w:ascii="Times New Roman" w:hAnsi="Times New Roman" w:cs="Times New Roman"/>
                <w:noProof/>
                <w:lang w:val="sk-SK"/>
              </w:rPr>
              <w:t>. a </w:t>
            </w:r>
            <w:r w:rsidRPr="003F23AC">
              <w:rPr>
                <w:rFonts w:ascii="Times New Roman" w:hAnsi="Times New Roman" w:cs="Times New Roman"/>
                <w:noProof/>
                <w:lang w:val="sk-SK"/>
              </w:rPr>
              <w:t>3. cykle základného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stredoškolského vzdelávania, ktorí mali počas školského roka 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digitálnemu manuálnemu súprave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používali ho.</w:t>
            </w:r>
          </w:p>
        </w:tc>
      </w:tr>
      <w:tr w:rsidR="00387C70" w:rsidRPr="003F23AC" w14:paraId="1D717255" w14:textId="77777777" w:rsidTr="008E475E">
        <w:trPr>
          <w:trHeight w:val="430"/>
        </w:trPr>
        <w:tc>
          <w:tcPr>
            <w:tcW w:w="1135" w:type="dxa"/>
            <w:shd w:val="clear" w:color="auto" w:fill="C4EFCE"/>
            <w:tcMar>
              <w:left w:w="28" w:type="dxa"/>
              <w:right w:w="28" w:type="dxa"/>
            </w:tcMar>
            <w:vAlign w:val="center"/>
            <w:hideMark/>
          </w:tcPr>
          <w:p w14:paraId="43A515EE"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20.15</w:t>
            </w:r>
          </w:p>
        </w:tc>
        <w:tc>
          <w:tcPr>
            <w:tcW w:w="1276" w:type="dxa"/>
            <w:shd w:val="clear" w:color="auto" w:fill="C4EFCE"/>
            <w:noWrap/>
            <w:tcMar>
              <w:left w:w="28" w:type="dxa"/>
              <w:right w:w="28" w:type="dxa"/>
            </w:tcMar>
            <w:vAlign w:val="center"/>
            <w:hideMark/>
          </w:tcPr>
          <w:p w14:paraId="2F471844"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TD-C20-i03-RAM</w:t>
            </w:r>
          </w:p>
        </w:tc>
        <w:tc>
          <w:tcPr>
            <w:tcW w:w="1134" w:type="dxa"/>
            <w:shd w:val="clear" w:color="auto" w:fill="C4EFCE"/>
            <w:noWrap/>
            <w:tcMar>
              <w:left w:w="28" w:type="dxa"/>
              <w:right w:w="28" w:type="dxa"/>
            </w:tcMar>
            <w:vAlign w:val="center"/>
            <w:hideMark/>
          </w:tcPr>
          <w:p w14:paraId="557AA325" w14:textId="6CE7EA79"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5CD1B65B" w14:textId="31D330B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Spojenie škôl</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p>
        </w:tc>
        <w:tc>
          <w:tcPr>
            <w:tcW w:w="1275" w:type="dxa"/>
            <w:shd w:val="clear" w:color="auto" w:fill="C4EFCE"/>
            <w:noWrap/>
            <w:tcMar>
              <w:left w:w="28" w:type="dxa"/>
              <w:right w:w="28" w:type="dxa"/>
            </w:tcMar>
            <w:vAlign w:val="center"/>
            <w:hideMark/>
          </w:tcPr>
          <w:p w14:paraId="744D9AD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60395B5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w:t>
            </w:r>
          </w:p>
        </w:tc>
        <w:tc>
          <w:tcPr>
            <w:tcW w:w="992" w:type="dxa"/>
            <w:shd w:val="clear" w:color="auto" w:fill="C4EFCE"/>
            <w:noWrap/>
            <w:tcMar>
              <w:left w:w="28" w:type="dxa"/>
              <w:right w:w="28" w:type="dxa"/>
            </w:tcMar>
            <w:vAlign w:val="center"/>
            <w:hideMark/>
          </w:tcPr>
          <w:p w14:paraId="13728FA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0</w:t>
            </w:r>
          </w:p>
        </w:tc>
        <w:tc>
          <w:tcPr>
            <w:tcW w:w="992" w:type="dxa"/>
            <w:shd w:val="clear" w:color="auto" w:fill="C4EFCE"/>
            <w:noWrap/>
            <w:tcMar>
              <w:left w:w="28" w:type="dxa"/>
              <w:right w:w="28" w:type="dxa"/>
            </w:tcMar>
            <w:vAlign w:val="center"/>
            <w:hideMark/>
          </w:tcPr>
          <w:p w14:paraId="2CFD81C3" w14:textId="53F859A1"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95</w:t>
            </w:r>
          </w:p>
        </w:tc>
        <w:tc>
          <w:tcPr>
            <w:tcW w:w="827" w:type="dxa"/>
            <w:shd w:val="clear" w:color="auto" w:fill="C4EFCE"/>
            <w:noWrap/>
            <w:tcMar>
              <w:left w:w="28" w:type="dxa"/>
              <w:right w:w="28" w:type="dxa"/>
            </w:tcMar>
            <w:vAlign w:val="center"/>
            <w:hideMark/>
          </w:tcPr>
          <w:p w14:paraId="1467E0FF" w14:textId="555BDCF2"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hideMark/>
          </w:tcPr>
          <w:p w14:paraId="702F513A"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hideMark/>
          </w:tcPr>
          <w:p w14:paraId="72B60CC6" w14:textId="72E52C25"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Percentuálny podiel základných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stredných škôl</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 ktoré sú pripojené</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štruktúrovanej Wi-fi sieti ARM</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internetovým pripojením aspoň 1 Gb/s pre každú školu</w:t>
            </w:r>
            <w:r w:rsidR="00A75B3C" w:rsidRPr="003F23AC">
              <w:rPr>
                <w:rFonts w:ascii="Times New Roman" w:hAnsi="Times New Roman" w:cs="Times New Roman"/>
                <w:noProof/>
                <w:lang w:val="sk-SK"/>
              </w:rPr>
              <w:t>.</w:t>
            </w:r>
          </w:p>
          <w:p w14:paraId="37B29708" w14:textId="5364FFCE" w:rsidR="00A75B3C" w:rsidRPr="003F23AC" w:rsidRDefault="000F5AA4" w:rsidP="003F23AC">
            <w:pPr>
              <w:pStyle w:val="P68B1DB1-Normal8"/>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Okrem toho sa desať bežných súkromných škôl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súkromných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verejných odborných škôl pripojí</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štruktúrovanej Wi-fi sieti ARM</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pripojením na internet aspoň 1 Gb/s pre každú školu</w:t>
            </w:r>
            <w:r w:rsidR="00A75B3C" w:rsidRPr="003F23AC">
              <w:rPr>
                <w:rFonts w:ascii="Times New Roman" w:hAnsi="Times New Roman" w:cs="Times New Roman"/>
                <w:noProof/>
                <w:lang w:val="sk-SK"/>
              </w:rPr>
              <w:t>.</w:t>
            </w:r>
          </w:p>
          <w:p w14:paraId="624C1FEB" w14:textId="4D14F2C7" w:rsidR="00387C70" w:rsidRPr="003F23AC" w:rsidRDefault="00387C70" w:rsidP="003F23AC">
            <w:pPr>
              <w:spacing w:after="0" w:line="240" w:lineRule="auto"/>
              <w:jc w:val="both"/>
              <w:rPr>
                <w:rFonts w:ascii="Times New Roman" w:eastAsia="Times New Roman" w:hAnsi="Times New Roman" w:cs="Times New Roman"/>
                <w:noProof/>
                <w:sz w:val="16"/>
                <w:lang w:val="sk-SK"/>
              </w:rPr>
            </w:pPr>
          </w:p>
        </w:tc>
      </w:tr>
      <w:tr w:rsidR="00387C70" w:rsidRPr="003F23AC" w14:paraId="1ED02672" w14:textId="77777777" w:rsidTr="008E475E">
        <w:trPr>
          <w:trHeight w:val="430"/>
        </w:trPr>
        <w:tc>
          <w:tcPr>
            <w:tcW w:w="1135" w:type="dxa"/>
            <w:shd w:val="clear" w:color="auto" w:fill="C4EFCE"/>
            <w:tcMar>
              <w:left w:w="28" w:type="dxa"/>
              <w:right w:w="28" w:type="dxa"/>
            </w:tcMar>
            <w:vAlign w:val="center"/>
            <w:hideMark/>
          </w:tcPr>
          <w:p w14:paraId="243BF94D"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20.16</w:t>
            </w:r>
          </w:p>
        </w:tc>
        <w:tc>
          <w:tcPr>
            <w:tcW w:w="1276" w:type="dxa"/>
            <w:shd w:val="clear" w:color="auto" w:fill="C4EFCE"/>
            <w:noWrap/>
            <w:tcMar>
              <w:left w:w="28" w:type="dxa"/>
              <w:right w:w="28" w:type="dxa"/>
            </w:tcMar>
            <w:vAlign w:val="center"/>
            <w:hideMark/>
          </w:tcPr>
          <w:p w14:paraId="2BD7D15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TD-C20-i03-RAM</w:t>
            </w:r>
          </w:p>
        </w:tc>
        <w:tc>
          <w:tcPr>
            <w:tcW w:w="1134" w:type="dxa"/>
            <w:shd w:val="clear" w:color="auto" w:fill="C4EFCE"/>
            <w:noWrap/>
            <w:tcMar>
              <w:left w:w="28" w:type="dxa"/>
              <w:right w:w="28" w:type="dxa"/>
            </w:tcMar>
            <w:vAlign w:val="center"/>
            <w:hideMark/>
          </w:tcPr>
          <w:p w14:paraId="1186022C" w14:textId="60AF3406"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5D0DFB1E" w14:textId="1AA6E1B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Digitálne príručky pre žiakov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2</w:t>
            </w:r>
            <w:r w:rsidR="00A75B3C" w:rsidRPr="003F23AC">
              <w:rPr>
                <w:rFonts w:ascii="Times New Roman" w:hAnsi="Times New Roman" w:cs="Times New Roman"/>
                <w:noProof/>
                <w:lang w:val="sk-SK"/>
              </w:rPr>
              <w:t>. a </w:t>
            </w:r>
            <w:r w:rsidRPr="003F23AC">
              <w:rPr>
                <w:rFonts w:ascii="Times New Roman" w:hAnsi="Times New Roman" w:cs="Times New Roman"/>
                <w:noProof/>
                <w:lang w:val="sk-SK"/>
              </w:rPr>
              <w:t>3. cykle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stredoškolských študentov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p>
        </w:tc>
        <w:tc>
          <w:tcPr>
            <w:tcW w:w="1275" w:type="dxa"/>
            <w:shd w:val="clear" w:color="auto" w:fill="C4EFCE"/>
            <w:noWrap/>
            <w:tcMar>
              <w:left w:w="28" w:type="dxa"/>
              <w:right w:w="28" w:type="dxa"/>
            </w:tcMar>
            <w:vAlign w:val="center"/>
            <w:hideMark/>
          </w:tcPr>
          <w:p w14:paraId="7C67A362"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2EF3DF9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5CD64AFF"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5 120</w:t>
            </w:r>
          </w:p>
        </w:tc>
        <w:tc>
          <w:tcPr>
            <w:tcW w:w="992" w:type="dxa"/>
            <w:shd w:val="clear" w:color="auto" w:fill="C4EFCE"/>
            <w:noWrap/>
            <w:tcMar>
              <w:left w:w="28" w:type="dxa"/>
              <w:right w:w="28" w:type="dxa"/>
            </w:tcMar>
            <w:vAlign w:val="center"/>
            <w:hideMark/>
          </w:tcPr>
          <w:p w14:paraId="240804FC" w14:textId="0B62034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15 910</w:t>
            </w:r>
          </w:p>
        </w:tc>
        <w:tc>
          <w:tcPr>
            <w:tcW w:w="827" w:type="dxa"/>
            <w:shd w:val="clear" w:color="auto" w:fill="C4EFCE"/>
            <w:noWrap/>
            <w:tcMar>
              <w:left w:w="28" w:type="dxa"/>
              <w:right w:w="28" w:type="dxa"/>
            </w:tcMar>
            <w:vAlign w:val="center"/>
            <w:hideMark/>
          </w:tcPr>
          <w:p w14:paraId="62B4040C" w14:textId="4208D535"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hideMark/>
          </w:tcPr>
          <w:p w14:paraId="2F0C2BA8"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00F3AA12" w14:textId="11935549"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žiakov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2</w:t>
            </w:r>
            <w:r w:rsidR="00A75B3C" w:rsidRPr="003F23AC">
              <w:rPr>
                <w:rFonts w:ascii="Times New Roman" w:hAnsi="Times New Roman" w:cs="Times New Roman"/>
                <w:noProof/>
                <w:lang w:val="sk-SK"/>
              </w:rPr>
              <w:t>. a </w:t>
            </w:r>
            <w:r w:rsidRPr="003F23AC">
              <w:rPr>
                <w:rFonts w:ascii="Times New Roman" w:hAnsi="Times New Roman" w:cs="Times New Roman"/>
                <w:noProof/>
                <w:lang w:val="sk-SK"/>
              </w:rPr>
              <w:t>3. cykle základného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stredoškolského vzdelávania, ktorí mali počas školského roka 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digitálnemu manuálnemu súprave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používali ho.</w:t>
            </w:r>
          </w:p>
        </w:tc>
      </w:tr>
      <w:tr w:rsidR="00387C70" w:rsidRPr="003F23AC" w14:paraId="7660D0EB" w14:textId="77777777" w:rsidTr="008E475E">
        <w:trPr>
          <w:trHeight w:val="430"/>
        </w:trPr>
        <w:tc>
          <w:tcPr>
            <w:tcW w:w="1135" w:type="dxa"/>
            <w:shd w:val="clear" w:color="auto" w:fill="C4EFCE"/>
            <w:tcMar>
              <w:left w:w="28" w:type="dxa"/>
              <w:right w:w="28" w:type="dxa"/>
            </w:tcMar>
            <w:vAlign w:val="center"/>
            <w:hideMark/>
          </w:tcPr>
          <w:p w14:paraId="325F95D8"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20.17</w:t>
            </w:r>
          </w:p>
        </w:tc>
        <w:tc>
          <w:tcPr>
            <w:tcW w:w="1276" w:type="dxa"/>
            <w:shd w:val="clear" w:color="auto" w:fill="C4EFCE"/>
            <w:noWrap/>
            <w:tcMar>
              <w:left w:w="28" w:type="dxa"/>
              <w:right w:w="28" w:type="dxa"/>
            </w:tcMar>
            <w:vAlign w:val="center"/>
            <w:hideMark/>
          </w:tcPr>
          <w:p w14:paraId="180447D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TD-C20-i03-RAM</w:t>
            </w:r>
          </w:p>
        </w:tc>
        <w:tc>
          <w:tcPr>
            <w:tcW w:w="1134" w:type="dxa"/>
            <w:shd w:val="clear" w:color="auto" w:fill="C4EFCE"/>
            <w:noWrap/>
            <w:tcMar>
              <w:left w:w="28" w:type="dxa"/>
              <w:right w:w="28" w:type="dxa"/>
            </w:tcMar>
            <w:vAlign w:val="center"/>
            <w:hideMark/>
          </w:tcPr>
          <w:p w14:paraId="7743CB91" w14:textId="0BA22169" w:rsidR="00387C70" w:rsidRPr="003F23AC" w:rsidRDefault="00C32C63"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hideMark/>
          </w:tcPr>
          <w:p w14:paraId="7EE5696E" w14:textId="353F1BD5"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Odborná príprava učiteľov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nepedagogických zamestnancov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digitálnych kompetencií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p>
        </w:tc>
        <w:tc>
          <w:tcPr>
            <w:tcW w:w="1275" w:type="dxa"/>
            <w:shd w:val="clear" w:color="auto" w:fill="C4EFCE"/>
            <w:noWrap/>
            <w:tcMar>
              <w:left w:w="28" w:type="dxa"/>
              <w:right w:w="28" w:type="dxa"/>
            </w:tcMar>
            <w:vAlign w:val="center"/>
            <w:hideMark/>
          </w:tcPr>
          <w:p w14:paraId="420A8AD6"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3" w:type="dxa"/>
            <w:shd w:val="clear" w:color="auto" w:fill="C4EFCE"/>
            <w:noWrap/>
            <w:tcMar>
              <w:left w:w="28" w:type="dxa"/>
              <w:right w:w="28" w:type="dxa"/>
            </w:tcMar>
            <w:vAlign w:val="center"/>
            <w:hideMark/>
          </w:tcPr>
          <w:p w14:paraId="297D008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hideMark/>
          </w:tcPr>
          <w:p w14:paraId="3B8AB54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0</w:t>
            </w:r>
          </w:p>
        </w:tc>
        <w:tc>
          <w:tcPr>
            <w:tcW w:w="992" w:type="dxa"/>
            <w:shd w:val="clear" w:color="auto" w:fill="C4EFCE"/>
            <w:noWrap/>
            <w:tcMar>
              <w:left w:w="28" w:type="dxa"/>
              <w:right w:w="28" w:type="dxa"/>
            </w:tcMar>
            <w:vAlign w:val="center"/>
            <w:hideMark/>
          </w:tcPr>
          <w:p w14:paraId="535A3EE3" w14:textId="41629E58"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6 500</w:t>
            </w:r>
          </w:p>
        </w:tc>
        <w:tc>
          <w:tcPr>
            <w:tcW w:w="827" w:type="dxa"/>
            <w:shd w:val="clear" w:color="auto" w:fill="C4EFCE"/>
            <w:noWrap/>
            <w:tcMar>
              <w:left w:w="28" w:type="dxa"/>
              <w:right w:w="28" w:type="dxa"/>
            </w:tcMar>
            <w:vAlign w:val="center"/>
            <w:hideMark/>
          </w:tcPr>
          <w:p w14:paraId="482B643B" w14:textId="4F4419A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hideMark/>
          </w:tcPr>
          <w:p w14:paraId="43B0F62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76DF7A39" w14:textId="73C3CBA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učiteľov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nepedagogických zamestnancov zo všetkých stupňov vzdelávania (od predškolského po stredoškolské vzdelávanie), ktorí sa zúčastnili na odbornej príprave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digitálnych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technologických zručností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p>
        </w:tc>
      </w:tr>
      <w:tr w:rsidR="00387C70" w:rsidRPr="003F23AC" w14:paraId="55A3D1D0" w14:textId="77777777" w:rsidTr="008E475E">
        <w:trPr>
          <w:trHeight w:val="1050"/>
        </w:trPr>
        <w:tc>
          <w:tcPr>
            <w:tcW w:w="1135" w:type="dxa"/>
            <w:shd w:val="clear" w:color="auto" w:fill="C4EFCE"/>
            <w:tcMar>
              <w:left w:w="28" w:type="dxa"/>
              <w:right w:w="28" w:type="dxa"/>
            </w:tcMar>
            <w:vAlign w:val="center"/>
            <w:hideMark/>
          </w:tcPr>
          <w:p w14:paraId="7B3BBD15" w14:textId="77777777"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20.18</w:t>
            </w:r>
          </w:p>
        </w:tc>
        <w:tc>
          <w:tcPr>
            <w:tcW w:w="1276" w:type="dxa"/>
            <w:shd w:val="clear" w:color="auto" w:fill="C4EFCE"/>
            <w:noWrap/>
            <w:tcMar>
              <w:left w:w="28" w:type="dxa"/>
              <w:right w:w="28" w:type="dxa"/>
            </w:tcMar>
            <w:vAlign w:val="center"/>
            <w:hideMark/>
          </w:tcPr>
          <w:p w14:paraId="3DD1B64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TD-C20-i03-RAM</w:t>
            </w:r>
          </w:p>
        </w:tc>
        <w:tc>
          <w:tcPr>
            <w:tcW w:w="1134" w:type="dxa"/>
            <w:shd w:val="clear" w:color="auto" w:fill="C4EFCE"/>
            <w:noWrap/>
            <w:tcMar>
              <w:left w:w="28" w:type="dxa"/>
              <w:right w:w="28" w:type="dxa"/>
            </w:tcMar>
            <w:vAlign w:val="center"/>
            <w:hideMark/>
          </w:tcPr>
          <w:p w14:paraId="3149BD8C"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hideMark/>
          </w:tcPr>
          <w:p w14:paraId="74F966D8" w14:textId="705F69DE"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Dodanie vedeckého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technologického vybavenia školám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p>
        </w:tc>
        <w:tc>
          <w:tcPr>
            <w:tcW w:w="1275" w:type="dxa"/>
            <w:shd w:val="clear" w:color="auto" w:fill="C4EFCE"/>
            <w:noWrap/>
            <w:tcMar>
              <w:left w:w="28" w:type="dxa"/>
              <w:right w:w="28" w:type="dxa"/>
            </w:tcMar>
            <w:vAlign w:val="center"/>
            <w:hideMark/>
          </w:tcPr>
          <w:p w14:paraId="1EEB5525" w14:textId="5B8581BD"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Dodanie vedeckého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technologického vybavenia školám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p>
        </w:tc>
        <w:tc>
          <w:tcPr>
            <w:tcW w:w="993" w:type="dxa"/>
            <w:shd w:val="clear" w:color="auto" w:fill="C4EFCE"/>
            <w:noWrap/>
            <w:tcMar>
              <w:left w:w="28" w:type="dxa"/>
              <w:right w:w="28" w:type="dxa"/>
            </w:tcMar>
            <w:vAlign w:val="center"/>
            <w:hideMark/>
          </w:tcPr>
          <w:p w14:paraId="452E3CD7" w14:textId="74CDE77A"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hideMark/>
          </w:tcPr>
          <w:p w14:paraId="19E0DA2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992" w:type="dxa"/>
            <w:shd w:val="clear" w:color="auto" w:fill="C4EFCE"/>
            <w:noWrap/>
            <w:tcMar>
              <w:left w:w="28" w:type="dxa"/>
              <w:right w:w="28" w:type="dxa"/>
            </w:tcMar>
            <w:vAlign w:val="center"/>
            <w:hideMark/>
          </w:tcPr>
          <w:p w14:paraId="621CC52E" w14:textId="797C68A8"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827" w:type="dxa"/>
            <w:shd w:val="clear" w:color="auto" w:fill="C4EFCE"/>
            <w:noWrap/>
            <w:tcMar>
              <w:left w:w="28" w:type="dxa"/>
              <w:right w:w="28" w:type="dxa"/>
            </w:tcMar>
            <w:vAlign w:val="center"/>
            <w:hideMark/>
          </w:tcPr>
          <w:p w14:paraId="04C56176" w14:textId="4C8629DB"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448" w:type="dxa"/>
            <w:shd w:val="clear" w:color="auto" w:fill="C4EFCE"/>
            <w:noWrap/>
            <w:tcMar>
              <w:left w:w="28" w:type="dxa"/>
              <w:right w:w="28" w:type="dxa"/>
            </w:tcMar>
            <w:vAlign w:val="center"/>
            <w:hideMark/>
          </w:tcPr>
          <w:p w14:paraId="2338A6FD"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hideMark/>
          </w:tcPr>
          <w:p w14:paraId="74FE80F8" w14:textId="2BA3CF5D" w:rsidR="00A75B3C" w:rsidRPr="003F23AC" w:rsidRDefault="000F5AA4" w:rsidP="003F23AC">
            <w:pPr>
              <w:pStyle w:val="P68B1DB1-Normal8"/>
              <w:spacing w:after="0" w:line="240" w:lineRule="auto"/>
              <w:rPr>
                <w:rFonts w:ascii="Times New Roman" w:hAnsi="Times New Roman" w:cs="Times New Roman"/>
                <w:noProof/>
                <w:lang w:val="sk-SK"/>
              </w:rPr>
            </w:pPr>
            <w:r w:rsidRPr="003F23AC">
              <w:rPr>
                <w:rFonts w:ascii="Times New Roman" w:hAnsi="Times New Roman" w:cs="Times New Roman"/>
                <w:noProof/>
                <w:lang w:val="sk-SK"/>
              </w:rPr>
              <w:t>Školy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RAM využívajú distribúciu týchto vedeckých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technologických súprav na experimentovanie robotiky (pre 129 školských miestností/vzdelávacích priestorov pre všetky stupne vzdelávania: pred, 1</w:t>
            </w:r>
            <w:r w:rsidRPr="003F23AC">
              <w:rPr>
                <w:rFonts w:ascii="Times New Roman" w:hAnsi="Times New Roman" w:cs="Times New Roman"/>
                <w:noProof/>
                <w:vertAlign w:val="superscript"/>
                <w:lang w:val="sk-SK"/>
              </w:rPr>
              <w:t>st</w:t>
            </w:r>
            <w:r w:rsidRPr="003F23AC">
              <w:rPr>
                <w:rFonts w:ascii="Times New Roman" w:hAnsi="Times New Roman" w:cs="Times New Roman"/>
                <w:noProof/>
                <w:lang w:val="sk-SK"/>
              </w:rPr>
              <w:t xml:space="preserve"> cyklus,</w:t>
            </w:r>
            <w:r w:rsidRPr="003F23AC">
              <w:rPr>
                <w:rFonts w:ascii="Times New Roman" w:hAnsi="Times New Roman" w:cs="Times New Roman"/>
                <w:noProof/>
                <w:vertAlign w:val="superscript"/>
                <w:lang w:val="sk-SK"/>
              </w:rPr>
              <w:t>druhý</w:t>
            </w:r>
            <w:r w:rsidRPr="003F23AC">
              <w:rPr>
                <w:rFonts w:ascii="Times New Roman" w:hAnsi="Times New Roman" w:cs="Times New Roman"/>
                <w:noProof/>
                <w:lang w:val="sk-SK"/>
              </w:rPr>
              <w:t xml:space="preserve"> cyklus,</w:t>
            </w:r>
            <w:r w:rsidRPr="003F23AC">
              <w:rPr>
                <w:rFonts w:ascii="Times New Roman" w:hAnsi="Times New Roman" w:cs="Times New Roman"/>
                <w:noProof/>
                <w:vertAlign w:val="superscript"/>
                <w:lang w:val="sk-SK"/>
              </w:rPr>
              <w:t>tretí</w:t>
            </w:r>
            <w:r w:rsidRPr="003F23AC">
              <w:rPr>
                <w:rFonts w:ascii="Times New Roman" w:hAnsi="Times New Roman" w:cs="Times New Roman"/>
                <w:noProof/>
                <w:lang w:val="sk-SK"/>
              </w:rPr>
              <w:t xml:space="preserve"> cyklus</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sekundárne vzdelanie); súpravy experimentálnych vied (pre 129 školských miestností/vzdelávacích priestorov); Parné súpravy (pre 129 školských miestností/vzdelávacích priestorov); súpravy biológie, fyziky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chémie (pre 35 školských miestností/vzdelávacích priestorov); Polyvizuálne/mimomediálne súpravy (pre 40 školských miestností/vzdelávacích priestorov), 100 nových počítačových vedeckých zariadení (pre 94 školských miestností/vzdelávacích priestorov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prvom cykle)</w:t>
            </w:r>
            <w:r w:rsidR="00A75B3C" w:rsidRPr="003F23AC">
              <w:rPr>
                <w:rFonts w:ascii="Times New Roman" w:hAnsi="Times New Roman" w:cs="Times New Roman"/>
                <w:noProof/>
                <w:lang w:val="sk-SK"/>
              </w:rPr>
              <w:t>;</w:t>
            </w:r>
          </w:p>
          <w:p w14:paraId="4F6AF773" w14:textId="0FAB1462"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Okrem toho sa vytvorí 91 inovačných vzdelávacích prostredí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umožniť nové metodické prístupy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procese výučby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učenia sa.</w:t>
            </w:r>
          </w:p>
        </w:tc>
      </w:tr>
    </w:tbl>
    <w:p w14:paraId="63F6E735"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7DF53512"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sectPr w:rsidR="00387C70" w:rsidRPr="003F23AC" w:rsidSect="00E00EDD">
          <w:headerReference w:type="even" r:id="rId362"/>
          <w:headerReference w:type="default" r:id="rId363"/>
          <w:footerReference w:type="even" r:id="rId364"/>
          <w:footerReference w:type="default" r:id="rId365"/>
          <w:headerReference w:type="first" r:id="rId366"/>
          <w:footerReference w:type="first" r:id="rId367"/>
          <w:pgSz w:w="16839" w:h="11907" w:orient="landscape"/>
          <w:pgMar w:top="1134" w:right="1134" w:bottom="1134" w:left="1134" w:header="567" w:footer="567" w:gutter="0"/>
          <w:cols w:space="720"/>
          <w:docGrid w:linePitch="360"/>
        </w:sectPr>
      </w:pPr>
    </w:p>
    <w:p w14:paraId="581F76B7" w14:textId="7D5951D9"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U. KOMPONENT 21: REPowerEU</w:t>
      </w:r>
    </w:p>
    <w:p w14:paraId="4852A6E2" w14:textId="1A7FFE8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kapitoly REPowerEU je podporiť ambície Portugalska, pokiaľ ide</w:t>
      </w:r>
      <w:r w:rsidR="00A75B3C" w:rsidRPr="003F23AC">
        <w:rPr>
          <w:rFonts w:cs="Times New Roman"/>
          <w:noProof/>
          <w:lang w:val="sk-SK"/>
        </w:rPr>
        <w:t xml:space="preserve"> o </w:t>
      </w:r>
      <w:r w:rsidRPr="003F23AC">
        <w:rPr>
          <w:rFonts w:cs="Times New Roman"/>
          <w:noProof/>
          <w:lang w:val="sk-SK"/>
        </w:rPr>
        <w:t>energetickú nezávislosť</w:t>
      </w:r>
      <w:r w:rsidR="00A75B3C" w:rsidRPr="003F23AC">
        <w:rPr>
          <w:rFonts w:cs="Times New Roman"/>
          <w:noProof/>
          <w:lang w:val="sk-SK"/>
        </w:rPr>
        <w:t xml:space="preserve"> a </w:t>
      </w:r>
      <w:r w:rsidRPr="003F23AC">
        <w:rPr>
          <w:rFonts w:cs="Times New Roman"/>
          <w:noProof/>
          <w:lang w:val="sk-SK"/>
        </w:rPr>
        <w:t>zelenú transformáciu</w:t>
      </w:r>
      <w:r w:rsidR="00A75B3C" w:rsidRPr="003F23AC">
        <w:rPr>
          <w:rFonts w:cs="Times New Roman"/>
          <w:noProof/>
          <w:lang w:val="sk-SK"/>
        </w:rPr>
        <w:t xml:space="preserve"> v </w:t>
      </w:r>
      <w:r w:rsidRPr="003F23AC">
        <w:rPr>
          <w:rFonts w:cs="Times New Roman"/>
          <w:noProof/>
          <w:lang w:val="sk-SK"/>
        </w:rPr>
        <w:t>kontexte novej geopolitickej situácie</w:t>
      </w:r>
      <w:r w:rsidR="00A75B3C" w:rsidRPr="003F23AC">
        <w:rPr>
          <w:rFonts w:cs="Times New Roman"/>
          <w:noProof/>
          <w:lang w:val="sk-SK"/>
        </w:rPr>
        <w:t xml:space="preserve"> a </w:t>
      </w:r>
      <w:r w:rsidRPr="003F23AC">
        <w:rPr>
          <w:rFonts w:cs="Times New Roman"/>
          <w:noProof/>
          <w:lang w:val="sk-SK"/>
        </w:rPr>
        <w:t>situácie na trhu</w:t>
      </w:r>
      <w:r w:rsidR="00A75B3C" w:rsidRPr="003F23AC">
        <w:rPr>
          <w:rFonts w:cs="Times New Roman"/>
          <w:noProof/>
          <w:lang w:val="sk-SK"/>
        </w:rPr>
        <w:t xml:space="preserve"> s </w:t>
      </w:r>
      <w:r w:rsidRPr="003F23AC">
        <w:rPr>
          <w:rFonts w:cs="Times New Roman"/>
          <w:noProof/>
          <w:lang w:val="sk-SK"/>
        </w:rPr>
        <w:t>energiou</w:t>
      </w:r>
      <w:r w:rsidR="00A75B3C" w:rsidRPr="003F23AC">
        <w:rPr>
          <w:rFonts w:cs="Times New Roman"/>
          <w:noProof/>
          <w:lang w:val="sk-SK"/>
        </w:rPr>
        <w:t>.</w:t>
      </w:r>
    </w:p>
    <w:p w14:paraId="22A180DD" w14:textId="258B5A5C"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plánu REPowerEU je posilniť energetickú suverenitu Portugalska</w:t>
      </w:r>
      <w:r w:rsidR="00A75B3C" w:rsidRPr="003F23AC">
        <w:rPr>
          <w:rFonts w:cs="Times New Roman"/>
          <w:noProof/>
          <w:lang w:val="sk-SK"/>
        </w:rPr>
        <w:t xml:space="preserve"> a </w:t>
      </w:r>
      <w:r w:rsidRPr="003F23AC">
        <w:rPr>
          <w:rFonts w:cs="Times New Roman"/>
          <w:noProof/>
          <w:lang w:val="sk-SK"/>
        </w:rPr>
        <w:t>urýchliť dekarbonizáciu jeho hospodárstva. Kapitola obsahuje reformy, ktorými sa zefektívnia postupy udeľovania licencií na obnoviteľné zdroje energie, vytvorí sa jednotné kontaktné miesto pre udeľovanie licencií na projekty</w:t>
      </w:r>
      <w:r w:rsidR="00A75B3C" w:rsidRPr="003F23AC">
        <w:rPr>
          <w:rFonts w:cs="Times New Roman"/>
          <w:noProof/>
          <w:lang w:val="sk-SK"/>
        </w:rPr>
        <w:t xml:space="preserve"> v </w:t>
      </w:r>
      <w:r w:rsidRPr="003F23AC">
        <w:rPr>
          <w:rFonts w:cs="Times New Roman"/>
          <w:noProof/>
          <w:lang w:val="sk-SK"/>
        </w:rPr>
        <w:t>oblasti obnoviteľných zdrojov energie, ako aj podporí využívanie biometánu</w:t>
      </w:r>
      <w:r w:rsidR="00A75B3C" w:rsidRPr="003F23AC">
        <w:rPr>
          <w:rFonts w:cs="Times New Roman"/>
          <w:noProof/>
          <w:lang w:val="sk-SK"/>
        </w:rPr>
        <w:t xml:space="preserve"> a </w:t>
      </w:r>
      <w:r w:rsidRPr="003F23AC">
        <w:rPr>
          <w:rFonts w:cs="Times New Roman"/>
          <w:noProof/>
          <w:lang w:val="sk-SK"/>
        </w:rPr>
        <w:t>vodíka</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v </w:t>
      </w:r>
      <w:r w:rsidRPr="003F23AC">
        <w:rPr>
          <w:rFonts w:cs="Times New Roman"/>
          <w:noProof/>
          <w:lang w:val="sk-SK"/>
        </w:rPr>
        <w:t>krajine. Investícia bude pozostávať</w:t>
      </w:r>
      <w:r w:rsidR="00A75B3C" w:rsidRPr="003F23AC">
        <w:rPr>
          <w:rFonts w:cs="Times New Roman"/>
          <w:noProof/>
          <w:lang w:val="sk-SK"/>
        </w:rPr>
        <w:t xml:space="preserve"> z </w:t>
      </w:r>
      <w:r w:rsidRPr="003F23AC">
        <w:rPr>
          <w:rFonts w:cs="Times New Roman"/>
          <w:noProof/>
          <w:lang w:val="sk-SK"/>
        </w:rPr>
        <w:t>vypracovania technických štúdií</w:t>
      </w:r>
      <w:r w:rsidR="00A75B3C" w:rsidRPr="003F23AC">
        <w:rPr>
          <w:rFonts w:cs="Times New Roman"/>
          <w:noProof/>
          <w:lang w:val="sk-SK"/>
        </w:rPr>
        <w:t xml:space="preserve"> o </w:t>
      </w:r>
      <w:r w:rsidRPr="003F23AC">
        <w:rPr>
          <w:rFonts w:cs="Times New Roman"/>
          <w:noProof/>
          <w:lang w:val="sk-SK"/>
        </w:rPr>
        <w:t>využívaní veternej energie na mori. Portugalsko okrem toho rieši výzvu rekvalifikácie pracovnej sily na zelenú transformáciu reformou</w:t>
      </w:r>
      <w:r w:rsidR="00A75B3C" w:rsidRPr="003F23AC">
        <w:rPr>
          <w:rFonts w:cs="Times New Roman"/>
          <w:noProof/>
          <w:lang w:val="sk-SK"/>
        </w:rPr>
        <w:t xml:space="preserve"> v </w:t>
      </w:r>
      <w:r w:rsidRPr="003F23AC">
        <w:rPr>
          <w:rFonts w:cs="Times New Roman"/>
          <w:noProof/>
          <w:lang w:val="sk-SK"/>
        </w:rPr>
        <w:t>oblasti zelených zručností, ktorej cieľom je vytvoriť komplexnú ponuku odbornej prípravy na rozvoj ekologických zručností</w:t>
      </w:r>
      <w:r w:rsidR="00A75B3C" w:rsidRPr="003F23AC">
        <w:rPr>
          <w:rFonts w:cs="Times New Roman"/>
          <w:noProof/>
          <w:lang w:val="sk-SK"/>
        </w:rPr>
        <w:t xml:space="preserve"> a </w:t>
      </w:r>
      <w:r w:rsidRPr="003F23AC">
        <w:rPr>
          <w:rFonts w:cs="Times New Roman"/>
          <w:noProof/>
          <w:lang w:val="sk-SK"/>
        </w:rPr>
        <w:t>vyškoliť 25 tisíc ľudí</w:t>
      </w:r>
      <w:r w:rsidR="00A75B3C" w:rsidRPr="003F23AC">
        <w:rPr>
          <w:rFonts w:cs="Times New Roman"/>
          <w:noProof/>
          <w:lang w:val="sk-SK"/>
        </w:rPr>
        <w:t xml:space="preserve"> v </w:t>
      </w:r>
      <w:r w:rsidRPr="003F23AC">
        <w:rPr>
          <w:rFonts w:cs="Times New Roman"/>
          <w:noProof/>
          <w:lang w:val="sk-SK"/>
        </w:rPr>
        <w:t>nasledujúcich dvoch rokoch.</w:t>
      </w:r>
    </w:p>
    <w:p w14:paraId="12E5334B" w14:textId="6C9EC716"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Kapitola obsahuje aj investície na riešenie energetickej chudoby prostredníctvom investícií na zvýšenie energetickej efektívnosti obytných budov, budov služieb</w:t>
      </w:r>
      <w:r w:rsidR="00A75B3C" w:rsidRPr="003F23AC">
        <w:rPr>
          <w:rFonts w:cs="Times New Roman"/>
          <w:noProof/>
          <w:lang w:val="sk-SK"/>
        </w:rPr>
        <w:t xml:space="preserve"> a </w:t>
      </w:r>
      <w:r w:rsidRPr="003F23AC">
        <w:rPr>
          <w:rFonts w:cs="Times New Roman"/>
          <w:noProof/>
          <w:lang w:val="sk-SK"/>
        </w:rPr>
        <w:t>verejných budov, ako aj reformy na zriadenie národného strediska pre monitorovanie energetickej chudoby</w:t>
      </w:r>
      <w:r w:rsidR="00A75B3C" w:rsidRPr="003F23AC">
        <w:rPr>
          <w:rFonts w:cs="Times New Roman"/>
          <w:noProof/>
          <w:lang w:val="sk-SK"/>
        </w:rPr>
        <w:t xml:space="preserve"> a </w:t>
      </w:r>
      <w:r w:rsidRPr="003F23AC">
        <w:rPr>
          <w:rFonts w:cs="Times New Roman"/>
          <w:noProof/>
          <w:lang w:val="sk-SK"/>
        </w:rPr>
        <w:t>vytvorenie modelu jednotného kontaktného miesta na podporu občanov pri vykonávaní intervencií</w:t>
      </w:r>
      <w:r w:rsidR="00A75B3C" w:rsidRPr="003F23AC">
        <w:rPr>
          <w:rFonts w:cs="Times New Roman"/>
          <w:noProof/>
          <w:lang w:val="sk-SK"/>
        </w:rPr>
        <w:t xml:space="preserve"> v </w:t>
      </w:r>
      <w:r w:rsidRPr="003F23AC">
        <w:rPr>
          <w:rFonts w:cs="Times New Roman"/>
          <w:noProof/>
          <w:lang w:val="sk-SK"/>
        </w:rPr>
        <w:t>oblasti energetickej efektívnosti</w:t>
      </w:r>
      <w:r w:rsidR="00A75B3C" w:rsidRPr="003F23AC">
        <w:rPr>
          <w:rFonts w:cs="Times New Roman"/>
          <w:noProof/>
          <w:lang w:val="sk-SK"/>
        </w:rPr>
        <w:t>.</w:t>
      </w:r>
    </w:p>
    <w:p w14:paraId="3419D7E7" w14:textId="6B21E6FE"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Portugalsko takisto zvyšuje svoju odolnosť prostredníctvom strategických investícií na podporu výroby emisne neutrálnych technológií, zvyšovania existujúcich investícií do obnoviteľných plynov</w:t>
      </w:r>
      <w:r w:rsidR="00A75B3C" w:rsidRPr="003F23AC">
        <w:rPr>
          <w:rFonts w:cs="Times New Roman"/>
          <w:noProof/>
          <w:lang w:val="sk-SK"/>
        </w:rPr>
        <w:t xml:space="preserve"> a </w:t>
      </w:r>
      <w:r w:rsidRPr="003F23AC">
        <w:rPr>
          <w:rFonts w:cs="Times New Roman"/>
          <w:noProof/>
          <w:lang w:val="sk-SK"/>
        </w:rPr>
        <w:t>dopravy</w:t>
      </w:r>
      <w:r w:rsidR="00A75B3C" w:rsidRPr="003F23AC">
        <w:rPr>
          <w:rFonts w:cs="Times New Roman"/>
          <w:noProof/>
          <w:lang w:val="sk-SK"/>
        </w:rPr>
        <w:t xml:space="preserve"> s </w:t>
      </w:r>
      <w:r w:rsidRPr="003F23AC">
        <w:rPr>
          <w:rFonts w:cs="Times New Roman"/>
          <w:noProof/>
          <w:lang w:val="sk-SK"/>
        </w:rPr>
        <w:t>nulovými emisiami, ako aj budovaním skladovacích kapacít na zvýšenie flexibility energetického systému pri súčasnej podpore obnoviteľných zdrojov energie.</w:t>
      </w:r>
      <w:r w:rsidR="00A75B3C" w:rsidRPr="003F23AC">
        <w:rPr>
          <w:rFonts w:cs="Times New Roman"/>
          <w:noProof/>
          <w:lang w:val="sk-SK"/>
        </w:rPr>
        <w:t xml:space="preserve"> V </w:t>
      </w:r>
      <w:r w:rsidRPr="003F23AC">
        <w:rPr>
          <w:rFonts w:cs="Times New Roman"/>
          <w:noProof/>
          <w:lang w:val="sk-SK"/>
        </w:rPr>
        <w:t>celej krajine je naplánovaných</w:t>
      </w:r>
      <w:r w:rsidR="00A75B3C" w:rsidRPr="003F23AC">
        <w:rPr>
          <w:rFonts w:cs="Times New Roman"/>
          <w:noProof/>
          <w:lang w:val="sk-SK"/>
        </w:rPr>
        <w:t xml:space="preserve"> a </w:t>
      </w:r>
      <w:r w:rsidRPr="003F23AC">
        <w:rPr>
          <w:rFonts w:cs="Times New Roman"/>
          <w:noProof/>
          <w:lang w:val="sk-SK"/>
        </w:rPr>
        <w:t>rozšírených niekoľko nových investícií do dopravy</w:t>
      </w:r>
      <w:r w:rsidR="00A75B3C" w:rsidRPr="003F23AC">
        <w:rPr>
          <w:rFonts w:cs="Times New Roman"/>
          <w:noProof/>
          <w:lang w:val="sk-SK"/>
        </w:rPr>
        <w:t xml:space="preserve"> s </w:t>
      </w:r>
      <w:r w:rsidRPr="003F23AC">
        <w:rPr>
          <w:rFonts w:cs="Times New Roman"/>
          <w:noProof/>
          <w:lang w:val="sk-SK"/>
        </w:rPr>
        <w:t>nulovými emisiami vrátane výstavby rýchlej tranzitnej linky Bus</w:t>
      </w:r>
      <w:r w:rsidR="00A75B3C" w:rsidRPr="003F23AC">
        <w:rPr>
          <w:rFonts w:cs="Times New Roman"/>
          <w:noProof/>
          <w:lang w:val="sk-SK"/>
        </w:rPr>
        <w:t xml:space="preserve"> v </w:t>
      </w:r>
      <w:r w:rsidRPr="003F23AC">
        <w:rPr>
          <w:rFonts w:cs="Times New Roman"/>
          <w:noProof/>
          <w:lang w:val="sk-SK"/>
        </w:rPr>
        <w:t>Brage</w:t>
      </w:r>
      <w:r w:rsidR="00A75B3C" w:rsidRPr="003F23AC">
        <w:rPr>
          <w:rFonts w:cs="Times New Roman"/>
          <w:noProof/>
          <w:lang w:val="sk-SK"/>
        </w:rPr>
        <w:t xml:space="preserve"> a </w:t>
      </w:r>
      <w:r w:rsidR="00F218FC" w:rsidRPr="003F23AC">
        <w:rPr>
          <w:rFonts w:cs="Times New Roman"/>
          <w:noProof/>
          <w:lang w:val="sk-SK"/>
        </w:rPr>
        <w:t>lanovky</w:t>
      </w:r>
      <w:r w:rsidR="00A75B3C" w:rsidRPr="003F23AC">
        <w:rPr>
          <w:rFonts w:cs="Times New Roman"/>
          <w:noProof/>
          <w:lang w:val="sk-SK"/>
        </w:rPr>
        <w:t xml:space="preserve"> v </w:t>
      </w:r>
      <w:r w:rsidRPr="003F23AC">
        <w:rPr>
          <w:rFonts w:cs="Times New Roman"/>
          <w:noProof/>
          <w:lang w:val="sk-SK"/>
        </w:rPr>
        <w:t>Nazare.“</w:t>
      </w:r>
    </w:p>
    <w:p w14:paraId="5E7C784E" w14:textId="4CABC058"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Viaceré opatrenia budú mať cezhraničný rozmer, ktorý sa bude</w:t>
      </w:r>
      <w:r w:rsidR="00A75B3C" w:rsidRPr="003F23AC">
        <w:rPr>
          <w:rFonts w:cs="Times New Roman"/>
          <w:noProof/>
          <w:lang w:val="sk-SK"/>
        </w:rPr>
        <w:t xml:space="preserve"> z </w:t>
      </w:r>
      <w:r w:rsidRPr="003F23AC">
        <w:rPr>
          <w:rFonts w:cs="Times New Roman"/>
          <w:noProof/>
          <w:lang w:val="sk-SK"/>
        </w:rPr>
        <w:t>väčšej časti rozvíjať prostredníctvom investícií do obnoviteľných zdrojov energie</w:t>
      </w:r>
      <w:r w:rsidR="00A75B3C" w:rsidRPr="003F23AC">
        <w:rPr>
          <w:rFonts w:cs="Times New Roman"/>
          <w:noProof/>
          <w:lang w:val="sk-SK"/>
        </w:rPr>
        <w:t xml:space="preserve"> a </w:t>
      </w:r>
      <w:r w:rsidRPr="003F23AC">
        <w:rPr>
          <w:rFonts w:cs="Times New Roman"/>
          <w:noProof/>
          <w:lang w:val="sk-SK"/>
        </w:rPr>
        <w:t>energetickej efektívnosti.</w:t>
      </w:r>
    </w:p>
    <w:p w14:paraId="053BB105" w14:textId="672425BE" w:rsidR="00387C70" w:rsidRPr="008E475E" w:rsidRDefault="000F5AA4" w:rsidP="003F23AC">
      <w:pPr>
        <w:pStyle w:val="P68B1DB1-Normal4"/>
        <w:spacing w:before="40" w:after="0" w:line="259" w:lineRule="auto"/>
        <w:jc w:val="both"/>
        <w:rPr>
          <w:rFonts w:eastAsiaTheme="minorEastAsia" w:cs="Times New Roman"/>
          <w:noProof/>
          <w:spacing w:val="-4"/>
          <w:lang w:val="sk-SK"/>
        </w:rPr>
      </w:pPr>
      <w:r w:rsidRPr="008E475E">
        <w:rPr>
          <w:rFonts w:cs="Times New Roman"/>
          <w:noProof/>
          <w:spacing w:val="-4"/>
          <w:lang w:val="sk-SK"/>
        </w:rPr>
        <w:t>Táto zložka prispieva</w:t>
      </w:r>
      <w:r w:rsidR="00A75B3C" w:rsidRPr="008E475E">
        <w:rPr>
          <w:rFonts w:cs="Times New Roman"/>
          <w:noProof/>
          <w:spacing w:val="-4"/>
          <w:lang w:val="sk-SK"/>
        </w:rPr>
        <w:t xml:space="preserve"> k </w:t>
      </w:r>
      <w:r w:rsidRPr="008E475E">
        <w:rPr>
          <w:rFonts w:cs="Times New Roman"/>
          <w:noProof/>
          <w:spacing w:val="-4"/>
          <w:lang w:val="sk-SK"/>
        </w:rPr>
        <w:t>plneniu odporúčania pre jednotlivé krajiny vydaného Portugalsku</w:t>
      </w:r>
      <w:r w:rsidR="00A75B3C" w:rsidRPr="008E475E">
        <w:rPr>
          <w:rFonts w:cs="Times New Roman"/>
          <w:noProof/>
          <w:spacing w:val="-4"/>
          <w:lang w:val="sk-SK"/>
        </w:rPr>
        <w:t xml:space="preserve"> s </w:t>
      </w:r>
      <w:r w:rsidRPr="008E475E">
        <w:rPr>
          <w:rFonts w:cs="Times New Roman"/>
          <w:noProof/>
          <w:spacing w:val="-4"/>
          <w:lang w:val="sk-SK"/>
        </w:rPr>
        <w:t>cieľom znížiť závislosť od fosílnych palív (odporúčanie pre jednotlivé krajiny 4 2022</w:t>
      </w:r>
      <w:r w:rsidR="00A75B3C" w:rsidRPr="008E475E">
        <w:rPr>
          <w:rFonts w:cs="Times New Roman"/>
          <w:noProof/>
          <w:spacing w:val="-4"/>
          <w:lang w:val="sk-SK"/>
        </w:rPr>
        <w:t xml:space="preserve"> a </w:t>
      </w:r>
      <w:r w:rsidRPr="008E475E">
        <w:rPr>
          <w:rFonts w:cs="Times New Roman"/>
          <w:noProof/>
          <w:spacing w:val="-4"/>
          <w:lang w:val="sk-SK"/>
        </w:rPr>
        <w:t>2023)</w:t>
      </w:r>
      <w:r w:rsidR="00A75B3C" w:rsidRPr="008E475E">
        <w:rPr>
          <w:rFonts w:cs="Times New Roman"/>
          <w:noProof/>
          <w:spacing w:val="-4"/>
          <w:lang w:val="sk-SK"/>
        </w:rPr>
        <w:t xml:space="preserve"> a </w:t>
      </w:r>
      <w:r w:rsidRPr="008E475E">
        <w:rPr>
          <w:rFonts w:cs="Times New Roman"/>
          <w:noProof/>
          <w:spacing w:val="-4"/>
          <w:lang w:val="sk-SK"/>
        </w:rPr>
        <w:t>zamerať investície na nízkouhlíkovú</w:t>
      </w:r>
      <w:r w:rsidR="00A75B3C" w:rsidRPr="008E475E">
        <w:rPr>
          <w:rFonts w:cs="Times New Roman"/>
          <w:noProof/>
          <w:spacing w:val="-4"/>
          <w:lang w:val="sk-SK"/>
        </w:rPr>
        <w:t xml:space="preserve"> a </w:t>
      </w:r>
      <w:r w:rsidRPr="008E475E">
        <w:rPr>
          <w:rFonts w:cs="Times New Roman"/>
          <w:noProof/>
          <w:spacing w:val="-4"/>
          <w:lang w:val="sk-SK"/>
        </w:rPr>
        <w:t>energetickú transformáciu (odporúčanie pre jednotlivé krajiny 3 2019)</w:t>
      </w:r>
      <w:r w:rsidR="00A75B3C" w:rsidRPr="008E475E">
        <w:rPr>
          <w:rFonts w:cs="Times New Roman"/>
          <w:noProof/>
          <w:spacing w:val="-4"/>
          <w:lang w:val="sk-SK"/>
        </w:rPr>
        <w:t xml:space="preserve"> a </w:t>
      </w:r>
      <w:r w:rsidRPr="008E475E">
        <w:rPr>
          <w:rFonts w:cs="Times New Roman"/>
          <w:noProof/>
          <w:spacing w:val="-4"/>
          <w:lang w:val="sk-SK"/>
        </w:rPr>
        <w:t>na čistú</w:t>
      </w:r>
      <w:r w:rsidR="00A75B3C" w:rsidRPr="008E475E">
        <w:rPr>
          <w:rFonts w:cs="Times New Roman"/>
          <w:noProof/>
          <w:spacing w:val="-4"/>
          <w:lang w:val="sk-SK"/>
        </w:rPr>
        <w:t xml:space="preserve"> a </w:t>
      </w:r>
      <w:r w:rsidRPr="008E475E">
        <w:rPr>
          <w:rFonts w:cs="Times New Roman"/>
          <w:noProof/>
          <w:spacing w:val="-4"/>
          <w:lang w:val="sk-SK"/>
        </w:rPr>
        <w:t>efektívnu výrobu</w:t>
      </w:r>
      <w:r w:rsidR="00A75B3C" w:rsidRPr="008E475E">
        <w:rPr>
          <w:rFonts w:cs="Times New Roman"/>
          <w:noProof/>
          <w:spacing w:val="-4"/>
          <w:lang w:val="sk-SK"/>
        </w:rPr>
        <w:t xml:space="preserve"> a </w:t>
      </w:r>
      <w:r w:rsidRPr="008E475E">
        <w:rPr>
          <w:rFonts w:cs="Times New Roman"/>
          <w:noProof/>
          <w:spacing w:val="-4"/>
          <w:lang w:val="sk-SK"/>
        </w:rPr>
        <w:t>využívanie energie (odporúčanie 3 2020 pre jednotlivé krajiny). Zahŕňa najmä opatrenia na urýchlenie zavádzania obnoviteľných zdrojov energie, zjednodušenie udeľovania povolení, dekarbonizáciu odvetvia dopravy, zlepšenie energetickej efektívnosti budov, modernizáciu prenosových</w:t>
      </w:r>
      <w:r w:rsidR="00A75B3C" w:rsidRPr="008E475E">
        <w:rPr>
          <w:rFonts w:cs="Times New Roman"/>
          <w:noProof/>
          <w:spacing w:val="-4"/>
          <w:lang w:val="sk-SK"/>
        </w:rPr>
        <w:t xml:space="preserve"> a </w:t>
      </w:r>
      <w:r w:rsidRPr="008E475E">
        <w:rPr>
          <w:rFonts w:cs="Times New Roman"/>
          <w:noProof/>
          <w:spacing w:val="-4"/>
          <w:lang w:val="sk-SK"/>
        </w:rPr>
        <w:t>distribučných sústav elektrickej energie, zvýšenie uskladňovania elektrickej energie</w:t>
      </w:r>
      <w:r w:rsidR="00A75B3C" w:rsidRPr="008E475E">
        <w:rPr>
          <w:rFonts w:cs="Times New Roman"/>
          <w:noProof/>
          <w:spacing w:val="-4"/>
          <w:lang w:val="sk-SK"/>
        </w:rPr>
        <w:t xml:space="preserve"> a </w:t>
      </w:r>
      <w:r w:rsidRPr="008E475E">
        <w:rPr>
          <w:rFonts w:cs="Times New Roman"/>
          <w:noProof/>
          <w:spacing w:val="-4"/>
          <w:lang w:val="sk-SK"/>
        </w:rPr>
        <w:t>posilnenie získavania zelených zručností potrebných na zelenú transformáciu.</w:t>
      </w:r>
    </w:p>
    <w:p w14:paraId="68203BCC" w14:textId="7BB171FE" w:rsidR="00387C70" w:rsidRPr="008E475E" w:rsidRDefault="000F5AA4" w:rsidP="003F23AC">
      <w:pPr>
        <w:pStyle w:val="P68B1DB1-Normal4"/>
        <w:spacing w:before="40" w:after="0" w:line="259" w:lineRule="auto"/>
        <w:jc w:val="both"/>
        <w:rPr>
          <w:rFonts w:cs="Times New Roman"/>
          <w:noProof/>
          <w:spacing w:val="-4"/>
          <w:lang w:val="sk-SK"/>
        </w:rPr>
      </w:pPr>
      <w:r w:rsidRPr="008E475E">
        <w:rPr>
          <w:rFonts w:cs="Times New Roman"/>
          <w:noProof/>
          <w:spacing w:val="-4"/>
          <w:lang w:val="sk-SK"/>
        </w:rPr>
        <w:t>Očakáva sa, že žiadne opatrenie</w:t>
      </w:r>
      <w:r w:rsidR="00A75B3C" w:rsidRPr="008E475E">
        <w:rPr>
          <w:rFonts w:cs="Times New Roman"/>
          <w:noProof/>
          <w:spacing w:val="-4"/>
          <w:lang w:val="sk-SK"/>
        </w:rPr>
        <w:t xml:space="preserve"> v </w:t>
      </w:r>
      <w:r w:rsidRPr="008E475E">
        <w:rPr>
          <w:rFonts w:cs="Times New Roman"/>
          <w:noProof/>
          <w:spacing w:val="-4"/>
          <w:lang w:val="sk-SK"/>
        </w:rPr>
        <w:t>tomto komponente výrazne nenaruší environmentálne ciele</w:t>
      </w:r>
      <w:r w:rsidR="00A75B3C" w:rsidRPr="008E475E">
        <w:rPr>
          <w:rFonts w:cs="Times New Roman"/>
          <w:noProof/>
          <w:spacing w:val="-4"/>
          <w:lang w:val="sk-SK"/>
        </w:rPr>
        <w:t xml:space="preserve"> v </w:t>
      </w:r>
      <w:r w:rsidRPr="008E475E">
        <w:rPr>
          <w:rFonts w:cs="Times New Roman"/>
          <w:noProof/>
          <w:spacing w:val="-4"/>
          <w:lang w:val="sk-SK"/>
        </w:rPr>
        <w:t>zmysle článku 17 nariadenia Európskeho parlamentu</w:t>
      </w:r>
      <w:r w:rsidR="00A75B3C" w:rsidRPr="008E475E">
        <w:rPr>
          <w:rFonts w:cs="Times New Roman"/>
          <w:noProof/>
          <w:spacing w:val="-4"/>
          <w:lang w:val="sk-SK"/>
        </w:rPr>
        <w:t xml:space="preserve"> a </w:t>
      </w:r>
      <w:r w:rsidRPr="008E475E">
        <w:rPr>
          <w:rFonts w:cs="Times New Roman"/>
          <w:noProof/>
          <w:spacing w:val="-4"/>
          <w:lang w:val="sk-SK"/>
        </w:rPr>
        <w:t>Rady (EÚ) 2020/852 berúc do úvahy opis opatrení</w:t>
      </w:r>
      <w:r w:rsidR="00A75B3C" w:rsidRPr="008E475E">
        <w:rPr>
          <w:rFonts w:cs="Times New Roman"/>
          <w:noProof/>
          <w:spacing w:val="-4"/>
          <w:lang w:val="sk-SK"/>
        </w:rPr>
        <w:t xml:space="preserve"> a </w:t>
      </w:r>
      <w:r w:rsidRPr="008E475E">
        <w:rPr>
          <w:rFonts w:cs="Times New Roman"/>
          <w:noProof/>
          <w:spacing w:val="-4"/>
          <w:lang w:val="sk-SK"/>
        </w:rPr>
        <w:t>zmierňujúce kroky stanovené</w:t>
      </w:r>
      <w:r w:rsidR="00A75B3C" w:rsidRPr="008E475E">
        <w:rPr>
          <w:rFonts w:cs="Times New Roman"/>
          <w:noProof/>
          <w:spacing w:val="-4"/>
          <w:lang w:val="sk-SK"/>
        </w:rPr>
        <w:t xml:space="preserve"> v </w:t>
      </w:r>
      <w:r w:rsidRPr="008E475E">
        <w:rPr>
          <w:rFonts w:cs="Times New Roman"/>
          <w:noProof/>
          <w:spacing w:val="-4"/>
          <w:lang w:val="sk-SK"/>
        </w:rPr>
        <w:t>pláne obnovy</w:t>
      </w:r>
      <w:r w:rsidR="00A75B3C" w:rsidRPr="008E475E">
        <w:rPr>
          <w:rFonts w:cs="Times New Roman"/>
          <w:noProof/>
          <w:spacing w:val="-4"/>
          <w:lang w:val="sk-SK"/>
        </w:rPr>
        <w:t xml:space="preserve"> a </w:t>
      </w:r>
      <w:r w:rsidRPr="008E475E">
        <w:rPr>
          <w:rFonts w:cs="Times New Roman"/>
          <w:noProof/>
          <w:spacing w:val="-4"/>
          <w:lang w:val="sk-SK"/>
        </w:rPr>
        <w:t>odolnosti</w:t>
      </w:r>
      <w:r w:rsidR="00A75B3C" w:rsidRPr="008E475E">
        <w:rPr>
          <w:rFonts w:cs="Times New Roman"/>
          <w:noProof/>
          <w:spacing w:val="-4"/>
          <w:lang w:val="sk-SK"/>
        </w:rPr>
        <w:t xml:space="preserve"> v </w:t>
      </w:r>
      <w:r w:rsidRPr="008E475E">
        <w:rPr>
          <w:rFonts w:cs="Times New Roman"/>
          <w:noProof/>
          <w:spacing w:val="-4"/>
          <w:lang w:val="sk-SK"/>
        </w:rPr>
        <w:t>súlade so zásadou technického usmernia týkajúceho sa uplatňovania zásady „výrazne nenarušiť“ (DNHS) (2021/C58/01).</w:t>
      </w:r>
    </w:p>
    <w:p w14:paraId="40A068BA" w14:textId="77777777" w:rsidR="00387C70" w:rsidRPr="003F23AC" w:rsidRDefault="00387C70" w:rsidP="003F23AC">
      <w:pPr>
        <w:spacing w:before="40" w:after="0" w:line="259" w:lineRule="auto"/>
        <w:jc w:val="both"/>
        <w:outlineLvl w:val="1"/>
        <w:rPr>
          <w:rFonts w:ascii="Times New Roman" w:eastAsiaTheme="majorEastAsia" w:hAnsi="Times New Roman" w:cs="Times New Roman"/>
          <w:b/>
          <w:noProof/>
          <w:sz w:val="24"/>
          <w:u w:val="single"/>
          <w:lang w:val="sk-SK"/>
        </w:rPr>
      </w:pPr>
    </w:p>
    <w:p w14:paraId="3FDCB5A0" w14:textId="7F09E038"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U.1. Opis reforiem</w:t>
      </w:r>
      <w:r w:rsidR="00A75B3C" w:rsidRPr="003F23AC">
        <w:rPr>
          <w:rFonts w:cs="Times New Roman"/>
          <w:noProof/>
          <w:lang w:val="sk-SK"/>
        </w:rPr>
        <w:t xml:space="preserve"> a </w:t>
      </w:r>
      <w:r w:rsidRPr="003F23AC">
        <w:rPr>
          <w:rFonts w:cs="Times New Roman"/>
          <w:noProof/>
          <w:lang w:val="sk-SK"/>
        </w:rPr>
        <w:t>investícií</w:t>
      </w:r>
      <w:r w:rsidR="00A75B3C" w:rsidRPr="003F23AC">
        <w:rPr>
          <w:rFonts w:cs="Times New Roman"/>
          <w:noProof/>
          <w:lang w:val="sk-SK"/>
        </w:rPr>
        <w:t xml:space="preserve"> v </w:t>
      </w:r>
      <w:r w:rsidRPr="003F23AC">
        <w:rPr>
          <w:rFonts w:cs="Times New Roman"/>
          <w:noProof/>
          <w:lang w:val="sk-SK"/>
        </w:rPr>
        <w:t>rámci nenávratnej finančnej podpory</w:t>
      </w:r>
    </w:p>
    <w:p w14:paraId="1C306676" w14:textId="6845FEE8" w:rsidR="00387C70" w:rsidRPr="003F23AC" w:rsidRDefault="000F5AA4" w:rsidP="003F23AC">
      <w:pPr>
        <w:pStyle w:val="P68B1DB1-Normal5"/>
        <w:spacing w:before="240" w:after="0"/>
        <w:rPr>
          <w:rFonts w:eastAsiaTheme="minorEastAsia" w:cs="Times New Roman"/>
          <w:noProof/>
          <w:lang w:val="sk-SK"/>
        </w:rPr>
      </w:pPr>
      <w:bookmarkStart w:id="33" w:name="_Toc137472477"/>
      <w:r w:rsidRPr="003F23AC">
        <w:rPr>
          <w:rFonts w:cs="Times New Roman"/>
          <w:noProof/>
          <w:lang w:val="sk-SK"/>
        </w:rPr>
        <w:t>Investície RP-C21-i01: Rozšírené opatrenie: Dekarbonizácia priemyslu</w:t>
      </w:r>
      <w:bookmarkEnd w:id="33"/>
    </w:p>
    <w:p w14:paraId="07D772F8" w14:textId="33D86C85" w:rsidR="00387C70" w:rsidRPr="008E475E" w:rsidRDefault="000F5AA4" w:rsidP="003F23AC">
      <w:pPr>
        <w:pStyle w:val="P68B1DB1-Normal4"/>
        <w:spacing w:before="40" w:after="0" w:line="259" w:lineRule="auto"/>
        <w:jc w:val="both"/>
        <w:rPr>
          <w:rFonts w:cs="Times New Roman"/>
          <w:noProof/>
          <w:spacing w:val="-4"/>
          <w:lang w:val="sk-SK"/>
        </w:rPr>
      </w:pPr>
      <w:r w:rsidRPr="008E475E">
        <w:rPr>
          <w:rFonts w:cs="Times New Roman"/>
          <w:noProof/>
          <w:spacing w:val="-4"/>
          <w:lang w:val="sk-SK"/>
        </w:rPr>
        <w:t>Cieľom tohto opatrenia je zvýšiť investície TC-C11-i01: Dekarbonizácia priemyslu</w:t>
      </w:r>
      <w:r w:rsidR="00A75B3C" w:rsidRPr="008E475E">
        <w:rPr>
          <w:rFonts w:cs="Times New Roman"/>
          <w:noProof/>
          <w:spacing w:val="-4"/>
          <w:lang w:val="sk-SK"/>
        </w:rPr>
        <w:t xml:space="preserve"> v </w:t>
      </w:r>
      <w:r w:rsidRPr="008E475E">
        <w:rPr>
          <w:rFonts w:cs="Times New Roman"/>
          <w:noProof/>
          <w:spacing w:val="-4"/>
          <w:lang w:val="sk-SK"/>
        </w:rPr>
        <w:t>rámci zložky 11.</w:t>
      </w:r>
    </w:p>
    <w:p w14:paraId="6F624D1D" w14:textId="46C36D56"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Zväčšenou časťou opatrenia sa zvýši počet podporovaných projektov dekarbonizácie. Podpora na rozšírenú časť opatrenia sa poskytne 500 malým</w:t>
      </w:r>
      <w:r w:rsidR="00A75B3C" w:rsidRPr="003F23AC">
        <w:rPr>
          <w:rFonts w:cs="Times New Roman"/>
          <w:noProof/>
          <w:lang w:val="sk-SK"/>
        </w:rPr>
        <w:t xml:space="preserve"> a </w:t>
      </w:r>
      <w:r w:rsidRPr="003F23AC">
        <w:rPr>
          <w:rFonts w:cs="Times New Roman"/>
          <w:noProof/>
          <w:lang w:val="sk-SK"/>
        </w:rPr>
        <w:t>stredným podnikom na projekty</w:t>
      </w:r>
      <w:r w:rsidR="00A75B3C" w:rsidRPr="003F23AC">
        <w:rPr>
          <w:rFonts w:cs="Times New Roman"/>
          <w:noProof/>
          <w:lang w:val="sk-SK"/>
        </w:rPr>
        <w:t xml:space="preserve"> v </w:t>
      </w:r>
      <w:r w:rsidRPr="003F23AC">
        <w:rPr>
          <w:rFonts w:cs="Times New Roman"/>
          <w:noProof/>
          <w:lang w:val="sk-SK"/>
        </w:rPr>
        <w:t>maximálnej výške 200 000 EUR na podnik počas troch fiškálnych rokov (ďalej len „zjednodušené“ projekty).</w:t>
      </w:r>
    </w:p>
    <w:p w14:paraId="29353424" w14:textId="60C773DB"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579DBFB6" w14:textId="4A98A963"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bookmarkStart w:id="34" w:name="_Toc137472478"/>
      <w:r w:rsidRPr="003F23AC">
        <w:rPr>
          <w:rFonts w:cs="Times New Roman"/>
          <w:noProof/>
          <w:lang w:val="sk-SK"/>
        </w:rPr>
        <w:t>Investície RP-C21-i02: Rozšírené opatrenie: Energetická efektívnosť obytných budov</w:t>
      </w:r>
      <w:bookmarkEnd w:id="34"/>
    </w:p>
    <w:p w14:paraId="1B80F596" w14:textId="163056D1" w:rsidR="00A75B3C" w:rsidRPr="003F23AC" w:rsidRDefault="000F5AA4" w:rsidP="003F23AC">
      <w:pPr>
        <w:pStyle w:val="P68B1DB1-Normal4"/>
        <w:spacing w:after="0"/>
        <w:jc w:val="both"/>
        <w:rPr>
          <w:rFonts w:cs="Times New Roman"/>
          <w:noProof/>
          <w:lang w:val="sk-SK"/>
        </w:rPr>
      </w:pPr>
      <w:r w:rsidRPr="003F23AC">
        <w:rPr>
          <w:rFonts w:cs="Times New Roman"/>
          <w:noProof/>
          <w:lang w:val="sk-SK"/>
        </w:rPr>
        <w:t>Cieľom opatrenia je rozšíriť opatrenie TC-C13-i01: Energetická efektívnosť obytných budov</w:t>
      </w:r>
      <w:r w:rsidR="00A75B3C" w:rsidRPr="003F23AC">
        <w:rPr>
          <w:rFonts w:cs="Times New Roman"/>
          <w:noProof/>
          <w:lang w:val="sk-SK"/>
        </w:rPr>
        <w:t xml:space="preserve"> v </w:t>
      </w:r>
      <w:r w:rsidRPr="003F23AC">
        <w:rPr>
          <w:rFonts w:cs="Times New Roman"/>
          <w:noProof/>
          <w:lang w:val="sk-SK"/>
        </w:rPr>
        <w:t>rámci zložky 13</w:t>
      </w:r>
      <w:r w:rsidR="00A75B3C" w:rsidRPr="003F23AC">
        <w:rPr>
          <w:rFonts w:cs="Times New Roman"/>
          <w:noProof/>
          <w:lang w:val="sk-SK"/>
        </w:rPr>
        <w:t>.</w:t>
      </w:r>
    </w:p>
    <w:p w14:paraId="5ED787E9" w14:textId="5AA65645" w:rsidR="00387C70" w:rsidRPr="003F23AC" w:rsidRDefault="000F5AA4" w:rsidP="003F23AC">
      <w:pPr>
        <w:pStyle w:val="P68B1DB1-Normal4"/>
        <w:spacing w:after="0"/>
        <w:jc w:val="both"/>
        <w:rPr>
          <w:rFonts w:cs="Times New Roman"/>
          <w:noProof/>
          <w:lang w:val="sk-SK"/>
        </w:rPr>
      </w:pPr>
      <w:r w:rsidRPr="003F23AC">
        <w:rPr>
          <w:rFonts w:cs="Times New Roman"/>
          <w:noProof/>
          <w:lang w:val="sk-SK"/>
        </w:rPr>
        <w:t>Rozširujúcou sa časťou opatrenia sa zvýši počet obnovených obytných budov</w:t>
      </w:r>
      <w:r w:rsidR="00A75B3C" w:rsidRPr="003F23AC">
        <w:rPr>
          <w:rFonts w:cs="Times New Roman"/>
          <w:noProof/>
          <w:lang w:val="sk-SK"/>
        </w:rPr>
        <w:t xml:space="preserve"> a </w:t>
      </w:r>
      <w:r w:rsidRPr="003F23AC">
        <w:rPr>
          <w:rFonts w:cs="Times New Roman"/>
          <w:noProof/>
          <w:lang w:val="sk-SK"/>
        </w:rPr>
        <w:t>počet výroby energie</w:t>
      </w:r>
      <w:r w:rsidR="00A75B3C" w:rsidRPr="003F23AC">
        <w:rPr>
          <w:rFonts w:cs="Times New Roman"/>
          <w:noProof/>
          <w:lang w:val="sk-SK"/>
        </w:rPr>
        <w:t xml:space="preserve"> z </w:t>
      </w:r>
      <w:r w:rsidRPr="003F23AC">
        <w:rPr>
          <w:rFonts w:cs="Times New Roman"/>
          <w:noProof/>
          <w:lang w:val="sk-SK"/>
        </w:rPr>
        <w:t>obnoviteľných zdrojov na vlastnú spotrebu. 60</w:t>
      </w:r>
      <w:r w:rsidR="00A75B3C" w:rsidRPr="003F23AC">
        <w:rPr>
          <w:rFonts w:cs="Times New Roman"/>
          <w:noProof/>
          <w:lang w:val="sk-SK"/>
        </w:rPr>
        <w:t> %</w:t>
      </w:r>
      <w:r w:rsidRPr="003F23AC">
        <w:rPr>
          <w:rFonts w:cs="Times New Roman"/>
          <w:noProof/>
          <w:lang w:val="sk-SK"/>
        </w:rPr>
        <w:t xml:space="preserve"> podlahovej plochy renovovanej</w:t>
      </w:r>
      <w:r w:rsidR="00A75B3C" w:rsidRPr="003F23AC">
        <w:rPr>
          <w:rFonts w:cs="Times New Roman"/>
          <w:noProof/>
          <w:lang w:val="sk-SK"/>
        </w:rPr>
        <w:t xml:space="preserve"> v </w:t>
      </w:r>
      <w:r w:rsidRPr="003F23AC">
        <w:rPr>
          <w:rFonts w:cs="Times New Roman"/>
          <w:noProof/>
          <w:lang w:val="sk-SK"/>
        </w:rPr>
        <w:t>rámci tejto investície musí byť</w:t>
      </w:r>
      <w:r w:rsidR="00A75B3C" w:rsidRPr="003F23AC">
        <w:rPr>
          <w:rFonts w:cs="Times New Roman"/>
          <w:noProof/>
          <w:lang w:val="sk-SK"/>
        </w:rPr>
        <w:t xml:space="preserve"> v </w:t>
      </w:r>
      <w:r w:rsidRPr="003F23AC">
        <w:rPr>
          <w:rFonts w:cs="Times New Roman"/>
          <w:noProof/>
          <w:lang w:val="sk-SK"/>
        </w:rPr>
        <w:t>bytových domoch.</w:t>
      </w:r>
    </w:p>
    <w:p w14:paraId="1A06BA32" w14:textId="3F16E715" w:rsidR="00387C70" w:rsidRPr="003F23AC" w:rsidRDefault="000F5AA4" w:rsidP="003F23AC">
      <w:pPr>
        <w:pStyle w:val="P68B1DB1-Normal4"/>
        <w:spacing w:after="0"/>
        <w:jc w:val="both"/>
        <w:rPr>
          <w:rFonts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septembra</w:t>
      </w:r>
      <w:r w:rsidRPr="003F23AC">
        <w:rPr>
          <w:rFonts w:cs="Times New Roman"/>
          <w:noProof/>
          <w:lang w:val="sk-SK"/>
        </w:rPr>
        <w:t xml:space="preserve"> 2025.</w:t>
      </w:r>
    </w:p>
    <w:p w14:paraId="7450F2F2" w14:textId="64382BF4" w:rsidR="00387C70" w:rsidRPr="003F23AC" w:rsidRDefault="00387C70" w:rsidP="003F23AC">
      <w:pPr>
        <w:spacing w:after="0"/>
        <w:jc w:val="both"/>
        <w:rPr>
          <w:rFonts w:ascii="Times New Roman" w:hAnsi="Times New Roman" w:cs="Times New Roman"/>
          <w:noProof/>
          <w:sz w:val="24"/>
          <w:lang w:val="sk-SK"/>
        </w:rPr>
      </w:pPr>
    </w:p>
    <w:p w14:paraId="10433ABC" w14:textId="1EF55EC0"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bookmarkStart w:id="35" w:name="_Toc137472479"/>
      <w:bookmarkStart w:id="36" w:name="_Hlk140143655"/>
      <w:r w:rsidRPr="003F23AC">
        <w:rPr>
          <w:rFonts w:cs="Times New Roman"/>
          <w:noProof/>
          <w:lang w:val="sk-SK"/>
        </w:rPr>
        <w:t>Investície RP-C21-i03: Rozšírené opatrenie: Energetická hospodárnosť budov používaných</w:t>
      </w:r>
      <w:r w:rsidR="00A75B3C" w:rsidRPr="003F23AC">
        <w:rPr>
          <w:rFonts w:cs="Times New Roman"/>
          <w:noProof/>
          <w:lang w:val="sk-SK"/>
        </w:rPr>
        <w:t xml:space="preserve"> v </w:t>
      </w:r>
      <w:r w:rsidRPr="003F23AC">
        <w:rPr>
          <w:rFonts w:cs="Times New Roman"/>
          <w:noProof/>
          <w:lang w:val="sk-SK"/>
        </w:rPr>
        <w:t>sektore služieb</w:t>
      </w:r>
      <w:bookmarkEnd w:id="35"/>
    </w:p>
    <w:bookmarkEnd w:id="36"/>
    <w:p w14:paraId="7E310686" w14:textId="01559B68" w:rsidR="00387C70" w:rsidRPr="003F23AC" w:rsidRDefault="000F5AA4" w:rsidP="003F23AC">
      <w:pPr>
        <w:pStyle w:val="P68B1DB1-Normal4"/>
        <w:spacing w:after="0"/>
        <w:jc w:val="both"/>
        <w:rPr>
          <w:rFonts w:cs="Times New Roman"/>
          <w:noProof/>
          <w:lang w:val="sk-SK"/>
        </w:rPr>
      </w:pPr>
      <w:r w:rsidRPr="003F23AC">
        <w:rPr>
          <w:rFonts w:cs="Times New Roman"/>
          <w:noProof/>
          <w:lang w:val="sk-SK"/>
        </w:rPr>
        <w:t>Cieľom tohto opatrenia je rozšíriť opatrenie TC-C13-i03 Energetická efektívnosť budov používaných</w:t>
      </w:r>
      <w:r w:rsidR="00A75B3C" w:rsidRPr="003F23AC">
        <w:rPr>
          <w:rFonts w:cs="Times New Roman"/>
          <w:noProof/>
          <w:lang w:val="sk-SK"/>
        </w:rPr>
        <w:t xml:space="preserve"> v </w:t>
      </w:r>
      <w:r w:rsidRPr="003F23AC">
        <w:rPr>
          <w:rFonts w:cs="Times New Roman"/>
          <w:noProof/>
          <w:lang w:val="sk-SK"/>
        </w:rPr>
        <w:t>sektore služieb</w:t>
      </w:r>
      <w:r w:rsidR="00A75B3C" w:rsidRPr="003F23AC">
        <w:rPr>
          <w:rFonts w:cs="Times New Roman"/>
          <w:noProof/>
          <w:lang w:val="sk-SK"/>
        </w:rPr>
        <w:t xml:space="preserve"> v </w:t>
      </w:r>
      <w:r w:rsidRPr="003F23AC">
        <w:rPr>
          <w:rFonts w:cs="Times New Roman"/>
          <w:noProof/>
          <w:lang w:val="sk-SK"/>
        </w:rPr>
        <w:t>rámci zložky 13. Zväčšenou časťou opatrenia sa zväčšuje plocha obnovených súkromných služobných budov.</w:t>
      </w:r>
    </w:p>
    <w:p w14:paraId="39D446C7" w14:textId="4F7DD7B8" w:rsidR="00387C70" w:rsidRPr="003F23AC" w:rsidRDefault="000F5AA4" w:rsidP="003F23AC">
      <w:pPr>
        <w:pStyle w:val="P68B1DB1-Normal4"/>
        <w:spacing w:after="0"/>
        <w:jc w:val="both"/>
        <w:rPr>
          <w:rFonts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09DB76BB" w14:textId="795DCBD2"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bookmarkStart w:id="37" w:name="_Toc137472480"/>
      <w:r w:rsidRPr="003F23AC">
        <w:rPr>
          <w:rFonts w:cs="Times New Roman"/>
          <w:noProof/>
          <w:lang w:val="sk-SK"/>
        </w:rPr>
        <w:t>Investície RP-C21 – i04-RAM: Energetická efektívnosť verejných budov</w:t>
      </w:r>
      <w:bookmarkEnd w:id="37"/>
      <w:r w:rsidRPr="003F23AC">
        <w:rPr>
          <w:rFonts w:cs="Times New Roman"/>
          <w:noProof/>
          <w:lang w:val="sk-SK"/>
        </w:rPr>
        <w:t xml:space="preserve"> na Madeire</w:t>
      </w:r>
    </w:p>
    <w:p w14:paraId="4366A173" w14:textId="71DEA180"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podpora energetickej obnovy, podpora energetickej efektívnosti</w:t>
      </w:r>
      <w:r w:rsidR="00A75B3C" w:rsidRPr="003F23AC">
        <w:rPr>
          <w:rFonts w:cs="Times New Roman"/>
          <w:noProof/>
          <w:lang w:val="sk-SK"/>
        </w:rPr>
        <w:t xml:space="preserve"> a </w:t>
      </w:r>
      <w:r w:rsidRPr="003F23AC">
        <w:rPr>
          <w:rFonts w:cs="Times New Roman"/>
          <w:noProof/>
          <w:lang w:val="sk-SK"/>
        </w:rPr>
        <w:t>efektívneho využívania zdrojov</w:t>
      </w:r>
      <w:r w:rsidR="00A75B3C" w:rsidRPr="003F23AC">
        <w:rPr>
          <w:rFonts w:cs="Times New Roman"/>
          <w:noProof/>
          <w:lang w:val="sk-SK"/>
        </w:rPr>
        <w:t xml:space="preserve"> a </w:t>
      </w:r>
      <w:r w:rsidRPr="003F23AC">
        <w:rPr>
          <w:rFonts w:cs="Times New Roman"/>
          <w:noProof/>
          <w:lang w:val="sk-SK"/>
        </w:rPr>
        <w:t>zvýšenie vlastnej spotreby energie</w:t>
      </w:r>
      <w:r w:rsidR="00A75B3C" w:rsidRPr="003F23AC">
        <w:rPr>
          <w:rFonts w:cs="Times New Roman"/>
          <w:noProof/>
          <w:lang w:val="sk-SK"/>
        </w:rPr>
        <w:t xml:space="preserve"> z </w:t>
      </w:r>
      <w:r w:rsidRPr="003F23AC">
        <w:rPr>
          <w:rFonts w:cs="Times New Roman"/>
          <w:noProof/>
          <w:lang w:val="sk-SK"/>
        </w:rPr>
        <w:t>obnoviteľných zdrojov vo verejných budovách na Madeire.</w:t>
      </w:r>
    </w:p>
    <w:p w14:paraId="4A6393C3" w14:textId="1EF459F9"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Tieto investície pozostávajú</w:t>
      </w:r>
      <w:r w:rsidR="00A75B3C" w:rsidRPr="003F23AC">
        <w:rPr>
          <w:rFonts w:cs="Times New Roman"/>
          <w:noProof/>
          <w:lang w:val="sk-SK"/>
        </w:rPr>
        <w:t xml:space="preserve"> z </w:t>
      </w:r>
      <w:r w:rsidRPr="003F23AC">
        <w:rPr>
          <w:rFonts w:cs="Times New Roman"/>
          <w:noProof/>
          <w:lang w:val="sk-SK"/>
        </w:rPr>
        <w:t>opatrení na podporu obnovy, energetickej efektívnosti, dekarbonizácie, efektívneho využívania vody</w:t>
      </w:r>
      <w:r w:rsidR="00A75B3C" w:rsidRPr="003F23AC">
        <w:rPr>
          <w:rFonts w:cs="Times New Roman"/>
          <w:noProof/>
          <w:lang w:val="sk-SK"/>
        </w:rPr>
        <w:t xml:space="preserve"> a </w:t>
      </w:r>
      <w:r w:rsidRPr="003F23AC">
        <w:rPr>
          <w:rFonts w:cs="Times New Roman"/>
          <w:noProof/>
          <w:lang w:val="sk-SK"/>
        </w:rPr>
        <w:t>obehového hospodárstva vo verejných budovách</w:t>
      </w:r>
      <w:r w:rsidR="00A75B3C" w:rsidRPr="003F23AC">
        <w:rPr>
          <w:rFonts w:cs="Times New Roman"/>
          <w:noProof/>
          <w:lang w:val="sk-SK"/>
        </w:rPr>
        <w:t xml:space="preserve"> v </w:t>
      </w:r>
      <w:r w:rsidRPr="003F23AC">
        <w:rPr>
          <w:rFonts w:cs="Times New Roman"/>
          <w:noProof/>
          <w:lang w:val="sk-SK"/>
        </w:rPr>
        <w:t>autonómnom regióne Madeira, ktoré dosahujú strednú hĺbkovú obnovu</w:t>
      </w:r>
      <w:r w:rsidR="00A75B3C" w:rsidRPr="003F23AC">
        <w:rPr>
          <w:rFonts w:cs="Times New Roman"/>
          <w:noProof/>
          <w:lang w:val="sk-SK"/>
        </w:rPr>
        <w:t>.</w:t>
      </w:r>
    </w:p>
    <w:p w14:paraId="5132957C" w14:textId="0484AD2E"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Všetky budovy oprávnené na intervenciu majú verejné využitie, najmä</w:t>
      </w:r>
      <w:r w:rsidR="00A75B3C" w:rsidRPr="003F23AC">
        <w:rPr>
          <w:rFonts w:cs="Times New Roman"/>
          <w:noProof/>
          <w:lang w:val="sk-SK"/>
        </w:rPr>
        <w:t xml:space="preserve"> v </w:t>
      </w:r>
      <w:r w:rsidRPr="003F23AC">
        <w:rPr>
          <w:rFonts w:cs="Times New Roman"/>
          <w:noProof/>
          <w:lang w:val="sk-SK"/>
        </w:rPr>
        <w:t>oblastiach zdravotníctva, vzdelávania</w:t>
      </w:r>
      <w:r w:rsidR="00A75B3C" w:rsidRPr="003F23AC">
        <w:rPr>
          <w:rFonts w:cs="Times New Roman"/>
          <w:noProof/>
          <w:lang w:val="sk-SK"/>
        </w:rPr>
        <w:t xml:space="preserve"> a </w:t>
      </w:r>
      <w:r w:rsidRPr="003F23AC">
        <w:rPr>
          <w:rFonts w:cs="Times New Roman"/>
          <w:noProof/>
          <w:lang w:val="sk-SK"/>
        </w:rPr>
        <w:t>regionálnej verejnej správy</w:t>
      </w:r>
      <w:r w:rsidR="00A75B3C" w:rsidRPr="003F23AC">
        <w:rPr>
          <w:rFonts w:cs="Times New Roman"/>
          <w:noProof/>
          <w:lang w:val="sk-SK"/>
        </w:rPr>
        <w:t>.</w:t>
      </w:r>
    </w:p>
    <w:p w14:paraId="3EF533D2" w14:textId="0F13E2A0"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investície sa dokončí do 31</w:t>
      </w:r>
      <w:r w:rsidR="00A75B3C" w:rsidRPr="003F23AC">
        <w:rPr>
          <w:rFonts w:cs="Times New Roman"/>
          <w:noProof/>
          <w:lang w:val="sk-SK"/>
        </w:rPr>
        <w:t>. decembra</w:t>
      </w:r>
      <w:r w:rsidRPr="003F23AC">
        <w:rPr>
          <w:rFonts w:cs="Times New Roman"/>
          <w:noProof/>
          <w:lang w:val="sk-SK"/>
        </w:rPr>
        <w:t xml:space="preserve"> 2025.</w:t>
      </w:r>
    </w:p>
    <w:p w14:paraId="6D8CB206" w14:textId="77777777" w:rsidR="00A75B3C" w:rsidRPr="003F23AC" w:rsidRDefault="000F5AA4" w:rsidP="003F23AC">
      <w:pPr>
        <w:pStyle w:val="P68B1DB1-Normal5"/>
        <w:spacing w:before="240" w:after="0" w:line="259" w:lineRule="auto"/>
        <w:ind w:left="851"/>
        <w:jc w:val="both"/>
        <w:outlineLvl w:val="2"/>
        <w:rPr>
          <w:rFonts w:cs="Times New Roman"/>
          <w:noProof/>
          <w:lang w:val="sk-SK"/>
        </w:rPr>
      </w:pPr>
      <w:bookmarkStart w:id="38" w:name="_Toc137472481"/>
      <w:r w:rsidRPr="003F23AC">
        <w:rPr>
          <w:rFonts w:cs="Times New Roman"/>
          <w:noProof/>
          <w:lang w:val="sk-SK"/>
        </w:rPr>
        <w:t>Reforma RP-C21-r43: Národné stredisko pre monitorovanie energetickej chudoby</w:t>
      </w:r>
      <w:bookmarkEnd w:id="38"/>
    </w:p>
    <w:p w14:paraId="659432E4" w14:textId="3B4F556B"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Cieľom tejto reformy je zriadiť orgán pre vnútroštátne, regionálne</w:t>
      </w:r>
      <w:r w:rsidR="00A75B3C" w:rsidRPr="003F23AC">
        <w:rPr>
          <w:rFonts w:cs="Times New Roman"/>
          <w:noProof/>
          <w:lang w:val="sk-SK"/>
        </w:rPr>
        <w:t xml:space="preserve"> a </w:t>
      </w:r>
      <w:r w:rsidRPr="003F23AC">
        <w:rPr>
          <w:rFonts w:cs="Times New Roman"/>
          <w:noProof/>
          <w:lang w:val="sk-SK"/>
        </w:rPr>
        <w:t>miestne orgány, ktorý bude monitorovať situáciu</w:t>
      </w:r>
      <w:r w:rsidR="00A75B3C" w:rsidRPr="003F23AC">
        <w:rPr>
          <w:rFonts w:cs="Times New Roman"/>
          <w:noProof/>
          <w:lang w:val="sk-SK"/>
        </w:rPr>
        <w:t xml:space="preserve"> v </w:t>
      </w:r>
      <w:r w:rsidRPr="003F23AC">
        <w:rPr>
          <w:rFonts w:cs="Times New Roman"/>
          <w:noProof/>
          <w:lang w:val="sk-SK"/>
        </w:rPr>
        <w:t>oblasti energetickej chudoby</w:t>
      </w:r>
      <w:r w:rsidR="00A75B3C" w:rsidRPr="003F23AC">
        <w:rPr>
          <w:rFonts w:cs="Times New Roman"/>
          <w:noProof/>
          <w:lang w:val="sk-SK"/>
        </w:rPr>
        <w:t xml:space="preserve"> a </w:t>
      </w:r>
      <w:r w:rsidRPr="003F23AC">
        <w:rPr>
          <w:rFonts w:cs="Times New Roman"/>
          <w:noProof/>
          <w:lang w:val="sk-SK"/>
        </w:rPr>
        <w:t>analyzovať</w:t>
      </w:r>
      <w:r w:rsidR="00A75B3C" w:rsidRPr="003F23AC">
        <w:rPr>
          <w:rFonts w:cs="Times New Roman"/>
          <w:noProof/>
          <w:lang w:val="sk-SK"/>
        </w:rPr>
        <w:t xml:space="preserve"> a </w:t>
      </w:r>
      <w:r w:rsidRPr="003F23AC">
        <w:rPr>
          <w:rFonts w:cs="Times New Roman"/>
          <w:noProof/>
          <w:lang w:val="sk-SK"/>
        </w:rPr>
        <w:t>rozvíjať verejné politiky na jej odstránenie</w:t>
      </w:r>
      <w:r w:rsidR="00A75B3C" w:rsidRPr="003F23AC">
        <w:rPr>
          <w:rFonts w:cs="Times New Roman"/>
          <w:noProof/>
          <w:lang w:val="sk-SK"/>
        </w:rPr>
        <w:t xml:space="preserve"> v </w:t>
      </w:r>
      <w:r w:rsidRPr="003F23AC">
        <w:rPr>
          <w:rFonts w:cs="Times New Roman"/>
          <w:noProof/>
          <w:lang w:val="sk-SK"/>
        </w:rPr>
        <w:t>Portugalsku</w:t>
      </w:r>
      <w:r w:rsidR="00A75B3C" w:rsidRPr="003F23AC">
        <w:rPr>
          <w:rFonts w:cs="Times New Roman"/>
          <w:noProof/>
          <w:lang w:val="sk-SK"/>
        </w:rPr>
        <w:t>.</w:t>
      </w:r>
    </w:p>
    <w:p w14:paraId="3DD2CF5D" w14:textId="77777777"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Reformou sa zriadi Národné stredisko pre monitorovanie energetickej chudoby (ONPE), ktoré bude zodpovedné za</w:t>
      </w:r>
      <w:r w:rsidR="00A75B3C" w:rsidRPr="003F23AC">
        <w:rPr>
          <w:rFonts w:cs="Times New Roman"/>
          <w:noProof/>
          <w:lang w:val="sk-SK"/>
        </w:rPr>
        <w:t>:</w:t>
      </w:r>
    </w:p>
    <w:p w14:paraId="37FF066C" w14:textId="348F089E" w:rsidR="00387C70" w:rsidRPr="003F23AC" w:rsidRDefault="000F5AA4" w:rsidP="003F23AC">
      <w:pPr>
        <w:pStyle w:val="ListParagraph"/>
        <w:keepNext w:val="0"/>
        <w:numPr>
          <w:ilvl w:val="0"/>
          <w:numId w:val="86"/>
        </w:numPr>
        <w:spacing w:beforeLines="40" w:before="96" w:after="0" w:line="22" w:lineRule="atLeast"/>
        <w:rPr>
          <w:rFonts w:eastAsia="MS Mincho"/>
          <w:noProof/>
          <w:lang w:val="sk-SK"/>
        </w:rPr>
      </w:pPr>
      <w:r w:rsidRPr="003F23AC">
        <w:rPr>
          <w:noProof/>
          <w:lang w:val="sk-SK"/>
        </w:rPr>
        <w:t>Monitorovanie, koordinácia</w:t>
      </w:r>
      <w:r w:rsidR="00A75B3C" w:rsidRPr="003F23AC">
        <w:rPr>
          <w:noProof/>
          <w:lang w:val="sk-SK"/>
        </w:rPr>
        <w:t xml:space="preserve"> a </w:t>
      </w:r>
      <w:r w:rsidRPr="003F23AC">
        <w:rPr>
          <w:noProof/>
          <w:lang w:val="sk-SK"/>
        </w:rPr>
        <w:t>podávanie správ</w:t>
      </w:r>
      <w:r w:rsidR="00A75B3C" w:rsidRPr="003F23AC">
        <w:rPr>
          <w:noProof/>
          <w:lang w:val="sk-SK"/>
        </w:rPr>
        <w:t xml:space="preserve"> o </w:t>
      </w:r>
      <w:r w:rsidRPr="003F23AC">
        <w:rPr>
          <w:noProof/>
          <w:lang w:val="sk-SK"/>
        </w:rPr>
        <w:t>vykonávaní dlhodobej stratégie energetickej chudoby (ELPPE);</w:t>
      </w:r>
    </w:p>
    <w:p w14:paraId="4DA6276A" w14:textId="52149B09" w:rsidR="00387C70" w:rsidRPr="003F23AC" w:rsidRDefault="000F5AA4" w:rsidP="003F23AC">
      <w:pPr>
        <w:pStyle w:val="ListParagraph"/>
        <w:keepNext w:val="0"/>
        <w:numPr>
          <w:ilvl w:val="0"/>
          <w:numId w:val="86"/>
        </w:numPr>
        <w:spacing w:beforeLines="40" w:before="96" w:after="0" w:line="22" w:lineRule="atLeast"/>
        <w:rPr>
          <w:noProof/>
          <w:lang w:val="sk-SK"/>
        </w:rPr>
      </w:pPr>
      <w:r w:rsidRPr="003F23AC">
        <w:rPr>
          <w:noProof/>
          <w:lang w:val="sk-SK"/>
        </w:rPr>
        <w:t>Koordinácia politickej práce súvisiacej</w:t>
      </w:r>
      <w:r w:rsidR="00A75B3C" w:rsidRPr="003F23AC">
        <w:rPr>
          <w:noProof/>
          <w:lang w:val="sk-SK"/>
        </w:rPr>
        <w:t xml:space="preserve"> s </w:t>
      </w:r>
      <w:r w:rsidRPr="003F23AC">
        <w:rPr>
          <w:noProof/>
          <w:lang w:val="sk-SK"/>
        </w:rPr>
        <w:t>energetickou chudobou</w:t>
      </w:r>
      <w:r w:rsidR="00A75B3C" w:rsidRPr="003F23AC">
        <w:rPr>
          <w:noProof/>
          <w:lang w:val="sk-SK"/>
        </w:rPr>
        <w:t xml:space="preserve"> v </w:t>
      </w:r>
      <w:r w:rsidRPr="003F23AC">
        <w:rPr>
          <w:noProof/>
          <w:lang w:val="sk-SK"/>
        </w:rPr>
        <w:t>súvislosti</w:t>
      </w:r>
      <w:r w:rsidR="00A75B3C" w:rsidRPr="003F23AC">
        <w:rPr>
          <w:noProof/>
          <w:lang w:val="sk-SK"/>
        </w:rPr>
        <w:t xml:space="preserve"> s </w:t>
      </w:r>
      <w:r w:rsidRPr="003F23AC">
        <w:rPr>
          <w:noProof/>
          <w:lang w:val="sk-SK"/>
        </w:rPr>
        <w:t>navrhovaním</w:t>
      </w:r>
      <w:r w:rsidR="00A75B3C" w:rsidRPr="003F23AC">
        <w:rPr>
          <w:noProof/>
          <w:lang w:val="sk-SK"/>
        </w:rPr>
        <w:t xml:space="preserve"> a </w:t>
      </w:r>
      <w:r w:rsidRPr="003F23AC">
        <w:rPr>
          <w:noProof/>
          <w:lang w:val="sk-SK"/>
        </w:rPr>
        <w:t>vykonávaním národného energetického</w:t>
      </w:r>
      <w:r w:rsidR="00A75B3C" w:rsidRPr="003F23AC">
        <w:rPr>
          <w:noProof/>
          <w:lang w:val="sk-SK"/>
        </w:rPr>
        <w:t xml:space="preserve"> a </w:t>
      </w:r>
      <w:r w:rsidRPr="003F23AC">
        <w:rPr>
          <w:noProof/>
          <w:lang w:val="sk-SK"/>
        </w:rPr>
        <w:t>klimatického plánu (NEKP)</w:t>
      </w:r>
      <w:r w:rsidR="00A75B3C" w:rsidRPr="003F23AC">
        <w:rPr>
          <w:noProof/>
          <w:lang w:val="sk-SK"/>
        </w:rPr>
        <w:t xml:space="preserve"> a </w:t>
      </w:r>
      <w:r w:rsidRPr="003F23AC">
        <w:rPr>
          <w:noProof/>
          <w:lang w:val="sk-SK"/>
        </w:rPr>
        <w:t>národných sociálno-klimatických plánov;</w:t>
      </w:r>
    </w:p>
    <w:p w14:paraId="7A42E09A" w14:textId="5B43B82B" w:rsidR="00387C70" w:rsidRPr="003F23AC" w:rsidRDefault="000F5AA4" w:rsidP="003F23AC">
      <w:pPr>
        <w:pStyle w:val="ListParagraph"/>
        <w:keepNext w:val="0"/>
        <w:numPr>
          <w:ilvl w:val="0"/>
          <w:numId w:val="86"/>
        </w:numPr>
        <w:spacing w:beforeLines="40" w:before="96" w:after="0" w:line="22" w:lineRule="atLeast"/>
        <w:rPr>
          <w:rFonts w:eastAsia="MS Mincho"/>
          <w:noProof/>
          <w:lang w:val="sk-SK"/>
        </w:rPr>
      </w:pPr>
      <w:r w:rsidRPr="003F23AC">
        <w:rPr>
          <w:noProof/>
          <w:lang w:val="sk-SK"/>
        </w:rPr>
        <w:t>Navrhnúť vláde desaťročné akčné plány (horizony 2030, 2040</w:t>
      </w:r>
      <w:r w:rsidR="00A75B3C" w:rsidRPr="003F23AC">
        <w:rPr>
          <w:noProof/>
          <w:lang w:val="sk-SK"/>
        </w:rPr>
        <w:t xml:space="preserve"> a </w:t>
      </w:r>
      <w:r w:rsidRPr="003F23AC">
        <w:rPr>
          <w:noProof/>
          <w:lang w:val="sk-SK"/>
        </w:rPr>
        <w:t>2050), ako aj ich revíziu</w:t>
      </w:r>
      <w:r w:rsidR="00A75B3C" w:rsidRPr="003F23AC">
        <w:rPr>
          <w:noProof/>
          <w:lang w:val="sk-SK"/>
        </w:rPr>
        <w:t xml:space="preserve"> a </w:t>
      </w:r>
      <w:r w:rsidRPr="003F23AC">
        <w:rPr>
          <w:noProof/>
          <w:lang w:val="sk-SK"/>
        </w:rPr>
        <w:t>revíziu ELPPE</w:t>
      </w:r>
      <w:r w:rsidR="00A75B3C" w:rsidRPr="003F23AC">
        <w:rPr>
          <w:noProof/>
          <w:lang w:val="sk-SK"/>
        </w:rPr>
        <w:t xml:space="preserve"> s </w:t>
      </w:r>
      <w:r w:rsidRPr="003F23AC">
        <w:rPr>
          <w:noProof/>
          <w:lang w:val="sk-SK"/>
        </w:rPr>
        <w:t>frekvenciou najmenej tri roky</w:t>
      </w:r>
      <w:r w:rsidR="00A75B3C" w:rsidRPr="003F23AC">
        <w:rPr>
          <w:noProof/>
          <w:lang w:val="sk-SK"/>
        </w:rPr>
        <w:t xml:space="preserve"> a </w:t>
      </w:r>
      <w:r w:rsidRPr="003F23AC">
        <w:rPr>
          <w:noProof/>
          <w:lang w:val="sk-SK"/>
        </w:rPr>
        <w:t>päť rokov;</w:t>
      </w:r>
    </w:p>
    <w:p w14:paraId="72AF5EA4" w14:textId="66BCEC50" w:rsidR="00387C70" w:rsidRPr="003F23AC" w:rsidRDefault="000F5AA4" w:rsidP="003F23AC">
      <w:pPr>
        <w:pStyle w:val="ListParagraph"/>
        <w:keepNext w:val="0"/>
        <w:numPr>
          <w:ilvl w:val="0"/>
          <w:numId w:val="86"/>
        </w:numPr>
        <w:spacing w:beforeLines="40" w:before="96" w:after="0" w:line="22" w:lineRule="atLeast"/>
        <w:rPr>
          <w:rFonts w:eastAsia="MS Mincho"/>
          <w:noProof/>
          <w:lang w:val="sk-SK"/>
        </w:rPr>
      </w:pPr>
      <w:r w:rsidRPr="003F23AC">
        <w:rPr>
          <w:noProof/>
          <w:lang w:val="sk-SK"/>
        </w:rPr>
        <w:t>Vykonávanie opatrení na budovanie kapacít pre verejných</w:t>
      </w:r>
      <w:r w:rsidR="00A75B3C" w:rsidRPr="003F23AC">
        <w:rPr>
          <w:noProof/>
          <w:lang w:val="sk-SK"/>
        </w:rPr>
        <w:t xml:space="preserve"> a </w:t>
      </w:r>
      <w:r w:rsidRPr="003F23AC">
        <w:rPr>
          <w:noProof/>
          <w:lang w:val="sk-SK"/>
        </w:rPr>
        <w:t>súkromných, národných, regionálnych</w:t>
      </w:r>
      <w:r w:rsidR="00A75B3C" w:rsidRPr="003F23AC">
        <w:rPr>
          <w:noProof/>
          <w:lang w:val="sk-SK"/>
        </w:rPr>
        <w:t xml:space="preserve"> a </w:t>
      </w:r>
      <w:r w:rsidRPr="003F23AC">
        <w:rPr>
          <w:noProof/>
          <w:lang w:val="sk-SK"/>
        </w:rPr>
        <w:t>miestnych aktérov zapojených do vykonávania dlhodobej stratégie</w:t>
      </w:r>
      <w:r w:rsidR="00A75B3C" w:rsidRPr="003F23AC">
        <w:rPr>
          <w:noProof/>
          <w:lang w:val="sk-SK"/>
        </w:rPr>
        <w:t xml:space="preserve"> v </w:t>
      </w:r>
      <w:r w:rsidRPr="003F23AC">
        <w:rPr>
          <w:noProof/>
          <w:lang w:val="sk-SK"/>
        </w:rPr>
        <w:t>oblasti energetickej chudoby;</w:t>
      </w:r>
    </w:p>
    <w:p w14:paraId="4CCEAC98" w14:textId="715295FB" w:rsidR="00387C70" w:rsidRPr="003F23AC" w:rsidRDefault="000F5AA4" w:rsidP="003F23AC">
      <w:pPr>
        <w:pStyle w:val="ListParagraph"/>
        <w:keepNext w:val="0"/>
        <w:numPr>
          <w:ilvl w:val="0"/>
          <w:numId w:val="86"/>
        </w:numPr>
        <w:spacing w:beforeLines="40" w:before="96" w:after="0" w:line="22" w:lineRule="atLeast"/>
        <w:rPr>
          <w:noProof/>
          <w:lang w:val="sk-SK"/>
        </w:rPr>
      </w:pPr>
      <w:r w:rsidRPr="003F23AC">
        <w:rPr>
          <w:noProof/>
          <w:lang w:val="sk-SK"/>
        </w:rPr>
        <w:t>Identifikácia</w:t>
      </w:r>
      <w:r w:rsidR="00A75B3C" w:rsidRPr="003F23AC">
        <w:rPr>
          <w:noProof/>
          <w:lang w:val="sk-SK"/>
        </w:rPr>
        <w:t xml:space="preserve"> a </w:t>
      </w:r>
      <w:r w:rsidRPr="003F23AC">
        <w:rPr>
          <w:noProof/>
          <w:lang w:val="sk-SK"/>
        </w:rPr>
        <w:t>monitorovanie domácností trpiacich energetickou chudobou vytvorením</w:t>
      </w:r>
      <w:r w:rsidR="00A75B3C" w:rsidRPr="003F23AC">
        <w:rPr>
          <w:noProof/>
          <w:lang w:val="sk-SK"/>
        </w:rPr>
        <w:t xml:space="preserve"> a </w:t>
      </w:r>
      <w:r w:rsidRPr="003F23AC">
        <w:rPr>
          <w:noProof/>
          <w:lang w:val="sk-SK"/>
        </w:rPr>
        <w:t>zavedením nástroja pravidelného prieskumu;</w:t>
      </w:r>
    </w:p>
    <w:p w14:paraId="2FC0162A" w14:textId="0D77D6CD" w:rsidR="00387C70" w:rsidRPr="003F23AC" w:rsidRDefault="000F5AA4" w:rsidP="003F23AC">
      <w:pPr>
        <w:pStyle w:val="ListParagraph"/>
        <w:keepNext w:val="0"/>
        <w:numPr>
          <w:ilvl w:val="0"/>
          <w:numId w:val="86"/>
        </w:numPr>
        <w:spacing w:beforeLines="40" w:before="96" w:after="0" w:line="22" w:lineRule="atLeast"/>
        <w:rPr>
          <w:rFonts w:eastAsia="MS Mincho"/>
          <w:noProof/>
          <w:lang w:val="sk-SK"/>
        </w:rPr>
      </w:pPr>
      <w:r w:rsidRPr="003F23AC">
        <w:rPr>
          <w:noProof/>
          <w:lang w:val="sk-SK"/>
        </w:rPr>
        <w:t>Navrhnutie finančného (alebo fiškálneho) nástroja pre opatrenia</w:t>
      </w:r>
      <w:r w:rsidR="00A75B3C" w:rsidRPr="003F23AC">
        <w:rPr>
          <w:noProof/>
          <w:lang w:val="sk-SK"/>
        </w:rPr>
        <w:t xml:space="preserve"> v </w:t>
      </w:r>
      <w:r w:rsidRPr="003F23AC">
        <w:rPr>
          <w:noProof/>
          <w:lang w:val="sk-SK"/>
        </w:rPr>
        <w:t>oblasti energetickej efektívnosti zamerané na domácnosti trpiace energetickou chudobou;</w:t>
      </w:r>
    </w:p>
    <w:p w14:paraId="771F2604" w14:textId="1A3209E8" w:rsidR="00387C70" w:rsidRPr="003F23AC" w:rsidRDefault="000F5AA4" w:rsidP="003F23AC">
      <w:pPr>
        <w:pStyle w:val="ListParagraph"/>
        <w:keepNext w:val="0"/>
        <w:numPr>
          <w:ilvl w:val="0"/>
          <w:numId w:val="86"/>
        </w:numPr>
        <w:spacing w:beforeLines="40" w:before="96" w:after="0" w:line="22" w:lineRule="atLeast"/>
        <w:rPr>
          <w:rFonts w:eastAsia="MS Mincho"/>
          <w:noProof/>
          <w:lang w:val="sk-SK"/>
        </w:rPr>
      </w:pPr>
      <w:r w:rsidRPr="003F23AC">
        <w:rPr>
          <w:noProof/>
          <w:lang w:val="sk-SK"/>
        </w:rPr>
        <w:t>Vývoj materiálov</w:t>
      </w:r>
      <w:r w:rsidR="00A75B3C" w:rsidRPr="003F23AC">
        <w:rPr>
          <w:noProof/>
          <w:lang w:val="sk-SK"/>
        </w:rPr>
        <w:t xml:space="preserve"> a </w:t>
      </w:r>
      <w:r w:rsidRPr="003F23AC">
        <w:rPr>
          <w:noProof/>
          <w:lang w:val="sk-SK"/>
        </w:rPr>
        <w:t>kampaní na zvýšenie energetickej gramotnosti zodpovedajúcich profilu domácností trpiacich energetickou chudobou;</w:t>
      </w:r>
    </w:p>
    <w:p w14:paraId="710945E8" w14:textId="45C2C86C" w:rsidR="00A75B3C" w:rsidRPr="003F23AC" w:rsidRDefault="000F5AA4" w:rsidP="003F23AC">
      <w:pPr>
        <w:pStyle w:val="ListParagraph"/>
        <w:keepNext w:val="0"/>
        <w:numPr>
          <w:ilvl w:val="0"/>
          <w:numId w:val="86"/>
        </w:numPr>
        <w:spacing w:beforeLines="40" w:before="96" w:after="0" w:line="22" w:lineRule="atLeast"/>
        <w:rPr>
          <w:noProof/>
          <w:lang w:val="sk-SK"/>
        </w:rPr>
      </w:pPr>
      <w:r w:rsidRPr="003F23AC">
        <w:rPr>
          <w:noProof/>
          <w:lang w:val="sk-SK"/>
        </w:rPr>
        <w:t>Podpora</w:t>
      </w:r>
      <w:r w:rsidR="00A75B3C" w:rsidRPr="003F23AC">
        <w:rPr>
          <w:noProof/>
          <w:lang w:val="sk-SK"/>
        </w:rPr>
        <w:t xml:space="preserve"> a </w:t>
      </w:r>
      <w:r w:rsidRPr="003F23AC">
        <w:rPr>
          <w:noProof/>
          <w:lang w:val="sk-SK"/>
        </w:rPr>
        <w:t>šírenie práce súvisiacej</w:t>
      </w:r>
      <w:r w:rsidR="00A75B3C" w:rsidRPr="003F23AC">
        <w:rPr>
          <w:noProof/>
          <w:lang w:val="sk-SK"/>
        </w:rPr>
        <w:t xml:space="preserve"> s </w:t>
      </w:r>
      <w:r w:rsidRPr="003F23AC">
        <w:rPr>
          <w:noProof/>
          <w:lang w:val="sk-SK"/>
        </w:rPr>
        <w:t>javom energetickej chudoby vrátane vytvorenia siete subjektov</w:t>
      </w:r>
      <w:r w:rsidR="00A75B3C" w:rsidRPr="003F23AC">
        <w:rPr>
          <w:noProof/>
          <w:lang w:val="sk-SK"/>
        </w:rPr>
        <w:t xml:space="preserve"> a </w:t>
      </w:r>
      <w:r w:rsidRPr="003F23AC">
        <w:rPr>
          <w:noProof/>
          <w:lang w:val="sk-SK"/>
        </w:rPr>
        <w:t>zainteresovaných subjektov zameraných na riešenie tejto otázky</w:t>
      </w:r>
      <w:r w:rsidR="00A75B3C" w:rsidRPr="003F23AC">
        <w:rPr>
          <w:noProof/>
          <w:lang w:val="sk-SK"/>
        </w:rPr>
        <w:t>.</w:t>
      </w:r>
    </w:p>
    <w:p w14:paraId="24E3DDAE" w14:textId="099AA8F0"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ONPE zahrnie do svojej riadiacej štruktúry i) riadiacu jednotku, ktorá je zodpovedná za prevádzkové riadenie ONPE, ii) strategický výbor pod vedením ministerstva životného prostredia</w:t>
      </w:r>
      <w:r w:rsidR="00A75B3C" w:rsidRPr="003F23AC">
        <w:rPr>
          <w:rFonts w:cs="Times New Roman"/>
          <w:noProof/>
          <w:lang w:val="sk-SK"/>
        </w:rPr>
        <w:t xml:space="preserve"> a </w:t>
      </w:r>
      <w:r w:rsidRPr="003F23AC">
        <w:rPr>
          <w:rFonts w:cs="Times New Roman"/>
          <w:noProof/>
          <w:lang w:val="sk-SK"/>
        </w:rPr>
        <w:t>opatrení</w:t>
      </w:r>
      <w:r w:rsidR="00A75B3C" w:rsidRPr="003F23AC">
        <w:rPr>
          <w:rFonts w:cs="Times New Roman"/>
          <w:noProof/>
          <w:lang w:val="sk-SK"/>
        </w:rPr>
        <w:t xml:space="preserve"> v </w:t>
      </w:r>
      <w:r w:rsidRPr="003F23AC">
        <w:rPr>
          <w:rFonts w:cs="Times New Roman"/>
          <w:noProof/>
          <w:lang w:val="sk-SK"/>
        </w:rPr>
        <w:t>oblasti klímy</w:t>
      </w:r>
      <w:r w:rsidR="00A75B3C" w:rsidRPr="003F23AC">
        <w:rPr>
          <w:rFonts w:cs="Times New Roman"/>
          <w:noProof/>
          <w:lang w:val="sk-SK"/>
        </w:rPr>
        <w:t xml:space="preserve"> a </w:t>
      </w:r>
      <w:r w:rsidRPr="003F23AC">
        <w:rPr>
          <w:rFonts w:cs="Times New Roman"/>
          <w:noProof/>
          <w:lang w:val="sk-SK"/>
        </w:rPr>
        <w:t>zahŕňajúci členov</w:t>
      </w:r>
      <w:r w:rsidR="00A75B3C" w:rsidRPr="003F23AC">
        <w:rPr>
          <w:rFonts w:cs="Times New Roman"/>
          <w:noProof/>
          <w:lang w:val="sk-SK"/>
        </w:rPr>
        <w:t xml:space="preserve"> z </w:t>
      </w:r>
      <w:r w:rsidRPr="003F23AC">
        <w:rPr>
          <w:rFonts w:cs="Times New Roman"/>
          <w:noProof/>
          <w:lang w:val="sk-SK"/>
        </w:rPr>
        <w:t>príslušných vládnych oblastí (ako je bývanie, sociálne zabezpečenie, zdravotníctvo, financie, vzdelávanie, územná súdržnosť)</w:t>
      </w:r>
      <w:r w:rsidR="00A75B3C" w:rsidRPr="003F23AC">
        <w:rPr>
          <w:rFonts w:cs="Times New Roman"/>
          <w:noProof/>
          <w:lang w:val="sk-SK"/>
        </w:rPr>
        <w:t xml:space="preserve"> a </w:t>
      </w:r>
      <w:r w:rsidRPr="003F23AC">
        <w:rPr>
          <w:rFonts w:cs="Times New Roman"/>
          <w:noProof/>
          <w:lang w:val="sk-SK"/>
        </w:rPr>
        <w:t>iii) poradný výbor vrátane etablovaných zainteresovaných strán, ako sú univerzity, obce, miestne energetické agentúry, mimovládne organizácie zapojené do opatrení na odstránenie energetickej chudoby, prevádzkovatelia energetických sietí, spotrebitelia</w:t>
      </w:r>
      <w:r w:rsidR="00A75B3C" w:rsidRPr="003F23AC">
        <w:rPr>
          <w:rFonts w:cs="Times New Roman"/>
          <w:noProof/>
          <w:lang w:val="sk-SK"/>
        </w:rPr>
        <w:t xml:space="preserve"> a </w:t>
      </w:r>
      <w:r w:rsidRPr="003F23AC">
        <w:rPr>
          <w:rFonts w:cs="Times New Roman"/>
          <w:noProof/>
          <w:lang w:val="sk-SK"/>
        </w:rPr>
        <w:t>združenia nehnuteľností, odvetvové združenia</w:t>
      </w:r>
      <w:r w:rsidR="00A75B3C" w:rsidRPr="003F23AC">
        <w:rPr>
          <w:rFonts w:cs="Times New Roman"/>
          <w:noProof/>
          <w:lang w:val="sk-SK"/>
        </w:rPr>
        <w:t xml:space="preserve"> a </w:t>
      </w:r>
      <w:r w:rsidRPr="003F23AC">
        <w:rPr>
          <w:rFonts w:cs="Times New Roman"/>
          <w:noProof/>
          <w:lang w:val="sk-SK"/>
        </w:rPr>
        <w:t>súkromné finančné subjekty. Reformou sa zabezpečí, aby tieto orgány spolupracovali</w:t>
      </w:r>
      <w:r w:rsidR="00A75B3C" w:rsidRPr="003F23AC">
        <w:rPr>
          <w:rFonts w:cs="Times New Roman"/>
          <w:noProof/>
          <w:lang w:val="sk-SK"/>
        </w:rPr>
        <w:t xml:space="preserve"> a </w:t>
      </w:r>
      <w:r w:rsidRPr="003F23AC">
        <w:rPr>
          <w:rFonts w:cs="Times New Roman"/>
          <w:noProof/>
          <w:lang w:val="sk-SK"/>
        </w:rPr>
        <w:t>mali jasnú úlohu pri dosahovaní cieľov stanovených</w:t>
      </w:r>
      <w:r w:rsidR="00A75B3C" w:rsidRPr="003F23AC">
        <w:rPr>
          <w:rFonts w:cs="Times New Roman"/>
          <w:noProof/>
          <w:lang w:val="sk-SK"/>
        </w:rPr>
        <w:t xml:space="preserve"> v </w:t>
      </w:r>
      <w:r w:rsidRPr="003F23AC">
        <w:rPr>
          <w:rFonts w:cs="Times New Roman"/>
          <w:noProof/>
          <w:lang w:val="sk-SK"/>
        </w:rPr>
        <w:t>mandáte ONPE. Pri zbere údajov sa zabezpečí spolupráca medzi ONPE</w:t>
      </w:r>
      <w:r w:rsidR="00A75B3C" w:rsidRPr="003F23AC">
        <w:rPr>
          <w:rFonts w:cs="Times New Roman"/>
          <w:noProof/>
          <w:lang w:val="sk-SK"/>
        </w:rPr>
        <w:t xml:space="preserve"> a </w:t>
      </w:r>
      <w:r w:rsidRPr="003F23AC">
        <w:rPr>
          <w:rFonts w:cs="Times New Roman"/>
          <w:noProof/>
          <w:lang w:val="sk-SK"/>
        </w:rPr>
        <w:t>portugalskými štatistickými orgánmi</w:t>
      </w:r>
      <w:r w:rsidR="00A75B3C" w:rsidRPr="003F23AC">
        <w:rPr>
          <w:rFonts w:cs="Times New Roman"/>
          <w:noProof/>
          <w:lang w:val="sk-SK"/>
        </w:rPr>
        <w:t>.</w:t>
      </w:r>
    </w:p>
    <w:p w14:paraId="17728ADF" w14:textId="4F01ED7D" w:rsidR="00387C70"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Reformou sa zabezpečí aj vytvorenie finančného nástroja pre opatrenia energetickej efektívnosti</w:t>
      </w:r>
      <w:r w:rsidR="00A75B3C" w:rsidRPr="003F23AC">
        <w:rPr>
          <w:rFonts w:cs="Times New Roman"/>
          <w:noProof/>
          <w:lang w:val="sk-SK"/>
        </w:rPr>
        <w:t xml:space="preserve"> v </w:t>
      </w:r>
      <w:r w:rsidRPr="003F23AC">
        <w:rPr>
          <w:rFonts w:cs="Times New Roman"/>
          <w:noProof/>
          <w:lang w:val="sk-SK"/>
        </w:rPr>
        <w:t>sektore bývania na riešenie energetickej chudoby pre identifikované profily domácností, ktorý sa prijme nadobudnutím účinnosti zákona alebo prijatím rozhodnutia príslušnou finančnou inštitúciou.</w:t>
      </w:r>
    </w:p>
    <w:p w14:paraId="51EE53DA" w14:textId="122F5EA8"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Vykonávanie tejto reformy sa dokončí do 31</w:t>
      </w:r>
      <w:r w:rsidR="00A75B3C" w:rsidRPr="003F23AC">
        <w:rPr>
          <w:rFonts w:cs="Times New Roman"/>
          <w:noProof/>
          <w:lang w:val="sk-SK"/>
        </w:rPr>
        <w:t>. marca</w:t>
      </w:r>
      <w:r w:rsidRPr="003F23AC">
        <w:rPr>
          <w:rFonts w:cs="Times New Roman"/>
          <w:noProof/>
          <w:lang w:val="sk-SK"/>
        </w:rPr>
        <w:t xml:space="preserve"> 2025</w:t>
      </w:r>
      <w:r w:rsidR="00A75B3C" w:rsidRPr="003F23AC">
        <w:rPr>
          <w:rFonts w:cs="Times New Roman"/>
          <w:noProof/>
          <w:lang w:val="sk-SK"/>
        </w:rPr>
        <w:t>.</w:t>
      </w:r>
    </w:p>
    <w:p w14:paraId="2FB7F6BA" w14:textId="77777777" w:rsidR="00A75B3C" w:rsidRPr="003F23AC" w:rsidRDefault="000F5AA4" w:rsidP="003F23AC">
      <w:pPr>
        <w:pStyle w:val="P68B1DB1-Normal5"/>
        <w:spacing w:before="240" w:after="0" w:line="259" w:lineRule="auto"/>
        <w:ind w:left="851"/>
        <w:jc w:val="both"/>
        <w:outlineLvl w:val="2"/>
        <w:rPr>
          <w:rFonts w:cs="Times New Roman"/>
          <w:noProof/>
          <w:lang w:val="sk-SK"/>
        </w:rPr>
      </w:pPr>
      <w:bookmarkStart w:id="39" w:name="_Toc137472482"/>
      <w:r w:rsidRPr="003F23AC">
        <w:rPr>
          <w:rFonts w:cs="Times New Roman"/>
          <w:noProof/>
          <w:lang w:val="sk-SK"/>
        </w:rPr>
        <w:t>Reforma RP-C21-r44: Rozvoj jednotných kontaktných miest energetickej efektívnosti pre občanov (občianske energetické priestory)</w:t>
      </w:r>
      <w:bookmarkEnd w:id="39"/>
    </w:p>
    <w:p w14:paraId="71DA59E6" w14:textId="49968D4F"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Cieľom tejto reformy je podporiť občanov pri príprave</w:t>
      </w:r>
      <w:r w:rsidR="00A75B3C" w:rsidRPr="003F23AC">
        <w:rPr>
          <w:rFonts w:cs="Times New Roman"/>
          <w:noProof/>
          <w:lang w:val="sk-SK"/>
        </w:rPr>
        <w:t xml:space="preserve"> a </w:t>
      </w:r>
      <w:r w:rsidRPr="003F23AC">
        <w:rPr>
          <w:rFonts w:cs="Times New Roman"/>
          <w:noProof/>
          <w:lang w:val="sk-SK"/>
        </w:rPr>
        <w:t>vykonávaní opatrení</w:t>
      </w:r>
      <w:r w:rsidR="00A75B3C" w:rsidRPr="003F23AC">
        <w:rPr>
          <w:rFonts w:cs="Times New Roman"/>
          <w:noProof/>
          <w:lang w:val="sk-SK"/>
        </w:rPr>
        <w:t xml:space="preserve"> v </w:t>
      </w:r>
      <w:r w:rsidRPr="003F23AC">
        <w:rPr>
          <w:rFonts w:cs="Times New Roman"/>
          <w:noProof/>
          <w:lang w:val="sk-SK"/>
        </w:rPr>
        <w:t>oblasti energetickej efektívnosti</w:t>
      </w:r>
      <w:r w:rsidR="00A75B3C" w:rsidRPr="003F23AC">
        <w:rPr>
          <w:rFonts w:cs="Times New Roman"/>
          <w:noProof/>
          <w:lang w:val="sk-SK"/>
        </w:rPr>
        <w:t xml:space="preserve"> a </w:t>
      </w:r>
      <w:r w:rsidRPr="003F23AC">
        <w:rPr>
          <w:rFonts w:cs="Times New Roman"/>
          <w:noProof/>
          <w:lang w:val="sk-SK"/>
        </w:rPr>
        <w:t>energie</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a </w:t>
      </w:r>
      <w:r w:rsidRPr="003F23AC">
        <w:rPr>
          <w:rFonts w:cs="Times New Roman"/>
          <w:noProof/>
          <w:lang w:val="sk-SK"/>
        </w:rPr>
        <w:t>prijať udržateľné správanie</w:t>
      </w:r>
      <w:r w:rsidR="00A75B3C" w:rsidRPr="003F23AC">
        <w:rPr>
          <w:rFonts w:cs="Times New Roman"/>
          <w:noProof/>
          <w:lang w:val="sk-SK"/>
        </w:rPr>
        <w:t xml:space="preserve"> v </w:t>
      </w:r>
      <w:r w:rsidRPr="003F23AC">
        <w:rPr>
          <w:rFonts w:cs="Times New Roman"/>
          <w:noProof/>
          <w:lang w:val="sk-SK"/>
        </w:rPr>
        <w:t>súvislosti</w:t>
      </w:r>
      <w:r w:rsidR="00A75B3C" w:rsidRPr="003F23AC">
        <w:rPr>
          <w:rFonts w:cs="Times New Roman"/>
          <w:noProof/>
          <w:lang w:val="sk-SK"/>
        </w:rPr>
        <w:t xml:space="preserve"> s </w:t>
      </w:r>
      <w:r w:rsidRPr="003F23AC">
        <w:rPr>
          <w:rFonts w:cs="Times New Roman"/>
          <w:noProof/>
          <w:lang w:val="sk-SK"/>
        </w:rPr>
        <w:t>využívaním energie prostredníctvom zvýšenej energetickej gramotnosti</w:t>
      </w:r>
      <w:r w:rsidR="00A75B3C" w:rsidRPr="003F23AC">
        <w:rPr>
          <w:rFonts w:cs="Times New Roman"/>
          <w:noProof/>
          <w:lang w:val="sk-SK"/>
        </w:rPr>
        <w:t>.</w:t>
      </w:r>
    </w:p>
    <w:p w14:paraId="375532EE" w14:textId="0246A2C2" w:rsidR="00387C70"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Na základe pilotného projektu vypracovaného</w:t>
      </w:r>
      <w:r w:rsidR="00A75B3C" w:rsidRPr="003F23AC">
        <w:rPr>
          <w:rFonts w:cs="Times New Roman"/>
          <w:noProof/>
          <w:lang w:val="sk-SK"/>
        </w:rPr>
        <w:t xml:space="preserve"> v </w:t>
      </w:r>
      <w:r w:rsidRPr="003F23AC">
        <w:rPr>
          <w:rFonts w:cs="Times New Roman"/>
          <w:noProof/>
          <w:lang w:val="sk-SK"/>
        </w:rPr>
        <w:t>rámci investícií TC-C13 – I01.01 sa reformou vytvoria jednotné kontaktné miesta pre energetickú efektívnosť pre občanov (občianske energetické priestory</w:t>
      </w:r>
      <w:r w:rsidRPr="003F23AC">
        <w:rPr>
          <w:rFonts w:cs="Times New Roman"/>
          <w:i/>
          <w:noProof/>
          <w:lang w:val="sk-SK"/>
        </w:rPr>
        <w:t xml:space="preserve"> </w:t>
      </w:r>
      <w:r w:rsidRPr="003F23AC">
        <w:rPr>
          <w:rFonts w:cs="Times New Roman"/>
          <w:noProof/>
          <w:lang w:val="sk-SK"/>
        </w:rPr>
        <w:t xml:space="preserve">– </w:t>
      </w:r>
      <w:r w:rsidRPr="003F23AC">
        <w:rPr>
          <w:rFonts w:cs="Times New Roman"/>
          <w:i/>
          <w:noProof/>
          <w:lang w:val="sk-SK"/>
        </w:rPr>
        <w:t>Espaços Cidadão Energia</w:t>
      </w:r>
      <w:r w:rsidRPr="003F23AC">
        <w:rPr>
          <w:rFonts w:cs="Times New Roman"/>
          <w:noProof/>
          <w:lang w:val="sk-SK"/>
        </w:rPr>
        <w:t>), ktoré zriadia miestne alebo regionálne orgány alebo iné miestne subjekty</w:t>
      </w:r>
      <w:r w:rsidR="00A75B3C" w:rsidRPr="003F23AC">
        <w:rPr>
          <w:rFonts w:cs="Times New Roman"/>
          <w:noProof/>
          <w:lang w:val="sk-SK"/>
        </w:rPr>
        <w:t xml:space="preserve"> a </w:t>
      </w:r>
      <w:r w:rsidRPr="003F23AC">
        <w:rPr>
          <w:rFonts w:cs="Times New Roman"/>
          <w:noProof/>
          <w:lang w:val="sk-SK"/>
        </w:rPr>
        <w:t>ktoré sa zahrnú do mestských akčných plánov</w:t>
      </w:r>
      <w:r w:rsidR="00A75B3C" w:rsidRPr="003F23AC">
        <w:rPr>
          <w:rFonts w:cs="Times New Roman"/>
          <w:noProof/>
          <w:lang w:val="sk-SK"/>
        </w:rPr>
        <w:t xml:space="preserve"> v </w:t>
      </w:r>
      <w:r w:rsidRPr="003F23AC">
        <w:rPr>
          <w:rFonts w:cs="Times New Roman"/>
          <w:noProof/>
          <w:lang w:val="sk-SK"/>
        </w:rPr>
        <w:t xml:space="preserve">oblasti klímy podľa zákona </w:t>
      </w:r>
      <w:r w:rsidR="00A75B3C" w:rsidRPr="003F23AC">
        <w:rPr>
          <w:rFonts w:cs="Times New Roman"/>
          <w:noProof/>
          <w:lang w:val="sk-SK"/>
        </w:rPr>
        <w:t>č. </w:t>
      </w:r>
      <w:r w:rsidRPr="003F23AC">
        <w:rPr>
          <w:rFonts w:cs="Times New Roman"/>
          <w:noProof/>
          <w:lang w:val="sk-SK"/>
        </w:rPr>
        <w:t>98/2021</w:t>
      </w:r>
      <w:r w:rsidR="00A75B3C" w:rsidRPr="003F23AC">
        <w:rPr>
          <w:rFonts w:cs="Times New Roman"/>
          <w:noProof/>
          <w:lang w:val="sk-SK"/>
        </w:rPr>
        <w:t xml:space="preserve"> a </w:t>
      </w:r>
      <w:r w:rsidRPr="003F23AC">
        <w:rPr>
          <w:rFonts w:cs="Times New Roman"/>
          <w:noProof/>
          <w:lang w:val="sk-SK"/>
        </w:rPr>
        <w:t>ponúknu rôzne služby obyvateľom, ako sú:</w:t>
      </w:r>
    </w:p>
    <w:p w14:paraId="5A8F9D4A" w14:textId="74A0CB7E" w:rsidR="00387C70" w:rsidRPr="003F23AC" w:rsidRDefault="000F5AA4" w:rsidP="003F23AC">
      <w:pPr>
        <w:pStyle w:val="ListParagraph"/>
        <w:keepNext w:val="0"/>
        <w:numPr>
          <w:ilvl w:val="0"/>
          <w:numId w:val="87"/>
        </w:numPr>
        <w:spacing w:beforeLines="40" w:before="96" w:after="0" w:line="22" w:lineRule="atLeast"/>
        <w:rPr>
          <w:noProof/>
          <w:lang w:val="sk-SK"/>
        </w:rPr>
      </w:pPr>
      <w:r w:rsidRPr="003F23AC">
        <w:rPr>
          <w:noProof/>
          <w:lang w:val="sk-SK"/>
        </w:rPr>
        <w:t>Poskytovanie informácií</w:t>
      </w:r>
      <w:r w:rsidR="00A75B3C" w:rsidRPr="003F23AC">
        <w:rPr>
          <w:noProof/>
          <w:lang w:val="sk-SK"/>
        </w:rPr>
        <w:t xml:space="preserve"> a </w:t>
      </w:r>
      <w:r w:rsidRPr="003F23AC">
        <w:rPr>
          <w:noProof/>
          <w:lang w:val="sk-SK"/>
        </w:rPr>
        <w:t>technickej podpory, od výkladu účtov za energiu až po udržateľné využívanie energie</w:t>
      </w:r>
      <w:r w:rsidR="00A75B3C" w:rsidRPr="003F23AC">
        <w:rPr>
          <w:noProof/>
          <w:lang w:val="sk-SK"/>
        </w:rPr>
        <w:t xml:space="preserve"> a </w:t>
      </w:r>
      <w:r w:rsidRPr="003F23AC">
        <w:rPr>
          <w:noProof/>
          <w:lang w:val="sk-SK"/>
        </w:rPr>
        <w:t>práva spotrebiteľov;</w:t>
      </w:r>
    </w:p>
    <w:p w14:paraId="52920F00" w14:textId="4C860DBD" w:rsidR="00387C70" w:rsidRPr="003F23AC" w:rsidRDefault="000F5AA4" w:rsidP="003F23AC">
      <w:pPr>
        <w:pStyle w:val="ListParagraph"/>
        <w:keepNext w:val="0"/>
        <w:numPr>
          <w:ilvl w:val="0"/>
          <w:numId w:val="87"/>
        </w:numPr>
        <w:spacing w:beforeLines="40" w:before="96" w:after="0" w:line="22" w:lineRule="atLeast"/>
        <w:rPr>
          <w:noProof/>
          <w:lang w:val="sk-SK"/>
        </w:rPr>
      </w:pPr>
      <w:r w:rsidRPr="003F23AC">
        <w:rPr>
          <w:noProof/>
          <w:lang w:val="sk-SK"/>
        </w:rPr>
        <w:t>Poradenstvo,</w:t>
      </w:r>
      <w:r w:rsidR="00A75B3C" w:rsidRPr="003F23AC">
        <w:rPr>
          <w:noProof/>
          <w:lang w:val="sk-SK"/>
        </w:rPr>
        <w:t xml:space="preserve"> a </w:t>
      </w:r>
      <w:r w:rsidRPr="003F23AC">
        <w:rPr>
          <w:noProof/>
          <w:lang w:val="sk-SK"/>
        </w:rPr>
        <w:t>to aj</w:t>
      </w:r>
      <w:r w:rsidR="00A75B3C" w:rsidRPr="003F23AC">
        <w:rPr>
          <w:noProof/>
          <w:lang w:val="sk-SK"/>
        </w:rPr>
        <w:t xml:space="preserve"> v </w:t>
      </w:r>
      <w:r w:rsidRPr="003F23AC">
        <w:rPr>
          <w:noProof/>
          <w:lang w:val="sk-SK"/>
        </w:rPr>
        <w:t>oblasti obstarávania energie, nákupu vybavenia, výberu riešení</w:t>
      </w:r>
      <w:r w:rsidR="00A75B3C" w:rsidRPr="003F23AC">
        <w:rPr>
          <w:noProof/>
          <w:lang w:val="sk-SK"/>
        </w:rPr>
        <w:t xml:space="preserve"> v </w:t>
      </w:r>
      <w:r w:rsidRPr="003F23AC">
        <w:rPr>
          <w:noProof/>
          <w:lang w:val="sk-SK"/>
        </w:rPr>
        <w:t>oblasti energetickej efektívnosti</w:t>
      </w:r>
      <w:r w:rsidR="00A75B3C" w:rsidRPr="003F23AC">
        <w:rPr>
          <w:noProof/>
          <w:lang w:val="sk-SK"/>
        </w:rPr>
        <w:t xml:space="preserve"> a </w:t>
      </w:r>
      <w:r w:rsidRPr="003F23AC">
        <w:rPr>
          <w:noProof/>
          <w:lang w:val="sk-SK"/>
        </w:rPr>
        <w:t>energie</w:t>
      </w:r>
      <w:r w:rsidR="00A75B3C" w:rsidRPr="003F23AC">
        <w:rPr>
          <w:noProof/>
          <w:lang w:val="sk-SK"/>
        </w:rPr>
        <w:t xml:space="preserve"> z </w:t>
      </w:r>
      <w:r w:rsidRPr="003F23AC">
        <w:rPr>
          <w:noProof/>
          <w:lang w:val="sk-SK"/>
        </w:rPr>
        <w:t>obnoviteľných zdrojov, výberu komerčných ponúk na realizáciu riešení;</w:t>
      </w:r>
    </w:p>
    <w:p w14:paraId="48565B26" w14:textId="7D94AAF3" w:rsidR="00387C70" w:rsidRPr="003F23AC" w:rsidRDefault="000F5AA4" w:rsidP="003F23AC">
      <w:pPr>
        <w:pStyle w:val="ListParagraph"/>
        <w:keepNext w:val="0"/>
        <w:numPr>
          <w:ilvl w:val="0"/>
          <w:numId w:val="87"/>
        </w:numPr>
        <w:spacing w:beforeLines="40" w:before="96" w:after="0" w:line="22" w:lineRule="atLeast"/>
        <w:rPr>
          <w:noProof/>
          <w:lang w:val="sk-SK"/>
        </w:rPr>
      </w:pPr>
      <w:r w:rsidRPr="003F23AC">
        <w:rPr>
          <w:noProof/>
          <w:lang w:val="sk-SK"/>
        </w:rPr>
        <w:t>Energetické hodnotenie obydlí</w:t>
      </w:r>
      <w:r w:rsidR="00A75B3C" w:rsidRPr="003F23AC">
        <w:rPr>
          <w:noProof/>
          <w:lang w:val="sk-SK"/>
        </w:rPr>
        <w:t xml:space="preserve"> a </w:t>
      </w:r>
      <w:r w:rsidRPr="003F23AC">
        <w:rPr>
          <w:noProof/>
          <w:lang w:val="sk-SK"/>
        </w:rPr>
        <w:t>investičné návrhy</w:t>
      </w:r>
      <w:r w:rsidR="00A75B3C" w:rsidRPr="003F23AC">
        <w:rPr>
          <w:noProof/>
          <w:lang w:val="sk-SK"/>
        </w:rPr>
        <w:t xml:space="preserve"> s </w:t>
      </w:r>
      <w:r w:rsidRPr="003F23AC">
        <w:rPr>
          <w:noProof/>
          <w:lang w:val="sk-SK"/>
        </w:rPr>
        <w:t>cieľom zvýšiť tepelnú pohodu</w:t>
      </w:r>
      <w:r w:rsidR="00A75B3C" w:rsidRPr="003F23AC">
        <w:rPr>
          <w:noProof/>
          <w:lang w:val="sk-SK"/>
        </w:rPr>
        <w:t xml:space="preserve"> a </w:t>
      </w:r>
      <w:r w:rsidRPr="003F23AC">
        <w:rPr>
          <w:noProof/>
          <w:lang w:val="sk-SK"/>
        </w:rPr>
        <w:t>znížiť účty za energiu;</w:t>
      </w:r>
    </w:p>
    <w:p w14:paraId="33F3AD14" w14:textId="407BB83E" w:rsidR="00387C70" w:rsidRPr="003F23AC" w:rsidRDefault="000F5AA4" w:rsidP="003F23AC">
      <w:pPr>
        <w:pStyle w:val="ListParagraph"/>
        <w:keepNext w:val="0"/>
        <w:numPr>
          <w:ilvl w:val="0"/>
          <w:numId w:val="87"/>
        </w:numPr>
        <w:spacing w:beforeLines="40" w:before="96" w:after="0" w:line="22" w:lineRule="atLeast"/>
        <w:rPr>
          <w:noProof/>
          <w:lang w:val="sk-SK"/>
        </w:rPr>
      </w:pPr>
      <w:r w:rsidRPr="003F23AC">
        <w:rPr>
          <w:noProof/>
          <w:lang w:val="sk-SK"/>
        </w:rPr>
        <w:t>Poradenstvo</w:t>
      </w:r>
      <w:r w:rsidR="00A75B3C" w:rsidRPr="003F23AC">
        <w:rPr>
          <w:noProof/>
          <w:lang w:val="sk-SK"/>
        </w:rPr>
        <w:t xml:space="preserve"> o </w:t>
      </w:r>
      <w:r w:rsidRPr="003F23AC">
        <w:rPr>
          <w:noProof/>
          <w:lang w:val="sk-SK"/>
        </w:rPr>
        <w:t>prístupe</w:t>
      </w:r>
      <w:r w:rsidR="00A75B3C" w:rsidRPr="003F23AC">
        <w:rPr>
          <w:noProof/>
          <w:lang w:val="sk-SK"/>
        </w:rPr>
        <w:t xml:space="preserve"> k </w:t>
      </w:r>
      <w:r w:rsidRPr="003F23AC">
        <w:rPr>
          <w:noProof/>
          <w:lang w:val="sk-SK"/>
        </w:rPr>
        <w:t>stimulom</w:t>
      </w:r>
      <w:r w:rsidR="00A75B3C" w:rsidRPr="003F23AC">
        <w:rPr>
          <w:noProof/>
          <w:lang w:val="sk-SK"/>
        </w:rPr>
        <w:t xml:space="preserve"> a </w:t>
      </w:r>
      <w:r w:rsidRPr="003F23AC">
        <w:rPr>
          <w:noProof/>
          <w:lang w:val="sk-SK"/>
        </w:rPr>
        <w:t>finančným nástrojom, verejným</w:t>
      </w:r>
      <w:r w:rsidR="00A75B3C" w:rsidRPr="003F23AC">
        <w:rPr>
          <w:noProof/>
          <w:lang w:val="sk-SK"/>
        </w:rPr>
        <w:t xml:space="preserve"> a </w:t>
      </w:r>
      <w:r w:rsidRPr="003F23AC">
        <w:rPr>
          <w:noProof/>
          <w:lang w:val="sk-SK"/>
        </w:rPr>
        <w:t>súkromným, národným</w:t>
      </w:r>
      <w:r w:rsidR="00A75B3C" w:rsidRPr="003F23AC">
        <w:rPr>
          <w:noProof/>
          <w:lang w:val="sk-SK"/>
        </w:rPr>
        <w:t xml:space="preserve"> a </w:t>
      </w:r>
      <w:r w:rsidRPr="003F23AC">
        <w:rPr>
          <w:noProof/>
          <w:lang w:val="sk-SK"/>
        </w:rPr>
        <w:t>miestnym;</w:t>
      </w:r>
    </w:p>
    <w:p w14:paraId="26439DCD" w14:textId="39E93580" w:rsidR="00387C70" w:rsidRPr="003F23AC" w:rsidRDefault="000F5AA4" w:rsidP="003F23AC">
      <w:pPr>
        <w:pStyle w:val="ListParagraph"/>
        <w:keepNext w:val="0"/>
        <w:numPr>
          <w:ilvl w:val="0"/>
          <w:numId w:val="87"/>
        </w:numPr>
        <w:spacing w:beforeLines="40" w:before="96" w:after="0" w:line="22" w:lineRule="atLeast"/>
        <w:rPr>
          <w:noProof/>
          <w:lang w:val="sk-SK"/>
        </w:rPr>
      </w:pPr>
      <w:r w:rsidRPr="003F23AC">
        <w:rPr>
          <w:noProof/>
          <w:lang w:val="sk-SK"/>
        </w:rPr>
        <w:t>Zhromažďovať údaje</w:t>
      </w:r>
      <w:r w:rsidR="00A75B3C" w:rsidRPr="003F23AC">
        <w:rPr>
          <w:noProof/>
          <w:lang w:val="sk-SK"/>
        </w:rPr>
        <w:t xml:space="preserve"> o </w:t>
      </w:r>
      <w:r w:rsidRPr="003F23AC">
        <w:rPr>
          <w:noProof/>
          <w:lang w:val="sk-SK"/>
        </w:rPr>
        <w:t>používateľoch, ktoré sa majú zdieľať</w:t>
      </w:r>
      <w:r w:rsidR="00A75B3C" w:rsidRPr="003F23AC">
        <w:rPr>
          <w:noProof/>
          <w:lang w:val="sk-SK"/>
        </w:rPr>
        <w:t xml:space="preserve"> s </w:t>
      </w:r>
      <w:r w:rsidRPr="003F23AC">
        <w:rPr>
          <w:noProof/>
          <w:lang w:val="sk-SK"/>
        </w:rPr>
        <w:t>národným strediskom pre monitorovanie energetickej chudoby.</w:t>
      </w:r>
    </w:p>
    <w:p w14:paraId="0B098A88" w14:textId="67FA0B53" w:rsidR="00387C70" w:rsidRPr="003F23AC" w:rsidRDefault="000F5AA4" w:rsidP="003F23AC">
      <w:pPr>
        <w:pStyle w:val="P68B1DB1-Normal4"/>
        <w:spacing w:beforeLines="40" w:before="96" w:after="0" w:line="22" w:lineRule="atLeast"/>
        <w:jc w:val="both"/>
        <w:rPr>
          <w:rFonts w:cs="Times New Roman"/>
          <w:i/>
          <w:noProof/>
          <w:lang w:val="sk-SK"/>
        </w:rPr>
      </w:pPr>
      <w:r w:rsidRPr="003F23AC">
        <w:rPr>
          <w:rFonts w:cs="Times New Roman"/>
          <w:noProof/>
          <w:lang w:val="sk-SK"/>
        </w:rPr>
        <w:t>Prijmú sa opatrenia na budovanie kapacít</w:t>
      </w:r>
      <w:r w:rsidR="00A75B3C" w:rsidRPr="003F23AC">
        <w:rPr>
          <w:rFonts w:cs="Times New Roman"/>
          <w:noProof/>
          <w:lang w:val="sk-SK"/>
        </w:rPr>
        <w:t xml:space="preserve"> s </w:t>
      </w:r>
      <w:r w:rsidRPr="003F23AC">
        <w:rPr>
          <w:rFonts w:cs="Times New Roman"/>
          <w:noProof/>
          <w:lang w:val="sk-SK"/>
        </w:rPr>
        <w:t>cieľom zabezpečiť, aby aspoň tristo ľudí absolvovalo odbornú prípravu na prevádzku priestorov pre energiu pre občanov</w:t>
      </w:r>
      <w:r w:rsidRPr="003F23AC">
        <w:rPr>
          <w:rFonts w:cs="Times New Roman"/>
          <w:i/>
          <w:noProof/>
          <w:lang w:val="sk-SK"/>
        </w:rPr>
        <w:t>.</w:t>
      </w:r>
    </w:p>
    <w:p w14:paraId="01EFD193" w14:textId="7B0F5FFF"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Vykonávanie tejto reformy sa dokončí do 31</w:t>
      </w:r>
      <w:r w:rsidR="00A75B3C" w:rsidRPr="003F23AC">
        <w:rPr>
          <w:rFonts w:cs="Times New Roman"/>
          <w:noProof/>
          <w:lang w:val="sk-SK"/>
        </w:rPr>
        <w:t>. marca</w:t>
      </w:r>
      <w:r w:rsidRPr="003F23AC">
        <w:rPr>
          <w:rFonts w:cs="Times New Roman"/>
          <w:noProof/>
          <w:lang w:val="sk-SK"/>
        </w:rPr>
        <w:t xml:space="preserve"> 2025</w:t>
      </w:r>
      <w:r w:rsidR="00A75B3C" w:rsidRPr="003F23AC">
        <w:rPr>
          <w:rFonts w:cs="Times New Roman"/>
          <w:noProof/>
          <w:lang w:val="sk-SK"/>
        </w:rPr>
        <w:t>.</w:t>
      </w:r>
    </w:p>
    <w:p w14:paraId="52B18F1E" w14:textId="60B7B035" w:rsidR="00387C70" w:rsidRPr="003F23AC" w:rsidRDefault="000F5AA4" w:rsidP="008E475E">
      <w:pPr>
        <w:pStyle w:val="P68B1DB1-Normal5"/>
        <w:keepNext/>
        <w:keepLines/>
        <w:spacing w:before="240" w:after="0" w:line="259" w:lineRule="auto"/>
        <w:ind w:left="851"/>
        <w:jc w:val="both"/>
        <w:outlineLvl w:val="2"/>
        <w:rPr>
          <w:rFonts w:eastAsiaTheme="minorEastAsia" w:cs="Times New Roman"/>
          <w:noProof/>
          <w:lang w:val="sk-SK"/>
        </w:rPr>
      </w:pPr>
      <w:bookmarkStart w:id="40" w:name="_Toc137472487"/>
      <w:r w:rsidRPr="003F23AC">
        <w:rPr>
          <w:rFonts w:cs="Times New Roman"/>
          <w:noProof/>
          <w:lang w:val="sk-SK"/>
        </w:rPr>
        <w:t>Investície RP-C21-i05: Podpora rozvoja ekologického priemyslu</w:t>
      </w:r>
    </w:p>
    <w:bookmarkEnd w:id="40"/>
    <w:p w14:paraId="00CC59FA" w14:textId="35C49596" w:rsidR="00387C70" w:rsidRPr="008E475E" w:rsidRDefault="000F5AA4" w:rsidP="008E475E">
      <w:pPr>
        <w:pStyle w:val="P68B1DB1-Normal4"/>
        <w:keepNext/>
        <w:keepLines/>
        <w:spacing w:beforeLines="40" w:before="96" w:after="0" w:line="22" w:lineRule="atLeast"/>
        <w:jc w:val="both"/>
        <w:rPr>
          <w:rFonts w:cs="Times New Roman"/>
          <w:noProof/>
          <w:spacing w:val="-4"/>
          <w:highlight w:val="yellow"/>
          <w:lang w:val="sk-SK"/>
        </w:rPr>
      </w:pPr>
      <w:r w:rsidRPr="008E475E">
        <w:rPr>
          <w:rFonts w:cs="Times New Roman"/>
          <w:noProof/>
          <w:spacing w:val="-4"/>
          <w:lang w:val="sk-SK"/>
        </w:rPr>
        <w:t>Cieľom tejto investície zameranej na podniky je zvýšiť výrobnú kapacitu technológií</w:t>
      </w:r>
      <w:r w:rsidR="00A75B3C" w:rsidRPr="008E475E">
        <w:rPr>
          <w:rFonts w:cs="Times New Roman"/>
          <w:noProof/>
          <w:spacing w:val="-4"/>
          <w:lang w:val="sk-SK"/>
        </w:rPr>
        <w:t xml:space="preserve"> v </w:t>
      </w:r>
      <w:r w:rsidRPr="008E475E">
        <w:rPr>
          <w:rFonts w:cs="Times New Roman"/>
          <w:noProof/>
          <w:spacing w:val="-4"/>
          <w:lang w:val="sk-SK"/>
        </w:rPr>
        <w:t>oblasti energie</w:t>
      </w:r>
      <w:r w:rsidR="00A75B3C" w:rsidRPr="008E475E">
        <w:rPr>
          <w:rFonts w:cs="Times New Roman"/>
          <w:noProof/>
          <w:spacing w:val="-4"/>
          <w:lang w:val="sk-SK"/>
        </w:rPr>
        <w:t xml:space="preserve"> z </w:t>
      </w:r>
      <w:r w:rsidRPr="008E475E">
        <w:rPr>
          <w:rFonts w:cs="Times New Roman"/>
          <w:noProof/>
          <w:spacing w:val="-4"/>
          <w:lang w:val="sk-SK"/>
        </w:rPr>
        <w:t>obnoviteľných zdrojov, dekarbonizácie</w:t>
      </w:r>
      <w:r w:rsidR="00A75B3C" w:rsidRPr="008E475E">
        <w:rPr>
          <w:rFonts w:cs="Times New Roman"/>
          <w:noProof/>
          <w:spacing w:val="-4"/>
          <w:lang w:val="sk-SK"/>
        </w:rPr>
        <w:t xml:space="preserve"> a </w:t>
      </w:r>
      <w:r w:rsidRPr="008E475E">
        <w:rPr>
          <w:rFonts w:cs="Times New Roman"/>
          <w:noProof/>
          <w:spacing w:val="-4"/>
          <w:lang w:val="sk-SK"/>
        </w:rPr>
        <w:t>energetickej efektívnosti</w:t>
      </w:r>
      <w:r w:rsidR="00A75B3C" w:rsidRPr="008E475E">
        <w:rPr>
          <w:rFonts w:cs="Times New Roman"/>
          <w:noProof/>
          <w:spacing w:val="-4"/>
          <w:lang w:val="sk-SK"/>
        </w:rPr>
        <w:t xml:space="preserve"> v </w:t>
      </w:r>
      <w:r w:rsidRPr="008E475E">
        <w:rPr>
          <w:rFonts w:cs="Times New Roman"/>
          <w:noProof/>
          <w:spacing w:val="-4"/>
          <w:lang w:val="sk-SK"/>
        </w:rPr>
        <w:t>súlade</w:t>
      </w:r>
      <w:r w:rsidR="00A75B3C" w:rsidRPr="008E475E">
        <w:rPr>
          <w:rFonts w:cs="Times New Roman"/>
          <w:noProof/>
          <w:spacing w:val="-4"/>
          <w:lang w:val="sk-SK"/>
        </w:rPr>
        <w:t xml:space="preserve"> s </w:t>
      </w:r>
      <w:r w:rsidRPr="008E475E">
        <w:rPr>
          <w:rFonts w:cs="Times New Roman"/>
          <w:noProof/>
          <w:spacing w:val="-4"/>
          <w:lang w:val="sk-SK"/>
        </w:rPr>
        <w:t>cieľmi NEKP do roku 2030</w:t>
      </w:r>
      <w:r w:rsidR="00A75B3C" w:rsidRPr="008E475E">
        <w:rPr>
          <w:rFonts w:cs="Times New Roman"/>
          <w:noProof/>
          <w:spacing w:val="-4"/>
          <w:lang w:val="sk-SK"/>
        </w:rPr>
        <w:t xml:space="preserve"> a </w:t>
      </w:r>
      <w:r w:rsidRPr="008E475E">
        <w:rPr>
          <w:rFonts w:cs="Times New Roman"/>
          <w:noProof/>
          <w:spacing w:val="-4"/>
          <w:lang w:val="sk-SK"/>
        </w:rPr>
        <w:t>cieľmi Priemyselného plánu Európskej zelenej dohody [COM (2023) 62 final].</w:t>
      </w:r>
    </w:p>
    <w:p w14:paraId="1CA7DB0D" w14:textId="2DEDF52A" w:rsidR="00A75B3C" w:rsidRPr="008E475E" w:rsidRDefault="000F5AA4" w:rsidP="003F23AC">
      <w:pPr>
        <w:pStyle w:val="P68B1DB1-Normal4"/>
        <w:spacing w:beforeLines="40" w:before="96" w:after="0" w:line="22" w:lineRule="atLeast"/>
        <w:jc w:val="both"/>
        <w:rPr>
          <w:rFonts w:cs="Times New Roman"/>
          <w:noProof/>
          <w:spacing w:val="-4"/>
          <w:lang w:val="sk-SK"/>
        </w:rPr>
      </w:pPr>
      <w:r w:rsidRPr="008E475E">
        <w:rPr>
          <w:rFonts w:cs="Times New Roman"/>
          <w:noProof/>
          <w:spacing w:val="-4"/>
          <w:lang w:val="sk-SK"/>
        </w:rPr>
        <w:t>Investícia pozostáva</w:t>
      </w:r>
      <w:r w:rsidR="00A75B3C" w:rsidRPr="008E475E">
        <w:rPr>
          <w:rFonts w:cs="Times New Roman"/>
          <w:noProof/>
          <w:spacing w:val="-4"/>
          <w:lang w:val="sk-SK"/>
        </w:rPr>
        <w:t xml:space="preserve"> z </w:t>
      </w:r>
      <w:r w:rsidRPr="008E475E">
        <w:rPr>
          <w:rFonts w:cs="Times New Roman"/>
          <w:noProof/>
          <w:spacing w:val="-4"/>
          <w:lang w:val="sk-SK"/>
        </w:rPr>
        <w:t>grantov zameraných na jednotlivé spoločnosti alebo projekty</w:t>
      </w:r>
      <w:r w:rsidR="00A75B3C" w:rsidRPr="008E475E">
        <w:rPr>
          <w:rFonts w:cs="Times New Roman"/>
          <w:noProof/>
          <w:spacing w:val="-4"/>
          <w:lang w:val="sk-SK"/>
        </w:rPr>
        <w:t xml:space="preserve"> a </w:t>
      </w:r>
      <w:r w:rsidRPr="008E475E">
        <w:rPr>
          <w:rFonts w:cs="Times New Roman"/>
          <w:noProof/>
          <w:spacing w:val="-4"/>
          <w:lang w:val="sk-SK"/>
        </w:rPr>
        <w:t>podporuje priemyselné investície do výroby strategických technológií pre klimatickú transformáciu, ktoré sú priamo spojené so solárnou fotovoltickou</w:t>
      </w:r>
      <w:r w:rsidR="00A75B3C" w:rsidRPr="008E475E">
        <w:rPr>
          <w:rFonts w:cs="Times New Roman"/>
          <w:noProof/>
          <w:spacing w:val="-4"/>
          <w:lang w:val="sk-SK"/>
        </w:rPr>
        <w:t xml:space="preserve"> a </w:t>
      </w:r>
      <w:r w:rsidRPr="008E475E">
        <w:rPr>
          <w:rFonts w:cs="Times New Roman"/>
          <w:noProof/>
          <w:spacing w:val="-4"/>
          <w:lang w:val="sk-SK"/>
        </w:rPr>
        <w:t>solárnou tepelnou energiou, elektrolyzérmi</w:t>
      </w:r>
      <w:r w:rsidR="00A75B3C" w:rsidRPr="008E475E">
        <w:rPr>
          <w:rFonts w:cs="Times New Roman"/>
          <w:noProof/>
          <w:spacing w:val="-4"/>
          <w:lang w:val="sk-SK"/>
        </w:rPr>
        <w:t xml:space="preserve"> a </w:t>
      </w:r>
      <w:r w:rsidRPr="008E475E">
        <w:rPr>
          <w:rFonts w:cs="Times New Roman"/>
          <w:noProof/>
          <w:spacing w:val="-4"/>
          <w:lang w:val="sk-SK"/>
        </w:rPr>
        <w:t>palivovými článkami, veternou energiou na pevnine</w:t>
      </w:r>
      <w:r w:rsidR="00A75B3C" w:rsidRPr="008E475E">
        <w:rPr>
          <w:rFonts w:cs="Times New Roman"/>
          <w:noProof/>
          <w:spacing w:val="-4"/>
          <w:lang w:val="sk-SK"/>
        </w:rPr>
        <w:t xml:space="preserve"> a </w:t>
      </w:r>
      <w:r w:rsidRPr="008E475E">
        <w:rPr>
          <w:rFonts w:cs="Times New Roman"/>
          <w:noProof/>
          <w:spacing w:val="-4"/>
          <w:lang w:val="sk-SK"/>
        </w:rPr>
        <w:t>obnoviteľnými zdrojmi energie na mori, udržateľným bioplynom/biometánom, batériami</w:t>
      </w:r>
      <w:r w:rsidR="00A75B3C" w:rsidRPr="008E475E">
        <w:rPr>
          <w:rFonts w:cs="Times New Roman"/>
          <w:noProof/>
          <w:spacing w:val="-4"/>
          <w:lang w:val="sk-SK"/>
        </w:rPr>
        <w:t xml:space="preserve"> a </w:t>
      </w:r>
      <w:r w:rsidRPr="008E475E">
        <w:rPr>
          <w:rFonts w:cs="Times New Roman"/>
          <w:noProof/>
          <w:spacing w:val="-4"/>
          <w:lang w:val="sk-SK"/>
        </w:rPr>
        <w:t>uskladňovaním, zachytávaním</w:t>
      </w:r>
      <w:r w:rsidR="00A75B3C" w:rsidRPr="008E475E">
        <w:rPr>
          <w:rFonts w:cs="Times New Roman"/>
          <w:noProof/>
          <w:spacing w:val="-4"/>
          <w:lang w:val="sk-SK"/>
        </w:rPr>
        <w:t xml:space="preserve"> a </w:t>
      </w:r>
      <w:r w:rsidRPr="008E475E">
        <w:rPr>
          <w:rFonts w:cs="Times New Roman"/>
          <w:noProof/>
          <w:spacing w:val="-4"/>
          <w:lang w:val="sk-SK"/>
        </w:rPr>
        <w:t>ukladaním uhlíka, tepelnými čerpadlami, energetickou efektívnosťou, geotermálnou energiou alebo riešeniami siete</w:t>
      </w:r>
      <w:r w:rsidR="00A75B3C" w:rsidRPr="008E475E">
        <w:rPr>
          <w:rFonts w:cs="Times New Roman"/>
          <w:noProof/>
          <w:spacing w:val="-4"/>
          <w:lang w:val="sk-SK"/>
        </w:rPr>
        <w:t>.</w:t>
      </w:r>
    </w:p>
    <w:p w14:paraId="30C0F048" w14:textId="4D2E8D50" w:rsidR="00387C70"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S cieľom zabezpečiť, aby opatrenie bolo</w:t>
      </w:r>
      <w:r w:rsidR="00A75B3C" w:rsidRPr="003F23AC">
        <w:rPr>
          <w:rFonts w:cs="Times New Roman"/>
          <w:noProof/>
          <w:lang w:val="sk-SK"/>
        </w:rPr>
        <w:t xml:space="preserve"> v </w:t>
      </w:r>
      <w:r w:rsidRPr="003F23AC">
        <w:rPr>
          <w:rFonts w:cs="Times New Roman"/>
          <w:noProof/>
          <w:lang w:val="sk-SK"/>
        </w:rPr>
        <w:t>súlade so zásadou „výrazne nenarušiť“</w:t>
      </w:r>
      <w:r w:rsidR="00A75B3C" w:rsidRPr="003F23AC">
        <w:rPr>
          <w:rFonts w:cs="Times New Roman"/>
          <w:noProof/>
          <w:lang w:val="sk-SK"/>
        </w:rPr>
        <w:t xml:space="preserve"> v </w:t>
      </w:r>
      <w:r w:rsidRPr="003F23AC">
        <w:rPr>
          <w:rFonts w:cs="Times New Roman"/>
          <w:noProof/>
          <w:lang w:val="sk-SK"/>
        </w:rPr>
        <w:t>rámci Mechanizmu na podporu obnovy</w:t>
      </w:r>
      <w:r w:rsidR="00A75B3C" w:rsidRPr="003F23AC">
        <w:rPr>
          <w:rFonts w:cs="Times New Roman"/>
          <w:noProof/>
          <w:lang w:val="sk-SK"/>
        </w:rPr>
        <w:t xml:space="preserve"> a </w:t>
      </w:r>
      <w:r w:rsidRPr="003F23AC">
        <w:rPr>
          <w:rFonts w:cs="Times New Roman"/>
          <w:noProof/>
          <w:lang w:val="sk-SK"/>
        </w:rPr>
        <w:t>odolnosti, ako sa stanovuje</w:t>
      </w:r>
      <w:r w:rsidR="00A75B3C" w:rsidRPr="003F23AC">
        <w:rPr>
          <w:rFonts w:cs="Times New Roman"/>
          <w:noProof/>
          <w:lang w:val="sk-SK"/>
        </w:rPr>
        <w:t xml:space="preserve"> v </w:t>
      </w:r>
      <w:r w:rsidRPr="003F23AC">
        <w:rPr>
          <w:rFonts w:cs="Times New Roman"/>
          <w:noProof/>
          <w:lang w:val="sk-SK"/>
        </w:rPr>
        <w:t>technickom usmernení „výrazne nenarušiť“ (2021/C58/01), kritériá oprávnenosti uvedené</w:t>
      </w:r>
      <w:r w:rsidR="00A75B3C" w:rsidRPr="003F23AC">
        <w:rPr>
          <w:rFonts w:cs="Times New Roman"/>
          <w:noProof/>
          <w:lang w:val="sk-SK"/>
        </w:rPr>
        <w:t xml:space="preserve"> v </w:t>
      </w:r>
      <w:r w:rsidRPr="003F23AC">
        <w:rPr>
          <w:rFonts w:cs="Times New Roman"/>
          <w:noProof/>
          <w:lang w:val="sk-SK"/>
        </w:rPr>
        <w:t>referenčnom rámci pre nadchádzajúce výzvy na predkladanie projektov:</w:t>
      </w:r>
    </w:p>
    <w:p w14:paraId="550498FB" w14:textId="77777777" w:rsidR="00A75B3C" w:rsidRPr="003F23AC" w:rsidRDefault="000F5AA4" w:rsidP="003F23AC">
      <w:pPr>
        <w:pStyle w:val="ListParagraph"/>
        <w:keepNext w:val="0"/>
        <w:numPr>
          <w:ilvl w:val="0"/>
          <w:numId w:val="118"/>
        </w:numPr>
        <w:spacing w:line="240" w:lineRule="auto"/>
        <w:rPr>
          <w:noProof/>
          <w:lang w:val="sk-SK"/>
        </w:rPr>
      </w:pPr>
      <w:r w:rsidRPr="003F23AC">
        <w:rPr>
          <w:noProof/>
          <w:lang w:val="sk-SK"/>
        </w:rPr>
        <w:t>vylúčiť</w:t>
      </w:r>
      <w:r w:rsidR="00A75B3C" w:rsidRPr="003F23AC">
        <w:rPr>
          <w:noProof/>
          <w:lang w:val="sk-SK"/>
        </w:rPr>
        <w:t xml:space="preserve"> z </w:t>
      </w:r>
      <w:r w:rsidRPr="003F23AC">
        <w:rPr>
          <w:noProof/>
          <w:lang w:val="sk-SK"/>
        </w:rPr>
        <w:t>oprávnenosti tento zoznam činností</w:t>
      </w:r>
      <w:r w:rsidR="00A75B3C" w:rsidRPr="003F23AC">
        <w:rPr>
          <w:noProof/>
          <w:lang w:val="sk-SK"/>
        </w:rPr>
        <w:t xml:space="preserve"> a </w:t>
      </w:r>
      <w:r w:rsidRPr="003F23AC">
        <w:rPr>
          <w:noProof/>
          <w:lang w:val="sk-SK"/>
        </w:rPr>
        <w:t>aktív: I) činnosti</w:t>
      </w:r>
      <w:r w:rsidR="00A75B3C" w:rsidRPr="003F23AC">
        <w:rPr>
          <w:noProof/>
          <w:lang w:val="sk-SK"/>
        </w:rPr>
        <w:t xml:space="preserve"> a </w:t>
      </w:r>
      <w:r w:rsidRPr="003F23AC">
        <w:rPr>
          <w:noProof/>
          <w:lang w:val="sk-SK"/>
        </w:rPr>
        <w:t>aktíva súvisiace</w:t>
      </w:r>
      <w:r w:rsidR="00A75B3C" w:rsidRPr="003F23AC">
        <w:rPr>
          <w:noProof/>
          <w:lang w:val="sk-SK"/>
        </w:rPr>
        <w:t xml:space="preserve"> s </w:t>
      </w:r>
      <w:r w:rsidRPr="003F23AC">
        <w:rPr>
          <w:noProof/>
          <w:lang w:val="sk-SK"/>
        </w:rPr>
        <w:t>fosílnymi palivami vrátane následného použitia</w:t>
      </w:r>
      <w:r w:rsidRPr="003F23AC">
        <w:rPr>
          <w:rStyle w:val="FootnoteReference"/>
          <w:noProof/>
          <w:lang w:val="sk-SK"/>
        </w:rPr>
        <w:footnoteReference w:id="78"/>
      </w:r>
      <w:r w:rsidRPr="003F23AC">
        <w:rPr>
          <w:noProof/>
          <w:lang w:val="sk-SK"/>
        </w:rPr>
        <w:t>; II) činnosti</w:t>
      </w:r>
      <w:r w:rsidR="00A75B3C" w:rsidRPr="003F23AC">
        <w:rPr>
          <w:noProof/>
          <w:lang w:val="sk-SK"/>
        </w:rPr>
        <w:t xml:space="preserve"> a </w:t>
      </w:r>
      <w:r w:rsidRPr="003F23AC">
        <w:rPr>
          <w:noProof/>
          <w:lang w:val="sk-SK"/>
        </w:rPr>
        <w:t>aktíva</w:t>
      </w:r>
      <w:r w:rsidR="00A75B3C" w:rsidRPr="003F23AC">
        <w:rPr>
          <w:noProof/>
          <w:lang w:val="sk-SK"/>
        </w:rPr>
        <w:t xml:space="preserve"> v </w:t>
      </w:r>
      <w:r w:rsidRPr="003F23AC">
        <w:rPr>
          <w:noProof/>
          <w:lang w:val="sk-SK"/>
        </w:rPr>
        <w:t>rámci systému EÚ na obchodovanie</w:t>
      </w:r>
      <w:r w:rsidR="00A75B3C" w:rsidRPr="003F23AC">
        <w:rPr>
          <w:noProof/>
          <w:lang w:val="sk-SK"/>
        </w:rPr>
        <w:t xml:space="preserve"> s </w:t>
      </w:r>
      <w:r w:rsidRPr="003F23AC">
        <w:rPr>
          <w:noProof/>
          <w:lang w:val="sk-SK"/>
        </w:rPr>
        <w:t>emisiami (ETS), ktorými sa dosahujú plánované emisie skleníkových plynov, ktoré nie sú nižšie ako príslušné referenčné hodnoty</w:t>
      </w:r>
      <w:r w:rsidRPr="003F23AC">
        <w:rPr>
          <w:rStyle w:val="FootnoteReference"/>
          <w:noProof/>
          <w:lang w:val="sk-SK"/>
        </w:rPr>
        <w:footnoteReference w:id="79"/>
      </w:r>
      <w:r w:rsidR="00A75B3C" w:rsidRPr="003F23AC">
        <w:rPr>
          <w:noProof/>
          <w:lang w:val="sk-SK"/>
        </w:rPr>
        <w:t xml:space="preserve"> a </w:t>
      </w:r>
      <w:r w:rsidRPr="003F23AC">
        <w:rPr>
          <w:noProof/>
          <w:lang w:val="sk-SK"/>
        </w:rPr>
        <w:t>zariadenia na mechanické biologické čistenie</w:t>
      </w:r>
      <w:r w:rsidRPr="003F23AC">
        <w:rPr>
          <w:rStyle w:val="FootnoteReference"/>
          <w:noProof/>
          <w:lang w:val="sk-SK"/>
        </w:rPr>
        <w:footnoteReference w:id="80"/>
      </w:r>
      <w:r w:rsidRPr="003F23AC">
        <w:rPr>
          <w:noProof/>
          <w:lang w:val="sk-SK"/>
        </w:rPr>
        <w:t>; III) činnosti</w:t>
      </w:r>
      <w:r w:rsidR="00A75B3C" w:rsidRPr="003F23AC">
        <w:rPr>
          <w:noProof/>
          <w:lang w:val="sk-SK"/>
        </w:rPr>
        <w:t xml:space="preserve"> a </w:t>
      </w:r>
      <w:r w:rsidRPr="003F23AC">
        <w:rPr>
          <w:noProof/>
          <w:lang w:val="sk-SK"/>
        </w:rPr>
        <w:t>aktíva týkajúce sa skládok odpadu, spaľovní</w:t>
      </w:r>
      <w:r w:rsidRPr="003F23AC">
        <w:rPr>
          <w:rStyle w:val="FootnoteReference"/>
          <w:noProof/>
          <w:lang w:val="sk-SK"/>
        </w:rPr>
        <w:footnoteReference w:id="81"/>
      </w:r>
      <w:r w:rsidR="00A75B3C" w:rsidRPr="003F23AC">
        <w:rPr>
          <w:noProof/>
          <w:lang w:val="sk-SK"/>
        </w:rPr>
        <w:t xml:space="preserve"> a </w:t>
      </w:r>
      <w:r w:rsidRPr="003F23AC">
        <w:rPr>
          <w:noProof/>
          <w:lang w:val="sk-SK"/>
        </w:rPr>
        <w:t>mechanických biologických čistiarní</w:t>
      </w:r>
      <w:r w:rsidRPr="003F23AC">
        <w:rPr>
          <w:rStyle w:val="FootnoteReference"/>
          <w:noProof/>
          <w:lang w:val="sk-SK"/>
        </w:rPr>
        <w:footnoteReference w:id="82"/>
      </w:r>
      <w:r w:rsidRPr="003F23AC">
        <w:rPr>
          <w:noProof/>
          <w:lang w:val="sk-SK"/>
        </w:rPr>
        <w:t>;</w:t>
      </w:r>
      <w:r w:rsidR="00A75B3C" w:rsidRPr="003F23AC">
        <w:rPr>
          <w:noProof/>
          <w:lang w:val="sk-SK"/>
        </w:rPr>
        <w:t xml:space="preserve"> a </w:t>
      </w:r>
      <w:r w:rsidRPr="003F23AC">
        <w:rPr>
          <w:noProof/>
          <w:lang w:val="sk-SK"/>
        </w:rPr>
        <w:t>zároveň</w:t>
      </w:r>
    </w:p>
    <w:p w14:paraId="3D8DD079" w14:textId="3F810E0B" w:rsidR="00387C70" w:rsidRPr="003F23AC" w:rsidRDefault="000F5AA4" w:rsidP="003F23AC">
      <w:pPr>
        <w:pStyle w:val="ListParagraph"/>
        <w:keepNext w:val="0"/>
        <w:numPr>
          <w:ilvl w:val="0"/>
          <w:numId w:val="74"/>
        </w:numPr>
        <w:spacing w:beforeLines="40" w:before="96" w:after="0" w:line="240" w:lineRule="auto"/>
        <w:rPr>
          <w:noProof/>
          <w:lang w:val="sk-SK"/>
        </w:rPr>
      </w:pPr>
      <w:r w:rsidRPr="003F23AC">
        <w:rPr>
          <w:noProof/>
          <w:lang w:val="sk-SK"/>
        </w:rPr>
        <w:t>vyžadovať od príjemcu súlad</w:t>
      </w:r>
      <w:r w:rsidR="00A75B3C" w:rsidRPr="003F23AC">
        <w:rPr>
          <w:noProof/>
          <w:lang w:val="sk-SK"/>
        </w:rPr>
        <w:t xml:space="preserve"> s </w:t>
      </w:r>
      <w:r w:rsidRPr="003F23AC">
        <w:rPr>
          <w:noProof/>
          <w:lang w:val="sk-SK"/>
        </w:rPr>
        <w:t>príslušnými právnymi predpismi EÚ</w:t>
      </w:r>
      <w:r w:rsidR="00A75B3C" w:rsidRPr="003F23AC">
        <w:rPr>
          <w:noProof/>
          <w:lang w:val="sk-SK"/>
        </w:rPr>
        <w:t xml:space="preserve"> a </w:t>
      </w:r>
      <w:r w:rsidRPr="003F23AC">
        <w:rPr>
          <w:noProof/>
          <w:lang w:val="sk-SK"/>
        </w:rPr>
        <w:t>vnútroštátnymi právnymi predpismi</w:t>
      </w:r>
      <w:r w:rsidR="00A75B3C" w:rsidRPr="003F23AC">
        <w:rPr>
          <w:noProof/>
          <w:lang w:val="sk-SK"/>
        </w:rPr>
        <w:t xml:space="preserve"> v </w:t>
      </w:r>
      <w:r w:rsidRPr="003F23AC">
        <w:rPr>
          <w:noProof/>
          <w:lang w:val="sk-SK"/>
        </w:rPr>
        <w:t>oblasti životného prostredia.</w:t>
      </w:r>
    </w:p>
    <w:p w14:paraId="72029A78" w14:textId="36E22E28"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Realizácia tejto investície sa dokončí do 30</w:t>
      </w:r>
      <w:r w:rsidR="00A75B3C" w:rsidRPr="003F23AC">
        <w:rPr>
          <w:rFonts w:cs="Times New Roman"/>
          <w:noProof/>
          <w:lang w:val="sk-SK"/>
        </w:rPr>
        <w:t>. júna</w:t>
      </w:r>
      <w:r w:rsidRPr="003F23AC">
        <w:rPr>
          <w:rFonts w:cs="Times New Roman"/>
          <w:noProof/>
          <w:lang w:val="sk-SK"/>
        </w:rPr>
        <w:t xml:space="preserve"> 2026</w:t>
      </w:r>
      <w:r w:rsidR="00A75B3C" w:rsidRPr="003F23AC">
        <w:rPr>
          <w:rFonts w:cs="Times New Roman"/>
          <w:noProof/>
          <w:lang w:val="sk-SK"/>
        </w:rPr>
        <w:t>.</w:t>
      </w:r>
    </w:p>
    <w:p w14:paraId="2F9D54F1" w14:textId="6E8B532B"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Reforma RP-C21-r45: Ekologické zručnosti</w:t>
      </w:r>
    </w:p>
    <w:p w14:paraId="632F4B15" w14:textId="1B8A08F0"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Cieľom tejto reformy je vytvoriť ponuku dlhodobej odbornej prípravy na rozvoj, uznávanie, potvrdzovanie</w:t>
      </w:r>
      <w:r w:rsidR="00A75B3C" w:rsidRPr="003F23AC">
        <w:rPr>
          <w:rFonts w:cs="Times New Roman"/>
          <w:noProof/>
          <w:lang w:val="sk-SK"/>
        </w:rPr>
        <w:t xml:space="preserve"> a </w:t>
      </w:r>
      <w:r w:rsidRPr="003F23AC">
        <w:rPr>
          <w:rFonts w:cs="Times New Roman"/>
          <w:noProof/>
          <w:lang w:val="sk-SK"/>
        </w:rPr>
        <w:t>certifikáciu ekologických zručností</w:t>
      </w:r>
      <w:r w:rsidR="00A75B3C" w:rsidRPr="003F23AC">
        <w:rPr>
          <w:rFonts w:cs="Times New Roman"/>
          <w:noProof/>
          <w:lang w:val="sk-SK"/>
        </w:rPr>
        <w:t xml:space="preserve"> s </w:t>
      </w:r>
      <w:r w:rsidRPr="003F23AC">
        <w:rPr>
          <w:rFonts w:cs="Times New Roman"/>
          <w:noProof/>
          <w:lang w:val="sk-SK"/>
        </w:rPr>
        <w:t>cieľom zabrániť riziku nezamestnanosti, podporiť udržanie pracovných miest</w:t>
      </w:r>
      <w:r w:rsidR="00A75B3C" w:rsidRPr="003F23AC">
        <w:rPr>
          <w:rFonts w:cs="Times New Roman"/>
          <w:noProof/>
          <w:lang w:val="sk-SK"/>
        </w:rPr>
        <w:t xml:space="preserve"> a </w:t>
      </w:r>
      <w:r w:rsidRPr="003F23AC">
        <w:rPr>
          <w:rFonts w:cs="Times New Roman"/>
          <w:noProof/>
          <w:lang w:val="sk-SK"/>
        </w:rPr>
        <w:t>stimulovať vytváranie nových pracovných miest</w:t>
      </w:r>
      <w:r w:rsidR="00A75B3C" w:rsidRPr="003F23AC">
        <w:rPr>
          <w:rFonts w:cs="Times New Roman"/>
          <w:noProof/>
          <w:lang w:val="sk-SK"/>
        </w:rPr>
        <w:t>.</w:t>
      </w:r>
    </w:p>
    <w:p w14:paraId="75EC7F11" w14:textId="347E545E" w:rsidR="00387C70"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Reforma pozostáva</w:t>
      </w:r>
      <w:r w:rsidR="00A75B3C" w:rsidRPr="003F23AC">
        <w:rPr>
          <w:rFonts w:cs="Times New Roman"/>
          <w:noProof/>
          <w:lang w:val="sk-SK"/>
        </w:rPr>
        <w:t xml:space="preserve"> z </w:t>
      </w:r>
      <w:r w:rsidRPr="003F23AC">
        <w:rPr>
          <w:rFonts w:cs="Times New Roman"/>
          <w:noProof/>
          <w:lang w:val="sk-SK"/>
        </w:rPr>
        <w:t>týchto prvkov:</w:t>
      </w:r>
    </w:p>
    <w:p w14:paraId="0CD3A424" w14:textId="49EC5F0B" w:rsidR="00387C70" w:rsidRPr="003F23AC" w:rsidRDefault="000F5AA4" w:rsidP="003F23AC">
      <w:pPr>
        <w:pStyle w:val="ListParagraph"/>
        <w:keepNext w:val="0"/>
        <w:numPr>
          <w:ilvl w:val="0"/>
          <w:numId w:val="88"/>
        </w:numPr>
        <w:spacing w:beforeLines="40" w:before="96" w:after="0" w:line="22" w:lineRule="atLeast"/>
        <w:rPr>
          <w:noProof/>
          <w:lang w:val="sk-SK"/>
        </w:rPr>
      </w:pPr>
      <w:r w:rsidRPr="003F23AC">
        <w:rPr>
          <w:noProof/>
          <w:lang w:val="sk-SK"/>
        </w:rPr>
        <w:t>Program zelenej práce</w:t>
      </w:r>
      <w:r w:rsidR="00A75B3C" w:rsidRPr="003F23AC">
        <w:rPr>
          <w:noProof/>
          <w:lang w:val="sk-SK"/>
        </w:rPr>
        <w:t xml:space="preserve"> a </w:t>
      </w:r>
      <w:r w:rsidRPr="003F23AC">
        <w:rPr>
          <w:noProof/>
          <w:lang w:val="sk-SK"/>
        </w:rPr>
        <w:t>zručností: poskytovať odbornú prípravu</w:t>
      </w:r>
      <w:r w:rsidR="00A75B3C" w:rsidRPr="003F23AC">
        <w:rPr>
          <w:noProof/>
          <w:lang w:val="sk-SK"/>
        </w:rPr>
        <w:t xml:space="preserve"> a </w:t>
      </w:r>
      <w:r w:rsidRPr="003F23AC">
        <w:rPr>
          <w:noProof/>
          <w:lang w:val="sk-SK"/>
        </w:rPr>
        <w:t>rekvalifikáciu 12500 pracovníkom zapojeným do procesov energetickej transformácie svojich zamestnávateľov, pracovníkom, ktorým hrozí nezamestnanosť</w:t>
      </w:r>
      <w:r w:rsidR="00A75B3C" w:rsidRPr="003F23AC">
        <w:rPr>
          <w:noProof/>
          <w:lang w:val="sk-SK"/>
        </w:rPr>
        <w:t xml:space="preserve"> v </w:t>
      </w:r>
      <w:r w:rsidRPr="003F23AC">
        <w:rPr>
          <w:noProof/>
          <w:lang w:val="sk-SK"/>
        </w:rPr>
        <w:t>dôsledku zatvorenia odvetví fosílnych palív, ako aj nezamestnaných osôb. Vykonáva ho Inštitút pre zamestnanosť</w:t>
      </w:r>
      <w:r w:rsidR="00A75B3C" w:rsidRPr="003F23AC">
        <w:rPr>
          <w:noProof/>
          <w:lang w:val="sk-SK"/>
        </w:rPr>
        <w:t xml:space="preserve"> a </w:t>
      </w:r>
      <w:r w:rsidRPr="003F23AC">
        <w:rPr>
          <w:noProof/>
          <w:lang w:val="sk-SK"/>
        </w:rPr>
        <w:t>odbornú prípravu prostredníctvom krátkodobej</w:t>
      </w:r>
      <w:r w:rsidR="00A75B3C" w:rsidRPr="003F23AC">
        <w:rPr>
          <w:noProof/>
          <w:lang w:val="sk-SK"/>
        </w:rPr>
        <w:t xml:space="preserve"> a </w:t>
      </w:r>
      <w:r w:rsidRPr="003F23AC">
        <w:rPr>
          <w:noProof/>
          <w:lang w:val="sk-SK"/>
        </w:rPr>
        <w:t>strednodobej odbornej prípravy</w:t>
      </w:r>
      <w:r w:rsidR="00A75B3C" w:rsidRPr="003F23AC">
        <w:rPr>
          <w:noProof/>
          <w:lang w:val="sk-SK"/>
        </w:rPr>
        <w:t xml:space="preserve"> a </w:t>
      </w:r>
      <w:r w:rsidRPr="003F23AC">
        <w:rPr>
          <w:noProof/>
          <w:lang w:val="sk-SK"/>
        </w:rPr>
        <w:t>mal by sa zameriavať na rozvoj ekologických zručností.</w:t>
      </w:r>
    </w:p>
    <w:p w14:paraId="0F35342D" w14:textId="32ACEDAC" w:rsidR="00A75B3C" w:rsidRPr="003F23AC" w:rsidRDefault="000F5AA4" w:rsidP="003F23AC">
      <w:pPr>
        <w:pStyle w:val="ListParagraph"/>
        <w:keepNext w:val="0"/>
        <w:numPr>
          <w:ilvl w:val="0"/>
          <w:numId w:val="88"/>
        </w:numPr>
        <w:spacing w:beforeLines="40" w:before="96" w:after="0" w:line="22" w:lineRule="atLeast"/>
        <w:rPr>
          <w:noProof/>
          <w:lang w:val="sk-SK"/>
        </w:rPr>
      </w:pPr>
      <w:r w:rsidRPr="003F23AC">
        <w:rPr>
          <w:noProof/>
          <w:lang w:val="sk-SK"/>
        </w:rPr>
        <w:t>Kurzy</w:t>
      </w:r>
      <w:r w:rsidR="00A75B3C" w:rsidRPr="003F23AC">
        <w:rPr>
          <w:noProof/>
          <w:lang w:val="sk-SK"/>
        </w:rPr>
        <w:t xml:space="preserve"> v </w:t>
      </w:r>
      <w:r w:rsidRPr="003F23AC">
        <w:rPr>
          <w:noProof/>
          <w:lang w:val="sk-SK"/>
        </w:rPr>
        <w:t>školiacom centre pre energetickú transformáciu: poskytovanie dlhodobej odbornej prípravy ďalších 12500 osôb</w:t>
      </w:r>
      <w:r w:rsidR="00A75B3C" w:rsidRPr="003F23AC">
        <w:rPr>
          <w:noProof/>
          <w:lang w:val="sk-SK"/>
        </w:rPr>
        <w:t xml:space="preserve"> v </w:t>
      </w:r>
      <w:r w:rsidRPr="003F23AC">
        <w:rPr>
          <w:noProof/>
          <w:lang w:val="sk-SK"/>
        </w:rPr>
        <w:t>oblastiach energetickej transformácie</w:t>
      </w:r>
      <w:r w:rsidR="00A75B3C" w:rsidRPr="003F23AC">
        <w:rPr>
          <w:noProof/>
          <w:lang w:val="sk-SK"/>
        </w:rPr>
        <w:t xml:space="preserve"> a </w:t>
      </w:r>
      <w:r w:rsidRPr="003F23AC">
        <w:rPr>
          <w:noProof/>
          <w:lang w:val="sk-SK"/>
        </w:rPr>
        <w:t>opatrení</w:t>
      </w:r>
      <w:r w:rsidR="00A75B3C" w:rsidRPr="003F23AC">
        <w:rPr>
          <w:noProof/>
          <w:lang w:val="sk-SK"/>
        </w:rPr>
        <w:t xml:space="preserve"> v </w:t>
      </w:r>
      <w:r w:rsidRPr="003F23AC">
        <w:rPr>
          <w:noProof/>
          <w:lang w:val="sk-SK"/>
        </w:rPr>
        <w:t>oblasti klímy vrátane energie</w:t>
      </w:r>
      <w:r w:rsidR="00A75B3C" w:rsidRPr="003F23AC">
        <w:rPr>
          <w:noProof/>
          <w:lang w:val="sk-SK"/>
        </w:rPr>
        <w:t xml:space="preserve"> z </w:t>
      </w:r>
      <w:r w:rsidRPr="003F23AC">
        <w:rPr>
          <w:noProof/>
          <w:lang w:val="sk-SK"/>
        </w:rPr>
        <w:t>obnoviteľných zdrojov, ekologického vodíka, syntetických nebiologických palív</w:t>
      </w:r>
      <w:r w:rsidR="00A75B3C" w:rsidRPr="003F23AC">
        <w:rPr>
          <w:noProof/>
          <w:lang w:val="sk-SK"/>
        </w:rPr>
        <w:t xml:space="preserve"> a </w:t>
      </w:r>
      <w:r w:rsidRPr="003F23AC">
        <w:rPr>
          <w:noProof/>
          <w:lang w:val="sk-SK"/>
        </w:rPr>
        <w:t>energetickej efektívnosti</w:t>
      </w:r>
      <w:r w:rsidR="00A75B3C" w:rsidRPr="003F23AC">
        <w:rPr>
          <w:noProof/>
          <w:lang w:val="sk-SK"/>
        </w:rPr>
        <w:t>.</w:t>
      </w:r>
    </w:p>
    <w:p w14:paraId="56AE0286" w14:textId="1A8652A1"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Okrem príjemcov</w:t>
      </w:r>
      <w:r w:rsidR="00A75B3C" w:rsidRPr="003F23AC">
        <w:rPr>
          <w:rFonts w:cs="Times New Roman"/>
          <w:noProof/>
          <w:lang w:val="sk-SK"/>
        </w:rPr>
        <w:t xml:space="preserve"> v </w:t>
      </w:r>
      <w:r w:rsidRPr="003F23AC">
        <w:rPr>
          <w:rFonts w:cs="Times New Roman"/>
          <w:noProof/>
          <w:lang w:val="sk-SK"/>
        </w:rPr>
        <w:t>rámci programu zelenej práce</w:t>
      </w:r>
      <w:r w:rsidR="00A75B3C" w:rsidRPr="003F23AC">
        <w:rPr>
          <w:rFonts w:cs="Times New Roman"/>
          <w:noProof/>
          <w:lang w:val="sk-SK"/>
        </w:rPr>
        <w:t xml:space="preserve"> a </w:t>
      </w:r>
      <w:r w:rsidRPr="003F23AC">
        <w:rPr>
          <w:rFonts w:cs="Times New Roman"/>
          <w:noProof/>
          <w:lang w:val="sk-SK"/>
        </w:rPr>
        <w:t>zručností sa uprednostnia príjemcovia, ktorí sú ochotní získať zručnosti označené za kľúčové pre realizáciu projektov</w:t>
      </w:r>
      <w:r w:rsidR="00A75B3C" w:rsidRPr="003F23AC">
        <w:rPr>
          <w:rFonts w:cs="Times New Roman"/>
          <w:noProof/>
          <w:lang w:val="sk-SK"/>
        </w:rPr>
        <w:t xml:space="preserve"> v </w:t>
      </w:r>
      <w:r w:rsidRPr="003F23AC">
        <w:rPr>
          <w:rFonts w:cs="Times New Roman"/>
          <w:noProof/>
          <w:lang w:val="sk-SK"/>
        </w:rPr>
        <w:t>oblasti obnoviteľných zdrojov energie (vrátane vodíka)</w:t>
      </w:r>
      <w:r w:rsidR="00A75B3C" w:rsidRPr="003F23AC">
        <w:rPr>
          <w:rFonts w:cs="Times New Roman"/>
          <w:noProof/>
          <w:lang w:val="sk-SK"/>
        </w:rPr>
        <w:t xml:space="preserve"> a </w:t>
      </w:r>
      <w:r w:rsidRPr="003F23AC">
        <w:rPr>
          <w:rFonts w:cs="Times New Roman"/>
          <w:noProof/>
          <w:lang w:val="sk-SK"/>
        </w:rPr>
        <w:t>energetickej efektívnosti</w:t>
      </w:r>
      <w:r w:rsidR="00A75B3C" w:rsidRPr="003F23AC">
        <w:rPr>
          <w:rFonts w:cs="Times New Roman"/>
          <w:noProof/>
          <w:lang w:val="sk-SK"/>
        </w:rPr>
        <w:t>.</w:t>
      </w:r>
    </w:p>
    <w:p w14:paraId="5F1A15C0" w14:textId="1534BBBB"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Spôsoby odbornej prípravy sa vypracujú podľa potrieb identifikovaných trhovými</w:t>
      </w:r>
      <w:r w:rsidR="00A75B3C" w:rsidRPr="003F23AC">
        <w:rPr>
          <w:rFonts w:cs="Times New Roman"/>
          <w:noProof/>
          <w:lang w:val="sk-SK"/>
        </w:rPr>
        <w:t xml:space="preserve"> a </w:t>
      </w:r>
      <w:r w:rsidRPr="003F23AC">
        <w:rPr>
          <w:rFonts w:cs="Times New Roman"/>
          <w:noProof/>
          <w:lang w:val="sk-SK"/>
        </w:rPr>
        <w:t>priemyselnými združeniami. Aktéri</w:t>
      </w:r>
      <w:r w:rsidR="00A75B3C" w:rsidRPr="003F23AC">
        <w:rPr>
          <w:rFonts w:cs="Times New Roman"/>
          <w:noProof/>
          <w:lang w:val="sk-SK"/>
        </w:rPr>
        <w:t xml:space="preserve"> v </w:t>
      </w:r>
      <w:r w:rsidRPr="003F23AC">
        <w:rPr>
          <w:rFonts w:cs="Times New Roman"/>
          <w:noProof/>
          <w:lang w:val="sk-SK"/>
        </w:rPr>
        <w:t>oblasti energie</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a </w:t>
      </w:r>
      <w:r w:rsidRPr="003F23AC">
        <w:rPr>
          <w:rFonts w:cs="Times New Roman"/>
          <w:noProof/>
          <w:lang w:val="sk-SK"/>
        </w:rPr>
        <w:t>energetickej efektívnosti určia, ktoré zručnosti sa považujú za kľúčové na základe dopytu na trhu práce. Obsah odbornej prípravy musí tieto potreby odrážať. Ponuku odbornej prípravy vypracuje stredisko odbornej prípravy pre energetickú transformáciu</w:t>
      </w:r>
      <w:r w:rsidR="00A75B3C" w:rsidRPr="003F23AC">
        <w:rPr>
          <w:rFonts w:cs="Times New Roman"/>
          <w:noProof/>
          <w:lang w:val="sk-SK"/>
        </w:rPr>
        <w:t>.</w:t>
      </w:r>
    </w:p>
    <w:p w14:paraId="43B17AA9" w14:textId="09B84659"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Implementácia tejto reformy sa dokončí do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52BA1BAC" w14:textId="06C160F6"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Reforma RP-C21-r46: Regulačný rámec pre obnoviteľný vodík</w:t>
      </w:r>
    </w:p>
    <w:p w14:paraId="48C489B3" w14:textId="215D0D15"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reformy je podporiť podporu vodíka</w:t>
      </w:r>
      <w:r w:rsidR="00A75B3C" w:rsidRPr="003F23AC">
        <w:rPr>
          <w:rFonts w:cs="Times New Roman"/>
          <w:noProof/>
          <w:lang w:val="sk-SK"/>
        </w:rPr>
        <w:t xml:space="preserve"> z </w:t>
      </w:r>
      <w:r w:rsidRPr="003F23AC">
        <w:rPr>
          <w:rFonts w:cs="Times New Roman"/>
          <w:noProof/>
          <w:lang w:val="sk-SK"/>
        </w:rPr>
        <w:t>obnoviteľných zdrojov ako súčasť komplexnejšej stratégie prechodu na dekarbonizované hospodárstvo. Cieľom tejto reformy je tiež vytvoriť podmienky na dekarbonizáciu siete zemného plynu</w:t>
      </w:r>
      <w:r w:rsidR="00A75B3C" w:rsidRPr="003F23AC">
        <w:rPr>
          <w:rFonts w:cs="Times New Roman"/>
          <w:noProof/>
          <w:lang w:val="sk-SK"/>
        </w:rPr>
        <w:t xml:space="preserve"> a </w:t>
      </w:r>
      <w:r w:rsidRPr="003F23AC">
        <w:rPr>
          <w:rFonts w:cs="Times New Roman"/>
          <w:noProof/>
          <w:lang w:val="sk-SK"/>
        </w:rPr>
        <w:t>pomôcť pri rozvoji hodnotového reťazca vodíka</w:t>
      </w:r>
      <w:r w:rsidR="00A75B3C" w:rsidRPr="003F23AC">
        <w:rPr>
          <w:rFonts w:cs="Times New Roman"/>
          <w:noProof/>
          <w:lang w:val="sk-SK"/>
        </w:rPr>
        <w:t xml:space="preserve"> z </w:t>
      </w:r>
      <w:r w:rsidRPr="003F23AC">
        <w:rPr>
          <w:rFonts w:cs="Times New Roman"/>
          <w:noProof/>
          <w:lang w:val="sk-SK"/>
        </w:rPr>
        <w:t>obnoviteľných zdrojov.</w:t>
      </w:r>
    </w:p>
    <w:p w14:paraId="53A5CE25" w14:textId="3E0E2D45"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Reforma pozostáva</w:t>
      </w:r>
      <w:r w:rsidR="00A75B3C" w:rsidRPr="003F23AC">
        <w:rPr>
          <w:rFonts w:cs="Times New Roman"/>
          <w:noProof/>
          <w:lang w:val="sk-SK"/>
        </w:rPr>
        <w:t xml:space="preserve"> z </w:t>
      </w:r>
      <w:r w:rsidRPr="003F23AC">
        <w:rPr>
          <w:rFonts w:cs="Times New Roman"/>
          <w:noProof/>
          <w:lang w:val="sk-SK"/>
        </w:rPr>
        <w:t>revízie nariadenia</w:t>
      </w:r>
      <w:r w:rsidR="00A75B3C" w:rsidRPr="003F23AC">
        <w:rPr>
          <w:rFonts w:cs="Times New Roman"/>
          <w:noProof/>
          <w:lang w:val="sk-SK"/>
        </w:rPr>
        <w:t xml:space="preserve"> o </w:t>
      </w:r>
      <w:r w:rsidRPr="003F23AC">
        <w:rPr>
          <w:rFonts w:cs="Times New Roman"/>
          <w:noProof/>
          <w:lang w:val="sk-SK"/>
        </w:rPr>
        <w:t>národnej prepravnej sieti plynu</w:t>
      </w:r>
      <w:r w:rsidR="00A75B3C" w:rsidRPr="003F23AC">
        <w:rPr>
          <w:rFonts w:cs="Times New Roman"/>
          <w:noProof/>
          <w:lang w:val="sk-SK"/>
        </w:rPr>
        <w:t xml:space="preserve"> a </w:t>
      </w:r>
      <w:r w:rsidRPr="003F23AC">
        <w:rPr>
          <w:rFonts w:cs="Times New Roman"/>
          <w:noProof/>
          <w:lang w:val="sk-SK"/>
        </w:rPr>
        <w:t>nariadenia</w:t>
      </w:r>
      <w:r w:rsidR="00A75B3C" w:rsidRPr="003F23AC">
        <w:rPr>
          <w:rFonts w:cs="Times New Roman"/>
          <w:noProof/>
          <w:lang w:val="sk-SK"/>
        </w:rPr>
        <w:t xml:space="preserve"> o </w:t>
      </w:r>
      <w:r w:rsidRPr="003F23AC">
        <w:rPr>
          <w:rFonts w:cs="Times New Roman"/>
          <w:noProof/>
          <w:lang w:val="sk-SK"/>
        </w:rPr>
        <w:t>národnej distribučnej sieti zemného plynu, ktoré má schváliť Generálne riaditeľstvo pre energetiku</w:t>
      </w:r>
      <w:r w:rsidR="00A75B3C" w:rsidRPr="003F23AC">
        <w:rPr>
          <w:rFonts w:cs="Times New Roman"/>
          <w:noProof/>
          <w:lang w:val="sk-SK"/>
        </w:rPr>
        <w:t xml:space="preserve"> a </w:t>
      </w:r>
      <w:r w:rsidRPr="003F23AC">
        <w:rPr>
          <w:rFonts w:cs="Times New Roman"/>
          <w:noProof/>
          <w:lang w:val="sk-SK"/>
        </w:rPr>
        <w:t xml:space="preserve">geológiu (konkrétne nariadenie </w:t>
      </w:r>
      <w:r w:rsidR="00A75B3C" w:rsidRPr="003F23AC">
        <w:rPr>
          <w:rFonts w:cs="Times New Roman"/>
          <w:noProof/>
          <w:lang w:val="sk-SK"/>
        </w:rPr>
        <w:t>č. </w:t>
      </w:r>
      <w:r w:rsidRPr="003F23AC">
        <w:rPr>
          <w:rFonts w:cs="Times New Roman"/>
          <w:noProof/>
          <w:lang w:val="sk-SK"/>
        </w:rPr>
        <w:t>806-B/2022</w:t>
      </w:r>
      <w:r w:rsidR="00A75B3C" w:rsidRPr="003F23AC">
        <w:rPr>
          <w:rFonts w:cs="Times New Roman"/>
          <w:noProof/>
          <w:lang w:val="sk-SK"/>
        </w:rPr>
        <w:t xml:space="preserve"> a </w:t>
      </w:r>
      <w:r w:rsidRPr="003F23AC">
        <w:rPr>
          <w:rFonts w:cs="Times New Roman"/>
          <w:noProof/>
          <w:lang w:val="sk-SK"/>
        </w:rPr>
        <w:t xml:space="preserve">nariadenie </w:t>
      </w:r>
      <w:r w:rsidR="00A75B3C" w:rsidRPr="003F23AC">
        <w:rPr>
          <w:rFonts w:cs="Times New Roman"/>
          <w:noProof/>
          <w:lang w:val="sk-SK"/>
        </w:rPr>
        <w:t>č. </w:t>
      </w:r>
      <w:r w:rsidRPr="003F23AC">
        <w:rPr>
          <w:rFonts w:cs="Times New Roman"/>
          <w:noProof/>
          <w:lang w:val="sk-SK"/>
        </w:rPr>
        <w:t>806-C/2022).</w:t>
      </w:r>
      <w:r w:rsidR="00A75B3C" w:rsidRPr="003F23AC">
        <w:rPr>
          <w:rFonts w:cs="Times New Roman"/>
          <w:noProof/>
          <w:lang w:val="sk-SK"/>
        </w:rPr>
        <w:t xml:space="preserve"> V </w:t>
      </w:r>
      <w:r w:rsidRPr="003F23AC">
        <w:rPr>
          <w:rFonts w:cs="Times New Roman"/>
          <w:noProof/>
          <w:lang w:val="sk-SK"/>
        </w:rPr>
        <w:t>dvoch zmenených nariadeniach sa stanovia technické kritériá</w:t>
      </w:r>
      <w:r w:rsidR="00A75B3C" w:rsidRPr="003F23AC">
        <w:rPr>
          <w:rFonts w:cs="Times New Roman"/>
          <w:noProof/>
          <w:lang w:val="sk-SK"/>
        </w:rPr>
        <w:t xml:space="preserve"> a </w:t>
      </w:r>
      <w:r w:rsidRPr="003F23AC">
        <w:rPr>
          <w:rFonts w:cs="Times New Roman"/>
          <w:noProof/>
          <w:lang w:val="sk-SK"/>
        </w:rPr>
        <w:t>prevádzkové aspekty výroby vodíka</w:t>
      </w:r>
      <w:r w:rsidR="00A75B3C" w:rsidRPr="003F23AC">
        <w:rPr>
          <w:rFonts w:cs="Times New Roman"/>
          <w:noProof/>
          <w:lang w:val="sk-SK"/>
        </w:rPr>
        <w:t xml:space="preserve"> z </w:t>
      </w:r>
      <w:r w:rsidRPr="003F23AC">
        <w:rPr>
          <w:rFonts w:cs="Times New Roman"/>
          <w:noProof/>
          <w:lang w:val="sk-SK"/>
        </w:rPr>
        <w:t>obnoviteľných zdrojov, certifikácie, prepravy, skladovania, predchádzania únikom</w:t>
      </w:r>
      <w:r w:rsidR="00A75B3C" w:rsidRPr="003F23AC">
        <w:rPr>
          <w:rFonts w:cs="Times New Roman"/>
          <w:noProof/>
          <w:lang w:val="sk-SK"/>
        </w:rPr>
        <w:t xml:space="preserve"> a </w:t>
      </w:r>
      <w:r w:rsidRPr="003F23AC">
        <w:rPr>
          <w:rFonts w:cs="Times New Roman"/>
          <w:noProof/>
          <w:lang w:val="sk-SK"/>
        </w:rPr>
        <w:t>prípadne vtláčania do plynárenskej siete, pričom sa</w:t>
      </w:r>
      <w:r w:rsidR="00A75B3C" w:rsidRPr="003F23AC">
        <w:rPr>
          <w:rFonts w:cs="Times New Roman"/>
          <w:noProof/>
          <w:lang w:val="sk-SK"/>
        </w:rPr>
        <w:t xml:space="preserve"> v </w:t>
      </w:r>
      <w:r w:rsidRPr="003F23AC">
        <w:rPr>
          <w:rFonts w:cs="Times New Roman"/>
          <w:noProof/>
          <w:lang w:val="sk-SK"/>
        </w:rPr>
        <w:t>nich vymedzí subjekt zodpovedný za riadenie vtláčania</w:t>
      </w:r>
      <w:r w:rsidR="00A75B3C" w:rsidRPr="003F23AC">
        <w:rPr>
          <w:rFonts w:cs="Times New Roman"/>
          <w:noProof/>
          <w:lang w:val="sk-SK"/>
        </w:rPr>
        <w:t xml:space="preserve"> a </w:t>
      </w:r>
      <w:r w:rsidRPr="003F23AC">
        <w:rPr>
          <w:rFonts w:cs="Times New Roman"/>
          <w:noProof/>
          <w:lang w:val="sk-SK"/>
        </w:rPr>
        <w:t>stanovia sa kritériá na neprekračovanie maximálnej povolenej koncentrácie vodíka</w:t>
      </w:r>
      <w:r w:rsidR="00A75B3C" w:rsidRPr="003F23AC">
        <w:rPr>
          <w:rFonts w:cs="Times New Roman"/>
          <w:noProof/>
          <w:lang w:val="sk-SK"/>
        </w:rPr>
        <w:t xml:space="preserve"> v </w:t>
      </w:r>
      <w:r w:rsidRPr="003F23AC">
        <w:rPr>
          <w:rFonts w:cs="Times New Roman"/>
          <w:noProof/>
          <w:lang w:val="sk-SK"/>
        </w:rPr>
        <w:t>plynárenskej sieti (v súlade</w:t>
      </w:r>
      <w:r w:rsidR="00A75B3C" w:rsidRPr="003F23AC">
        <w:rPr>
          <w:rFonts w:cs="Times New Roman"/>
          <w:noProof/>
          <w:lang w:val="sk-SK"/>
        </w:rPr>
        <w:t xml:space="preserve"> s </w:t>
      </w:r>
      <w:r w:rsidRPr="003F23AC">
        <w:rPr>
          <w:rFonts w:cs="Times New Roman"/>
          <w:noProof/>
          <w:lang w:val="sk-SK"/>
        </w:rPr>
        <w:t>revidovanou portugalskou národnou vodíkovou stratégiou). Vymedzia sa</w:t>
      </w:r>
      <w:r w:rsidR="00A75B3C" w:rsidRPr="003F23AC">
        <w:rPr>
          <w:rFonts w:cs="Times New Roman"/>
          <w:noProof/>
          <w:lang w:val="sk-SK"/>
        </w:rPr>
        <w:t xml:space="preserve"> v </w:t>
      </w:r>
      <w:r w:rsidRPr="003F23AC">
        <w:rPr>
          <w:rFonts w:cs="Times New Roman"/>
          <w:noProof/>
          <w:lang w:val="sk-SK"/>
        </w:rPr>
        <w:t>nich aj koncoví používatelia vodíka</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vodíkovej stratégiou EÚ so zameraním na ťažko dekarbonizovateľné aplikácie</w:t>
      </w:r>
      <w:r w:rsidR="00A75B3C" w:rsidRPr="003F23AC">
        <w:rPr>
          <w:rFonts w:cs="Times New Roman"/>
          <w:noProof/>
          <w:lang w:val="sk-SK"/>
        </w:rPr>
        <w:t xml:space="preserve"> v </w:t>
      </w:r>
      <w:r w:rsidRPr="003F23AC">
        <w:rPr>
          <w:rFonts w:cs="Times New Roman"/>
          <w:noProof/>
          <w:lang w:val="sk-SK"/>
        </w:rPr>
        <w:t>priemysle</w:t>
      </w:r>
      <w:r w:rsidR="00A75B3C" w:rsidRPr="003F23AC">
        <w:rPr>
          <w:rFonts w:cs="Times New Roman"/>
          <w:noProof/>
          <w:lang w:val="sk-SK"/>
        </w:rPr>
        <w:t xml:space="preserve"> a </w:t>
      </w:r>
      <w:r w:rsidRPr="003F23AC">
        <w:rPr>
          <w:rFonts w:cs="Times New Roman"/>
          <w:noProof/>
          <w:lang w:val="sk-SK"/>
        </w:rPr>
        <w:t>odvetví dopravy</w:t>
      </w:r>
      <w:r w:rsidR="00A75B3C" w:rsidRPr="003F23AC">
        <w:rPr>
          <w:rFonts w:cs="Times New Roman"/>
          <w:noProof/>
          <w:lang w:val="sk-SK"/>
        </w:rPr>
        <w:t xml:space="preserve"> a </w:t>
      </w:r>
      <w:r w:rsidRPr="003F23AC">
        <w:rPr>
          <w:rFonts w:cs="Times New Roman"/>
          <w:noProof/>
          <w:lang w:val="sk-SK"/>
        </w:rPr>
        <w:t>pravidlá na zabezpečenie transparentnosti, pokiaľ ide</w:t>
      </w:r>
      <w:r w:rsidR="00A75B3C" w:rsidRPr="003F23AC">
        <w:rPr>
          <w:rFonts w:cs="Times New Roman"/>
          <w:noProof/>
          <w:lang w:val="sk-SK"/>
        </w:rPr>
        <w:t xml:space="preserve"> o </w:t>
      </w:r>
      <w:r w:rsidRPr="003F23AC">
        <w:rPr>
          <w:rFonts w:cs="Times New Roman"/>
          <w:noProof/>
          <w:lang w:val="sk-SK"/>
        </w:rPr>
        <w:t>vyúčtovací systém, vykurovací výkon</w:t>
      </w:r>
      <w:r w:rsidR="00A75B3C" w:rsidRPr="003F23AC">
        <w:rPr>
          <w:rFonts w:cs="Times New Roman"/>
          <w:noProof/>
          <w:lang w:val="sk-SK"/>
        </w:rPr>
        <w:t xml:space="preserve"> a </w:t>
      </w:r>
      <w:r w:rsidRPr="003F23AC">
        <w:rPr>
          <w:rFonts w:cs="Times New Roman"/>
          <w:noProof/>
          <w:lang w:val="sk-SK"/>
        </w:rPr>
        <w:t>kvalitu plynu [ako je hrubá kalóriová hodnota (GCV), Wobbeov index (ukazovateľ kvality spaľovania)</w:t>
      </w:r>
      <w:r w:rsidR="00A75B3C" w:rsidRPr="003F23AC">
        <w:rPr>
          <w:rFonts w:cs="Times New Roman"/>
          <w:noProof/>
          <w:lang w:val="sk-SK"/>
        </w:rPr>
        <w:t xml:space="preserve"> a </w:t>
      </w:r>
      <w:r w:rsidRPr="003F23AC">
        <w:rPr>
          <w:rFonts w:cs="Times New Roman"/>
          <w:noProof/>
          <w:lang w:val="sk-SK"/>
        </w:rPr>
        <w:t>prítomnosť ďalších komponentov (ako sú CO2, uhľovodíky, H2O, síra atď.)]</w:t>
      </w:r>
      <w:r w:rsidR="00A75B3C" w:rsidRPr="003F23AC">
        <w:rPr>
          <w:rFonts w:cs="Times New Roman"/>
          <w:noProof/>
          <w:lang w:val="sk-SK"/>
        </w:rPr>
        <w:t>.</w:t>
      </w:r>
    </w:p>
    <w:p w14:paraId="4CFED58E" w14:textId="437E15C6"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Okrem toho sa</w:t>
      </w:r>
      <w:r w:rsidR="00A75B3C" w:rsidRPr="003F23AC">
        <w:rPr>
          <w:rFonts w:cs="Times New Roman"/>
          <w:noProof/>
          <w:lang w:val="sk-SK"/>
        </w:rPr>
        <w:t xml:space="preserve"> v </w:t>
      </w:r>
      <w:r w:rsidRPr="003F23AC">
        <w:rPr>
          <w:rFonts w:cs="Times New Roman"/>
          <w:noProof/>
          <w:lang w:val="sk-SK"/>
        </w:rPr>
        <w:t>úradnom vestníku – Diário da República uverejní administratívny alebo právny akt,</w:t>
      </w:r>
      <w:r w:rsidR="00A75B3C" w:rsidRPr="003F23AC">
        <w:rPr>
          <w:rFonts w:cs="Times New Roman"/>
          <w:noProof/>
          <w:lang w:val="sk-SK"/>
        </w:rPr>
        <w:t xml:space="preserve"> v </w:t>
      </w:r>
      <w:r w:rsidRPr="003F23AC">
        <w:rPr>
          <w:rFonts w:cs="Times New Roman"/>
          <w:noProof/>
          <w:lang w:val="sk-SK"/>
        </w:rPr>
        <w:t>ktorom sa stanoví, že za zariadenia na výrobu vodíka</w:t>
      </w:r>
      <w:r w:rsidR="00A75B3C" w:rsidRPr="003F23AC">
        <w:rPr>
          <w:rFonts w:cs="Times New Roman"/>
          <w:noProof/>
          <w:lang w:val="sk-SK"/>
        </w:rPr>
        <w:t xml:space="preserve"> z </w:t>
      </w:r>
      <w:r w:rsidRPr="003F23AC">
        <w:rPr>
          <w:rFonts w:cs="Times New Roman"/>
          <w:noProof/>
          <w:lang w:val="sk-SK"/>
        </w:rPr>
        <w:t>obnoviteľných zdrojov sa považujú len priemyselné jednotky, ktoré spĺňajú požiadavky smernice</w:t>
      </w:r>
      <w:r w:rsidR="00A75B3C" w:rsidRPr="003F23AC">
        <w:rPr>
          <w:rFonts w:cs="Times New Roman"/>
          <w:noProof/>
          <w:lang w:val="sk-SK"/>
        </w:rPr>
        <w:t xml:space="preserve"> o </w:t>
      </w:r>
      <w:r w:rsidRPr="003F23AC">
        <w:rPr>
          <w:rFonts w:cs="Times New Roman"/>
          <w:noProof/>
          <w:lang w:val="sk-SK"/>
        </w:rPr>
        <w:t>obnoviteľných zdrojoch energie</w:t>
      </w:r>
      <w:r w:rsidR="00A75B3C" w:rsidRPr="003F23AC">
        <w:rPr>
          <w:rFonts w:cs="Times New Roman"/>
          <w:noProof/>
          <w:lang w:val="sk-SK"/>
        </w:rPr>
        <w:t xml:space="preserve"> a </w:t>
      </w:r>
      <w:r w:rsidRPr="003F23AC">
        <w:rPr>
          <w:rFonts w:cs="Times New Roman"/>
          <w:noProof/>
          <w:lang w:val="sk-SK"/>
        </w:rPr>
        <w:t>jej delegovaných aktov (2018/2001/EÚ).</w:t>
      </w:r>
      <w:r w:rsidR="00A75B3C" w:rsidRPr="003F23AC">
        <w:rPr>
          <w:rFonts w:cs="Times New Roman"/>
          <w:noProof/>
          <w:lang w:val="sk-SK"/>
        </w:rPr>
        <w:t xml:space="preserve"> V </w:t>
      </w:r>
      <w:r w:rsidRPr="003F23AC">
        <w:rPr>
          <w:rFonts w:cs="Times New Roman"/>
          <w:noProof/>
          <w:lang w:val="sk-SK"/>
        </w:rPr>
        <w:t>akte sa stanoví aj postup, ktorý majú dodržiavať žiadatelia</w:t>
      </w:r>
      <w:r w:rsidR="00A75B3C" w:rsidRPr="003F23AC">
        <w:rPr>
          <w:rFonts w:cs="Times New Roman"/>
          <w:noProof/>
          <w:lang w:val="sk-SK"/>
        </w:rPr>
        <w:t xml:space="preserve"> o </w:t>
      </w:r>
      <w:r w:rsidRPr="003F23AC">
        <w:rPr>
          <w:rFonts w:cs="Times New Roman"/>
          <w:noProof/>
          <w:lang w:val="sk-SK"/>
        </w:rPr>
        <w:t>licencie na výrobu plynov obnoviteľného pôvodu, pričom sa od žiadateľov</w:t>
      </w:r>
      <w:r w:rsidR="00A75B3C" w:rsidRPr="003F23AC">
        <w:rPr>
          <w:rFonts w:cs="Times New Roman"/>
          <w:noProof/>
          <w:lang w:val="sk-SK"/>
        </w:rPr>
        <w:t xml:space="preserve"> o </w:t>
      </w:r>
      <w:r w:rsidRPr="003F23AC">
        <w:rPr>
          <w:rFonts w:cs="Times New Roman"/>
          <w:noProof/>
          <w:lang w:val="sk-SK"/>
        </w:rPr>
        <w:t>povolenie vyžaduje, aby predložili vyhlásenie</w:t>
      </w:r>
      <w:r w:rsidR="00A75B3C" w:rsidRPr="003F23AC">
        <w:rPr>
          <w:rFonts w:cs="Times New Roman"/>
          <w:noProof/>
          <w:lang w:val="sk-SK"/>
        </w:rPr>
        <w:t xml:space="preserve"> s </w:t>
      </w:r>
      <w:r w:rsidRPr="003F23AC">
        <w:rPr>
          <w:rFonts w:cs="Times New Roman"/>
          <w:noProof/>
          <w:lang w:val="sk-SK"/>
        </w:rPr>
        <w:t>cieľom prijať záväzok splniť požiadavky na využívanie energie</w:t>
      </w:r>
      <w:r w:rsidR="00A75B3C" w:rsidRPr="003F23AC">
        <w:rPr>
          <w:rFonts w:cs="Times New Roman"/>
          <w:noProof/>
          <w:lang w:val="sk-SK"/>
        </w:rPr>
        <w:t xml:space="preserve"> z </w:t>
      </w:r>
      <w:r w:rsidRPr="003F23AC">
        <w:rPr>
          <w:rFonts w:cs="Times New Roman"/>
          <w:noProof/>
          <w:lang w:val="sk-SK"/>
        </w:rPr>
        <w:t>obnoviteľných zdrojov stanovené</w:t>
      </w:r>
      <w:r w:rsidR="00A75B3C" w:rsidRPr="003F23AC">
        <w:rPr>
          <w:rFonts w:cs="Times New Roman"/>
          <w:noProof/>
          <w:lang w:val="sk-SK"/>
        </w:rPr>
        <w:t xml:space="preserve"> v </w:t>
      </w:r>
      <w:r w:rsidRPr="003F23AC">
        <w:rPr>
          <w:rFonts w:cs="Times New Roman"/>
          <w:noProof/>
          <w:lang w:val="sk-SK"/>
        </w:rPr>
        <w:t>smernici</w:t>
      </w:r>
      <w:r w:rsidR="00A75B3C" w:rsidRPr="003F23AC">
        <w:rPr>
          <w:rFonts w:cs="Times New Roman"/>
          <w:noProof/>
          <w:lang w:val="sk-SK"/>
        </w:rPr>
        <w:t xml:space="preserve"> o </w:t>
      </w:r>
      <w:r w:rsidRPr="003F23AC">
        <w:rPr>
          <w:rFonts w:cs="Times New Roman"/>
          <w:noProof/>
          <w:lang w:val="sk-SK"/>
        </w:rPr>
        <w:t>obnoviteľných zdrojoch energie</w:t>
      </w:r>
      <w:r w:rsidR="00A75B3C" w:rsidRPr="003F23AC">
        <w:rPr>
          <w:rFonts w:cs="Times New Roman"/>
          <w:noProof/>
          <w:lang w:val="sk-SK"/>
        </w:rPr>
        <w:t xml:space="preserve"> a </w:t>
      </w:r>
      <w:r w:rsidRPr="003F23AC">
        <w:rPr>
          <w:rFonts w:cs="Times New Roman"/>
          <w:noProof/>
          <w:lang w:val="sk-SK"/>
        </w:rPr>
        <w:t>jej delegovaných aktoch (2018/2001/EÚ)</w:t>
      </w:r>
      <w:r w:rsidR="00A75B3C" w:rsidRPr="003F23AC">
        <w:rPr>
          <w:rFonts w:cs="Times New Roman"/>
          <w:noProof/>
          <w:lang w:val="sk-SK"/>
        </w:rPr>
        <w:t xml:space="preserve"> a </w:t>
      </w:r>
      <w:r w:rsidRPr="003F23AC">
        <w:rPr>
          <w:rFonts w:cs="Times New Roman"/>
          <w:noProof/>
          <w:lang w:val="sk-SK"/>
        </w:rPr>
        <w:t>zabezpečiť obnoviteľný pôvod vyrobeného vodíka.</w:t>
      </w:r>
    </w:p>
    <w:p w14:paraId="67538798" w14:textId="068F941D"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V uvedenom správnom alebo právnom akte sa takisto vyžaduje, aby žiadateľ pred začatím výroby obnoviteľného vodíka na získanie „povolenia na inštaláciu</w:t>
      </w:r>
      <w:r w:rsidR="00A75B3C" w:rsidRPr="003F23AC">
        <w:rPr>
          <w:rFonts w:cs="Times New Roman"/>
          <w:noProof/>
          <w:lang w:val="sk-SK"/>
        </w:rPr>
        <w:t xml:space="preserve"> a </w:t>
      </w:r>
      <w:r w:rsidRPr="003F23AC">
        <w:rPr>
          <w:rFonts w:cs="Times New Roman"/>
          <w:noProof/>
          <w:lang w:val="sk-SK"/>
        </w:rPr>
        <w:t>prevádzku priemyselného zariadenia“</w:t>
      </w:r>
      <w:r w:rsidR="00A75B3C" w:rsidRPr="003F23AC">
        <w:rPr>
          <w:rFonts w:cs="Times New Roman"/>
          <w:noProof/>
          <w:lang w:val="sk-SK"/>
        </w:rPr>
        <w:t xml:space="preserve"> v </w:t>
      </w:r>
      <w:r w:rsidRPr="003F23AC">
        <w:rPr>
          <w:rFonts w:cs="Times New Roman"/>
          <w:noProof/>
          <w:lang w:val="sk-SK"/>
        </w:rPr>
        <w:t>prípade potreby predložil konečnú zmluvu</w:t>
      </w:r>
      <w:r w:rsidR="00A75B3C" w:rsidRPr="003F23AC">
        <w:rPr>
          <w:rFonts w:cs="Times New Roman"/>
          <w:noProof/>
          <w:lang w:val="sk-SK"/>
        </w:rPr>
        <w:t xml:space="preserve"> o </w:t>
      </w:r>
      <w:r w:rsidRPr="003F23AC">
        <w:rPr>
          <w:rFonts w:cs="Times New Roman"/>
          <w:noProof/>
          <w:lang w:val="sk-SK"/>
        </w:rPr>
        <w:t>nákupe energie</w:t>
      </w:r>
      <w:r w:rsidR="00A75B3C" w:rsidRPr="003F23AC">
        <w:rPr>
          <w:rFonts w:cs="Times New Roman"/>
          <w:noProof/>
          <w:lang w:val="sk-SK"/>
        </w:rPr>
        <w:t xml:space="preserve"> z </w:t>
      </w:r>
      <w:r w:rsidRPr="003F23AC">
        <w:rPr>
          <w:rFonts w:cs="Times New Roman"/>
          <w:noProof/>
          <w:lang w:val="sk-SK"/>
        </w:rPr>
        <w:t>obnoviteľných zdrojov, ktorú spotrebuje vo výrobnom procese, ako aj informácie potrebné na preukázanie toho, že záväzky uvedené vo vyhlásení boli splnené.</w:t>
      </w:r>
    </w:p>
    <w:p w14:paraId="0A85B859" w14:textId="20C3B8E1"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reformy sa dokončí do 30</w:t>
      </w:r>
      <w:r w:rsidR="00A75B3C" w:rsidRPr="003F23AC">
        <w:rPr>
          <w:rFonts w:cs="Times New Roman"/>
          <w:noProof/>
          <w:lang w:val="sk-SK"/>
        </w:rPr>
        <w:t>. júna</w:t>
      </w:r>
      <w:r w:rsidRPr="003F23AC">
        <w:rPr>
          <w:rFonts w:cs="Times New Roman"/>
          <w:noProof/>
          <w:lang w:val="sk-SK"/>
        </w:rPr>
        <w:t xml:space="preserve"> 2024.</w:t>
      </w:r>
    </w:p>
    <w:p w14:paraId="6FC4D499" w14:textId="0CFCDE22"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bookmarkStart w:id="41" w:name="bookmark30"/>
      <w:r w:rsidRPr="003F23AC">
        <w:rPr>
          <w:rFonts w:cs="Times New Roman"/>
          <w:noProof/>
          <w:lang w:val="sk-SK"/>
        </w:rPr>
        <w:t>Reforma RP-C21-r47: Prvá aukcia akčného plánu pre udržateľný biometán</w:t>
      </w:r>
      <w:bookmarkEnd w:id="41"/>
      <w:r w:rsidR="00A75B3C" w:rsidRPr="003F23AC">
        <w:rPr>
          <w:rFonts w:cs="Times New Roman"/>
          <w:noProof/>
          <w:lang w:val="sk-SK"/>
        </w:rPr>
        <w:t xml:space="preserve"> a </w:t>
      </w:r>
      <w:r w:rsidRPr="003F23AC">
        <w:rPr>
          <w:rFonts w:cs="Times New Roman"/>
          <w:noProof/>
          <w:lang w:val="sk-SK"/>
        </w:rPr>
        <w:t>biometán</w:t>
      </w:r>
    </w:p>
    <w:p w14:paraId="73E68C61" w14:textId="0C2D786A"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reformy je podporiť</w:t>
      </w:r>
      <w:r w:rsidR="00A75B3C" w:rsidRPr="003F23AC">
        <w:rPr>
          <w:rFonts w:cs="Times New Roman"/>
          <w:noProof/>
          <w:lang w:val="sk-SK"/>
        </w:rPr>
        <w:t xml:space="preserve"> a </w:t>
      </w:r>
      <w:r w:rsidRPr="003F23AC">
        <w:rPr>
          <w:rFonts w:cs="Times New Roman"/>
          <w:noProof/>
          <w:lang w:val="sk-SK"/>
        </w:rPr>
        <w:t>zvýšiť výrobu</w:t>
      </w:r>
      <w:r w:rsidR="00A75B3C" w:rsidRPr="003F23AC">
        <w:rPr>
          <w:rFonts w:cs="Times New Roman"/>
          <w:noProof/>
          <w:lang w:val="sk-SK"/>
        </w:rPr>
        <w:t xml:space="preserve"> a </w:t>
      </w:r>
      <w:r w:rsidRPr="003F23AC">
        <w:rPr>
          <w:rFonts w:cs="Times New Roman"/>
          <w:noProof/>
          <w:lang w:val="sk-SK"/>
        </w:rPr>
        <w:t>spotrebu udržateľného biometánu, čím sa vytvoria potrebné podmienky na rozvoj biometánového hospodárstva</w:t>
      </w:r>
      <w:r w:rsidR="00A75B3C" w:rsidRPr="003F23AC">
        <w:rPr>
          <w:rFonts w:cs="Times New Roman"/>
          <w:noProof/>
          <w:lang w:val="sk-SK"/>
        </w:rPr>
        <w:t xml:space="preserve"> v </w:t>
      </w:r>
      <w:r w:rsidRPr="003F23AC">
        <w:rPr>
          <w:rFonts w:cs="Times New Roman"/>
          <w:noProof/>
          <w:lang w:val="sk-SK"/>
        </w:rPr>
        <w:t>Portugalsku</w:t>
      </w:r>
      <w:r w:rsidR="00A75B3C" w:rsidRPr="003F23AC">
        <w:rPr>
          <w:rFonts w:cs="Times New Roman"/>
          <w:noProof/>
          <w:lang w:val="sk-SK"/>
        </w:rPr>
        <w:t>.</w:t>
      </w:r>
    </w:p>
    <w:p w14:paraId="06444E15" w14:textId="2458FA83"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Reforma zahŕňa začatie prvej aukcie na centralizovaný nákup udržateľného biometánu zo strany veľkoobchodníka</w:t>
      </w:r>
      <w:r w:rsidR="00A75B3C" w:rsidRPr="003F23AC">
        <w:rPr>
          <w:rFonts w:cs="Times New Roman"/>
          <w:noProof/>
          <w:lang w:val="sk-SK"/>
        </w:rPr>
        <w:t xml:space="preserve"> s </w:t>
      </w:r>
      <w:r w:rsidRPr="003F23AC">
        <w:rPr>
          <w:rFonts w:cs="Times New Roman"/>
          <w:noProof/>
          <w:lang w:val="sk-SK"/>
        </w:rPr>
        <w:t>najnižšou návratnosťou (CURg)</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 xml:space="preserve">nariadením vlády </w:t>
      </w:r>
      <w:r w:rsidR="00A75B3C" w:rsidRPr="003F23AC">
        <w:rPr>
          <w:rFonts w:cs="Times New Roman"/>
          <w:noProof/>
          <w:lang w:val="sk-SK"/>
        </w:rPr>
        <w:t>č. </w:t>
      </w:r>
      <w:r w:rsidRPr="003F23AC">
        <w:rPr>
          <w:rFonts w:cs="Times New Roman"/>
          <w:noProof/>
          <w:lang w:val="sk-SK"/>
        </w:rPr>
        <w:t>15/2023 zo 4</w:t>
      </w:r>
      <w:r w:rsidR="00A75B3C" w:rsidRPr="003F23AC">
        <w:rPr>
          <w:rFonts w:cs="Times New Roman"/>
          <w:noProof/>
          <w:lang w:val="sk-SK"/>
        </w:rPr>
        <w:t>. januára</w:t>
      </w:r>
      <w:r w:rsidRPr="003F23AC">
        <w:rPr>
          <w:rFonts w:cs="Times New Roman"/>
          <w:noProof/>
          <w:lang w:val="sk-SK"/>
        </w:rPr>
        <w:t>. Cieľom aukcie je nákup 150 GWh/rok biometánu na vtlačenie do vnútroštátnej plynárenskej siete. Reforma zahŕňa aj prijatie akčného plánu pre biometán,</w:t>
      </w:r>
      <w:r w:rsidR="00A75B3C" w:rsidRPr="003F23AC">
        <w:rPr>
          <w:rFonts w:cs="Times New Roman"/>
          <w:noProof/>
          <w:lang w:val="sk-SK"/>
        </w:rPr>
        <w:t xml:space="preserve"> v </w:t>
      </w:r>
      <w:r w:rsidRPr="003F23AC">
        <w:rPr>
          <w:rFonts w:cs="Times New Roman"/>
          <w:noProof/>
          <w:lang w:val="sk-SK"/>
        </w:rPr>
        <w:t>ktorom sa stanoví stratégia rozvoja biometánu</w:t>
      </w:r>
      <w:r w:rsidR="00A75B3C" w:rsidRPr="003F23AC">
        <w:rPr>
          <w:rFonts w:cs="Times New Roman"/>
          <w:noProof/>
          <w:lang w:val="sk-SK"/>
        </w:rPr>
        <w:t xml:space="preserve"> v </w:t>
      </w:r>
      <w:r w:rsidRPr="003F23AC">
        <w:rPr>
          <w:rFonts w:cs="Times New Roman"/>
          <w:noProof/>
          <w:lang w:val="sk-SK"/>
        </w:rPr>
        <w:t>Portugalsku.</w:t>
      </w:r>
      <w:r w:rsidR="00A75B3C" w:rsidRPr="003F23AC">
        <w:rPr>
          <w:rFonts w:cs="Times New Roman"/>
          <w:noProof/>
          <w:lang w:val="sk-SK"/>
        </w:rPr>
        <w:t xml:space="preserve"> V </w:t>
      </w:r>
      <w:r w:rsidRPr="003F23AC">
        <w:rPr>
          <w:rFonts w:cs="Times New Roman"/>
          <w:noProof/>
          <w:lang w:val="sk-SK"/>
        </w:rPr>
        <w:t>akčnom pláne sa navrhujú opatrenia na zabezpečenie priaznivého regulačného rámca</w:t>
      </w:r>
      <w:r w:rsidR="00A75B3C" w:rsidRPr="003F23AC">
        <w:rPr>
          <w:rFonts w:cs="Times New Roman"/>
          <w:noProof/>
          <w:lang w:val="sk-SK"/>
        </w:rPr>
        <w:t xml:space="preserve"> v </w:t>
      </w:r>
      <w:r w:rsidRPr="003F23AC">
        <w:rPr>
          <w:rFonts w:cs="Times New Roman"/>
          <w:noProof/>
          <w:lang w:val="sk-SK"/>
        </w:rPr>
        <w:t>spojení so súborom verejných politík, ktoré podporujú vytvorenie vnútorného trhu</w:t>
      </w:r>
      <w:r w:rsidR="00A75B3C" w:rsidRPr="003F23AC">
        <w:rPr>
          <w:rFonts w:cs="Times New Roman"/>
          <w:noProof/>
          <w:lang w:val="sk-SK"/>
        </w:rPr>
        <w:t xml:space="preserve"> s </w:t>
      </w:r>
      <w:r w:rsidRPr="003F23AC">
        <w:rPr>
          <w:rFonts w:cs="Times New Roman"/>
          <w:noProof/>
          <w:lang w:val="sk-SK"/>
        </w:rPr>
        <w:t>biometánom,</w:t>
      </w:r>
      <w:r w:rsidR="00A75B3C" w:rsidRPr="003F23AC">
        <w:rPr>
          <w:rFonts w:cs="Times New Roman"/>
          <w:noProof/>
          <w:lang w:val="sk-SK"/>
        </w:rPr>
        <w:t xml:space="preserve"> a </w:t>
      </w:r>
      <w:r w:rsidRPr="003F23AC">
        <w:rPr>
          <w:rFonts w:cs="Times New Roman"/>
          <w:noProof/>
          <w:lang w:val="sk-SK"/>
        </w:rPr>
        <w:t>to na podporu výroby aj spotreby.</w:t>
      </w:r>
    </w:p>
    <w:p w14:paraId="05743F4B" w14:textId="6DF51663"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Implementácia reformy sa dokončí do 31</w:t>
      </w:r>
      <w:r w:rsidR="00A75B3C" w:rsidRPr="003F23AC">
        <w:rPr>
          <w:rFonts w:cs="Times New Roman"/>
          <w:noProof/>
          <w:lang w:val="sk-SK"/>
        </w:rPr>
        <w:t>. marca</w:t>
      </w:r>
      <w:r w:rsidRPr="003F23AC">
        <w:rPr>
          <w:rFonts w:cs="Times New Roman"/>
          <w:noProof/>
          <w:lang w:val="sk-SK"/>
        </w:rPr>
        <w:t xml:space="preserve"> 2024.</w:t>
      </w:r>
    </w:p>
    <w:p w14:paraId="69A70CF0" w14:textId="443B9095"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Reforma RP-C21-r48: Zjednodušenie právneho</w:t>
      </w:r>
      <w:r w:rsidR="00A75B3C" w:rsidRPr="003F23AC">
        <w:rPr>
          <w:rFonts w:cs="Times New Roman"/>
          <w:noProof/>
          <w:lang w:val="sk-SK"/>
        </w:rPr>
        <w:t xml:space="preserve"> a </w:t>
      </w:r>
      <w:r w:rsidRPr="003F23AC">
        <w:rPr>
          <w:rFonts w:cs="Times New Roman"/>
          <w:noProof/>
          <w:lang w:val="sk-SK"/>
        </w:rPr>
        <w:t>regulačného rámca uplatniteľného na projekty</w:t>
      </w:r>
      <w:r w:rsidR="00A75B3C" w:rsidRPr="003F23AC">
        <w:rPr>
          <w:rFonts w:cs="Times New Roman"/>
          <w:noProof/>
          <w:lang w:val="sk-SK"/>
        </w:rPr>
        <w:t xml:space="preserve"> v </w:t>
      </w:r>
      <w:r w:rsidRPr="003F23AC">
        <w:rPr>
          <w:rFonts w:cs="Times New Roman"/>
          <w:noProof/>
          <w:lang w:val="sk-SK"/>
        </w:rPr>
        <w:t>oblasti energie</w:t>
      </w:r>
      <w:r w:rsidR="00A75B3C" w:rsidRPr="003F23AC">
        <w:rPr>
          <w:rFonts w:cs="Times New Roman"/>
          <w:noProof/>
          <w:lang w:val="sk-SK"/>
        </w:rPr>
        <w:t xml:space="preserve"> z </w:t>
      </w:r>
      <w:r w:rsidRPr="003F23AC">
        <w:rPr>
          <w:rFonts w:cs="Times New Roman"/>
          <w:noProof/>
          <w:lang w:val="sk-SK"/>
        </w:rPr>
        <w:t>obnoviteľných zdrojov</w:t>
      </w:r>
    </w:p>
    <w:p w14:paraId="2FACE1A6" w14:textId="06619000" w:rsidR="00A75B3C" w:rsidRPr="008E475E" w:rsidRDefault="000F5AA4" w:rsidP="003F23AC">
      <w:pPr>
        <w:pStyle w:val="P68B1DB1-Bodytext2020"/>
        <w:spacing w:before="40" w:after="0" w:line="259" w:lineRule="auto"/>
        <w:ind w:firstLine="0"/>
        <w:jc w:val="both"/>
        <w:rPr>
          <w:rFonts w:cs="Times New Roman"/>
          <w:noProof/>
          <w:spacing w:val="-4"/>
          <w:lang w:val="sk-SK"/>
        </w:rPr>
      </w:pPr>
      <w:r w:rsidRPr="008E475E">
        <w:rPr>
          <w:rFonts w:cs="Times New Roman"/>
          <w:noProof/>
          <w:spacing w:val="-4"/>
          <w:lang w:val="sk-SK"/>
        </w:rPr>
        <w:t>Cieľom tejto reformy je podporovať projekty</w:t>
      </w:r>
      <w:r w:rsidR="00A75B3C" w:rsidRPr="008E475E">
        <w:rPr>
          <w:rFonts w:cs="Times New Roman"/>
          <w:noProof/>
          <w:spacing w:val="-4"/>
          <w:lang w:val="sk-SK"/>
        </w:rPr>
        <w:t xml:space="preserve"> v </w:t>
      </w:r>
      <w:r w:rsidRPr="008E475E">
        <w:rPr>
          <w:rFonts w:cs="Times New Roman"/>
          <w:noProof/>
          <w:spacing w:val="-4"/>
          <w:lang w:val="sk-SK"/>
        </w:rPr>
        <w:t>oblasti energie</w:t>
      </w:r>
      <w:r w:rsidR="00A75B3C" w:rsidRPr="008E475E">
        <w:rPr>
          <w:rFonts w:cs="Times New Roman"/>
          <w:noProof/>
          <w:spacing w:val="-4"/>
          <w:lang w:val="sk-SK"/>
        </w:rPr>
        <w:t xml:space="preserve"> z </w:t>
      </w:r>
      <w:r w:rsidRPr="008E475E">
        <w:rPr>
          <w:rFonts w:cs="Times New Roman"/>
          <w:noProof/>
          <w:spacing w:val="-4"/>
          <w:lang w:val="sk-SK"/>
        </w:rPr>
        <w:t>obnoviteľných zdrojov zjednodušením právneho</w:t>
      </w:r>
      <w:r w:rsidR="00A75B3C" w:rsidRPr="008E475E">
        <w:rPr>
          <w:rFonts w:cs="Times New Roman"/>
          <w:noProof/>
          <w:spacing w:val="-4"/>
          <w:lang w:val="sk-SK"/>
        </w:rPr>
        <w:t xml:space="preserve"> a </w:t>
      </w:r>
      <w:r w:rsidRPr="008E475E">
        <w:rPr>
          <w:rFonts w:cs="Times New Roman"/>
          <w:noProof/>
          <w:spacing w:val="-4"/>
          <w:lang w:val="sk-SK"/>
        </w:rPr>
        <w:t>regulačného rámca týkajúceho sa povoľovania energie</w:t>
      </w:r>
      <w:r w:rsidR="00A75B3C" w:rsidRPr="008E475E">
        <w:rPr>
          <w:rFonts w:cs="Times New Roman"/>
          <w:noProof/>
          <w:spacing w:val="-4"/>
          <w:lang w:val="sk-SK"/>
        </w:rPr>
        <w:t xml:space="preserve"> z </w:t>
      </w:r>
      <w:r w:rsidRPr="008E475E">
        <w:rPr>
          <w:rFonts w:cs="Times New Roman"/>
          <w:noProof/>
          <w:spacing w:val="-4"/>
          <w:lang w:val="sk-SK"/>
        </w:rPr>
        <w:t>obnoviteľných zdrojov</w:t>
      </w:r>
      <w:r w:rsidR="00A75B3C" w:rsidRPr="008E475E">
        <w:rPr>
          <w:rFonts w:cs="Times New Roman"/>
          <w:noProof/>
          <w:spacing w:val="-4"/>
          <w:lang w:val="sk-SK"/>
        </w:rPr>
        <w:t xml:space="preserve"> a </w:t>
      </w:r>
      <w:r w:rsidRPr="008E475E">
        <w:rPr>
          <w:rFonts w:cs="Times New Roman"/>
          <w:noProof/>
          <w:spacing w:val="-4"/>
          <w:lang w:val="sk-SK"/>
        </w:rPr>
        <w:t>odbornej prípravy tých, ktorí sa zaoberajú udeľovaním povolení</w:t>
      </w:r>
      <w:r w:rsidR="00A75B3C" w:rsidRPr="008E475E">
        <w:rPr>
          <w:rFonts w:cs="Times New Roman"/>
          <w:noProof/>
          <w:spacing w:val="-4"/>
          <w:lang w:val="sk-SK"/>
        </w:rPr>
        <w:t xml:space="preserve"> a </w:t>
      </w:r>
      <w:r w:rsidRPr="008E475E">
        <w:rPr>
          <w:rFonts w:cs="Times New Roman"/>
          <w:noProof/>
          <w:spacing w:val="-4"/>
          <w:lang w:val="sk-SK"/>
        </w:rPr>
        <w:t>súvisiacim digitálnym nástrojom</w:t>
      </w:r>
      <w:r w:rsidR="00A75B3C" w:rsidRPr="008E475E">
        <w:rPr>
          <w:rFonts w:cs="Times New Roman"/>
          <w:noProof/>
          <w:spacing w:val="-4"/>
          <w:lang w:val="sk-SK"/>
        </w:rPr>
        <w:t>.</w:t>
      </w:r>
    </w:p>
    <w:p w14:paraId="7A522EFE" w14:textId="6EA449B7" w:rsidR="00387C70" w:rsidRPr="003F23AC" w:rsidRDefault="000F5AA4" w:rsidP="003F23AC">
      <w:pPr>
        <w:pStyle w:val="P68B1DB1-Bodytext2020"/>
        <w:spacing w:before="40" w:after="0" w:line="259" w:lineRule="auto"/>
        <w:ind w:firstLine="0"/>
        <w:jc w:val="both"/>
        <w:rPr>
          <w:rFonts w:cs="Times New Roman"/>
          <w:b/>
          <w:noProof/>
          <w:lang w:val="sk-SK"/>
        </w:rPr>
      </w:pPr>
      <w:r w:rsidRPr="003F23AC">
        <w:rPr>
          <w:rFonts w:cs="Times New Roman"/>
          <w:noProof/>
          <w:lang w:val="sk-SK"/>
        </w:rPr>
        <w:t>Reforma zahŕňa:</w:t>
      </w:r>
    </w:p>
    <w:p w14:paraId="3DE1B65E" w14:textId="364E7877" w:rsidR="00387C70" w:rsidRPr="003F23AC" w:rsidRDefault="000F5AA4" w:rsidP="003F23AC">
      <w:pPr>
        <w:pStyle w:val="ListParagraph"/>
        <w:keepNext w:val="0"/>
        <w:numPr>
          <w:ilvl w:val="0"/>
          <w:numId w:val="89"/>
        </w:numPr>
        <w:spacing w:before="40" w:after="0" w:line="259" w:lineRule="auto"/>
        <w:rPr>
          <w:noProof/>
          <w:lang w:val="sk-SK"/>
        </w:rPr>
      </w:pPr>
      <w:r w:rsidRPr="003F23AC">
        <w:rPr>
          <w:noProof/>
          <w:lang w:val="sk-SK"/>
        </w:rPr>
        <w:t>Nadobudnutie účinnosti legislatívneho aktu, ktorým sa zriaďuje jednotka misie pre udeľovanie licencií na projekty</w:t>
      </w:r>
      <w:r w:rsidR="00A75B3C" w:rsidRPr="003F23AC">
        <w:rPr>
          <w:noProof/>
          <w:lang w:val="sk-SK"/>
        </w:rPr>
        <w:t xml:space="preserve"> v </w:t>
      </w:r>
      <w:r w:rsidRPr="003F23AC">
        <w:rPr>
          <w:noProof/>
          <w:lang w:val="sk-SK"/>
        </w:rPr>
        <w:t>oblasti energie</w:t>
      </w:r>
      <w:r w:rsidR="00A75B3C" w:rsidRPr="003F23AC">
        <w:rPr>
          <w:noProof/>
          <w:lang w:val="sk-SK"/>
        </w:rPr>
        <w:t xml:space="preserve"> z </w:t>
      </w:r>
      <w:r w:rsidRPr="003F23AC">
        <w:rPr>
          <w:noProof/>
          <w:lang w:val="sk-SK"/>
        </w:rPr>
        <w:t>obnoviteľných zdrojov do roku 2030 (počnúc rokom 2030). Úlohou umeru 2030 je okrem iného:</w:t>
      </w:r>
    </w:p>
    <w:p w14:paraId="171E03CD" w14:textId="7E1F3E37" w:rsidR="00387C70" w:rsidRPr="003F23AC" w:rsidRDefault="000F5AA4" w:rsidP="003F23AC">
      <w:pPr>
        <w:pStyle w:val="ListParagraph"/>
        <w:keepNext w:val="0"/>
        <w:numPr>
          <w:ilvl w:val="1"/>
          <w:numId w:val="89"/>
        </w:numPr>
        <w:spacing w:before="40" w:after="0" w:line="259" w:lineRule="auto"/>
        <w:rPr>
          <w:noProof/>
          <w:lang w:val="sk-SK"/>
        </w:rPr>
      </w:pPr>
      <w:r w:rsidRPr="003F23AC">
        <w:rPr>
          <w:noProof/>
          <w:lang w:val="sk-SK"/>
        </w:rPr>
        <w:t>Zabezpečiť splnenie cieľov revidovaného národného energetického</w:t>
      </w:r>
      <w:r w:rsidR="00A75B3C" w:rsidRPr="003F23AC">
        <w:rPr>
          <w:noProof/>
          <w:lang w:val="sk-SK"/>
        </w:rPr>
        <w:t xml:space="preserve"> a </w:t>
      </w:r>
      <w:r w:rsidRPr="003F23AC">
        <w:rPr>
          <w:noProof/>
          <w:lang w:val="sk-SK"/>
        </w:rPr>
        <w:t>klimatického plánu do roku 2030</w:t>
      </w:r>
      <w:r w:rsidR="00A75B3C" w:rsidRPr="003F23AC">
        <w:rPr>
          <w:noProof/>
          <w:lang w:val="sk-SK"/>
        </w:rPr>
        <w:t xml:space="preserve"> a </w:t>
      </w:r>
      <w:r w:rsidRPr="003F23AC">
        <w:rPr>
          <w:noProof/>
          <w:lang w:val="sk-SK"/>
        </w:rPr>
        <w:t>urýchliť realizáciu projektov</w:t>
      </w:r>
      <w:r w:rsidR="00A75B3C" w:rsidRPr="003F23AC">
        <w:rPr>
          <w:noProof/>
          <w:lang w:val="sk-SK"/>
        </w:rPr>
        <w:t xml:space="preserve"> v </w:t>
      </w:r>
      <w:r w:rsidRPr="003F23AC">
        <w:rPr>
          <w:noProof/>
          <w:lang w:val="sk-SK"/>
        </w:rPr>
        <w:t>oblasti energie</w:t>
      </w:r>
      <w:r w:rsidR="00A75B3C" w:rsidRPr="003F23AC">
        <w:rPr>
          <w:noProof/>
          <w:lang w:val="sk-SK"/>
        </w:rPr>
        <w:t xml:space="preserve"> z </w:t>
      </w:r>
      <w:r w:rsidRPr="003F23AC">
        <w:rPr>
          <w:noProof/>
          <w:lang w:val="sk-SK"/>
        </w:rPr>
        <w:t>obnoviteľných zdrojov</w:t>
      </w:r>
      <w:r w:rsidR="00A75B3C" w:rsidRPr="003F23AC">
        <w:rPr>
          <w:noProof/>
          <w:lang w:val="sk-SK"/>
        </w:rPr>
        <w:t xml:space="preserve"> v </w:t>
      </w:r>
      <w:r w:rsidRPr="003F23AC">
        <w:rPr>
          <w:noProof/>
          <w:lang w:val="sk-SK"/>
        </w:rPr>
        <w:t>Portugalsku;</w:t>
      </w:r>
    </w:p>
    <w:p w14:paraId="2FC18960" w14:textId="156D8708" w:rsidR="00A75B3C" w:rsidRPr="008E475E" w:rsidRDefault="000F5AA4" w:rsidP="003F23AC">
      <w:pPr>
        <w:pStyle w:val="ListParagraph"/>
        <w:keepNext w:val="0"/>
        <w:numPr>
          <w:ilvl w:val="1"/>
          <w:numId w:val="89"/>
        </w:numPr>
        <w:spacing w:before="40" w:after="0" w:line="259" w:lineRule="auto"/>
        <w:rPr>
          <w:noProof/>
          <w:spacing w:val="-4"/>
          <w:lang w:val="sk-SK"/>
        </w:rPr>
      </w:pPr>
      <w:r w:rsidRPr="008E475E">
        <w:rPr>
          <w:noProof/>
          <w:spacing w:val="-4"/>
          <w:lang w:val="sk-SK"/>
        </w:rPr>
        <w:t>Vypracovať príručku postupov na podporu</w:t>
      </w:r>
      <w:r w:rsidR="00A75B3C" w:rsidRPr="008E475E">
        <w:rPr>
          <w:noProof/>
          <w:spacing w:val="-4"/>
          <w:lang w:val="sk-SK"/>
        </w:rPr>
        <w:t xml:space="preserve"> a </w:t>
      </w:r>
      <w:r w:rsidRPr="008E475E">
        <w:rPr>
          <w:noProof/>
          <w:spacing w:val="-4"/>
          <w:lang w:val="sk-SK"/>
        </w:rPr>
        <w:t>zjednodušenie postupu udeľovania licencií pre vlastnú spotrebu</w:t>
      </w:r>
      <w:r w:rsidR="00A75B3C" w:rsidRPr="008E475E">
        <w:rPr>
          <w:noProof/>
          <w:spacing w:val="-4"/>
          <w:lang w:val="sk-SK"/>
        </w:rPr>
        <w:t xml:space="preserve"> a </w:t>
      </w:r>
      <w:r w:rsidRPr="008E475E">
        <w:rPr>
          <w:noProof/>
          <w:spacing w:val="-4"/>
          <w:lang w:val="sk-SK"/>
        </w:rPr>
        <w:t>komunity vyrábajúce energiu</w:t>
      </w:r>
      <w:r w:rsidR="00A75B3C" w:rsidRPr="008E475E">
        <w:rPr>
          <w:noProof/>
          <w:spacing w:val="-4"/>
          <w:lang w:val="sk-SK"/>
        </w:rPr>
        <w:t xml:space="preserve"> z </w:t>
      </w:r>
      <w:r w:rsidRPr="008E475E">
        <w:rPr>
          <w:noProof/>
          <w:spacing w:val="-4"/>
          <w:lang w:val="sk-SK"/>
        </w:rPr>
        <w:t>obnoviteľných zdrojov</w:t>
      </w:r>
      <w:r w:rsidR="00A75B3C" w:rsidRPr="008E475E">
        <w:rPr>
          <w:noProof/>
          <w:spacing w:val="-4"/>
          <w:lang w:val="sk-SK"/>
        </w:rPr>
        <w:t>;</w:t>
      </w:r>
    </w:p>
    <w:p w14:paraId="781C1063" w14:textId="0642B0B1" w:rsidR="00387C70" w:rsidRPr="008E475E" w:rsidRDefault="000F5AA4" w:rsidP="003F23AC">
      <w:pPr>
        <w:pStyle w:val="ListParagraph"/>
        <w:keepNext w:val="0"/>
        <w:numPr>
          <w:ilvl w:val="1"/>
          <w:numId w:val="89"/>
        </w:numPr>
        <w:spacing w:before="40" w:after="0" w:line="259" w:lineRule="auto"/>
        <w:rPr>
          <w:noProof/>
          <w:spacing w:val="-4"/>
          <w:lang w:val="sk-SK"/>
        </w:rPr>
      </w:pPr>
      <w:r w:rsidRPr="008E475E">
        <w:rPr>
          <w:noProof/>
          <w:spacing w:val="-4"/>
          <w:lang w:val="sk-SK"/>
        </w:rPr>
        <w:t>Vývoj, vykonávanie</w:t>
      </w:r>
      <w:r w:rsidR="00A75B3C" w:rsidRPr="008E475E">
        <w:rPr>
          <w:noProof/>
          <w:spacing w:val="-4"/>
          <w:lang w:val="sk-SK"/>
        </w:rPr>
        <w:t xml:space="preserve"> a </w:t>
      </w:r>
      <w:r w:rsidRPr="008E475E">
        <w:rPr>
          <w:noProof/>
          <w:spacing w:val="-4"/>
          <w:lang w:val="sk-SK"/>
        </w:rPr>
        <w:t xml:space="preserve">riadenie jednotného </w:t>
      </w:r>
      <w:r w:rsidRPr="008E475E">
        <w:rPr>
          <w:i/>
          <w:noProof/>
          <w:spacing w:val="-4"/>
          <w:lang w:val="sk-SK"/>
        </w:rPr>
        <w:t>kontaktného miesta</w:t>
      </w:r>
      <w:r w:rsidRPr="008E475E">
        <w:rPr>
          <w:noProof/>
          <w:spacing w:val="-4"/>
          <w:lang w:val="sk-SK"/>
        </w:rPr>
        <w:t xml:space="preserve"> pre udeľovanie licencií</w:t>
      </w:r>
      <w:r w:rsidR="00A75B3C" w:rsidRPr="008E475E">
        <w:rPr>
          <w:noProof/>
          <w:spacing w:val="-4"/>
          <w:lang w:val="sk-SK"/>
        </w:rPr>
        <w:t xml:space="preserve"> a </w:t>
      </w:r>
      <w:r w:rsidRPr="008E475E">
        <w:rPr>
          <w:noProof/>
          <w:spacing w:val="-4"/>
          <w:lang w:val="sk-SK"/>
        </w:rPr>
        <w:t>monitorovanie projektov</w:t>
      </w:r>
      <w:r w:rsidR="00A75B3C" w:rsidRPr="008E475E">
        <w:rPr>
          <w:noProof/>
          <w:spacing w:val="-4"/>
          <w:lang w:val="sk-SK"/>
        </w:rPr>
        <w:t xml:space="preserve"> v </w:t>
      </w:r>
      <w:r w:rsidRPr="008E475E">
        <w:rPr>
          <w:noProof/>
          <w:spacing w:val="-4"/>
          <w:lang w:val="sk-SK"/>
        </w:rPr>
        <w:t>oblasti energie</w:t>
      </w:r>
      <w:r w:rsidR="00A75B3C" w:rsidRPr="008E475E">
        <w:rPr>
          <w:noProof/>
          <w:spacing w:val="-4"/>
          <w:lang w:val="sk-SK"/>
        </w:rPr>
        <w:t xml:space="preserve"> z </w:t>
      </w:r>
      <w:r w:rsidRPr="008E475E">
        <w:rPr>
          <w:noProof/>
          <w:spacing w:val="-4"/>
          <w:lang w:val="sk-SK"/>
        </w:rPr>
        <w:t>obnoviteľných zdrojov (RP-C14 – i02);</w:t>
      </w:r>
    </w:p>
    <w:p w14:paraId="67AD8E0A" w14:textId="02BBF33B" w:rsidR="00387C70" w:rsidRPr="008E475E" w:rsidRDefault="000F5AA4" w:rsidP="003F23AC">
      <w:pPr>
        <w:pStyle w:val="ListParagraph"/>
        <w:keepNext w:val="0"/>
        <w:numPr>
          <w:ilvl w:val="1"/>
          <w:numId w:val="89"/>
        </w:numPr>
        <w:spacing w:before="40" w:after="0" w:line="259" w:lineRule="auto"/>
        <w:rPr>
          <w:noProof/>
          <w:spacing w:val="-4"/>
          <w:lang w:val="sk-SK"/>
        </w:rPr>
      </w:pPr>
      <w:r w:rsidRPr="008E475E">
        <w:rPr>
          <w:noProof/>
          <w:spacing w:val="-4"/>
          <w:lang w:val="sk-SK"/>
        </w:rPr>
        <w:t>Vypracovať návrh sektorového programu pre oblasti výroby energie</w:t>
      </w:r>
      <w:r w:rsidR="00A75B3C" w:rsidRPr="008E475E">
        <w:rPr>
          <w:noProof/>
          <w:spacing w:val="-4"/>
          <w:lang w:val="sk-SK"/>
        </w:rPr>
        <w:t xml:space="preserve"> z </w:t>
      </w:r>
      <w:r w:rsidRPr="008E475E">
        <w:rPr>
          <w:noProof/>
          <w:spacing w:val="-4"/>
          <w:lang w:val="sk-SK"/>
        </w:rPr>
        <w:t>obnoviteľných zdrojov;</w:t>
      </w:r>
    </w:p>
    <w:p w14:paraId="082EFB04" w14:textId="4CBF3166" w:rsidR="00387C70" w:rsidRPr="003F23AC" w:rsidRDefault="000F5AA4" w:rsidP="003F23AC">
      <w:pPr>
        <w:pStyle w:val="ListParagraph"/>
        <w:keepNext w:val="0"/>
        <w:numPr>
          <w:ilvl w:val="1"/>
          <w:numId w:val="89"/>
        </w:numPr>
        <w:spacing w:before="40" w:after="0" w:line="259" w:lineRule="auto"/>
        <w:rPr>
          <w:noProof/>
          <w:lang w:val="sk-SK"/>
        </w:rPr>
      </w:pPr>
      <w:r w:rsidRPr="003F23AC">
        <w:rPr>
          <w:noProof/>
          <w:lang w:val="sk-SK"/>
        </w:rPr>
        <w:t>Konsolidovať právny</w:t>
      </w:r>
      <w:r w:rsidR="00A75B3C" w:rsidRPr="003F23AC">
        <w:rPr>
          <w:noProof/>
          <w:lang w:val="sk-SK"/>
        </w:rPr>
        <w:t xml:space="preserve"> a </w:t>
      </w:r>
      <w:r w:rsidRPr="003F23AC">
        <w:rPr>
          <w:noProof/>
          <w:lang w:val="sk-SK"/>
        </w:rPr>
        <w:t>regulačný rámec uplatniteľný na udeľovanie licencií</w:t>
      </w:r>
      <w:r w:rsidR="00A75B3C" w:rsidRPr="003F23AC">
        <w:rPr>
          <w:noProof/>
          <w:lang w:val="sk-SK"/>
        </w:rPr>
        <w:t xml:space="preserve"> v </w:t>
      </w:r>
      <w:r w:rsidRPr="003F23AC">
        <w:rPr>
          <w:noProof/>
          <w:lang w:val="sk-SK"/>
        </w:rPr>
        <w:t>oblasti elektrickej energie</w:t>
      </w:r>
      <w:r w:rsidR="00A75B3C" w:rsidRPr="003F23AC">
        <w:rPr>
          <w:noProof/>
          <w:lang w:val="sk-SK"/>
        </w:rPr>
        <w:t xml:space="preserve"> a </w:t>
      </w:r>
      <w:r w:rsidRPr="003F23AC">
        <w:rPr>
          <w:noProof/>
          <w:lang w:val="sk-SK"/>
        </w:rPr>
        <w:t>životného prostredia na projekty</w:t>
      </w:r>
      <w:r w:rsidR="00A75B3C" w:rsidRPr="003F23AC">
        <w:rPr>
          <w:noProof/>
          <w:lang w:val="sk-SK"/>
        </w:rPr>
        <w:t xml:space="preserve"> v </w:t>
      </w:r>
      <w:r w:rsidRPr="003F23AC">
        <w:rPr>
          <w:noProof/>
          <w:lang w:val="sk-SK"/>
        </w:rPr>
        <w:t>oblasti energie</w:t>
      </w:r>
      <w:r w:rsidR="00A75B3C" w:rsidRPr="003F23AC">
        <w:rPr>
          <w:noProof/>
          <w:lang w:val="sk-SK"/>
        </w:rPr>
        <w:t xml:space="preserve"> z </w:t>
      </w:r>
      <w:r w:rsidRPr="003F23AC">
        <w:rPr>
          <w:noProof/>
          <w:lang w:val="sk-SK"/>
        </w:rPr>
        <w:t>obnoviteľných zdrojov</w:t>
      </w:r>
      <w:r w:rsidR="00A75B3C" w:rsidRPr="003F23AC">
        <w:rPr>
          <w:noProof/>
          <w:lang w:val="sk-SK"/>
        </w:rPr>
        <w:t xml:space="preserve"> a </w:t>
      </w:r>
      <w:r w:rsidRPr="003F23AC">
        <w:rPr>
          <w:noProof/>
          <w:lang w:val="sk-SK"/>
        </w:rPr>
        <w:t>uskladňovania energie.</w:t>
      </w:r>
    </w:p>
    <w:p w14:paraId="0D6072B7" w14:textId="19DD9471" w:rsidR="00387C70" w:rsidRPr="003F23AC" w:rsidRDefault="000F5AA4" w:rsidP="003F23AC">
      <w:pPr>
        <w:pStyle w:val="P68B1DB1-Bodytext2020"/>
        <w:widowControl/>
        <w:numPr>
          <w:ilvl w:val="0"/>
          <w:numId w:val="89"/>
        </w:numPr>
        <w:shd w:val="clear" w:color="auto" w:fill="auto"/>
        <w:spacing w:before="40" w:after="0" w:line="259" w:lineRule="auto"/>
        <w:jc w:val="both"/>
        <w:rPr>
          <w:rFonts w:eastAsiaTheme="minorEastAsia" w:cs="Times New Roman"/>
          <w:b/>
          <w:noProof/>
          <w:lang w:val="sk-SK"/>
        </w:rPr>
      </w:pPr>
      <w:r w:rsidRPr="003F23AC">
        <w:rPr>
          <w:rFonts w:cs="Times New Roman"/>
          <w:noProof/>
          <w:lang w:val="sk-SK"/>
        </w:rPr>
        <w:t>Reforma bude zahŕňať aj vytvorenie nariadenia</w:t>
      </w:r>
      <w:r w:rsidR="00A75B3C" w:rsidRPr="003F23AC">
        <w:rPr>
          <w:rFonts w:cs="Times New Roman"/>
          <w:noProof/>
          <w:lang w:val="sk-SK"/>
        </w:rPr>
        <w:t xml:space="preserve"> o </w:t>
      </w:r>
      <w:r w:rsidRPr="003F23AC">
        <w:rPr>
          <w:rFonts w:cs="Times New Roman"/>
          <w:noProof/>
          <w:lang w:val="sk-SK"/>
        </w:rPr>
        <w:t>udeľovaní licencií obciam na projekty</w:t>
      </w:r>
      <w:r w:rsidR="00A75B3C" w:rsidRPr="003F23AC">
        <w:rPr>
          <w:rFonts w:cs="Times New Roman"/>
          <w:noProof/>
          <w:lang w:val="sk-SK"/>
        </w:rPr>
        <w:t xml:space="preserve"> v </w:t>
      </w:r>
      <w:r w:rsidRPr="003F23AC">
        <w:rPr>
          <w:rFonts w:cs="Times New Roman"/>
          <w:noProof/>
          <w:lang w:val="sk-SK"/>
        </w:rPr>
        <w:t>oblasti energie</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a </w:t>
      </w:r>
      <w:r w:rsidRPr="003F23AC">
        <w:rPr>
          <w:rFonts w:cs="Times New Roman"/>
          <w:noProof/>
          <w:lang w:val="sk-SK"/>
        </w:rPr>
        <w:t>uskladňovania energie zmenou ministerského výnosu 113/2015,</w:t>
      </w:r>
      <w:r w:rsidR="00A75B3C" w:rsidRPr="003F23AC">
        <w:rPr>
          <w:rFonts w:cs="Times New Roman"/>
          <w:noProof/>
          <w:lang w:val="sk-SK"/>
        </w:rPr>
        <w:t xml:space="preserve"> v </w:t>
      </w:r>
      <w:r w:rsidRPr="003F23AC">
        <w:rPr>
          <w:rFonts w:cs="Times New Roman"/>
          <w:noProof/>
          <w:lang w:val="sk-SK"/>
        </w:rPr>
        <w:t>ktorom sa vymedzujú príslušné prvky, ktoré sa majú predložiť</w:t>
      </w:r>
      <w:r w:rsidR="00A75B3C" w:rsidRPr="003F23AC">
        <w:rPr>
          <w:rFonts w:cs="Times New Roman"/>
          <w:noProof/>
          <w:lang w:val="sk-SK"/>
        </w:rPr>
        <w:t xml:space="preserve"> v </w:t>
      </w:r>
      <w:r w:rsidRPr="003F23AC">
        <w:rPr>
          <w:rFonts w:cs="Times New Roman"/>
          <w:noProof/>
          <w:lang w:val="sk-SK"/>
        </w:rPr>
        <w:t>rámci obecného povoľovacieho konania pre projekty</w:t>
      </w:r>
      <w:r w:rsidR="00A75B3C" w:rsidRPr="003F23AC">
        <w:rPr>
          <w:rFonts w:cs="Times New Roman"/>
          <w:noProof/>
          <w:lang w:val="sk-SK"/>
        </w:rPr>
        <w:t xml:space="preserve"> v </w:t>
      </w:r>
      <w:r w:rsidRPr="003F23AC">
        <w:rPr>
          <w:rFonts w:cs="Times New Roman"/>
          <w:noProof/>
          <w:lang w:val="sk-SK"/>
        </w:rPr>
        <w:t>oblasti energie</w:t>
      </w:r>
      <w:r w:rsidR="00A75B3C" w:rsidRPr="003F23AC">
        <w:rPr>
          <w:rFonts w:cs="Times New Roman"/>
          <w:noProof/>
          <w:lang w:val="sk-SK"/>
        </w:rPr>
        <w:t xml:space="preserve"> z </w:t>
      </w:r>
      <w:r w:rsidRPr="003F23AC">
        <w:rPr>
          <w:rFonts w:cs="Times New Roman"/>
          <w:noProof/>
          <w:lang w:val="sk-SK"/>
        </w:rPr>
        <w:t>obnoviteľných zdrojov.</w:t>
      </w:r>
    </w:p>
    <w:p w14:paraId="481D9B0A" w14:textId="0A5F924F" w:rsidR="00387C70" w:rsidRPr="003F23AC" w:rsidRDefault="000F5AA4" w:rsidP="003F23AC">
      <w:pPr>
        <w:pStyle w:val="P68B1DB1-Bodytext2020"/>
        <w:widowControl/>
        <w:numPr>
          <w:ilvl w:val="0"/>
          <w:numId w:val="89"/>
        </w:numPr>
        <w:shd w:val="clear" w:color="auto" w:fill="auto"/>
        <w:spacing w:before="40" w:after="0" w:line="259" w:lineRule="auto"/>
        <w:jc w:val="both"/>
        <w:rPr>
          <w:rFonts w:cs="Times New Roman"/>
          <w:b/>
          <w:noProof/>
          <w:lang w:val="sk-SK"/>
        </w:rPr>
      </w:pPr>
      <w:r w:rsidRPr="003F23AC">
        <w:rPr>
          <w:rFonts w:cs="Times New Roman"/>
          <w:noProof/>
          <w:lang w:val="sk-SK"/>
        </w:rPr>
        <w:t>Reforma poskytne aj harmonogram prideľovania nových kapacít</w:t>
      </w:r>
      <w:r w:rsidR="00A75B3C" w:rsidRPr="003F23AC">
        <w:rPr>
          <w:rFonts w:cs="Times New Roman"/>
          <w:noProof/>
          <w:lang w:val="sk-SK"/>
        </w:rPr>
        <w:t xml:space="preserve"> v </w:t>
      </w:r>
      <w:r w:rsidRPr="003F23AC">
        <w:rPr>
          <w:rFonts w:cs="Times New Roman"/>
          <w:noProof/>
          <w:lang w:val="sk-SK"/>
        </w:rPr>
        <w:t>oblasti energie</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s </w:t>
      </w:r>
      <w:r w:rsidRPr="003F23AC">
        <w:rPr>
          <w:rFonts w:cs="Times New Roman"/>
          <w:noProof/>
          <w:lang w:val="sk-SK"/>
        </w:rPr>
        <w:t>osobitným zameraním na geografické oblasti vyplývajúce zo sektorového programu „Oblasti pre obnoviteľné zdroje energie“.</w:t>
      </w:r>
    </w:p>
    <w:p w14:paraId="00C3DD8D" w14:textId="39C5F459" w:rsidR="00A75B3C" w:rsidRPr="003F23AC" w:rsidRDefault="000F5AA4" w:rsidP="003F23AC">
      <w:pPr>
        <w:pStyle w:val="P68B1DB1-Bodytext2020"/>
        <w:widowControl/>
        <w:numPr>
          <w:ilvl w:val="0"/>
          <w:numId w:val="89"/>
        </w:numPr>
        <w:shd w:val="clear" w:color="auto" w:fill="auto"/>
        <w:spacing w:before="40" w:after="0" w:line="259" w:lineRule="auto"/>
        <w:jc w:val="both"/>
        <w:rPr>
          <w:rFonts w:cs="Times New Roman"/>
          <w:noProof/>
          <w:lang w:val="sk-SK"/>
        </w:rPr>
      </w:pPr>
      <w:r w:rsidRPr="003F23AC">
        <w:rPr>
          <w:rFonts w:cs="Times New Roman"/>
          <w:noProof/>
          <w:lang w:val="sk-SK"/>
        </w:rPr>
        <w:t>Reforma zahŕňa aj odbornú prípravu 500 manažérov</w:t>
      </w:r>
      <w:r w:rsidR="00A75B3C" w:rsidRPr="003F23AC">
        <w:rPr>
          <w:rFonts w:cs="Times New Roman"/>
          <w:noProof/>
          <w:lang w:val="sk-SK"/>
        </w:rPr>
        <w:t xml:space="preserve"> a </w:t>
      </w:r>
      <w:r w:rsidRPr="003F23AC">
        <w:rPr>
          <w:rFonts w:cs="Times New Roman"/>
          <w:noProof/>
          <w:lang w:val="sk-SK"/>
        </w:rPr>
        <w:t>technikov ústrednej, regionálnej</w:t>
      </w:r>
      <w:r w:rsidR="00A75B3C" w:rsidRPr="003F23AC">
        <w:rPr>
          <w:rFonts w:cs="Times New Roman"/>
          <w:noProof/>
          <w:lang w:val="sk-SK"/>
        </w:rPr>
        <w:t xml:space="preserve"> a </w:t>
      </w:r>
      <w:r w:rsidRPr="003F23AC">
        <w:rPr>
          <w:rFonts w:cs="Times New Roman"/>
          <w:noProof/>
          <w:lang w:val="sk-SK"/>
        </w:rPr>
        <w:t>miestnej verejnej správy</w:t>
      </w:r>
      <w:r w:rsidR="00A75B3C" w:rsidRPr="003F23AC">
        <w:rPr>
          <w:rFonts w:cs="Times New Roman"/>
          <w:noProof/>
          <w:lang w:val="sk-SK"/>
        </w:rPr>
        <w:t xml:space="preserve"> v </w:t>
      </w:r>
      <w:r w:rsidRPr="003F23AC">
        <w:rPr>
          <w:rFonts w:cs="Times New Roman"/>
          <w:noProof/>
          <w:lang w:val="sk-SK"/>
        </w:rPr>
        <w:t>súvislosti</w:t>
      </w:r>
      <w:r w:rsidR="00A75B3C" w:rsidRPr="003F23AC">
        <w:rPr>
          <w:rFonts w:cs="Times New Roman"/>
          <w:noProof/>
          <w:lang w:val="sk-SK"/>
        </w:rPr>
        <w:t xml:space="preserve"> s </w:t>
      </w:r>
      <w:r w:rsidRPr="003F23AC">
        <w:rPr>
          <w:rFonts w:cs="Times New Roman"/>
          <w:noProof/>
          <w:lang w:val="sk-SK"/>
        </w:rPr>
        <w:t>povoľovacími postupmi pre projekty</w:t>
      </w:r>
      <w:r w:rsidR="00A75B3C" w:rsidRPr="003F23AC">
        <w:rPr>
          <w:rFonts w:cs="Times New Roman"/>
          <w:noProof/>
          <w:lang w:val="sk-SK"/>
        </w:rPr>
        <w:t xml:space="preserve"> v </w:t>
      </w:r>
      <w:r w:rsidRPr="003F23AC">
        <w:rPr>
          <w:rFonts w:cs="Times New Roman"/>
          <w:noProof/>
          <w:lang w:val="sk-SK"/>
        </w:rPr>
        <w:t>oblasti energie</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a </w:t>
      </w:r>
      <w:r w:rsidRPr="003F23AC">
        <w:rPr>
          <w:rFonts w:cs="Times New Roman"/>
          <w:noProof/>
          <w:lang w:val="sk-SK"/>
        </w:rPr>
        <w:t>uskladňovania energie</w:t>
      </w:r>
      <w:r w:rsidR="00A75B3C" w:rsidRPr="003F23AC">
        <w:rPr>
          <w:rFonts w:cs="Times New Roman"/>
          <w:noProof/>
          <w:lang w:val="sk-SK"/>
        </w:rPr>
        <w:t>.</w:t>
      </w:r>
    </w:p>
    <w:p w14:paraId="31610E4F" w14:textId="605A1B03"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reformy sa dokončí do 30</w:t>
      </w:r>
      <w:r w:rsidR="00A75B3C" w:rsidRPr="003F23AC">
        <w:rPr>
          <w:rFonts w:cs="Times New Roman"/>
          <w:noProof/>
          <w:lang w:val="sk-SK"/>
        </w:rPr>
        <w:t>. júna</w:t>
      </w:r>
      <w:r w:rsidRPr="003F23AC">
        <w:rPr>
          <w:rFonts w:cs="Times New Roman"/>
          <w:noProof/>
          <w:lang w:val="sk-SK"/>
        </w:rPr>
        <w:t xml:space="preserve"> 2024.</w:t>
      </w:r>
    </w:p>
    <w:p w14:paraId="2D61E7C0" w14:textId="608A38B8"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bookmarkStart w:id="42" w:name="_Hlk140157845"/>
      <w:r w:rsidRPr="003F23AC">
        <w:rPr>
          <w:rFonts w:cs="Times New Roman"/>
          <w:noProof/>
          <w:lang w:val="sk-SK"/>
        </w:rPr>
        <w:t xml:space="preserve">Investície RP-C21 – </w:t>
      </w:r>
      <w:bookmarkEnd w:id="42"/>
      <w:r w:rsidRPr="003F23AC">
        <w:rPr>
          <w:rFonts w:cs="Times New Roman"/>
          <w:noProof/>
          <w:lang w:val="sk-SK"/>
        </w:rPr>
        <w:t>i06 Opatrenie rozšírenia: Vodík</w:t>
      </w:r>
      <w:r w:rsidR="00A75B3C" w:rsidRPr="003F23AC">
        <w:rPr>
          <w:rFonts w:cs="Times New Roman"/>
          <w:noProof/>
          <w:lang w:val="sk-SK"/>
        </w:rPr>
        <w:t xml:space="preserve"> a </w:t>
      </w:r>
      <w:r w:rsidRPr="003F23AC">
        <w:rPr>
          <w:rFonts w:cs="Times New Roman"/>
          <w:noProof/>
          <w:lang w:val="sk-SK"/>
        </w:rPr>
        <w:t>obnoviteľné plyny</w:t>
      </w:r>
    </w:p>
    <w:p w14:paraId="20046906" w14:textId="1D1D4CD0"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 xml:space="preserve">Cieľom tejto investície je rozšíriť existujúcu investíciu C14 </w:t>
      </w:r>
      <w:r w:rsidRPr="003F23AC">
        <w:rPr>
          <w:rFonts w:cs="Times New Roman"/>
          <w:i/>
          <w:noProof/>
          <w:lang w:val="sk-SK"/>
        </w:rPr>
        <w:t>– i01: Vodík</w:t>
      </w:r>
      <w:r w:rsidR="00A75B3C" w:rsidRPr="003F23AC">
        <w:rPr>
          <w:rFonts w:cs="Times New Roman"/>
          <w:i/>
          <w:noProof/>
          <w:lang w:val="sk-SK"/>
        </w:rPr>
        <w:t xml:space="preserve"> a </w:t>
      </w:r>
      <w:r w:rsidRPr="003F23AC">
        <w:rPr>
          <w:rFonts w:cs="Times New Roman"/>
          <w:i/>
          <w:noProof/>
          <w:lang w:val="sk-SK"/>
        </w:rPr>
        <w:t>obnoviteľné plyny</w:t>
      </w:r>
      <w:r w:rsidR="00A75B3C" w:rsidRPr="003F23AC">
        <w:rPr>
          <w:rFonts w:cs="Times New Roman"/>
          <w:i/>
          <w:noProof/>
          <w:lang w:val="sk-SK"/>
        </w:rPr>
        <w:t xml:space="preserve"> v </w:t>
      </w:r>
      <w:r w:rsidRPr="003F23AC">
        <w:rPr>
          <w:rFonts w:cs="Times New Roman"/>
          <w:noProof/>
          <w:lang w:val="sk-SK"/>
        </w:rPr>
        <w:t>rámci zložky 14.</w:t>
      </w:r>
    </w:p>
    <w:p w14:paraId="643DCE77" w14:textId="1459C0C6" w:rsidR="00387C70" w:rsidRPr="003F23AC" w:rsidRDefault="000F5AA4" w:rsidP="003F23AC">
      <w:pPr>
        <w:pStyle w:val="P68B1DB1-Bodytext2020"/>
        <w:spacing w:before="40" w:after="0" w:line="259" w:lineRule="auto"/>
        <w:ind w:firstLine="0"/>
        <w:jc w:val="both"/>
        <w:rPr>
          <w:rFonts w:eastAsiaTheme="minorEastAsia" w:cs="Times New Roman"/>
          <w:b/>
          <w:noProof/>
          <w:lang w:val="sk-SK"/>
        </w:rPr>
      </w:pPr>
      <w:r w:rsidRPr="003F23AC">
        <w:rPr>
          <w:rFonts w:cs="Times New Roman"/>
          <w:noProof/>
          <w:lang w:val="sk-SK"/>
        </w:rPr>
        <w:t>Rozšírená časť opatrenia zvyšuje výrobnú kapacitu vodíka</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a </w:t>
      </w:r>
      <w:r w:rsidRPr="003F23AC">
        <w:rPr>
          <w:rFonts w:cs="Times New Roman"/>
          <w:noProof/>
          <w:lang w:val="sk-SK"/>
        </w:rPr>
        <w:t>obnoviteľného plynu. Opatrenie pozostáva</w:t>
      </w:r>
      <w:r w:rsidR="00A75B3C" w:rsidRPr="003F23AC">
        <w:rPr>
          <w:rFonts w:cs="Times New Roman"/>
          <w:noProof/>
          <w:lang w:val="sk-SK"/>
        </w:rPr>
        <w:t xml:space="preserve"> z </w:t>
      </w:r>
      <w:r w:rsidRPr="003F23AC">
        <w:rPr>
          <w:rFonts w:cs="Times New Roman"/>
          <w:noProof/>
          <w:lang w:val="sk-SK"/>
        </w:rPr>
        <w:t>akcií na podporu výroby, skladovania, prepravy</w:t>
      </w:r>
      <w:r w:rsidR="00A75B3C" w:rsidRPr="003F23AC">
        <w:rPr>
          <w:rFonts w:cs="Times New Roman"/>
          <w:noProof/>
          <w:lang w:val="sk-SK"/>
        </w:rPr>
        <w:t xml:space="preserve"> a </w:t>
      </w:r>
      <w:r w:rsidRPr="003F23AC">
        <w:rPr>
          <w:rFonts w:cs="Times New Roman"/>
          <w:noProof/>
          <w:lang w:val="sk-SK"/>
        </w:rPr>
        <w:t>distribúcie obnoviteľných plynov, ktorých cieľom je zvýšiť podiel obnoviteľných plynov na spotrebe energie, znížiť emisie skleníkových plynov, znížiť energetickú závislosť</w:t>
      </w:r>
      <w:r w:rsidR="00A75B3C" w:rsidRPr="003F23AC">
        <w:rPr>
          <w:rFonts w:cs="Times New Roman"/>
          <w:noProof/>
          <w:lang w:val="sk-SK"/>
        </w:rPr>
        <w:t xml:space="preserve"> a </w:t>
      </w:r>
      <w:r w:rsidRPr="003F23AC">
        <w:rPr>
          <w:rFonts w:cs="Times New Roman"/>
          <w:noProof/>
          <w:lang w:val="sk-SK"/>
        </w:rPr>
        <w:t>zlepšiť bezpečnosť dodávok energie.</w:t>
      </w:r>
    </w:p>
    <w:p w14:paraId="0FFB4ED0" w14:textId="43DAC789" w:rsidR="00A75B3C" w:rsidRPr="003F23AC" w:rsidRDefault="000F5AA4" w:rsidP="003F23AC">
      <w:pPr>
        <w:pStyle w:val="P68B1DB1-Bodytext2020"/>
        <w:spacing w:before="40" w:after="0" w:line="259" w:lineRule="auto"/>
        <w:ind w:firstLine="0"/>
        <w:jc w:val="both"/>
        <w:rPr>
          <w:rFonts w:cs="Times New Roman"/>
          <w:noProof/>
          <w:lang w:val="sk-SK"/>
        </w:rPr>
      </w:pPr>
      <w:r w:rsidRPr="003F23AC">
        <w:rPr>
          <w:rFonts w:cs="Times New Roman"/>
          <w:noProof/>
          <w:lang w:val="sk-SK"/>
        </w:rPr>
        <w:t>Podporujú sa rôzne aplikácie, ako je využívanie obnoviteľných plynov na prepravu</w:t>
      </w:r>
      <w:r w:rsidR="00A75B3C" w:rsidRPr="003F23AC">
        <w:rPr>
          <w:rFonts w:cs="Times New Roman"/>
          <w:noProof/>
          <w:lang w:val="sk-SK"/>
        </w:rPr>
        <w:t xml:space="preserve"> a </w:t>
      </w:r>
      <w:r w:rsidRPr="003F23AC">
        <w:rPr>
          <w:rFonts w:cs="Times New Roman"/>
          <w:noProof/>
          <w:lang w:val="sk-SK"/>
        </w:rPr>
        <w:t>vtláčanie obnoviteľných plynov do siete zemného plynu</w:t>
      </w:r>
      <w:r w:rsidR="00A75B3C" w:rsidRPr="003F23AC">
        <w:rPr>
          <w:rFonts w:cs="Times New Roman"/>
          <w:noProof/>
          <w:lang w:val="sk-SK"/>
        </w:rPr>
        <w:t>.</w:t>
      </w:r>
    </w:p>
    <w:p w14:paraId="42C82046" w14:textId="40C8FCB0" w:rsidR="00A75B3C" w:rsidRPr="003F23AC" w:rsidRDefault="000F5AA4" w:rsidP="003F23AC">
      <w:pPr>
        <w:pStyle w:val="P68B1DB1-Bodytext2020"/>
        <w:spacing w:before="40" w:after="0" w:line="259" w:lineRule="auto"/>
        <w:ind w:firstLine="0"/>
        <w:jc w:val="both"/>
        <w:rPr>
          <w:rFonts w:cs="Times New Roman"/>
          <w:noProof/>
          <w:lang w:val="sk-SK"/>
        </w:rPr>
      </w:pPr>
      <w:r w:rsidRPr="003F23AC">
        <w:rPr>
          <w:rFonts w:cs="Times New Roman"/>
          <w:noProof/>
          <w:lang w:val="sk-SK"/>
        </w:rPr>
        <w:t>Na výrobu vodíka</w:t>
      </w:r>
      <w:r w:rsidR="00A75B3C" w:rsidRPr="003F23AC">
        <w:rPr>
          <w:rFonts w:cs="Times New Roman"/>
          <w:noProof/>
          <w:lang w:val="sk-SK"/>
        </w:rPr>
        <w:t xml:space="preserve"> z </w:t>
      </w:r>
      <w:r w:rsidRPr="003F23AC">
        <w:rPr>
          <w:rFonts w:cs="Times New Roman"/>
          <w:noProof/>
          <w:lang w:val="sk-SK"/>
        </w:rPr>
        <w:t>obnoviteľných zdrojov sa používa len elektrolýza</w:t>
      </w:r>
      <w:r w:rsidR="00A75B3C" w:rsidRPr="003F23AC">
        <w:rPr>
          <w:rFonts w:cs="Times New Roman"/>
          <w:noProof/>
          <w:lang w:val="sk-SK"/>
        </w:rPr>
        <w:t>.</w:t>
      </w:r>
    </w:p>
    <w:p w14:paraId="75E13EE5" w14:textId="74D53A2C" w:rsidR="00A75B3C" w:rsidRPr="003F23AC" w:rsidRDefault="000F5AA4" w:rsidP="003F23AC">
      <w:pPr>
        <w:pStyle w:val="P68B1DB1-Bodytext2020"/>
        <w:spacing w:before="40" w:after="0" w:line="259" w:lineRule="auto"/>
        <w:ind w:firstLine="0"/>
        <w:jc w:val="both"/>
        <w:rPr>
          <w:rFonts w:cs="Times New Roman"/>
          <w:noProof/>
          <w:lang w:val="sk-SK"/>
        </w:rPr>
      </w:pPr>
      <w:r w:rsidRPr="003F23AC">
        <w:rPr>
          <w:rFonts w:cs="Times New Roman"/>
          <w:noProof/>
          <w:lang w:val="sk-SK"/>
        </w:rPr>
        <w:t>Na výrobu iných plynov obnoviteľného pôvodu sa použijú iné technológie: termochemické</w:t>
      </w:r>
      <w:r w:rsidR="00A75B3C" w:rsidRPr="003F23AC">
        <w:rPr>
          <w:rFonts w:cs="Times New Roman"/>
          <w:noProof/>
          <w:lang w:val="sk-SK"/>
        </w:rPr>
        <w:t xml:space="preserve"> a </w:t>
      </w:r>
      <w:r w:rsidRPr="003F23AC">
        <w:rPr>
          <w:rFonts w:cs="Times New Roman"/>
          <w:noProof/>
          <w:lang w:val="sk-SK"/>
        </w:rPr>
        <w:t>hydrotermálne procesy (výlučne na výrobu udržateľného biometánu); b) biologické procesy (biofotolýza</w:t>
      </w:r>
      <w:r w:rsidR="00A75B3C" w:rsidRPr="003F23AC">
        <w:rPr>
          <w:rFonts w:cs="Times New Roman"/>
          <w:noProof/>
          <w:lang w:val="sk-SK"/>
        </w:rPr>
        <w:t xml:space="preserve"> a </w:t>
      </w:r>
      <w:r w:rsidRPr="003F23AC">
        <w:rPr>
          <w:rFonts w:cs="Times New Roman"/>
          <w:noProof/>
          <w:lang w:val="sk-SK"/>
        </w:rPr>
        <w:t>fermentácia); C) obohacovanie bioplynu</w:t>
      </w:r>
      <w:r w:rsidR="00A75B3C" w:rsidRPr="003F23AC">
        <w:rPr>
          <w:rFonts w:cs="Times New Roman"/>
          <w:noProof/>
          <w:lang w:val="sk-SK"/>
        </w:rPr>
        <w:t xml:space="preserve"> z </w:t>
      </w:r>
      <w:r w:rsidRPr="003F23AC">
        <w:rPr>
          <w:rFonts w:cs="Times New Roman"/>
          <w:noProof/>
          <w:lang w:val="sk-SK"/>
        </w:rPr>
        <w:t>anaeróbnej digescie materiálov</w:t>
      </w:r>
      <w:r w:rsidR="00A75B3C" w:rsidRPr="003F23AC">
        <w:rPr>
          <w:rFonts w:cs="Times New Roman"/>
          <w:noProof/>
          <w:lang w:val="sk-SK"/>
        </w:rPr>
        <w:t xml:space="preserve"> z </w:t>
      </w:r>
      <w:r w:rsidRPr="003F23AC">
        <w:rPr>
          <w:rFonts w:cs="Times New Roman"/>
          <w:noProof/>
          <w:lang w:val="sk-SK"/>
        </w:rPr>
        <w:t>biomasy sa využíva výlučne na výrobu udržateľného biometánu (výroba bioplynu by sa mohla podporiť, ak zahŕňa aj modernizáciu bioplynu na udržateľný biometán);</w:t>
      </w:r>
      <w:r w:rsidR="00A75B3C" w:rsidRPr="003F23AC">
        <w:rPr>
          <w:rFonts w:cs="Times New Roman"/>
          <w:noProof/>
          <w:lang w:val="sk-SK"/>
        </w:rPr>
        <w:t xml:space="preserve"> a </w:t>
      </w:r>
      <w:r w:rsidRPr="003F23AC">
        <w:rPr>
          <w:rFonts w:cs="Times New Roman"/>
          <w:noProof/>
          <w:lang w:val="sk-SK"/>
        </w:rPr>
        <w:t>d) metanácia sa vyrába len</w:t>
      </w:r>
      <w:r w:rsidR="00A75B3C" w:rsidRPr="003F23AC">
        <w:rPr>
          <w:rFonts w:cs="Times New Roman"/>
          <w:noProof/>
          <w:lang w:val="sk-SK"/>
        </w:rPr>
        <w:t xml:space="preserve"> z </w:t>
      </w:r>
      <w:r w:rsidRPr="003F23AC">
        <w:rPr>
          <w:rFonts w:cs="Times New Roman"/>
          <w:noProof/>
          <w:lang w:val="sk-SK"/>
        </w:rPr>
        <w:t>biologického odpadu</w:t>
      </w:r>
      <w:r w:rsidR="00A75B3C" w:rsidRPr="003F23AC">
        <w:rPr>
          <w:rFonts w:cs="Times New Roman"/>
          <w:noProof/>
          <w:lang w:val="sk-SK"/>
        </w:rPr>
        <w:t>.</w:t>
      </w:r>
    </w:p>
    <w:p w14:paraId="19572D72" w14:textId="45CE12E5" w:rsidR="00A75B3C" w:rsidRPr="003F23AC" w:rsidRDefault="000F5AA4" w:rsidP="003F23AC">
      <w:pPr>
        <w:pStyle w:val="P68B1DB1-Bodytext2020"/>
        <w:spacing w:before="40" w:after="0" w:line="259" w:lineRule="auto"/>
        <w:ind w:firstLine="0"/>
        <w:jc w:val="both"/>
        <w:rPr>
          <w:rFonts w:cs="Times New Roman"/>
          <w:noProof/>
          <w:lang w:val="sk-SK"/>
        </w:rPr>
      </w:pPr>
      <w:r w:rsidRPr="003F23AC">
        <w:rPr>
          <w:rFonts w:cs="Times New Roman"/>
          <w:noProof/>
          <w:lang w:val="sk-SK"/>
        </w:rPr>
        <w:t>Výroba vodíka</w:t>
      </w:r>
      <w:r w:rsidR="00A75B3C" w:rsidRPr="003F23AC">
        <w:rPr>
          <w:rFonts w:cs="Times New Roman"/>
          <w:noProof/>
          <w:lang w:val="sk-SK"/>
        </w:rPr>
        <w:t xml:space="preserve"> z </w:t>
      </w:r>
      <w:r w:rsidRPr="003F23AC">
        <w:rPr>
          <w:rFonts w:cs="Times New Roman"/>
          <w:noProof/>
          <w:lang w:val="sk-SK"/>
        </w:rPr>
        <w:t>obnoviteľných zdrojov iných plynov obnoviteľného pôvodu musí byť</w:t>
      </w:r>
      <w:r w:rsidR="00A75B3C" w:rsidRPr="003F23AC">
        <w:rPr>
          <w:rFonts w:cs="Times New Roman"/>
          <w:noProof/>
          <w:lang w:val="sk-SK"/>
        </w:rPr>
        <w:t xml:space="preserve"> v </w:t>
      </w:r>
      <w:r w:rsidRPr="003F23AC">
        <w:rPr>
          <w:rFonts w:cs="Times New Roman"/>
          <w:noProof/>
          <w:lang w:val="sk-SK"/>
        </w:rPr>
        <w:t>súlade so smernicou</w:t>
      </w:r>
      <w:r w:rsidR="00A75B3C" w:rsidRPr="003F23AC">
        <w:rPr>
          <w:rFonts w:cs="Times New Roman"/>
          <w:noProof/>
          <w:lang w:val="sk-SK"/>
        </w:rPr>
        <w:t xml:space="preserve"> o </w:t>
      </w:r>
      <w:r w:rsidRPr="003F23AC">
        <w:rPr>
          <w:rFonts w:cs="Times New Roman"/>
          <w:noProof/>
          <w:lang w:val="sk-SK"/>
        </w:rPr>
        <w:t>obnoviteľných zdrojoch energie</w:t>
      </w:r>
      <w:r w:rsidR="00A75B3C" w:rsidRPr="003F23AC">
        <w:rPr>
          <w:rFonts w:cs="Times New Roman"/>
          <w:noProof/>
          <w:lang w:val="sk-SK"/>
        </w:rPr>
        <w:t xml:space="preserve"> a </w:t>
      </w:r>
      <w:r w:rsidRPr="003F23AC">
        <w:rPr>
          <w:rFonts w:cs="Times New Roman"/>
          <w:noProof/>
          <w:lang w:val="sk-SK"/>
        </w:rPr>
        <w:t>jej delegovanými aktmi (2018/2001/EÚ)</w:t>
      </w:r>
      <w:r w:rsidR="00A75B3C" w:rsidRPr="003F23AC">
        <w:rPr>
          <w:rFonts w:cs="Times New Roman"/>
          <w:noProof/>
          <w:lang w:val="sk-SK"/>
        </w:rPr>
        <w:t>.</w:t>
      </w:r>
    </w:p>
    <w:p w14:paraId="35E3136C" w14:textId="491EE6BA" w:rsidR="00A75B3C" w:rsidRPr="003F23AC" w:rsidRDefault="000F5AA4" w:rsidP="003F23AC">
      <w:pPr>
        <w:pStyle w:val="P68B1DB1-Bodytext2020"/>
        <w:spacing w:before="40" w:after="0" w:line="259" w:lineRule="auto"/>
        <w:ind w:firstLine="0"/>
        <w:jc w:val="both"/>
        <w:rPr>
          <w:rFonts w:cs="Times New Roman"/>
          <w:noProof/>
          <w:lang w:val="sk-SK"/>
        </w:rPr>
      </w:pPr>
      <w:r w:rsidRPr="003F23AC">
        <w:rPr>
          <w:rFonts w:cs="Times New Roman"/>
          <w:noProof/>
          <w:lang w:val="sk-SK"/>
        </w:rPr>
        <w:t>Investície musia mať veľmi osobitné zameranie</w:t>
      </w:r>
      <w:r w:rsidR="00A75B3C" w:rsidRPr="003F23AC">
        <w:rPr>
          <w:rFonts w:cs="Times New Roman"/>
          <w:noProof/>
          <w:lang w:val="sk-SK"/>
        </w:rPr>
        <w:t xml:space="preserve"> a </w:t>
      </w:r>
      <w:r w:rsidRPr="003F23AC">
        <w:rPr>
          <w:rFonts w:cs="Times New Roman"/>
          <w:noProof/>
          <w:lang w:val="sk-SK"/>
        </w:rPr>
        <w:t>zamerať sa na zvýšenie inštalovanej kapacity na výrobu vodíka</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 xml:space="preserve"> a </w:t>
      </w:r>
      <w:r w:rsidRPr="003F23AC">
        <w:rPr>
          <w:rFonts w:cs="Times New Roman"/>
          <w:noProof/>
          <w:lang w:val="sk-SK"/>
        </w:rPr>
        <w:t>iných obnoviteľných plynov vrátane inštalovaného výkonu</w:t>
      </w:r>
      <w:r w:rsidR="00A75B3C" w:rsidRPr="003F23AC">
        <w:rPr>
          <w:rFonts w:cs="Times New Roman"/>
          <w:noProof/>
          <w:lang w:val="sk-SK"/>
        </w:rPr>
        <w:t xml:space="preserve"> v </w:t>
      </w:r>
      <w:r w:rsidRPr="003F23AC">
        <w:rPr>
          <w:rFonts w:cs="Times New Roman"/>
          <w:noProof/>
          <w:lang w:val="sk-SK"/>
        </w:rPr>
        <w:t>elektrolyzéroch na výrobu vodíka</w:t>
      </w:r>
      <w:r w:rsidR="00A75B3C" w:rsidRPr="003F23AC">
        <w:rPr>
          <w:rFonts w:cs="Times New Roman"/>
          <w:noProof/>
          <w:lang w:val="sk-SK"/>
        </w:rPr>
        <w:t xml:space="preserve"> z </w:t>
      </w:r>
      <w:r w:rsidRPr="003F23AC">
        <w:rPr>
          <w:rFonts w:cs="Times New Roman"/>
          <w:noProof/>
          <w:lang w:val="sk-SK"/>
        </w:rPr>
        <w:t>obnoviteľných zdrojov. Projekt sa vykonáva prostredníctvom otvorených výziev na predkladanie ponúk</w:t>
      </w:r>
      <w:r w:rsidR="00A75B3C" w:rsidRPr="003F23AC">
        <w:rPr>
          <w:rFonts w:cs="Times New Roman"/>
          <w:noProof/>
          <w:lang w:val="sk-SK"/>
        </w:rPr>
        <w:t xml:space="preserve"> s </w:t>
      </w:r>
      <w:r w:rsidRPr="003F23AC">
        <w:rPr>
          <w:rFonts w:cs="Times New Roman"/>
          <w:noProof/>
          <w:lang w:val="sk-SK"/>
        </w:rPr>
        <w:t>cieľom podporiť projekty</w:t>
      </w:r>
      <w:r w:rsidR="00A75B3C" w:rsidRPr="003F23AC">
        <w:rPr>
          <w:rFonts w:cs="Times New Roman"/>
          <w:noProof/>
          <w:lang w:val="sk-SK"/>
        </w:rPr>
        <w:t xml:space="preserve"> v </w:t>
      </w:r>
      <w:r w:rsidRPr="003F23AC">
        <w:rPr>
          <w:rFonts w:cs="Times New Roman"/>
          <w:noProof/>
          <w:lang w:val="sk-SK"/>
        </w:rPr>
        <w:t>maximálnej výške 15 000 000 EUR na jeden projekt</w:t>
      </w:r>
      <w:r w:rsidR="00A75B3C" w:rsidRPr="003F23AC">
        <w:rPr>
          <w:rFonts w:cs="Times New Roman"/>
          <w:noProof/>
          <w:lang w:val="sk-SK"/>
        </w:rPr>
        <w:t>.</w:t>
      </w:r>
    </w:p>
    <w:p w14:paraId="0025873F" w14:textId="5A2319A6" w:rsidR="00387C70" w:rsidRPr="003F23AC" w:rsidRDefault="000F5AA4" w:rsidP="003F23AC">
      <w:pPr>
        <w:pStyle w:val="P68B1DB1-Bodytext2020"/>
        <w:spacing w:before="40" w:after="0" w:line="259" w:lineRule="auto"/>
        <w:ind w:firstLine="0"/>
        <w:jc w:val="both"/>
        <w:rPr>
          <w:rFonts w:eastAsiaTheme="minorEastAsia" w:cs="Times New Roman"/>
          <w:b/>
          <w:noProof/>
          <w:lang w:val="sk-SK"/>
        </w:rPr>
      </w:pPr>
      <w:r w:rsidRPr="003F23AC">
        <w:rPr>
          <w:rFonts w:cs="Times New Roman"/>
          <w:noProof/>
          <w:lang w:val="sk-SK"/>
        </w:rPr>
        <w:t>Toto opatrenie podporuje vyspelé technológie (TRL &gt; 8), pričom podporuje nielen výrobu vodíka</w:t>
      </w:r>
      <w:r w:rsidR="00A75B3C" w:rsidRPr="003F23AC">
        <w:rPr>
          <w:rFonts w:cs="Times New Roman"/>
          <w:noProof/>
          <w:lang w:val="sk-SK"/>
        </w:rPr>
        <w:t xml:space="preserve"> z </w:t>
      </w:r>
      <w:r w:rsidRPr="003F23AC">
        <w:rPr>
          <w:rFonts w:cs="Times New Roman"/>
          <w:noProof/>
          <w:lang w:val="sk-SK"/>
        </w:rPr>
        <w:t>obnoviteľných zdrojov, ale aj výrobu iných obnoviteľných plynov prostredníctvom energetického zhodnocovania organickej zložky komunálneho odpadu, kalov</w:t>
      </w:r>
      <w:r w:rsidR="00A75B3C" w:rsidRPr="003F23AC">
        <w:rPr>
          <w:rFonts w:cs="Times New Roman"/>
          <w:noProof/>
          <w:lang w:val="sk-SK"/>
        </w:rPr>
        <w:t xml:space="preserve"> z </w:t>
      </w:r>
      <w:r w:rsidRPr="003F23AC">
        <w:rPr>
          <w:rFonts w:cs="Times New Roman"/>
          <w:noProof/>
          <w:lang w:val="sk-SK"/>
        </w:rPr>
        <w:t>čistiarní odpadových vôd, poľnohospodárskych</w:t>
      </w:r>
      <w:r w:rsidR="00A75B3C" w:rsidRPr="003F23AC">
        <w:rPr>
          <w:rFonts w:cs="Times New Roman"/>
          <w:noProof/>
          <w:lang w:val="sk-SK"/>
        </w:rPr>
        <w:t xml:space="preserve"> a </w:t>
      </w:r>
      <w:r w:rsidRPr="003F23AC">
        <w:rPr>
          <w:rFonts w:cs="Times New Roman"/>
          <w:noProof/>
          <w:lang w:val="sk-SK"/>
        </w:rPr>
        <w:t>priemyselných odpadových vôd (okrem plastového odpadu). Výroba fosílnych palív vyrobených</w:t>
      </w:r>
      <w:r w:rsidR="00A75B3C" w:rsidRPr="003F23AC">
        <w:rPr>
          <w:rFonts w:cs="Times New Roman"/>
          <w:noProof/>
          <w:lang w:val="sk-SK"/>
        </w:rPr>
        <w:t xml:space="preserve"> z </w:t>
      </w:r>
      <w:r w:rsidRPr="003F23AC">
        <w:rPr>
          <w:rFonts w:cs="Times New Roman"/>
          <w:noProof/>
          <w:lang w:val="sk-SK"/>
        </w:rPr>
        <w:t>odpadu sa nepredpokladá ako súčasť tejto investície.</w:t>
      </w:r>
    </w:p>
    <w:p w14:paraId="46B6D36C" w14:textId="3BD2B5ED" w:rsidR="00387C70" w:rsidRPr="003F23AC" w:rsidRDefault="000F5AA4" w:rsidP="003F23AC">
      <w:pPr>
        <w:pStyle w:val="P68B1DB1-Bodytext2020"/>
        <w:spacing w:before="40" w:after="0" w:line="259" w:lineRule="auto"/>
        <w:ind w:firstLine="0"/>
        <w:jc w:val="both"/>
        <w:rPr>
          <w:rFonts w:eastAsiaTheme="minorEastAsia" w:cs="Times New Roman"/>
          <w:b/>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p>
    <w:p w14:paraId="1D5BE002" w14:textId="1EC9EFBD"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bookmarkStart w:id="43" w:name="bookmark45"/>
      <w:r w:rsidRPr="003F23AC">
        <w:rPr>
          <w:rFonts w:cs="Times New Roman"/>
          <w:noProof/>
          <w:lang w:val="sk-SK"/>
        </w:rPr>
        <w:t>Investície RP-C21-i07: Technické štúdie</w:t>
      </w:r>
      <w:r w:rsidR="00A75B3C" w:rsidRPr="003F23AC">
        <w:rPr>
          <w:rFonts w:cs="Times New Roman"/>
          <w:noProof/>
          <w:lang w:val="sk-SK"/>
        </w:rPr>
        <w:t xml:space="preserve"> o </w:t>
      </w:r>
      <w:r w:rsidRPr="003F23AC">
        <w:rPr>
          <w:rFonts w:cs="Times New Roman"/>
          <w:noProof/>
          <w:lang w:val="sk-SK"/>
        </w:rPr>
        <w:t>potenciáli energie na mori</w:t>
      </w:r>
      <w:bookmarkEnd w:id="43"/>
    </w:p>
    <w:p w14:paraId="64E9BE95" w14:textId="77777777" w:rsidR="00A75B3C" w:rsidRPr="003F23AC" w:rsidRDefault="000F5AA4" w:rsidP="003F23AC">
      <w:pPr>
        <w:pStyle w:val="P68B1DB1-Bodytext2020"/>
        <w:spacing w:before="40" w:after="0" w:line="259" w:lineRule="auto"/>
        <w:ind w:firstLine="0"/>
        <w:jc w:val="both"/>
        <w:rPr>
          <w:rFonts w:cs="Times New Roman"/>
          <w:noProof/>
          <w:lang w:val="sk-SK"/>
        </w:rPr>
      </w:pPr>
      <w:bookmarkStart w:id="44" w:name="_Hlk137476371"/>
      <w:r w:rsidRPr="003F23AC">
        <w:rPr>
          <w:rFonts w:cs="Times New Roman"/>
          <w:noProof/>
          <w:lang w:val="sk-SK"/>
        </w:rPr>
        <w:t>Cieľom tejto investície je umožniť portugalskému štátu uskutočniť verejné súťaže na inštaláciu plávajúcich veterných elektrární na mori</w:t>
      </w:r>
      <w:r w:rsidR="00A75B3C" w:rsidRPr="003F23AC">
        <w:rPr>
          <w:rFonts w:cs="Times New Roman"/>
          <w:noProof/>
          <w:lang w:val="sk-SK"/>
        </w:rPr>
        <w:t>.</w:t>
      </w:r>
    </w:p>
    <w:p w14:paraId="40480DB0" w14:textId="67F92984" w:rsidR="00A75B3C" w:rsidRPr="003F23AC" w:rsidRDefault="000F5AA4" w:rsidP="003F23AC">
      <w:pPr>
        <w:pStyle w:val="P68B1DB1-Bodytext2020"/>
        <w:spacing w:before="40" w:after="0" w:line="259" w:lineRule="auto"/>
        <w:ind w:firstLine="0"/>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rozvoja geofyzikálnych, geotechnických, veterných, vĺn</w:t>
      </w:r>
      <w:r w:rsidR="00A75B3C" w:rsidRPr="003F23AC">
        <w:rPr>
          <w:rFonts w:cs="Times New Roman"/>
          <w:noProof/>
          <w:lang w:val="sk-SK"/>
        </w:rPr>
        <w:t xml:space="preserve"> a </w:t>
      </w:r>
      <w:r w:rsidRPr="003F23AC">
        <w:rPr>
          <w:rFonts w:cs="Times New Roman"/>
          <w:noProof/>
          <w:lang w:val="sk-SK"/>
        </w:rPr>
        <w:t>súčasných štúdií</w:t>
      </w:r>
      <w:r w:rsidR="00A75B3C" w:rsidRPr="003F23AC">
        <w:rPr>
          <w:rFonts w:cs="Times New Roman"/>
          <w:noProof/>
          <w:lang w:val="sk-SK"/>
        </w:rPr>
        <w:t xml:space="preserve"> s </w:t>
      </w:r>
      <w:r w:rsidRPr="003F23AC">
        <w:rPr>
          <w:rFonts w:cs="Times New Roman"/>
          <w:noProof/>
          <w:lang w:val="sk-SK"/>
        </w:rPr>
        <w:t>vysokým rozlíšením</w:t>
      </w:r>
      <w:r w:rsidR="00A75B3C" w:rsidRPr="003F23AC">
        <w:rPr>
          <w:rFonts w:cs="Times New Roman"/>
          <w:noProof/>
          <w:lang w:val="sk-SK"/>
        </w:rPr>
        <w:t xml:space="preserve"> v </w:t>
      </w:r>
      <w:r w:rsidRPr="003F23AC">
        <w:rPr>
          <w:rFonts w:cs="Times New Roman"/>
          <w:noProof/>
          <w:lang w:val="sk-SK"/>
        </w:rPr>
        <w:t>oblasti</w:t>
      </w:r>
      <w:r w:rsidR="00A75B3C" w:rsidRPr="003F23AC">
        <w:rPr>
          <w:rFonts w:cs="Times New Roman"/>
          <w:noProof/>
          <w:lang w:val="sk-SK"/>
        </w:rPr>
        <w:t xml:space="preserve"> s </w:t>
      </w:r>
      <w:r w:rsidRPr="003F23AC">
        <w:rPr>
          <w:rFonts w:cs="Times New Roman"/>
          <w:noProof/>
          <w:lang w:val="sk-SK"/>
        </w:rPr>
        <w:t>rozlohou najmenej 2 000 km²</w:t>
      </w:r>
      <w:r w:rsidR="00A75B3C" w:rsidRPr="003F23AC">
        <w:rPr>
          <w:rFonts w:cs="Times New Roman"/>
          <w:noProof/>
          <w:lang w:val="sk-SK"/>
        </w:rPr>
        <w:t xml:space="preserve"> v </w:t>
      </w:r>
      <w:r w:rsidRPr="003F23AC">
        <w:rPr>
          <w:rFonts w:cs="Times New Roman"/>
          <w:noProof/>
          <w:lang w:val="sk-SK"/>
        </w:rPr>
        <w:t>Atlantickom oceáne. Štúdie po ich dokončení budú slúžiť ako základ pre začatie následných aukcií pre oblasti na mori uvedené</w:t>
      </w:r>
      <w:r w:rsidR="00A75B3C" w:rsidRPr="003F23AC">
        <w:rPr>
          <w:rFonts w:cs="Times New Roman"/>
          <w:noProof/>
          <w:lang w:val="sk-SK"/>
        </w:rPr>
        <w:t xml:space="preserve"> v </w:t>
      </w:r>
      <w:r w:rsidRPr="003F23AC">
        <w:rPr>
          <w:rFonts w:cs="Times New Roman"/>
          <w:noProof/>
          <w:lang w:val="sk-SK"/>
        </w:rPr>
        <w:t>národnom pláne námorného priestorového plánovania (PSOEM)</w:t>
      </w:r>
      <w:r w:rsidR="00A75B3C" w:rsidRPr="003F23AC">
        <w:rPr>
          <w:rFonts w:cs="Times New Roman"/>
          <w:noProof/>
          <w:lang w:val="sk-SK"/>
        </w:rPr>
        <w:t>.</w:t>
      </w:r>
    </w:p>
    <w:p w14:paraId="250EF05E" w14:textId="3909D83F" w:rsidR="00A75B3C" w:rsidRPr="003F23AC" w:rsidRDefault="000F5AA4" w:rsidP="003F23AC">
      <w:pPr>
        <w:pStyle w:val="P68B1DB1-Bodytext2020"/>
        <w:spacing w:before="40" w:after="0" w:line="259" w:lineRule="auto"/>
        <w:ind w:firstLine="0"/>
        <w:jc w:val="both"/>
        <w:rPr>
          <w:rFonts w:cs="Times New Roman"/>
          <w:noProof/>
          <w:lang w:val="sk-SK"/>
        </w:rPr>
      </w:pPr>
      <w:r w:rsidRPr="003F23AC">
        <w:rPr>
          <w:rFonts w:cs="Times New Roman"/>
          <w:noProof/>
          <w:lang w:val="sk-SK"/>
        </w:rPr>
        <w:t>Implementácia investície sa dokončí do 30</w:t>
      </w:r>
      <w:r w:rsidR="00A75B3C" w:rsidRPr="003F23AC">
        <w:rPr>
          <w:rFonts w:cs="Times New Roman"/>
          <w:noProof/>
          <w:lang w:val="sk-SK"/>
        </w:rPr>
        <w:t>. júna</w:t>
      </w:r>
      <w:r w:rsidRPr="003F23AC">
        <w:rPr>
          <w:rFonts w:cs="Times New Roman"/>
          <w:noProof/>
          <w:lang w:val="sk-SK"/>
        </w:rPr>
        <w:t xml:space="preserve"> 2026</w:t>
      </w:r>
      <w:r w:rsidR="00A75B3C" w:rsidRPr="003F23AC">
        <w:rPr>
          <w:rFonts w:cs="Times New Roman"/>
          <w:noProof/>
          <w:lang w:val="sk-SK"/>
        </w:rPr>
        <w:t>.</w:t>
      </w:r>
    </w:p>
    <w:bookmarkEnd w:id="44"/>
    <w:p w14:paraId="42F0CC47" w14:textId="7AED0655"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RP-C21-i08: Flexibilita siete</w:t>
      </w:r>
      <w:r w:rsidR="00A75B3C" w:rsidRPr="003F23AC">
        <w:rPr>
          <w:rFonts w:cs="Times New Roman"/>
          <w:noProof/>
          <w:lang w:val="sk-SK"/>
        </w:rPr>
        <w:t xml:space="preserve"> a </w:t>
      </w:r>
      <w:r w:rsidRPr="003F23AC">
        <w:rPr>
          <w:rFonts w:cs="Times New Roman"/>
          <w:noProof/>
          <w:lang w:val="sk-SK"/>
        </w:rPr>
        <w:t>skladovanie</w:t>
      </w:r>
    </w:p>
    <w:p w14:paraId="19C52DA7" w14:textId="1265717A" w:rsidR="00A75B3C" w:rsidRPr="003F23AC" w:rsidRDefault="000F5AA4" w:rsidP="003F23AC">
      <w:pPr>
        <w:pStyle w:val="P68B1DB1-Bodytext2020"/>
        <w:spacing w:before="40" w:after="0" w:line="259" w:lineRule="auto"/>
        <w:ind w:firstLine="0"/>
        <w:jc w:val="both"/>
        <w:rPr>
          <w:rFonts w:cs="Times New Roman"/>
          <w:noProof/>
          <w:lang w:val="sk-SK"/>
        </w:rPr>
      </w:pPr>
      <w:r w:rsidRPr="003F23AC">
        <w:rPr>
          <w:rFonts w:cs="Times New Roman"/>
          <w:noProof/>
          <w:lang w:val="sk-SK"/>
        </w:rPr>
        <w:t>Cieľom tejto investície je zvýšiť flexibilitu vo verejnej elektrizačnej sústave, čo umožní optimalizáciu</w:t>
      </w:r>
      <w:r w:rsidR="00A75B3C" w:rsidRPr="003F23AC">
        <w:rPr>
          <w:rFonts w:cs="Times New Roman"/>
          <w:noProof/>
          <w:lang w:val="sk-SK"/>
        </w:rPr>
        <w:t xml:space="preserve"> a </w:t>
      </w:r>
      <w:r w:rsidRPr="003F23AC">
        <w:rPr>
          <w:rFonts w:cs="Times New Roman"/>
          <w:noProof/>
          <w:lang w:val="sk-SK"/>
        </w:rPr>
        <w:t>flexibilné riadenie elektrizačnej sústavy,</w:t>
      </w:r>
      <w:r w:rsidR="00A75B3C" w:rsidRPr="003F23AC">
        <w:rPr>
          <w:rFonts w:cs="Times New Roman"/>
          <w:noProof/>
          <w:lang w:val="sk-SK"/>
        </w:rPr>
        <w:t xml:space="preserve"> a </w:t>
      </w:r>
      <w:r w:rsidRPr="003F23AC">
        <w:rPr>
          <w:rFonts w:cs="Times New Roman"/>
          <w:noProof/>
          <w:lang w:val="sk-SK"/>
        </w:rPr>
        <w:t>to aj vzhľadom na očakávaný nárast výroby</w:t>
      </w:r>
      <w:r w:rsidR="00A75B3C" w:rsidRPr="003F23AC">
        <w:rPr>
          <w:rFonts w:cs="Times New Roman"/>
          <w:noProof/>
          <w:lang w:val="sk-SK"/>
        </w:rPr>
        <w:t xml:space="preserve"> a </w:t>
      </w:r>
      <w:r w:rsidRPr="003F23AC">
        <w:rPr>
          <w:rFonts w:cs="Times New Roman"/>
          <w:noProof/>
          <w:lang w:val="sk-SK"/>
        </w:rPr>
        <w:t>spotreby elektriny</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w:t>
      </w:r>
    </w:p>
    <w:p w14:paraId="7815D6F6" w14:textId="08B3C1DF" w:rsidR="00387C70" w:rsidRPr="003F23AC" w:rsidRDefault="000F5AA4" w:rsidP="003F23AC">
      <w:pPr>
        <w:pStyle w:val="P68B1DB1-Bodytext2020"/>
        <w:spacing w:before="40" w:after="0" w:line="259" w:lineRule="auto"/>
        <w:ind w:firstLine="0"/>
        <w:jc w:val="both"/>
        <w:rPr>
          <w:rFonts w:eastAsiaTheme="minorEastAsia" w:cs="Times New Roman"/>
          <w:noProof/>
          <w:lang w:val="sk-SK"/>
        </w:rPr>
      </w:pPr>
      <w:r w:rsidRPr="003F23AC">
        <w:rPr>
          <w:rFonts w:cs="Times New Roman"/>
          <w:noProof/>
          <w:lang w:val="sk-SK"/>
        </w:rPr>
        <w:t>Investícia zahŕňa podporu na inštaláciu kapacity uskladňovania energie</w:t>
      </w:r>
      <w:r w:rsidR="00A75B3C" w:rsidRPr="003F23AC">
        <w:rPr>
          <w:rFonts w:cs="Times New Roman"/>
          <w:noProof/>
          <w:lang w:val="sk-SK"/>
        </w:rPr>
        <w:t xml:space="preserve"> v </w:t>
      </w:r>
      <w:r w:rsidRPr="003F23AC">
        <w:rPr>
          <w:rFonts w:cs="Times New Roman"/>
          <w:noProof/>
          <w:lang w:val="sk-SK"/>
        </w:rPr>
        <w:t>elektrizačnej sústave</w:t>
      </w:r>
      <w:r w:rsidR="00A75B3C" w:rsidRPr="003F23AC">
        <w:rPr>
          <w:rFonts w:cs="Times New Roman"/>
          <w:noProof/>
          <w:lang w:val="sk-SK"/>
        </w:rPr>
        <w:t xml:space="preserve"> s </w:t>
      </w:r>
      <w:r w:rsidRPr="003F23AC">
        <w:rPr>
          <w:rFonts w:cs="Times New Roman"/>
          <w:noProof/>
          <w:lang w:val="sk-SK"/>
        </w:rPr>
        <w:t>výkonom najmenej 500 MW (na úrovni prenosu aj distribúcie). Uskladňovacia kapacita sa prideľuje na základe predbežnej identifikácie oblastí, ktoré to najviac potrebujú, ako sú oblasti</w:t>
      </w:r>
      <w:r w:rsidR="00A75B3C" w:rsidRPr="003F23AC">
        <w:rPr>
          <w:rFonts w:cs="Times New Roman"/>
          <w:noProof/>
          <w:lang w:val="sk-SK"/>
        </w:rPr>
        <w:t xml:space="preserve"> s </w:t>
      </w:r>
      <w:r w:rsidRPr="003F23AC">
        <w:rPr>
          <w:rFonts w:cs="Times New Roman"/>
          <w:noProof/>
          <w:lang w:val="sk-SK"/>
        </w:rPr>
        <w:t>najväčšími obmedzeniami siete alebo oblasti</w:t>
      </w:r>
      <w:r w:rsidR="00A75B3C" w:rsidRPr="003F23AC">
        <w:rPr>
          <w:rFonts w:cs="Times New Roman"/>
          <w:noProof/>
          <w:lang w:val="sk-SK"/>
        </w:rPr>
        <w:t xml:space="preserve"> s </w:t>
      </w:r>
      <w:r w:rsidRPr="003F23AC">
        <w:rPr>
          <w:rFonts w:cs="Times New Roman"/>
          <w:noProof/>
          <w:lang w:val="sk-SK"/>
        </w:rPr>
        <w:t>najvyšším prienikom energie</w:t>
      </w:r>
      <w:r w:rsidR="00A75B3C" w:rsidRPr="003F23AC">
        <w:rPr>
          <w:rFonts w:cs="Times New Roman"/>
          <w:noProof/>
          <w:lang w:val="sk-SK"/>
        </w:rPr>
        <w:t xml:space="preserve"> z </w:t>
      </w:r>
      <w:r w:rsidRPr="003F23AC">
        <w:rPr>
          <w:rFonts w:cs="Times New Roman"/>
          <w:noProof/>
          <w:lang w:val="sk-SK"/>
        </w:rPr>
        <w:t>obnoviteľných zdrojov. Projekty sa podporujú až do výšky 20</w:t>
      </w:r>
      <w:r w:rsidR="00A75B3C" w:rsidRPr="003F23AC">
        <w:rPr>
          <w:rFonts w:cs="Times New Roman"/>
          <w:noProof/>
          <w:lang w:val="sk-SK"/>
        </w:rPr>
        <w:t> %</w:t>
      </w:r>
      <w:r w:rsidRPr="003F23AC">
        <w:rPr>
          <w:rFonts w:cs="Times New Roman"/>
          <w:noProof/>
          <w:lang w:val="sk-SK"/>
        </w:rPr>
        <w:t xml:space="preserve"> oprávnených nákladov.</w:t>
      </w:r>
    </w:p>
    <w:p w14:paraId="78E4950C" w14:textId="3887CF8B" w:rsidR="00387C70" w:rsidRPr="003F23AC" w:rsidRDefault="000F5AA4" w:rsidP="003F23AC">
      <w:pPr>
        <w:pStyle w:val="P68B1DB1-Bodytext2020"/>
        <w:spacing w:before="40" w:after="0" w:line="259" w:lineRule="auto"/>
        <w:ind w:firstLine="0"/>
        <w:jc w:val="both"/>
        <w:rPr>
          <w:rFonts w:eastAsiaTheme="minorEastAsia" w:cs="Times New Roman"/>
          <w:noProof/>
          <w:lang w:val="sk-SK"/>
        </w:rPr>
      </w:pPr>
      <w:r w:rsidRPr="003F23AC">
        <w:rPr>
          <w:rFonts w:cs="Times New Roman"/>
          <w:noProof/>
          <w:lang w:val="sk-SK"/>
        </w:rPr>
        <w:t>Implementácia tejto investície sa dokončí do 31</w:t>
      </w:r>
      <w:r w:rsidR="00A75B3C" w:rsidRPr="003F23AC">
        <w:rPr>
          <w:rFonts w:cs="Times New Roman"/>
          <w:noProof/>
          <w:lang w:val="sk-SK"/>
        </w:rPr>
        <w:t>. decembra</w:t>
      </w:r>
      <w:r w:rsidRPr="003F23AC">
        <w:rPr>
          <w:rFonts w:cs="Times New Roman"/>
          <w:noProof/>
          <w:lang w:val="sk-SK"/>
        </w:rPr>
        <w:t xml:space="preserve"> 2025.</w:t>
      </w:r>
    </w:p>
    <w:p w14:paraId="60EBD781" w14:textId="32CFD6A5"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bookmarkStart w:id="45" w:name="_Toc137472488"/>
      <w:r w:rsidRPr="003F23AC">
        <w:rPr>
          <w:rFonts w:cs="Times New Roman"/>
          <w:noProof/>
          <w:lang w:val="sk-SK"/>
        </w:rPr>
        <w:t>Investície RP-C21-i09: Jednotné kontaktné miesto pre udeľovanie licencií</w:t>
      </w:r>
      <w:r w:rsidR="00A75B3C" w:rsidRPr="003F23AC">
        <w:rPr>
          <w:rFonts w:cs="Times New Roman"/>
          <w:noProof/>
          <w:lang w:val="sk-SK"/>
        </w:rPr>
        <w:t xml:space="preserve"> a </w:t>
      </w:r>
      <w:r w:rsidRPr="003F23AC">
        <w:rPr>
          <w:rFonts w:cs="Times New Roman"/>
          <w:noProof/>
          <w:lang w:val="sk-SK"/>
        </w:rPr>
        <w:t>monitorovanie projektov</w:t>
      </w:r>
      <w:r w:rsidR="00A75B3C" w:rsidRPr="003F23AC">
        <w:rPr>
          <w:rFonts w:cs="Times New Roman"/>
          <w:noProof/>
          <w:lang w:val="sk-SK"/>
        </w:rPr>
        <w:t xml:space="preserve"> v </w:t>
      </w:r>
      <w:bookmarkEnd w:id="45"/>
      <w:r w:rsidRPr="003F23AC">
        <w:rPr>
          <w:rFonts w:cs="Times New Roman"/>
          <w:noProof/>
          <w:lang w:val="sk-SK"/>
        </w:rPr>
        <w:t>oblasti energie</w:t>
      </w:r>
      <w:r w:rsidR="00A75B3C" w:rsidRPr="003F23AC">
        <w:rPr>
          <w:rFonts w:cs="Times New Roman"/>
          <w:noProof/>
          <w:lang w:val="sk-SK"/>
        </w:rPr>
        <w:t xml:space="preserve"> z </w:t>
      </w:r>
      <w:r w:rsidRPr="003F23AC">
        <w:rPr>
          <w:rFonts w:cs="Times New Roman"/>
          <w:noProof/>
          <w:lang w:val="sk-SK"/>
        </w:rPr>
        <w:t>obnoviteľných zdrojov</w:t>
      </w:r>
    </w:p>
    <w:p w14:paraId="751E2512" w14:textId="6525DF0A"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Cieľom tejto investície je uľahčiť rozvoj projektov</w:t>
      </w:r>
      <w:r w:rsidR="00A75B3C" w:rsidRPr="003F23AC">
        <w:rPr>
          <w:rFonts w:cs="Times New Roman"/>
          <w:noProof/>
          <w:lang w:val="sk-SK"/>
        </w:rPr>
        <w:t xml:space="preserve"> v </w:t>
      </w:r>
      <w:r w:rsidRPr="003F23AC">
        <w:rPr>
          <w:rFonts w:cs="Times New Roman"/>
          <w:noProof/>
          <w:lang w:val="sk-SK"/>
        </w:rPr>
        <w:t>oblasti energie</w:t>
      </w:r>
      <w:r w:rsidR="00A75B3C" w:rsidRPr="003F23AC">
        <w:rPr>
          <w:rFonts w:cs="Times New Roman"/>
          <w:noProof/>
          <w:lang w:val="sk-SK"/>
        </w:rPr>
        <w:t xml:space="preserve"> z </w:t>
      </w:r>
      <w:r w:rsidRPr="003F23AC">
        <w:rPr>
          <w:rFonts w:cs="Times New Roman"/>
          <w:noProof/>
          <w:lang w:val="sk-SK"/>
        </w:rPr>
        <w:t>obnoviteľných zdrojov vytvorením digitálnej platformy jednotného kontaktného miesta na povoľovanie</w:t>
      </w:r>
      <w:r w:rsidR="00A75B3C" w:rsidRPr="003F23AC">
        <w:rPr>
          <w:rFonts w:cs="Times New Roman"/>
          <w:noProof/>
          <w:lang w:val="sk-SK"/>
        </w:rPr>
        <w:t xml:space="preserve"> a </w:t>
      </w:r>
      <w:r w:rsidRPr="003F23AC">
        <w:rPr>
          <w:rFonts w:cs="Times New Roman"/>
          <w:noProof/>
          <w:lang w:val="sk-SK"/>
        </w:rPr>
        <w:t>monitorovanie projektov</w:t>
      </w:r>
      <w:r w:rsidR="00A75B3C" w:rsidRPr="003F23AC">
        <w:rPr>
          <w:rFonts w:cs="Times New Roman"/>
          <w:noProof/>
          <w:lang w:val="sk-SK"/>
        </w:rPr>
        <w:t xml:space="preserve"> v </w:t>
      </w:r>
      <w:r w:rsidRPr="003F23AC">
        <w:rPr>
          <w:rFonts w:cs="Times New Roman"/>
          <w:noProof/>
          <w:lang w:val="sk-SK"/>
        </w:rPr>
        <w:t>oblasti energie</w:t>
      </w:r>
      <w:r w:rsidR="00A75B3C" w:rsidRPr="003F23AC">
        <w:rPr>
          <w:rFonts w:cs="Times New Roman"/>
          <w:noProof/>
          <w:lang w:val="sk-SK"/>
        </w:rPr>
        <w:t xml:space="preserve"> z </w:t>
      </w:r>
      <w:r w:rsidRPr="003F23AC">
        <w:rPr>
          <w:rFonts w:cs="Times New Roman"/>
          <w:noProof/>
          <w:lang w:val="sk-SK"/>
        </w:rPr>
        <w:t>obnoviteľných zdrojov</w:t>
      </w:r>
      <w:r w:rsidR="00A75B3C" w:rsidRPr="003F23AC">
        <w:rPr>
          <w:rFonts w:cs="Times New Roman"/>
          <w:noProof/>
          <w:lang w:val="sk-SK"/>
        </w:rPr>
        <w:t>.</w:t>
      </w:r>
    </w:p>
    <w:p w14:paraId="5DFA9FE5" w14:textId="529F777B" w:rsidR="00387C70"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vývoja</w:t>
      </w:r>
      <w:r w:rsidR="00A75B3C" w:rsidRPr="003F23AC">
        <w:rPr>
          <w:rFonts w:cs="Times New Roman"/>
          <w:noProof/>
          <w:lang w:val="sk-SK"/>
        </w:rPr>
        <w:t xml:space="preserve"> a </w:t>
      </w:r>
      <w:r w:rsidRPr="003F23AC">
        <w:rPr>
          <w:rFonts w:cs="Times New Roman"/>
          <w:noProof/>
          <w:lang w:val="sk-SK"/>
        </w:rPr>
        <w:t>spustenia digitálnej platformy jednotného kontaktného miesta. Platforma zahŕňa tieto funkcie:</w:t>
      </w:r>
    </w:p>
    <w:p w14:paraId="72D50388" w14:textId="51F13468" w:rsidR="00387C70" w:rsidRPr="003F23AC" w:rsidRDefault="000F5AA4" w:rsidP="003F23AC">
      <w:pPr>
        <w:pStyle w:val="ListParagraph"/>
        <w:keepNext w:val="0"/>
        <w:numPr>
          <w:ilvl w:val="0"/>
          <w:numId w:val="91"/>
        </w:numPr>
        <w:spacing w:beforeLines="40" w:before="96" w:after="0" w:line="22" w:lineRule="atLeast"/>
        <w:rPr>
          <w:rFonts w:eastAsia="MS Mincho"/>
          <w:noProof/>
          <w:lang w:val="sk-SK"/>
        </w:rPr>
      </w:pPr>
      <w:r w:rsidRPr="003F23AC">
        <w:rPr>
          <w:noProof/>
          <w:lang w:val="sk-SK"/>
        </w:rPr>
        <w:t>Modul udeľovania licencií pre projekty vlastnej spotreby</w:t>
      </w:r>
      <w:r w:rsidR="00A75B3C" w:rsidRPr="003F23AC">
        <w:rPr>
          <w:noProof/>
          <w:lang w:val="sk-SK"/>
        </w:rPr>
        <w:t xml:space="preserve"> a </w:t>
      </w:r>
      <w:r w:rsidRPr="003F23AC">
        <w:rPr>
          <w:noProof/>
          <w:lang w:val="sk-SK"/>
        </w:rPr>
        <w:t>komunity vyrábajúce energiu</w:t>
      </w:r>
      <w:r w:rsidR="00A75B3C" w:rsidRPr="003F23AC">
        <w:rPr>
          <w:noProof/>
          <w:lang w:val="sk-SK"/>
        </w:rPr>
        <w:t xml:space="preserve"> z </w:t>
      </w:r>
      <w:r w:rsidRPr="003F23AC">
        <w:rPr>
          <w:noProof/>
          <w:lang w:val="sk-SK"/>
        </w:rPr>
        <w:t>obnoviteľných zdrojov</w:t>
      </w:r>
      <w:r w:rsidR="00A75B3C" w:rsidRPr="003F23AC">
        <w:rPr>
          <w:noProof/>
          <w:lang w:val="sk-SK"/>
        </w:rPr>
        <w:t xml:space="preserve"> a </w:t>
      </w:r>
      <w:r w:rsidRPr="003F23AC">
        <w:rPr>
          <w:noProof/>
          <w:lang w:val="sk-SK"/>
        </w:rPr>
        <w:t>na skladovanie</w:t>
      </w:r>
      <w:r w:rsidR="00A75B3C" w:rsidRPr="003F23AC">
        <w:rPr>
          <w:noProof/>
          <w:lang w:val="sk-SK"/>
        </w:rPr>
        <w:t xml:space="preserve"> v </w:t>
      </w:r>
      <w:r w:rsidRPr="003F23AC">
        <w:rPr>
          <w:noProof/>
          <w:lang w:val="sk-SK"/>
        </w:rPr>
        <w:t>systémoch za meradlom;</w:t>
      </w:r>
    </w:p>
    <w:p w14:paraId="70F57575" w14:textId="64BB5548" w:rsidR="00387C70" w:rsidRPr="003F23AC" w:rsidRDefault="000F5AA4" w:rsidP="003F23AC">
      <w:pPr>
        <w:pStyle w:val="ListParagraph"/>
        <w:keepNext w:val="0"/>
        <w:numPr>
          <w:ilvl w:val="0"/>
          <w:numId w:val="91"/>
        </w:numPr>
        <w:spacing w:beforeLines="40" w:before="96" w:after="0" w:line="22" w:lineRule="atLeast"/>
        <w:rPr>
          <w:rFonts w:eastAsia="MS Mincho"/>
          <w:noProof/>
          <w:lang w:val="sk-SK"/>
        </w:rPr>
      </w:pPr>
      <w:r w:rsidRPr="003F23AC">
        <w:rPr>
          <w:noProof/>
          <w:lang w:val="sk-SK"/>
        </w:rPr>
        <w:t>Modul udeľovania licencií pre centralizované projekty</w:t>
      </w:r>
      <w:r w:rsidR="00A75B3C" w:rsidRPr="003F23AC">
        <w:rPr>
          <w:noProof/>
          <w:lang w:val="sk-SK"/>
        </w:rPr>
        <w:t xml:space="preserve"> v </w:t>
      </w:r>
      <w:r w:rsidRPr="003F23AC">
        <w:rPr>
          <w:noProof/>
          <w:lang w:val="sk-SK"/>
        </w:rPr>
        <w:t>oblasti energie</w:t>
      </w:r>
      <w:r w:rsidR="00A75B3C" w:rsidRPr="003F23AC">
        <w:rPr>
          <w:noProof/>
          <w:lang w:val="sk-SK"/>
        </w:rPr>
        <w:t xml:space="preserve"> z </w:t>
      </w:r>
      <w:r w:rsidRPr="003F23AC">
        <w:rPr>
          <w:noProof/>
          <w:lang w:val="sk-SK"/>
        </w:rPr>
        <w:t>obnoviteľných zdrojov výlučne</w:t>
      </w:r>
      <w:r w:rsidR="00A75B3C" w:rsidRPr="003F23AC">
        <w:rPr>
          <w:noProof/>
          <w:lang w:val="sk-SK"/>
        </w:rPr>
        <w:t xml:space="preserve"> v </w:t>
      </w:r>
      <w:r w:rsidRPr="003F23AC">
        <w:rPr>
          <w:noProof/>
          <w:lang w:val="sk-SK"/>
        </w:rPr>
        <w:t>sieti</w:t>
      </w:r>
      <w:r w:rsidR="00A75B3C" w:rsidRPr="003F23AC">
        <w:rPr>
          <w:noProof/>
          <w:lang w:val="sk-SK"/>
        </w:rPr>
        <w:t xml:space="preserve"> a </w:t>
      </w:r>
      <w:r w:rsidRPr="003F23AC">
        <w:rPr>
          <w:noProof/>
          <w:lang w:val="sk-SK"/>
        </w:rPr>
        <w:t>pre skladovanie</w:t>
      </w:r>
      <w:r w:rsidR="00A75B3C" w:rsidRPr="003F23AC">
        <w:rPr>
          <w:noProof/>
          <w:lang w:val="sk-SK"/>
        </w:rPr>
        <w:t xml:space="preserve"> v </w:t>
      </w:r>
      <w:r w:rsidRPr="003F23AC">
        <w:rPr>
          <w:noProof/>
          <w:lang w:val="sk-SK"/>
        </w:rPr>
        <w:t>systémoch za meradlom;</w:t>
      </w:r>
    </w:p>
    <w:p w14:paraId="13F81EB8" w14:textId="77777777" w:rsidR="00A75B3C" w:rsidRPr="003F23AC" w:rsidRDefault="000F5AA4" w:rsidP="003F23AC">
      <w:pPr>
        <w:pStyle w:val="ListParagraph"/>
        <w:keepNext w:val="0"/>
        <w:numPr>
          <w:ilvl w:val="0"/>
          <w:numId w:val="91"/>
        </w:numPr>
        <w:spacing w:beforeLines="40" w:before="96" w:after="0" w:line="22" w:lineRule="atLeast"/>
        <w:rPr>
          <w:noProof/>
          <w:lang w:val="sk-SK"/>
        </w:rPr>
      </w:pPr>
      <w:r w:rsidRPr="003F23AC">
        <w:rPr>
          <w:noProof/>
          <w:lang w:val="sk-SK"/>
        </w:rPr>
        <w:t>Modul udeľovania licencií pre projekty zamerané len na ukladanie</w:t>
      </w:r>
      <w:r w:rsidR="00A75B3C" w:rsidRPr="003F23AC">
        <w:rPr>
          <w:noProof/>
          <w:lang w:val="sk-SK"/>
        </w:rPr>
        <w:t>;</w:t>
      </w:r>
    </w:p>
    <w:p w14:paraId="3174EBE6" w14:textId="49302A00" w:rsidR="00387C70" w:rsidRPr="003F23AC" w:rsidRDefault="000F5AA4" w:rsidP="003F23AC">
      <w:pPr>
        <w:pStyle w:val="ListParagraph"/>
        <w:keepNext w:val="0"/>
        <w:numPr>
          <w:ilvl w:val="0"/>
          <w:numId w:val="91"/>
        </w:numPr>
        <w:spacing w:beforeLines="40" w:before="96" w:after="0" w:line="22" w:lineRule="atLeast"/>
        <w:rPr>
          <w:rFonts w:eastAsia="MS Mincho"/>
          <w:noProof/>
          <w:lang w:val="sk-SK"/>
        </w:rPr>
      </w:pPr>
      <w:r w:rsidRPr="003F23AC">
        <w:rPr>
          <w:noProof/>
          <w:lang w:val="sk-SK"/>
        </w:rPr>
        <w:t>Modul pozorovateľnosti</w:t>
      </w:r>
      <w:r w:rsidR="00A75B3C" w:rsidRPr="003F23AC">
        <w:rPr>
          <w:noProof/>
          <w:lang w:val="sk-SK"/>
        </w:rPr>
        <w:t xml:space="preserve"> a </w:t>
      </w:r>
      <w:r w:rsidRPr="003F23AC">
        <w:rPr>
          <w:noProof/>
          <w:lang w:val="sk-SK"/>
        </w:rPr>
        <w:t>štatistiky pre projekty</w:t>
      </w:r>
      <w:r w:rsidR="00A75B3C" w:rsidRPr="003F23AC">
        <w:rPr>
          <w:noProof/>
          <w:lang w:val="sk-SK"/>
        </w:rPr>
        <w:t xml:space="preserve"> v </w:t>
      </w:r>
      <w:r w:rsidRPr="003F23AC">
        <w:rPr>
          <w:noProof/>
          <w:lang w:val="sk-SK"/>
        </w:rPr>
        <w:t>oblasti energie</w:t>
      </w:r>
      <w:r w:rsidR="00A75B3C" w:rsidRPr="003F23AC">
        <w:rPr>
          <w:noProof/>
          <w:lang w:val="sk-SK"/>
        </w:rPr>
        <w:t xml:space="preserve"> z </w:t>
      </w:r>
      <w:r w:rsidRPr="003F23AC">
        <w:rPr>
          <w:noProof/>
          <w:lang w:val="sk-SK"/>
        </w:rPr>
        <w:t>obnoviteľných zdrojov.</w:t>
      </w:r>
    </w:p>
    <w:p w14:paraId="0BA8BC54" w14:textId="2E1613C0"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Jednotné kontaktné miesto sa vytvorí</w:t>
      </w:r>
      <w:r w:rsidR="00A75B3C" w:rsidRPr="003F23AC">
        <w:rPr>
          <w:rFonts w:cs="Times New Roman"/>
          <w:noProof/>
          <w:lang w:val="sk-SK"/>
        </w:rPr>
        <w:t xml:space="preserve"> v </w:t>
      </w:r>
      <w:r w:rsidRPr="003F23AC">
        <w:rPr>
          <w:rFonts w:cs="Times New Roman"/>
          <w:noProof/>
          <w:lang w:val="sk-SK"/>
        </w:rPr>
        <w:t>dvoch fázach</w:t>
      </w:r>
      <w:r w:rsidR="00A75B3C" w:rsidRPr="003F23AC">
        <w:rPr>
          <w:rFonts w:cs="Times New Roman"/>
          <w:noProof/>
          <w:lang w:val="sk-SK"/>
        </w:rPr>
        <w:t>:</w:t>
      </w:r>
    </w:p>
    <w:p w14:paraId="1675B411" w14:textId="7B30001D" w:rsidR="00A75B3C" w:rsidRPr="003F23AC" w:rsidRDefault="000F5AA4" w:rsidP="003F23AC">
      <w:pPr>
        <w:pStyle w:val="ListParagraph"/>
        <w:keepNext w:val="0"/>
        <w:numPr>
          <w:ilvl w:val="0"/>
          <w:numId w:val="92"/>
        </w:numPr>
        <w:spacing w:beforeLines="40" w:before="96" w:after="0" w:line="22" w:lineRule="atLeast"/>
        <w:rPr>
          <w:noProof/>
          <w:lang w:val="sk-SK"/>
        </w:rPr>
      </w:pPr>
      <w:r w:rsidRPr="003F23AC">
        <w:rPr>
          <w:noProof/>
          <w:lang w:val="sk-SK"/>
        </w:rPr>
        <w:t>V prvej fáze bude mať digitálna platforma</w:t>
      </w:r>
      <w:r w:rsidR="00A75B3C" w:rsidRPr="003F23AC">
        <w:rPr>
          <w:noProof/>
          <w:lang w:val="sk-SK"/>
        </w:rPr>
        <w:t xml:space="preserve"> v </w:t>
      </w:r>
      <w:r w:rsidRPr="003F23AC">
        <w:rPr>
          <w:noProof/>
          <w:lang w:val="sk-SK"/>
        </w:rPr>
        <w:t>prevádzke tri moduly udeľovania licencií, ktoré používateľom umožnia monitorovať rôzne kroky licenčného konania (vrátane fázy vývoja, uvedenia do prevádzky, testovania</w:t>
      </w:r>
      <w:r w:rsidR="00A75B3C" w:rsidRPr="003F23AC">
        <w:rPr>
          <w:noProof/>
          <w:lang w:val="sk-SK"/>
        </w:rPr>
        <w:t xml:space="preserve"> a </w:t>
      </w:r>
      <w:r w:rsidRPr="003F23AC">
        <w:rPr>
          <w:noProof/>
          <w:lang w:val="sk-SK"/>
        </w:rPr>
        <w:t>uvedenia do prevádzky). Platforma predkladá požiadavky</w:t>
      </w:r>
      <w:r w:rsidR="00A75B3C" w:rsidRPr="003F23AC">
        <w:rPr>
          <w:noProof/>
          <w:lang w:val="sk-SK"/>
        </w:rPr>
        <w:t xml:space="preserve"> a </w:t>
      </w:r>
      <w:r w:rsidRPr="003F23AC">
        <w:rPr>
          <w:noProof/>
          <w:lang w:val="sk-SK"/>
        </w:rPr>
        <w:t>lehoty týkajúce sa udeľovania licencií na projekty súvisiace</w:t>
      </w:r>
      <w:r w:rsidR="00A75B3C" w:rsidRPr="003F23AC">
        <w:rPr>
          <w:noProof/>
          <w:lang w:val="sk-SK"/>
        </w:rPr>
        <w:t xml:space="preserve"> s </w:t>
      </w:r>
      <w:r w:rsidRPr="003F23AC">
        <w:rPr>
          <w:noProof/>
          <w:lang w:val="sk-SK"/>
        </w:rPr>
        <w:t>energiou</w:t>
      </w:r>
      <w:r w:rsidR="00A75B3C" w:rsidRPr="003F23AC">
        <w:rPr>
          <w:noProof/>
          <w:lang w:val="sk-SK"/>
        </w:rPr>
        <w:t xml:space="preserve"> z </w:t>
      </w:r>
      <w:r w:rsidRPr="003F23AC">
        <w:rPr>
          <w:noProof/>
          <w:lang w:val="sk-SK"/>
        </w:rPr>
        <w:t>obnoviteľných zdrojov</w:t>
      </w:r>
      <w:r w:rsidR="00A75B3C" w:rsidRPr="003F23AC">
        <w:rPr>
          <w:noProof/>
          <w:lang w:val="sk-SK"/>
        </w:rPr>
        <w:t>.</w:t>
      </w:r>
    </w:p>
    <w:p w14:paraId="0618FDB3" w14:textId="63EC1B4D" w:rsidR="00A75B3C" w:rsidRPr="003F23AC" w:rsidRDefault="000F5AA4" w:rsidP="003F23AC">
      <w:pPr>
        <w:pStyle w:val="ListParagraph"/>
        <w:keepNext w:val="0"/>
        <w:numPr>
          <w:ilvl w:val="0"/>
          <w:numId w:val="92"/>
        </w:numPr>
        <w:spacing w:beforeLines="40" w:before="96" w:after="0" w:line="22" w:lineRule="atLeast"/>
        <w:rPr>
          <w:noProof/>
          <w:lang w:val="sk-SK"/>
        </w:rPr>
      </w:pPr>
      <w:r w:rsidRPr="003F23AC">
        <w:rPr>
          <w:noProof/>
          <w:lang w:val="sk-SK"/>
        </w:rPr>
        <w:t>V druhej fáze musí mať digitálna platforma aj funkčné moduly pozorovania</w:t>
      </w:r>
      <w:r w:rsidR="00A75B3C" w:rsidRPr="003F23AC">
        <w:rPr>
          <w:noProof/>
          <w:lang w:val="sk-SK"/>
        </w:rPr>
        <w:t xml:space="preserve"> a </w:t>
      </w:r>
      <w:r w:rsidRPr="003F23AC">
        <w:rPr>
          <w:noProof/>
          <w:lang w:val="sk-SK"/>
        </w:rPr>
        <w:t>štatistiky, ktoré používateľom umožňujú vkladať údaje</w:t>
      </w:r>
      <w:r w:rsidR="00A75B3C" w:rsidRPr="003F23AC">
        <w:rPr>
          <w:noProof/>
          <w:lang w:val="sk-SK"/>
        </w:rPr>
        <w:t xml:space="preserve"> a </w:t>
      </w:r>
      <w:r w:rsidRPr="003F23AC">
        <w:rPr>
          <w:noProof/>
          <w:lang w:val="sk-SK"/>
        </w:rPr>
        <w:t>vymieňať si dokumenty týkajúce sa postupov udeľovania licencií, ako aj vykonávania licencovaného projektu. Platforma zahŕňa funkcie diaľkového pozorovania (satelitného zobrazovania) na zlepšenie monitorovania realizácie projektov verejnými orgánmi</w:t>
      </w:r>
      <w:r w:rsidR="00A75B3C" w:rsidRPr="003F23AC">
        <w:rPr>
          <w:noProof/>
          <w:lang w:val="sk-SK"/>
        </w:rPr>
        <w:t>.</w:t>
      </w:r>
    </w:p>
    <w:p w14:paraId="55461F5B" w14:textId="307255DE"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Okrem toho investícia zahŕňa dematerializáciu (digitalizáciu, archiváciu</w:t>
      </w:r>
      <w:r w:rsidR="00A75B3C" w:rsidRPr="003F23AC">
        <w:rPr>
          <w:rFonts w:cs="Times New Roman"/>
          <w:noProof/>
          <w:lang w:val="sk-SK"/>
        </w:rPr>
        <w:t xml:space="preserve"> a </w:t>
      </w:r>
      <w:r w:rsidRPr="003F23AC">
        <w:rPr>
          <w:rFonts w:cs="Times New Roman"/>
          <w:noProof/>
          <w:lang w:val="sk-SK"/>
        </w:rPr>
        <w:t>likvidáciu) existujúcich povoľovacích dokumentov, ako ich stanovilo Generálne riaditeľstvo pre energetiku</w:t>
      </w:r>
      <w:r w:rsidR="00A75B3C" w:rsidRPr="003F23AC">
        <w:rPr>
          <w:rFonts w:cs="Times New Roman"/>
          <w:noProof/>
          <w:lang w:val="sk-SK"/>
        </w:rPr>
        <w:t xml:space="preserve"> a </w:t>
      </w:r>
      <w:r w:rsidRPr="003F23AC">
        <w:rPr>
          <w:rFonts w:cs="Times New Roman"/>
          <w:noProof/>
          <w:lang w:val="sk-SK"/>
        </w:rPr>
        <w:t>geológiu</w:t>
      </w:r>
      <w:r w:rsidR="00A75B3C" w:rsidRPr="003F23AC">
        <w:rPr>
          <w:rFonts w:cs="Times New Roman"/>
          <w:noProof/>
          <w:lang w:val="sk-SK"/>
        </w:rPr>
        <w:t>.</w:t>
      </w:r>
    </w:p>
    <w:p w14:paraId="097D2455" w14:textId="75EB2717" w:rsidR="00387C70" w:rsidRPr="003F23AC" w:rsidRDefault="000F5AA4" w:rsidP="003F23AC">
      <w:pPr>
        <w:pStyle w:val="P68B1DB1-Normal4"/>
        <w:spacing w:beforeLines="40" w:before="96" w:after="0" w:line="22" w:lineRule="atLeast"/>
        <w:jc w:val="both"/>
        <w:rPr>
          <w:rFonts w:eastAsia="MS Mincho" w:cs="Times New Roman"/>
          <w:noProof/>
          <w:lang w:val="sk-SK"/>
        </w:rPr>
      </w:pPr>
      <w:r w:rsidRPr="003F23AC">
        <w:rPr>
          <w:rFonts w:cs="Times New Roman"/>
          <w:noProof/>
          <w:lang w:val="sk-SK"/>
        </w:rPr>
        <w:t>Jednotné kontaktné miesto musí byť</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„Európskym kódexom správania pre energetickú efektívnosť dátového centra“.</w:t>
      </w:r>
    </w:p>
    <w:p w14:paraId="3B2217FF" w14:textId="227255CB" w:rsidR="00A75B3C" w:rsidRPr="003F23AC" w:rsidRDefault="000F5AA4" w:rsidP="003F23AC">
      <w:pPr>
        <w:pStyle w:val="P68B1DB1-Normal4"/>
        <w:spacing w:beforeLines="40" w:before="96" w:after="0" w:line="22" w:lineRule="atLeast"/>
        <w:jc w:val="both"/>
        <w:rPr>
          <w:rFonts w:cs="Times New Roman"/>
          <w:noProof/>
          <w:lang w:val="sk-SK"/>
        </w:rPr>
      </w:pPr>
      <w:r w:rsidRPr="003F23AC">
        <w:rPr>
          <w:rFonts w:cs="Times New Roman"/>
          <w:noProof/>
          <w:lang w:val="sk-SK"/>
        </w:rPr>
        <w:t>Implementácia tejto investície sa dokončí do 30</w:t>
      </w:r>
      <w:r w:rsidR="00A75B3C" w:rsidRPr="003F23AC">
        <w:rPr>
          <w:rFonts w:cs="Times New Roman"/>
          <w:noProof/>
          <w:lang w:val="sk-SK"/>
        </w:rPr>
        <w:t>. júna</w:t>
      </w:r>
      <w:r w:rsidRPr="003F23AC">
        <w:rPr>
          <w:rFonts w:cs="Times New Roman"/>
          <w:noProof/>
          <w:lang w:val="sk-SK"/>
        </w:rPr>
        <w:t xml:space="preserve"> 2025</w:t>
      </w:r>
      <w:r w:rsidR="00A75B3C" w:rsidRPr="003F23AC">
        <w:rPr>
          <w:rFonts w:cs="Times New Roman"/>
          <w:noProof/>
          <w:lang w:val="sk-SK"/>
        </w:rPr>
        <w:t>.</w:t>
      </w:r>
    </w:p>
    <w:p w14:paraId="359C93E7" w14:textId="2F6760C4"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RP-C21-i10-RAA: Systém stimulov na nákup</w:t>
      </w:r>
      <w:r w:rsidR="00A75B3C" w:rsidRPr="003F23AC">
        <w:rPr>
          <w:rFonts w:cs="Times New Roman"/>
          <w:noProof/>
          <w:lang w:val="sk-SK"/>
        </w:rPr>
        <w:t xml:space="preserve"> a </w:t>
      </w:r>
      <w:r w:rsidRPr="003F23AC">
        <w:rPr>
          <w:rFonts w:cs="Times New Roman"/>
          <w:noProof/>
          <w:lang w:val="sk-SK"/>
        </w:rPr>
        <w:t>inštaláciu systémov uskladňovania energie</w:t>
      </w:r>
      <w:r w:rsidR="00A75B3C" w:rsidRPr="003F23AC">
        <w:rPr>
          <w:rFonts w:cs="Times New Roman"/>
          <w:noProof/>
          <w:lang w:val="sk-SK"/>
        </w:rPr>
        <w:t xml:space="preserve"> z </w:t>
      </w:r>
      <w:r w:rsidRPr="003F23AC">
        <w:rPr>
          <w:rFonts w:cs="Times New Roman"/>
          <w:noProof/>
          <w:lang w:val="sk-SK"/>
        </w:rPr>
        <w:t>obnoviteľných zdrojov na Azorských ostrovoch</w:t>
      </w:r>
    </w:p>
    <w:p w14:paraId="51720883" w14:textId="670276E2"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podporiť energetickú transformáciu na Azorách</w:t>
      </w:r>
      <w:r w:rsidR="00A75B3C" w:rsidRPr="003F23AC">
        <w:rPr>
          <w:rFonts w:cs="Times New Roman"/>
          <w:noProof/>
          <w:lang w:val="sk-SK"/>
        </w:rPr>
        <w:t xml:space="preserve"> a </w:t>
      </w:r>
      <w:r w:rsidRPr="003F23AC">
        <w:rPr>
          <w:rFonts w:cs="Times New Roman"/>
          <w:noProof/>
          <w:lang w:val="sk-SK"/>
        </w:rPr>
        <w:t>prispieť tak</w:t>
      </w:r>
      <w:r w:rsidR="00A75B3C" w:rsidRPr="003F23AC">
        <w:rPr>
          <w:rFonts w:cs="Times New Roman"/>
          <w:noProof/>
          <w:lang w:val="sk-SK"/>
        </w:rPr>
        <w:t xml:space="preserve"> k </w:t>
      </w:r>
      <w:r w:rsidRPr="003F23AC">
        <w:rPr>
          <w:rFonts w:cs="Times New Roman"/>
          <w:noProof/>
          <w:lang w:val="sk-SK"/>
        </w:rPr>
        <w:t>zvýšeniu energetickej nezávislosti súostrovia</w:t>
      </w:r>
      <w:r w:rsidR="00A75B3C" w:rsidRPr="003F23AC">
        <w:rPr>
          <w:rFonts w:cs="Times New Roman"/>
          <w:noProof/>
          <w:lang w:val="sk-SK"/>
        </w:rPr>
        <w:t>.</w:t>
      </w:r>
    </w:p>
    <w:p w14:paraId="61EA0CA6" w14:textId="5AB515F2"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 zo systému stimulov na nákup</w:t>
      </w:r>
      <w:r w:rsidR="00A75B3C" w:rsidRPr="003F23AC">
        <w:rPr>
          <w:rFonts w:cs="Times New Roman"/>
          <w:noProof/>
          <w:lang w:val="sk-SK"/>
        </w:rPr>
        <w:t xml:space="preserve"> a </w:t>
      </w:r>
      <w:r w:rsidRPr="003F23AC">
        <w:rPr>
          <w:rFonts w:cs="Times New Roman"/>
          <w:noProof/>
          <w:lang w:val="sk-SK"/>
        </w:rPr>
        <w:t>inštaláciu skladovacích systémov zameraných na skladovanie elektriny</w:t>
      </w:r>
      <w:r w:rsidR="00A75B3C" w:rsidRPr="003F23AC">
        <w:rPr>
          <w:rFonts w:cs="Times New Roman"/>
          <w:noProof/>
          <w:lang w:val="sk-SK"/>
        </w:rPr>
        <w:t xml:space="preserve"> z </w:t>
      </w:r>
      <w:r w:rsidRPr="003F23AC">
        <w:rPr>
          <w:rFonts w:cs="Times New Roman"/>
          <w:noProof/>
          <w:lang w:val="sk-SK"/>
        </w:rPr>
        <w:t>obnoviteľných zdrojov na vlastnú spotrebu domácnosťami, podnikmi, družstvami, neziskovými organizáciami</w:t>
      </w:r>
      <w:r w:rsidR="00A75B3C" w:rsidRPr="003F23AC">
        <w:rPr>
          <w:rFonts w:cs="Times New Roman"/>
          <w:noProof/>
          <w:lang w:val="sk-SK"/>
        </w:rPr>
        <w:t xml:space="preserve"> a </w:t>
      </w:r>
      <w:r w:rsidRPr="003F23AC">
        <w:rPr>
          <w:rFonts w:cs="Times New Roman"/>
          <w:noProof/>
          <w:lang w:val="sk-SK"/>
        </w:rPr>
        <w:t>charitatívnymi inštitúciami. Investícia musí byť</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regionálnou legislatívnou vyhláškou 12/2023/A, ktorou sa zaviedol až 85</w:t>
      </w:r>
      <w:r w:rsidR="00A75B3C" w:rsidRPr="003F23AC">
        <w:rPr>
          <w:rFonts w:cs="Times New Roman"/>
          <w:noProof/>
          <w:lang w:val="sk-SK"/>
        </w:rPr>
        <w:t> %</w:t>
      </w:r>
      <w:r w:rsidRPr="003F23AC">
        <w:rPr>
          <w:rFonts w:cs="Times New Roman"/>
          <w:noProof/>
          <w:lang w:val="sk-SK"/>
        </w:rPr>
        <w:t xml:space="preserve"> stimul na nákup</w:t>
      </w:r>
      <w:r w:rsidR="00A75B3C" w:rsidRPr="003F23AC">
        <w:rPr>
          <w:rFonts w:cs="Times New Roman"/>
          <w:noProof/>
          <w:lang w:val="sk-SK"/>
        </w:rPr>
        <w:t xml:space="preserve"> a </w:t>
      </w:r>
      <w:r w:rsidRPr="003F23AC">
        <w:rPr>
          <w:rFonts w:cs="Times New Roman"/>
          <w:noProof/>
          <w:lang w:val="sk-SK"/>
        </w:rPr>
        <w:t>inštaláciu systémov uskladňovania energie, ak sú určené na doplnenie fotovoltických systémov zakúpených</w:t>
      </w:r>
      <w:r w:rsidR="00A75B3C" w:rsidRPr="003F23AC">
        <w:rPr>
          <w:rFonts w:cs="Times New Roman"/>
          <w:noProof/>
          <w:lang w:val="sk-SK"/>
        </w:rPr>
        <w:t xml:space="preserve"> v </w:t>
      </w:r>
      <w:r w:rsidRPr="003F23AC">
        <w:rPr>
          <w:rFonts w:cs="Times New Roman"/>
          <w:noProof/>
          <w:lang w:val="sk-SK"/>
        </w:rPr>
        <w:t>rámci programu stimulov SOLENERGE financovaného</w:t>
      </w:r>
      <w:r w:rsidR="00A75B3C" w:rsidRPr="003F23AC">
        <w:rPr>
          <w:rFonts w:cs="Times New Roman"/>
          <w:noProof/>
          <w:lang w:val="sk-SK"/>
        </w:rPr>
        <w:t xml:space="preserve"> z </w:t>
      </w:r>
      <w:r w:rsidRPr="003F23AC">
        <w:rPr>
          <w:rFonts w:cs="Times New Roman"/>
          <w:noProof/>
          <w:lang w:val="sk-SK"/>
        </w:rPr>
        <w:t>plánu obnovy</w:t>
      </w:r>
      <w:r w:rsidR="00A75B3C" w:rsidRPr="003F23AC">
        <w:rPr>
          <w:rFonts w:cs="Times New Roman"/>
          <w:noProof/>
          <w:lang w:val="sk-SK"/>
        </w:rPr>
        <w:t xml:space="preserve"> a </w:t>
      </w:r>
      <w:r w:rsidRPr="003F23AC">
        <w:rPr>
          <w:rFonts w:cs="Times New Roman"/>
          <w:noProof/>
          <w:lang w:val="sk-SK"/>
        </w:rPr>
        <w:t>odolnosti (C14 – i03-RAA)</w:t>
      </w:r>
      <w:r w:rsidR="00A75B3C" w:rsidRPr="003F23AC">
        <w:rPr>
          <w:rFonts w:cs="Times New Roman"/>
          <w:noProof/>
          <w:lang w:val="sk-SK"/>
        </w:rPr>
        <w:t>.</w:t>
      </w:r>
    </w:p>
    <w:p w14:paraId="34BCB02E" w14:textId="0DEEEE4C"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tejto investície sa dokončí do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47B7A438" w14:textId="0917EF35"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RP-C21-i11-RAM: Systém stimulov na výrobu</w:t>
      </w:r>
      <w:r w:rsidR="00A75B3C" w:rsidRPr="003F23AC">
        <w:rPr>
          <w:rFonts w:cs="Times New Roman"/>
          <w:noProof/>
          <w:lang w:val="sk-SK"/>
        </w:rPr>
        <w:t xml:space="preserve"> a </w:t>
      </w:r>
      <w:r w:rsidRPr="003F23AC">
        <w:rPr>
          <w:rFonts w:cs="Times New Roman"/>
          <w:noProof/>
          <w:lang w:val="sk-SK"/>
        </w:rPr>
        <w:t>skladovanie energie</w:t>
      </w:r>
      <w:r w:rsidR="00A75B3C" w:rsidRPr="003F23AC">
        <w:rPr>
          <w:rFonts w:cs="Times New Roman"/>
          <w:noProof/>
          <w:lang w:val="sk-SK"/>
        </w:rPr>
        <w:t xml:space="preserve"> z </w:t>
      </w:r>
      <w:r w:rsidRPr="003F23AC">
        <w:rPr>
          <w:rFonts w:cs="Times New Roman"/>
          <w:noProof/>
          <w:lang w:val="sk-SK"/>
        </w:rPr>
        <w:t>obnoviteľných zdrojov na Madeire</w:t>
      </w:r>
      <w:r w:rsidR="00A75B3C" w:rsidRPr="003F23AC">
        <w:rPr>
          <w:rFonts w:cs="Times New Roman"/>
          <w:noProof/>
          <w:lang w:val="sk-SK"/>
        </w:rPr>
        <w:t xml:space="preserve"> a </w:t>
      </w:r>
      <w:r w:rsidRPr="003F23AC">
        <w:rPr>
          <w:rFonts w:cs="Times New Roman"/>
          <w:noProof/>
          <w:lang w:val="sk-SK"/>
        </w:rPr>
        <w:t>Porto Santo</w:t>
      </w:r>
    </w:p>
    <w:p w14:paraId="61BB5562" w14:textId="7BAC6E2A"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podporiť energetickú transformáciu</w:t>
      </w:r>
      <w:r w:rsidR="00A75B3C" w:rsidRPr="003F23AC">
        <w:rPr>
          <w:rFonts w:cs="Times New Roman"/>
          <w:noProof/>
          <w:lang w:val="sk-SK"/>
        </w:rPr>
        <w:t xml:space="preserve"> v </w:t>
      </w:r>
      <w:r w:rsidRPr="003F23AC">
        <w:rPr>
          <w:rFonts w:cs="Times New Roman"/>
          <w:noProof/>
          <w:lang w:val="sk-SK"/>
        </w:rPr>
        <w:t>autonómnej oblasti Madeira vrátane ostrova Porto Santo, čo prispeje</w:t>
      </w:r>
      <w:r w:rsidR="00A75B3C" w:rsidRPr="003F23AC">
        <w:rPr>
          <w:rFonts w:cs="Times New Roman"/>
          <w:noProof/>
          <w:lang w:val="sk-SK"/>
        </w:rPr>
        <w:t xml:space="preserve"> k </w:t>
      </w:r>
      <w:r w:rsidRPr="003F23AC">
        <w:rPr>
          <w:rFonts w:cs="Times New Roman"/>
          <w:noProof/>
          <w:lang w:val="sk-SK"/>
        </w:rPr>
        <w:t>zvýšeniu jeho energetickej nezávislosti</w:t>
      </w:r>
      <w:r w:rsidR="00A75B3C" w:rsidRPr="003F23AC">
        <w:rPr>
          <w:rFonts w:cs="Times New Roman"/>
          <w:noProof/>
          <w:lang w:val="sk-SK"/>
        </w:rPr>
        <w:t>.</w:t>
      </w:r>
    </w:p>
    <w:p w14:paraId="5A7C4D23" w14:textId="6F4055CE"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 zo systému stimulov na nákup</w:t>
      </w:r>
      <w:r w:rsidR="00A75B3C" w:rsidRPr="003F23AC">
        <w:rPr>
          <w:rFonts w:cs="Times New Roman"/>
          <w:noProof/>
          <w:lang w:val="sk-SK"/>
        </w:rPr>
        <w:t xml:space="preserve"> a </w:t>
      </w:r>
      <w:r w:rsidRPr="003F23AC">
        <w:rPr>
          <w:rFonts w:cs="Times New Roman"/>
          <w:noProof/>
          <w:lang w:val="sk-SK"/>
        </w:rPr>
        <w:t>inštaláciu systémov výroby</w:t>
      </w:r>
      <w:r w:rsidR="00A75B3C" w:rsidRPr="003F23AC">
        <w:rPr>
          <w:rFonts w:cs="Times New Roman"/>
          <w:noProof/>
          <w:lang w:val="sk-SK"/>
        </w:rPr>
        <w:t xml:space="preserve"> a </w:t>
      </w:r>
      <w:r w:rsidRPr="003F23AC">
        <w:rPr>
          <w:rFonts w:cs="Times New Roman"/>
          <w:noProof/>
          <w:lang w:val="sk-SK"/>
        </w:rPr>
        <w:t>skladovania elektriny</w:t>
      </w:r>
      <w:r w:rsidR="00A75B3C" w:rsidRPr="003F23AC">
        <w:rPr>
          <w:rFonts w:cs="Times New Roman"/>
          <w:noProof/>
          <w:lang w:val="sk-SK"/>
        </w:rPr>
        <w:t xml:space="preserve"> z </w:t>
      </w:r>
      <w:r w:rsidRPr="003F23AC">
        <w:rPr>
          <w:rFonts w:cs="Times New Roman"/>
          <w:noProof/>
          <w:lang w:val="sk-SK"/>
        </w:rPr>
        <w:t>obnoviteľných zdrojov na vlastnú spotrebu, ako aj na nákup</w:t>
      </w:r>
      <w:r w:rsidR="00A75B3C" w:rsidRPr="003F23AC">
        <w:rPr>
          <w:rFonts w:cs="Times New Roman"/>
          <w:noProof/>
          <w:lang w:val="sk-SK"/>
        </w:rPr>
        <w:t xml:space="preserve"> a </w:t>
      </w:r>
      <w:r w:rsidRPr="003F23AC">
        <w:rPr>
          <w:rFonts w:cs="Times New Roman"/>
          <w:noProof/>
          <w:lang w:val="sk-SK"/>
        </w:rPr>
        <w:t>inštaláciu zariadení na výrobu teplej vody</w:t>
      </w:r>
      <w:r w:rsidR="00A75B3C" w:rsidRPr="003F23AC">
        <w:rPr>
          <w:rFonts w:cs="Times New Roman"/>
          <w:noProof/>
          <w:lang w:val="sk-SK"/>
        </w:rPr>
        <w:t xml:space="preserve"> a </w:t>
      </w:r>
      <w:r w:rsidRPr="003F23AC">
        <w:rPr>
          <w:rFonts w:cs="Times New Roman"/>
          <w:noProof/>
          <w:lang w:val="sk-SK"/>
        </w:rPr>
        <w:t>tepla</w:t>
      </w:r>
      <w:r w:rsidR="00A75B3C" w:rsidRPr="003F23AC">
        <w:rPr>
          <w:rFonts w:cs="Times New Roman"/>
          <w:noProof/>
          <w:lang w:val="sk-SK"/>
        </w:rPr>
        <w:t xml:space="preserve"> s </w:t>
      </w:r>
      <w:r w:rsidRPr="003F23AC">
        <w:rPr>
          <w:rFonts w:cs="Times New Roman"/>
          <w:noProof/>
          <w:lang w:val="sk-SK"/>
        </w:rPr>
        <w:t>využitím obnoviteľných zdrojov energie domácnosťami, mikropodnikmi, malými</w:t>
      </w:r>
      <w:r w:rsidR="00A75B3C" w:rsidRPr="003F23AC">
        <w:rPr>
          <w:rFonts w:cs="Times New Roman"/>
          <w:noProof/>
          <w:lang w:val="sk-SK"/>
        </w:rPr>
        <w:t xml:space="preserve"> a </w:t>
      </w:r>
      <w:r w:rsidRPr="003F23AC">
        <w:rPr>
          <w:rFonts w:cs="Times New Roman"/>
          <w:noProof/>
          <w:lang w:val="sk-SK"/>
        </w:rPr>
        <w:t>strednými podnikmi</w:t>
      </w:r>
      <w:r w:rsidR="00A75B3C" w:rsidRPr="003F23AC">
        <w:rPr>
          <w:rFonts w:cs="Times New Roman"/>
          <w:noProof/>
          <w:lang w:val="sk-SK"/>
        </w:rPr>
        <w:t xml:space="preserve"> a </w:t>
      </w:r>
      <w:r w:rsidRPr="003F23AC">
        <w:rPr>
          <w:rFonts w:cs="Times New Roman"/>
          <w:noProof/>
          <w:lang w:val="sk-SK"/>
        </w:rPr>
        <w:t>neziskovými inštitúciami.</w:t>
      </w:r>
    </w:p>
    <w:p w14:paraId="6DA82D20" w14:textId="447CFB06"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Všetci jednotlivci</w:t>
      </w:r>
      <w:r w:rsidR="00A75B3C" w:rsidRPr="003F23AC">
        <w:rPr>
          <w:rFonts w:cs="Times New Roman"/>
          <w:noProof/>
          <w:lang w:val="sk-SK"/>
        </w:rPr>
        <w:t xml:space="preserve"> a </w:t>
      </w:r>
      <w:r w:rsidRPr="003F23AC">
        <w:rPr>
          <w:rFonts w:cs="Times New Roman"/>
          <w:noProof/>
          <w:lang w:val="sk-SK"/>
        </w:rPr>
        <w:t>právnické osoby, ktoré vlastnia budovu</w:t>
      </w:r>
      <w:r w:rsidR="00A75B3C" w:rsidRPr="003F23AC">
        <w:rPr>
          <w:rFonts w:cs="Times New Roman"/>
          <w:noProof/>
          <w:lang w:val="sk-SK"/>
        </w:rPr>
        <w:t xml:space="preserve"> v </w:t>
      </w:r>
      <w:r w:rsidRPr="003F23AC">
        <w:rPr>
          <w:rFonts w:cs="Times New Roman"/>
          <w:noProof/>
          <w:lang w:val="sk-SK"/>
        </w:rPr>
        <w:t>autonómnej oblasti Madeira,</w:t>
      </w:r>
      <w:r w:rsidR="00A75B3C" w:rsidRPr="003F23AC">
        <w:rPr>
          <w:rFonts w:cs="Times New Roman"/>
          <w:noProof/>
          <w:lang w:val="sk-SK"/>
        </w:rPr>
        <w:t xml:space="preserve"> s </w:t>
      </w:r>
      <w:r w:rsidRPr="003F23AC">
        <w:rPr>
          <w:rFonts w:cs="Times New Roman"/>
          <w:noProof/>
          <w:lang w:val="sk-SK"/>
        </w:rPr>
        <w:t>výnimkou autonómnej regionálnej správy, miestnej správy</w:t>
      </w:r>
      <w:r w:rsidR="00A75B3C" w:rsidRPr="003F23AC">
        <w:rPr>
          <w:rFonts w:cs="Times New Roman"/>
          <w:noProof/>
          <w:lang w:val="sk-SK"/>
        </w:rPr>
        <w:t xml:space="preserve"> a </w:t>
      </w:r>
      <w:r w:rsidRPr="003F23AC">
        <w:rPr>
          <w:rFonts w:cs="Times New Roman"/>
          <w:noProof/>
          <w:lang w:val="sk-SK"/>
        </w:rPr>
        <w:t>priamej štátnej správy, sú oprávnené na pridelenie nenávratných grantov.</w:t>
      </w:r>
    </w:p>
    <w:p w14:paraId="7EF50699" w14:textId="450539C9"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Realizácia tejto investície sa dokončí do 31</w:t>
      </w:r>
      <w:r w:rsidR="00A75B3C" w:rsidRPr="003F23AC">
        <w:rPr>
          <w:rFonts w:cs="Times New Roman"/>
          <w:noProof/>
          <w:lang w:val="sk-SK"/>
        </w:rPr>
        <w:t>. marca</w:t>
      </w:r>
      <w:r w:rsidRPr="003F23AC">
        <w:rPr>
          <w:rFonts w:cs="Times New Roman"/>
          <w:noProof/>
          <w:lang w:val="sk-SK"/>
        </w:rPr>
        <w:t xml:space="preserve"> 2026</w:t>
      </w:r>
      <w:r w:rsidR="00A75B3C" w:rsidRPr="003F23AC">
        <w:rPr>
          <w:rFonts w:cs="Times New Roman"/>
          <w:noProof/>
          <w:lang w:val="sk-SK"/>
        </w:rPr>
        <w:t>.</w:t>
      </w:r>
    </w:p>
    <w:p w14:paraId="28B947D6" w14:textId="6AC76831"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bookmarkStart w:id="46" w:name="_Toc137472490"/>
      <w:r w:rsidRPr="003F23AC">
        <w:rPr>
          <w:rFonts w:cs="Times New Roman"/>
          <w:noProof/>
          <w:lang w:val="sk-SK"/>
        </w:rPr>
        <w:t>Investície RP-C21-i12: Rozšírené opatrenie: Dekarbonizácia verejnej dopravy</w:t>
      </w:r>
      <w:bookmarkEnd w:id="46"/>
    </w:p>
    <w:p w14:paraId="6705B588" w14:textId="192C1016"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investície je rozšíriť TC-C15 – i05: Dekarbonizácia verejnej dopravy</w:t>
      </w:r>
      <w:r w:rsidR="00A75B3C" w:rsidRPr="003F23AC">
        <w:rPr>
          <w:rFonts w:cs="Times New Roman"/>
          <w:noProof/>
          <w:lang w:val="sk-SK"/>
        </w:rPr>
        <w:t xml:space="preserve"> v </w:t>
      </w:r>
      <w:r w:rsidRPr="003F23AC">
        <w:rPr>
          <w:rFonts w:cs="Times New Roman"/>
          <w:noProof/>
          <w:lang w:val="sk-SK"/>
        </w:rPr>
        <w:t>rámci zložky 15.</w:t>
      </w:r>
    </w:p>
    <w:p w14:paraId="6112059C" w14:textId="3B2BD79A"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Zväčšenou časťou opatrenia sa zvýši počet nových autobusov</w:t>
      </w:r>
      <w:r w:rsidR="00A75B3C" w:rsidRPr="003F23AC">
        <w:rPr>
          <w:rFonts w:cs="Times New Roman"/>
          <w:noProof/>
          <w:lang w:val="sk-SK"/>
        </w:rPr>
        <w:t xml:space="preserve"> s </w:t>
      </w:r>
      <w:r w:rsidRPr="003F23AC">
        <w:rPr>
          <w:rFonts w:cs="Times New Roman"/>
          <w:noProof/>
          <w:lang w:val="sk-SK"/>
        </w:rPr>
        <w:t>nulovými emisiami používaných vo verejnej doprave. Rozsah investície sa rozšíri</w:t>
      </w:r>
      <w:r w:rsidR="00A75B3C" w:rsidRPr="003F23AC">
        <w:rPr>
          <w:rFonts w:cs="Times New Roman"/>
          <w:noProof/>
          <w:lang w:val="sk-SK"/>
        </w:rPr>
        <w:t xml:space="preserve"> z </w:t>
      </w:r>
      <w:r w:rsidRPr="003F23AC">
        <w:rPr>
          <w:rFonts w:cs="Times New Roman"/>
          <w:noProof/>
          <w:lang w:val="sk-SK"/>
        </w:rPr>
        <w:t>metropolitných oblastí Lisabon</w:t>
      </w:r>
      <w:r w:rsidR="00A75B3C" w:rsidRPr="003F23AC">
        <w:rPr>
          <w:rFonts w:cs="Times New Roman"/>
          <w:noProof/>
          <w:lang w:val="sk-SK"/>
        </w:rPr>
        <w:t xml:space="preserve"> a </w:t>
      </w:r>
      <w:r w:rsidRPr="003F23AC">
        <w:rPr>
          <w:rFonts w:cs="Times New Roman"/>
          <w:noProof/>
          <w:lang w:val="sk-SK"/>
        </w:rPr>
        <w:t>Porto na celé územie kontinentálneho Portugalska</w:t>
      </w:r>
      <w:r w:rsidR="00A75B3C" w:rsidRPr="003F23AC">
        <w:rPr>
          <w:rFonts w:cs="Times New Roman"/>
          <w:noProof/>
          <w:lang w:val="sk-SK"/>
        </w:rPr>
        <w:t xml:space="preserve"> a </w:t>
      </w:r>
      <w:r w:rsidRPr="003F23AC">
        <w:rPr>
          <w:rFonts w:cs="Times New Roman"/>
          <w:noProof/>
          <w:lang w:val="sk-SK"/>
        </w:rPr>
        <w:t>zahŕňa aj inštaláciu nabíjacích alebo čerpacích staníc.</w:t>
      </w:r>
    </w:p>
    <w:p w14:paraId="6ED94F94" w14:textId="381133EB"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bookmarkStart w:id="47" w:name="_Toc137472491"/>
      <w:r w:rsidRPr="003F23AC">
        <w:rPr>
          <w:rFonts w:cs="Times New Roman"/>
          <w:noProof/>
          <w:lang w:val="sk-SK"/>
        </w:rPr>
        <w:t>Investície RP-C21-i13-RAM: Dekarbonizácia dopravy</w:t>
      </w:r>
      <w:bookmarkEnd w:id="47"/>
    </w:p>
    <w:p w14:paraId="0A6FB8FD" w14:textId="0F05342B"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tohto opatrenia je podporiť dekarbonizáciu dopravy</w:t>
      </w:r>
      <w:r w:rsidR="00A75B3C" w:rsidRPr="003F23AC">
        <w:rPr>
          <w:rFonts w:cs="Times New Roman"/>
          <w:noProof/>
          <w:lang w:val="sk-SK"/>
        </w:rPr>
        <w:t xml:space="preserve"> v </w:t>
      </w:r>
      <w:r w:rsidRPr="003F23AC">
        <w:rPr>
          <w:rFonts w:cs="Times New Roman"/>
          <w:noProof/>
          <w:lang w:val="sk-SK"/>
        </w:rPr>
        <w:t>autonómnej oblasti Madeira</w:t>
      </w:r>
      <w:r w:rsidR="00A75B3C" w:rsidRPr="003F23AC">
        <w:rPr>
          <w:rFonts w:cs="Times New Roman"/>
          <w:noProof/>
          <w:lang w:val="sk-SK"/>
        </w:rPr>
        <w:t>.</w:t>
      </w:r>
    </w:p>
    <w:p w14:paraId="16DEAFC2" w14:textId="6011156C"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zahŕňa:</w:t>
      </w:r>
    </w:p>
    <w:p w14:paraId="7809744C" w14:textId="07A9C2E9"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 Nákup 26 autobusov</w:t>
      </w:r>
      <w:r w:rsidR="00A75B3C" w:rsidRPr="003F23AC">
        <w:rPr>
          <w:rFonts w:cs="Times New Roman"/>
          <w:noProof/>
          <w:lang w:val="sk-SK"/>
        </w:rPr>
        <w:t xml:space="preserve"> s </w:t>
      </w:r>
      <w:r w:rsidRPr="003F23AC">
        <w:rPr>
          <w:rFonts w:cs="Times New Roman"/>
          <w:noProof/>
          <w:lang w:val="sk-SK"/>
        </w:rPr>
        <w:t>nulovými emisiami (elektrických alebo vodíkových) pre verejnú osobnú dopravu</w:t>
      </w:r>
      <w:r w:rsidR="00A75B3C" w:rsidRPr="003F23AC">
        <w:rPr>
          <w:rFonts w:cs="Times New Roman"/>
          <w:noProof/>
          <w:lang w:val="sk-SK"/>
        </w:rPr>
        <w:t xml:space="preserve"> a </w:t>
      </w:r>
      <w:r w:rsidRPr="003F23AC">
        <w:rPr>
          <w:rFonts w:cs="Times New Roman"/>
          <w:noProof/>
          <w:lang w:val="sk-SK"/>
        </w:rPr>
        <w:t>turistické služby.</w:t>
      </w:r>
    </w:p>
    <w:p w14:paraId="73FA6D08" w14:textId="77777777"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(II) Inštalácia nabíjacích staníc potrebných na prevádzku autobusov</w:t>
      </w:r>
      <w:r w:rsidR="00A75B3C" w:rsidRPr="003F23AC">
        <w:rPr>
          <w:rFonts w:cs="Times New Roman"/>
          <w:noProof/>
          <w:lang w:val="sk-SK"/>
        </w:rPr>
        <w:t>.</w:t>
      </w:r>
    </w:p>
    <w:p w14:paraId="4DD337B7" w14:textId="260FAF82"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(III) Systém likvidácie vozidiel za predpokladu, že sa nahradia nákupom elektrických vozidiel</w:t>
      </w:r>
      <w:r w:rsidR="00A75B3C" w:rsidRPr="003F23AC">
        <w:rPr>
          <w:rFonts w:cs="Times New Roman"/>
          <w:noProof/>
          <w:lang w:val="sk-SK"/>
        </w:rPr>
        <w:t xml:space="preserve"> s </w:t>
      </w:r>
      <w:r w:rsidRPr="003F23AC">
        <w:rPr>
          <w:rFonts w:cs="Times New Roman"/>
          <w:noProof/>
          <w:lang w:val="sk-SK"/>
        </w:rPr>
        <w:t>maximálnym finančným príspevkom 6 000 EUR na zošrotované vozidlo</w:t>
      </w:r>
      <w:r w:rsidR="00A75B3C" w:rsidRPr="003F23AC">
        <w:rPr>
          <w:rFonts w:cs="Times New Roman"/>
          <w:noProof/>
          <w:lang w:val="sk-SK"/>
        </w:rPr>
        <w:t xml:space="preserve"> a </w:t>
      </w:r>
      <w:r w:rsidRPr="003F23AC">
        <w:rPr>
          <w:rFonts w:cs="Times New Roman"/>
          <w:noProof/>
          <w:lang w:val="sk-SK"/>
        </w:rPr>
        <w:t>stimulmi podľa rôznych sociálno-ekonomických kategórií</w:t>
      </w:r>
      <w:r w:rsidR="00A75B3C" w:rsidRPr="003F23AC">
        <w:rPr>
          <w:rFonts w:cs="Times New Roman"/>
          <w:noProof/>
          <w:lang w:val="sk-SK"/>
        </w:rPr>
        <w:t>.</w:t>
      </w:r>
    </w:p>
    <w:p w14:paraId="0630DCBC" w14:textId="6FCE0B50"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Realizácia tejto investície sa dokončí do 31</w:t>
      </w:r>
      <w:r w:rsidR="00A75B3C" w:rsidRPr="003F23AC">
        <w:rPr>
          <w:rFonts w:cs="Times New Roman"/>
          <w:noProof/>
          <w:lang w:val="sk-SK"/>
        </w:rPr>
        <w:t>. marca</w:t>
      </w:r>
      <w:r w:rsidRPr="003F23AC">
        <w:rPr>
          <w:rFonts w:cs="Times New Roman"/>
          <w:noProof/>
          <w:lang w:val="sk-SK"/>
        </w:rPr>
        <w:t xml:space="preserve"> 2026</w:t>
      </w:r>
      <w:r w:rsidR="00A75B3C" w:rsidRPr="003F23AC">
        <w:rPr>
          <w:rFonts w:cs="Times New Roman"/>
          <w:noProof/>
          <w:lang w:val="sk-SK"/>
        </w:rPr>
        <w:t>.</w:t>
      </w:r>
    </w:p>
    <w:p w14:paraId="09448F4F" w14:textId="77777777" w:rsidR="00A75B3C" w:rsidRPr="003F23AC" w:rsidRDefault="000F5AA4" w:rsidP="003F23AC">
      <w:pPr>
        <w:pStyle w:val="P68B1DB1-Normal5"/>
        <w:spacing w:before="240" w:after="0" w:line="259" w:lineRule="auto"/>
        <w:ind w:left="851"/>
        <w:jc w:val="both"/>
        <w:outlineLvl w:val="2"/>
        <w:rPr>
          <w:rFonts w:cs="Times New Roman"/>
          <w:noProof/>
          <w:lang w:val="sk-SK"/>
        </w:rPr>
      </w:pPr>
      <w:r w:rsidRPr="003F23AC">
        <w:rPr>
          <w:rFonts w:cs="Times New Roman"/>
          <w:noProof/>
          <w:lang w:val="sk-SK"/>
        </w:rPr>
        <w:t>Investície RP-C21-i14: Rýchly tranzit autobusu Braga</w:t>
      </w:r>
    </w:p>
    <w:p w14:paraId="7FE597E6" w14:textId="2C6DBEFC"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týchto investícií je zlepšiť udržateľnú verejnú dopravu</w:t>
      </w:r>
      <w:r w:rsidR="00A75B3C" w:rsidRPr="003F23AC">
        <w:rPr>
          <w:rFonts w:cs="Times New Roman"/>
          <w:noProof/>
          <w:lang w:val="sk-SK"/>
        </w:rPr>
        <w:t xml:space="preserve"> v </w:t>
      </w:r>
      <w:r w:rsidRPr="003F23AC">
        <w:rPr>
          <w:rFonts w:cs="Times New Roman"/>
          <w:noProof/>
          <w:lang w:val="sk-SK"/>
        </w:rPr>
        <w:t>Brage.</w:t>
      </w:r>
    </w:p>
    <w:p w14:paraId="260159BA" w14:textId="053F9B57"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vytvorenia nového systému rýchleho tranzitu Bus</w:t>
      </w:r>
      <w:r w:rsidR="00A75B3C" w:rsidRPr="003F23AC">
        <w:rPr>
          <w:rFonts w:cs="Times New Roman"/>
          <w:noProof/>
          <w:lang w:val="sk-SK"/>
        </w:rPr>
        <w:t xml:space="preserve"> v </w:t>
      </w:r>
      <w:r w:rsidRPr="003F23AC">
        <w:rPr>
          <w:rFonts w:cs="Times New Roman"/>
          <w:noProof/>
          <w:lang w:val="sk-SK"/>
        </w:rPr>
        <w:t>meste Braga. Systém musí fungovať najmä</w:t>
      </w:r>
      <w:r w:rsidR="00A75B3C" w:rsidRPr="003F23AC">
        <w:rPr>
          <w:rFonts w:cs="Times New Roman"/>
          <w:noProof/>
          <w:lang w:val="sk-SK"/>
        </w:rPr>
        <w:t xml:space="preserve"> v </w:t>
      </w:r>
      <w:r w:rsidRPr="003F23AC">
        <w:rPr>
          <w:rFonts w:cs="Times New Roman"/>
          <w:noProof/>
          <w:lang w:val="sk-SK"/>
        </w:rPr>
        <w:t>vyhradených jazdných pruhoch</w:t>
      </w:r>
      <w:r w:rsidR="00A75B3C" w:rsidRPr="003F23AC">
        <w:rPr>
          <w:rFonts w:cs="Times New Roman"/>
          <w:noProof/>
          <w:lang w:val="sk-SK"/>
        </w:rPr>
        <w:t xml:space="preserve"> a </w:t>
      </w:r>
      <w:r w:rsidRPr="003F23AC">
        <w:rPr>
          <w:rFonts w:cs="Times New Roman"/>
          <w:noProof/>
          <w:lang w:val="sk-SK"/>
        </w:rPr>
        <w:t>len</w:t>
      </w:r>
      <w:r w:rsidR="00A75B3C" w:rsidRPr="003F23AC">
        <w:rPr>
          <w:rFonts w:cs="Times New Roman"/>
          <w:noProof/>
          <w:lang w:val="sk-SK"/>
        </w:rPr>
        <w:t xml:space="preserve"> s </w:t>
      </w:r>
      <w:r w:rsidRPr="003F23AC">
        <w:rPr>
          <w:rFonts w:cs="Times New Roman"/>
          <w:noProof/>
          <w:lang w:val="sk-SK"/>
        </w:rPr>
        <w:t>autobusmi</w:t>
      </w:r>
      <w:r w:rsidR="00A75B3C" w:rsidRPr="003F23AC">
        <w:rPr>
          <w:rFonts w:cs="Times New Roman"/>
          <w:noProof/>
          <w:lang w:val="sk-SK"/>
        </w:rPr>
        <w:t xml:space="preserve"> s </w:t>
      </w:r>
      <w:r w:rsidRPr="003F23AC">
        <w:rPr>
          <w:rFonts w:cs="Times New Roman"/>
          <w:noProof/>
          <w:lang w:val="sk-SK"/>
        </w:rPr>
        <w:t>nulovými emisiami (elektrickými alebo vodíkovými) autobusmi. Vybudujú sa dve trate: žltá trať medzi vlakovou stanicou</w:t>
      </w:r>
      <w:r w:rsidR="00A75B3C" w:rsidRPr="003F23AC">
        <w:rPr>
          <w:rFonts w:cs="Times New Roman"/>
          <w:noProof/>
          <w:lang w:val="sk-SK"/>
        </w:rPr>
        <w:t xml:space="preserve"> a </w:t>
      </w:r>
      <w:r w:rsidRPr="003F23AC">
        <w:rPr>
          <w:rFonts w:cs="Times New Roman"/>
          <w:noProof/>
          <w:lang w:val="sk-SK"/>
        </w:rPr>
        <w:t>Avenida Robert Smith</w:t>
      </w:r>
      <w:r w:rsidR="00A75B3C" w:rsidRPr="003F23AC">
        <w:rPr>
          <w:rFonts w:cs="Times New Roman"/>
          <w:noProof/>
          <w:lang w:val="sk-SK"/>
        </w:rPr>
        <w:t xml:space="preserve"> a </w:t>
      </w:r>
      <w:r w:rsidRPr="003F23AC">
        <w:rPr>
          <w:rFonts w:cs="Times New Roman"/>
          <w:noProof/>
          <w:lang w:val="sk-SK"/>
        </w:rPr>
        <w:t>červenou líniou medzi vlakovou stanicou</w:t>
      </w:r>
      <w:r w:rsidR="00A75B3C" w:rsidRPr="003F23AC">
        <w:rPr>
          <w:rFonts w:cs="Times New Roman"/>
          <w:noProof/>
          <w:lang w:val="sk-SK"/>
        </w:rPr>
        <w:t xml:space="preserve"> a </w:t>
      </w:r>
      <w:r w:rsidRPr="003F23AC">
        <w:rPr>
          <w:rFonts w:cs="Times New Roman"/>
          <w:noProof/>
          <w:lang w:val="sk-SK"/>
        </w:rPr>
        <w:t>nemocnicou Braga.</w:t>
      </w:r>
    </w:p>
    <w:p w14:paraId="1A373B83" w14:textId="2E3BF49F"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zahŕňa aj nákup desiatich autobusov</w:t>
      </w:r>
      <w:r w:rsidR="00A75B3C" w:rsidRPr="003F23AC">
        <w:rPr>
          <w:rFonts w:cs="Times New Roman"/>
          <w:noProof/>
          <w:lang w:val="sk-SK"/>
        </w:rPr>
        <w:t xml:space="preserve"> s </w:t>
      </w:r>
      <w:r w:rsidRPr="003F23AC">
        <w:rPr>
          <w:rFonts w:cs="Times New Roman"/>
          <w:noProof/>
          <w:lang w:val="sk-SK"/>
        </w:rPr>
        <w:t>nulovými emisiami vrátane nabíjacích staníc potrebných na prevádzku vedení</w:t>
      </w:r>
      <w:r w:rsidR="00A75B3C" w:rsidRPr="003F23AC">
        <w:rPr>
          <w:rFonts w:cs="Times New Roman"/>
          <w:noProof/>
          <w:lang w:val="sk-SK"/>
        </w:rPr>
        <w:t>.</w:t>
      </w:r>
    </w:p>
    <w:p w14:paraId="27270602" w14:textId="4468A822"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Realizácia tejto investície sa dokončí do 30</w:t>
      </w:r>
      <w:r w:rsidR="00A75B3C" w:rsidRPr="003F23AC">
        <w:rPr>
          <w:rFonts w:cs="Times New Roman"/>
          <w:noProof/>
          <w:lang w:val="sk-SK"/>
        </w:rPr>
        <w:t>. júna</w:t>
      </w:r>
      <w:r w:rsidRPr="003F23AC">
        <w:rPr>
          <w:rFonts w:cs="Times New Roman"/>
          <w:noProof/>
          <w:lang w:val="sk-SK"/>
        </w:rPr>
        <w:t xml:space="preserve"> 2026</w:t>
      </w:r>
      <w:r w:rsidR="00A75B3C" w:rsidRPr="003F23AC">
        <w:rPr>
          <w:rFonts w:cs="Times New Roman"/>
          <w:noProof/>
          <w:lang w:val="sk-SK"/>
        </w:rPr>
        <w:t>.</w:t>
      </w:r>
    </w:p>
    <w:p w14:paraId="39CFA3B4" w14:textId="53F2DD7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bookmarkStart w:id="48" w:name="_Toc137472492"/>
      <w:r w:rsidRPr="003F23AC">
        <w:rPr>
          <w:rFonts w:cs="Times New Roman"/>
          <w:noProof/>
          <w:lang w:val="sk-SK"/>
        </w:rPr>
        <w:t xml:space="preserve">Investície RP-C21-i15-RAA: Nadobudnutie dvoch elektrických </w:t>
      </w:r>
      <w:bookmarkEnd w:id="48"/>
      <w:r w:rsidRPr="003F23AC">
        <w:rPr>
          <w:rFonts w:cs="Times New Roman"/>
          <w:noProof/>
          <w:lang w:val="sk-SK"/>
        </w:rPr>
        <w:t>trajektov</w:t>
      </w:r>
    </w:p>
    <w:p w14:paraId="7740F570" w14:textId="00CB7CCD"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podporiť dekarbonizáciu dopravy</w:t>
      </w:r>
      <w:r w:rsidR="00A75B3C" w:rsidRPr="003F23AC">
        <w:rPr>
          <w:rFonts w:cs="Times New Roman"/>
          <w:noProof/>
          <w:lang w:val="sk-SK"/>
        </w:rPr>
        <w:t xml:space="preserve"> a </w:t>
      </w:r>
      <w:r w:rsidRPr="003F23AC">
        <w:rPr>
          <w:rFonts w:cs="Times New Roman"/>
          <w:noProof/>
          <w:lang w:val="sk-SK"/>
        </w:rPr>
        <w:t>vnútornú mobilitu</w:t>
      </w:r>
      <w:r w:rsidR="00A75B3C" w:rsidRPr="003F23AC">
        <w:rPr>
          <w:rFonts w:cs="Times New Roman"/>
          <w:noProof/>
          <w:lang w:val="sk-SK"/>
        </w:rPr>
        <w:t xml:space="preserve"> v </w:t>
      </w:r>
      <w:r w:rsidRPr="003F23AC">
        <w:rPr>
          <w:rFonts w:cs="Times New Roman"/>
          <w:noProof/>
          <w:lang w:val="sk-SK"/>
        </w:rPr>
        <w:t>autonómnej oblasti Azory</w:t>
      </w:r>
      <w:r w:rsidR="00A75B3C" w:rsidRPr="003F23AC">
        <w:rPr>
          <w:rFonts w:cs="Times New Roman"/>
          <w:noProof/>
          <w:lang w:val="sk-SK"/>
        </w:rPr>
        <w:t>.</w:t>
      </w:r>
    </w:p>
    <w:p w14:paraId="2FD2AFE0" w14:textId="3CBB7AD2"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pozostáva</w:t>
      </w:r>
      <w:r w:rsidR="00A75B3C" w:rsidRPr="003F23AC">
        <w:rPr>
          <w:rFonts w:cs="Times New Roman"/>
          <w:noProof/>
          <w:lang w:val="sk-SK"/>
        </w:rPr>
        <w:t xml:space="preserve"> z </w:t>
      </w:r>
      <w:r w:rsidRPr="003F23AC">
        <w:rPr>
          <w:rFonts w:cs="Times New Roman"/>
          <w:noProof/>
          <w:lang w:val="sk-SK"/>
        </w:rPr>
        <w:t>nákupu dvoch elektrických trajektov pre verejnú spoločnosť Atlanticoline S.A. na prepravu cestujúcich</w:t>
      </w:r>
      <w:r w:rsidR="00A75B3C" w:rsidRPr="003F23AC">
        <w:rPr>
          <w:rFonts w:cs="Times New Roman"/>
          <w:noProof/>
          <w:lang w:val="sk-SK"/>
        </w:rPr>
        <w:t xml:space="preserve"> a </w:t>
      </w:r>
      <w:r w:rsidRPr="003F23AC">
        <w:rPr>
          <w:rFonts w:cs="Times New Roman"/>
          <w:noProof/>
          <w:lang w:val="sk-SK"/>
        </w:rPr>
        <w:t>vozidiel medzi ostrovmi Pico, Faial</w:t>
      </w:r>
      <w:r w:rsidR="00A75B3C" w:rsidRPr="003F23AC">
        <w:rPr>
          <w:rFonts w:cs="Times New Roman"/>
          <w:noProof/>
          <w:lang w:val="sk-SK"/>
        </w:rPr>
        <w:t xml:space="preserve"> a </w:t>
      </w:r>
      <w:r w:rsidRPr="003F23AC">
        <w:rPr>
          <w:rFonts w:cs="Times New Roman"/>
          <w:noProof/>
          <w:lang w:val="sk-SK"/>
        </w:rPr>
        <w:t>São Jorge. Prievozné lode majú minimálnu kapacitu 200</w:t>
      </w:r>
      <w:r w:rsidR="00A75B3C" w:rsidRPr="003F23AC">
        <w:rPr>
          <w:rFonts w:cs="Times New Roman"/>
          <w:noProof/>
          <w:lang w:val="sk-SK"/>
        </w:rPr>
        <w:t xml:space="preserve"> a </w:t>
      </w:r>
      <w:r w:rsidRPr="003F23AC">
        <w:rPr>
          <w:rFonts w:cs="Times New Roman"/>
          <w:noProof/>
          <w:lang w:val="sk-SK"/>
        </w:rPr>
        <w:t>100 cestujúcich.</w:t>
      </w:r>
    </w:p>
    <w:p w14:paraId="3F05AA71" w14:textId="6E6C97F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Implementácia tejto investície sa dokončí do 31</w:t>
      </w:r>
      <w:r w:rsidR="00A75B3C" w:rsidRPr="003F23AC">
        <w:rPr>
          <w:rFonts w:cs="Times New Roman"/>
          <w:noProof/>
          <w:lang w:val="sk-SK"/>
        </w:rPr>
        <w:t>. decembra</w:t>
      </w:r>
      <w:r w:rsidRPr="003F23AC">
        <w:rPr>
          <w:rFonts w:cs="Times New Roman"/>
          <w:noProof/>
          <w:lang w:val="sk-SK"/>
        </w:rPr>
        <w:t xml:space="preserve"> 2025</w:t>
      </w:r>
      <w:r w:rsidR="00A75B3C" w:rsidRPr="003F23AC">
        <w:rPr>
          <w:rFonts w:cs="Times New Roman"/>
          <w:noProof/>
          <w:lang w:val="sk-SK"/>
        </w:rPr>
        <w:t>.</w:t>
      </w:r>
    </w:p>
    <w:p w14:paraId="72E1DF93" w14:textId="1214B237"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Investície RP-C21-i16: Nazaré Funicular</w:t>
      </w:r>
    </w:p>
    <w:p w14:paraId="614EB6DE" w14:textId="24550BCB"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Cieľom tejto investície je zabezpečiť udržateľnú verejnú dopravu</w:t>
      </w:r>
      <w:r w:rsidR="00A75B3C" w:rsidRPr="003F23AC">
        <w:rPr>
          <w:rFonts w:cs="Times New Roman"/>
          <w:noProof/>
          <w:lang w:val="sk-SK"/>
        </w:rPr>
        <w:t xml:space="preserve"> v </w:t>
      </w:r>
      <w:r w:rsidRPr="003F23AC">
        <w:rPr>
          <w:rFonts w:cs="Times New Roman"/>
          <w:noProof/>
          <w:lang w:val="sk-SK"/>
        </w:rPr>
        <w:t>Nazaré</w:t>
      </w:r>
      <w:r w:rsidR="00A75B3C" w:rsidRPr="003F23AC">
        <w:rPr>
          <w:rFonts w:cs="Times New Roman"/>
          <w:noProof/>
          <w:lang w:val="sk-SK"/>
        </w:rPr>
        <w:t>.</w:t>
      </w:r>
    </w:p>
    <w:p w14:paraId="7D6D2A4D" w14:textId="564CD892" w:rsidR="00387C70"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Investícia zahŕňa zavedenie riešenia mechanickej prepravy (</w:t>
      </w:r>
      <w:r w:rsidR="00F218FC" w:rsidRPr="003F23AC">
        <w:rPr>
          <w:rFonts w:cs="Times New Roman"/>
          <w:noProof/>
          <w:lang w:val="sk-SK"/>
        </w:rPr>
        <w:t>lanovka</w:t>
      </w:r>
      <w:r w:rsidRPr="003F23AC">
        <w:rPr>
          <w:rFonts w:cs="Times New Roman"/>
          <w:noProof/>
          <w:lang w:val="sk-SK"/>
        </w:rPr>
        <w:t>)</w:t>
      </w:r>
      <w:r w:rsidR="00A75B3C" w:rsidRPr="003F23AC">
        <w:rPr>
          <w:rFonts w:cs="Times New Roman"/>
          <w:noProof/>
          <w:lang w:val="sk-SK"/>
        </w:rPr>
        <w:t xml:space="preserve"> s </w:t>
      </w:r>
      <w:r w:rsidRPr="003F23AC">
        <w:rPr>
          <w:rFonts w:cs="Times New Roman"/>
          <w:noProof/>
          <w:lang w:val="sk-SK"/>
        </w:rPr>
        <w:t>dĺžkou približne 200 metrov medzi Praia</w:t>
      </w:r>
      <w:r w:rsidR="00A75B3C" w:rsidRPr="003F23AC">
        <w:rPr>
          <w:rFonts w:cs="Times New Roman"/>
          <w:noProof/>
          <w:lang w:val="sk-SK"/>
        </w:rPr>
        <w:t xml:space="preserve"> a </w:t>
      </w:r>
      <w:r w:rsidRPr="003F23AC">
        <w:rPr>
          <w:rFonts w:cs="Times New Roman"/>
          <w:noProof/>
          <w:lang w:val="sk-SK"/>
        </w:rPr>
        <w:t>oblasťou Pedreneira. Pozemné lanovky musia byť začlenené do siete verejnej dopravy</w:t>
      </w:r>
      <w:r w:rsidR="00A75B3C" w:rsidRPr="003F23AC">
        <w:rPr>
          <w:rFonts w:cs="Times New Roman"/>
          <w:noProof/>
          <w:lang w:val="sk-SK"/>
        </w:rPr>
        <w:t xml:space="preserve"> a </w:t>
      </w:r>
      <w:r w:rsidRPr="003F23AC">
        <w:rPr>
          <w:rFonts w:cs="Times New Roman"/>
          <w:noProof/>
          <w:lang w:val="sk-SK"/>
        </w:rPr>
        <w:t>prístupné bicyklom</w:t>
      </w:r>
      <w:r w:rsidR="00A75B3C" w:rsidRPr="003F23AC">
        <w:rPr>
          <w:rFonts w:cs="Times New Roman"/>
          <w:noProof/>
          <w:lang w:val="sk-SK"/>
        </w:rPr>
        <w:t xml:space="preserve"> a </w:t>
      </w:r>
      <w:r w:rsidRPr="003F23AC">
        <w:rPr>
          <w:rFonts w:cs="Times New Roman"/>
          <w:noProof/>
          <w:lang w:val="sk-SK"/>
        </w:rPr>
        <w:t>osobám so zníženou pohyblivosťou.</w:t>
      </w:r>
    </w:p>
    <w:p w14:paraId="39B86464" w14:textId="42A4A536" w:rsidR="00387C70" w:rsidRPr="003F23AC" w:rsidRDefault="000F5AA4" w:rsidP="003F23AC">
      <w:pPr>
        <w:pStyle w:val="P68B1DB1-Normal4"/>
        <w:spacing w:before="40" w:after="0" w:line="259" w:lineRule="auto"/>
        <w:jc w:val="both"/>
        <w:rPr>
          <w:rFonts w:cs="Times New Roman"/>
          <w:noProof/>
          <w:lang w:val="sk-SK"/>
        </w:rPr>
        <w:sectPr w:rsidR="00387C70" w:rsidRPr="003F23AC" w:rsidSect="00E00EDD">
          <w:headerReference w:type="even" r:id="rId368"/>
          <w:headerReference w:type="default" r:id="rId369"/>
          <w:footerReference w:type="even" r:id="rId370"/>
          <w:footerReference w:type="default" r:id="rId371"/>
          <w:headerReference w:type="first" r:id="rId372"/>
          <w:footerReference w:type="first" r:id="rId373"/>
          <w:pgSz w:w="11906" w:h="16838"/>
          <w:pgMar w:top="1134" w:right="1134" w:bottom="1134" w:left="1134" w:header="567" w:footer="567" w:gutter="0"/>
          <w:cols w:space="708"/>
          <w:docGrid w:linePitch="360"/>
        </w:sectPr>
      </w:pPr>
      <w:r w:rsidRPr="003F23AC">
        <w:rPr>
          <w:rFonts w:cs="Times New Roman"/>
          <w:noProof/>
          <w:lang w:val="sk-SK"/>
        </w:rPr>
        <w:t>Realizácia tejto investície sa dokončí do 31</w:t>
      </w:r>
      <w:r w:rsidR="00A75B3C" w:rsidRPr="003F23AC">
        <w:rPr>
          <w:rFonts w:cs="Times New Roman"/>
          <w:noProof/>
          <w:lang w:val="sk-SK"/>
        </w:rPr>
        <w:t>. marca</w:t>
      </w:r>
      <w:r w:rsidRPr="003F23AC">
        <w:rPr>
          <w:rFonts w:cs="Times New Roman"/>
          <w:noProof/>
          <w:lang w:val="sk-SK"/>
        </w:rPr>
        <w:t xml:space="preserve"> 2026.</w:t>
      </w:r>
    </w:p>
    <w:p w14:paraId="0274D0A2" w14:textId="1BD64B13"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U.2. Míľniky, ciele,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realizácie pre nenávratnú finančnú podporu</w:t>
      </w:r>
    </w:p>
    <w:p w14:paraId="7DFE2BC4" w14:textId="77777777" w:rsidR="00387C70" w:rsidRPr="003F23AC" w:rsidRDefault="00387C70" w:rsidP="003F23AC">
      <w:pPr>
        <w:spacing w:after="0"/>
        <w:jc w:val="both"/>
        <w:rPr>
          <w:rFonts w:ascii="Times New Roman" w:hAnsi="Times New Roman" w:cs="Times New Roman"/>
          <w:noProof/>
          <w:sz w:val="24"/>
          <w:lang w:val="sk-SK"/>
        </w:rPr>
      </w:pPr>
    </w:p>
    <w:tbl>
      <w:tblPr>
        <w:tblW w:w="1474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134"/>
        <w:gridCol w:w="1701"/>
        <w:gridCol w:w="1275"/>
        <w:gridCol w:w="993"/>
        <w:gridCol w:w="992"/>
        <w:gridCol w:w="992"/>
        <w:gridCol w:w="771"/>
        <w:gridCol w:w="504"/>
        <w:gridCol w:w="3969"/>
      </w:tblGrid>
      <w:tr w:rsidR="00387C70" w:rsidRPr="003F23AC" w14:paraId="2FB90E61" w14:textId="77777777" w:rsidTr="00EC7FC8">
        <w:trPr>
          <w:trHeight w:val="910"/>
          <w:tblHeader/>
        </w:trPr>
        <w:tc>
          <w:tcPr>
            <w:tcW w:w="1135" w:type="dxa"/>
            <w:vMerge w:val="restart"/>
            <w:shd w:val="clear" w:color="auto" w:fill="BDD6EE"/>
            <w:tcMar>
              <w:left w:w="28" w:type="dxa"/>
              <w:right w:w="28" w:type="dxa"/>
            </w:tcMar>
            <w:vAlign w:val="center"/>
            <w:hideMark/>
          </w:tcPr>
          <w:p w14:paraId="6370AB5A"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76" w:type="dxa"/>
            <w:vMerge w:val="restart"/>
            <w:shd w:val="clear" w:color="auto" w:fill="BDD6EE"/>
            <w:tcMar>
              <w:left w:w="28" w:type="dxa"/>
              <w:right w:w="28" w:type="dxa"/>
            </w:tcMar>
            <w:vAlign w:val="center"/>
            <w:hideMark/>
          </w:tcPr>
          <w:p w14:paraId="746A88F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34" w:type="dxa"/>
            <w:vMerge w:val="restart"/>
            <w:shd w:val="clear" w:color="auto" w:fill="BDD6EE"/>
            <w:tcMar>
              <w:left w:w="28" w:type="dxa"/>
              <w:right w:w="28" w:type="dxa"/>
            </w:tcMar>
            <w:vAlign w:val="center"/>
            <w:hideMark/>
          </w:tcPr>
          <w:p w14:paraId="361458F2"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1701" w:type="dxa"/>
            <w:vMerge w:val="restart"/>
            <w:shd w:val="clear" w:color="auto" w:fill="BDD6EE"/>
            <w:tcMar>
              <w:left w:w="28" w:type="dxa"/>
              <w:right w:w="28" w:type="dxa"/>
            </w:tcMar>
            <w:vAlign w:val="center"/>
            <w:hideMark/>
          </w:tcPr>
          <w:p w14:paraId="45A51C32"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275" w:type="dxa"/>
            <w:vMerge w:val="restart"/>
            <w:shd w:val="clear" w:color="auto" w:fill="BDD6EE"/>
            <w:tcMar>
              <w:left w:w="28" w:type="dxa"/>
              <w:right w:w="28" w:type="dxa"/>
            </w:tcMar>
            <w:vAlign w:val="center"/>
            <w:hideMark/>
          </w:tcPr>
          <w:p w14:paraId="6A3793A9"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977" w:type="dxa"/>
            <w:gridSpan w:val="3"/>
            <w:shd w:val="clear" w:color="auto" w:fill="BDD6EE"/>
            <w:tcMar>
              <w:left w:w="28" w:type="dxa"/>
              <w:right w:w="28" w:type="dxa"/>
            </w:tcMar>
            <w:vAlign w:val="center"/>
            <w:hideMark/>
          </w:tcPr>
          <w:p w14:paraId="7128B101"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75" w:type="dxa"/>
            <w:gridSpan w:val="2"/>
            <w:shd w:val="clear" w:color="auto" w:fill="BDD6EE"/>
            <w:tcMar>
              <w:left w:w="28" w:type="dxa"/>
              <w:right w:w="28" w:type="dxa"/>
            </w:tcMar>
            <w:vAlign w:val="center"/>
            <w:hideMark/>
          </w:tcPr>
          <w:p w14:paraId="411B61CF"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Orientačný harmonogram splnenia</w:t>
            </w:r>
          </w:p>
        </w:tc>
        <w:tc>
          <w:tcPr>
            <w:tcW w:w="3969" w:type="dxa"/>
            <w:vMerge w:val="restart"/>
            <w:shd w:val="clear" w:color="auto" w:fill="BDD6EE"/>
            <w:tcMar>
              <w:left w:w="28" w:type="dxa"/>
              <w:right w:w="28" w:type="dxa"/>
            </w:tcMar>
            <w:vAlign w:val="center"/>
            <w:hideMark/>
          </w:tcPr>
          <w:p w14:paraId="52841226" w14:textId="408F0E60"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1758BE16" w14:textId="77777777" w:rsidTr="00EC7FC8">
        <w:trPr>
          <w:trHeight w:val="470"/>
          <w:tblHeader/>
        </w:trPr>
        <w:tc>
          <w:tcPr>
            <w:tcW w:w="1135" w:type="dxa"/>
            <w:vMerge/>
            <w:tcMar>
              <w:left w:w="28" w:type="dxa"/>
              <w:right w:w="28" w:type="dxa"/>
            </w:tcMar>
            <w:vAlign w:val="center"/>
            <w:hideMark/>
          </w:tcPr>
          <w:p w14:paraId="69695928"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6" w:type="dxa"/>
            <w:vMerge/>
            <w:tcMar>
              <w:left w:w="28" w:type="dxa"/>
              <w:right w:w="28" w:type="dxa"/>
            </w:tcMar>
            <w:vAlign w:val="center"/>
            <w:hideMark/>
          </w:tcPr>
          <w:p w14:paraId="098E3D09"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34" w:type="dxa"/>
            <w:vMerge/>
            <w:tcMar>
              <w:left w:w="28" w:type="dxa"/>
              <w:right w:w="28" w:type="dxa"/>
            </w:tcMar>
            <w:vAlign w:val="center"/>
            <w:hideMark/>
          </w:tcPr>
          <w:p w14:paraId="30C82C28" w14:textId="77777777"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701" w:type="dxa"/>
            <w:vMerge/>
            <w:tcMar>
              <w:left w:w="28" w:type="dxa"/>
              <w:right w:w="28" w:type="dxa"/>
            </w:tcMar>
            <w:vAlign w:val="center"/>
            <w:hideMark/>
          </w:tcPr>
          <w:p w14:paraId="0A52C29E" w14:textId="77777777"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275" w:type="dxa"/>
            <w:vMerge/>
            <w:tcMar>
              <w:left w:w="28" w:type="dxa"/>
              <w:right w:w="28" w:type="dxa"/>
            </w:tcMar>
            <w:vAlign w:val="center"/>
            <w:hideMark/>
          </w:tcPr>
          <w:p w14:paraId="2400D0D6"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993" w:type="dxa"/>
            <w:shd w:val="clear" w:color="auto" w:fill="BDD6EE"/>
            <w:tcMar>
              <w:left w:w="28" w:type="dxa"/>
              <w:right w:w="28" w:type="dxa"/>
            </w:tcMar>
            <w:vAlign w:val="center"/>
            <w:hideMark/>
          </w:tcPr>
          <w:p w14:paraId="4E586660"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992" w:type="dxa"/>
            <w:shd w:val="clear" w:color="auto" w:fill="BDD6EE"/>
            <w:tcMar>
              <w:left w:w="28" w:type="dxa"/>
              <w:right w:w="28" w:type="dxa"/>
            </w:tcMar>
            <w:vAlign w:val="center"/>
            <w:hideMark/>
          </w:tcPr>
          <w:p w14:paraId="305C5967" w14:textId="5965DB1A"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992" w:type="dxa"/>
            <w:shd w:val="clear" w:color="auto" w:fill="BDD6EE"/>
            <w:tcMar>
              <w:left w:w="28" w:type="dxa"/>
              <w:right w:w="28" w:type="dxa"/>
            </w:tcMar>
            <w:vAlign w:val="center"/>
            <w:hideMark/>
          </w:tcPr>
          <w:p w14:paraId="61DE86CD" w14:textId="623EC240"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771" w:type="dxa"/>
            <w:shd w:val="clear" w:color="auto" w:fill="BDD6EE"/>
            <w:tcMar>
              <w:left w:w="28" w:type="dxa"/>
              <w:right w:w="28" w:type="dxa"/>
            </w:tcMar>
            <w:vAlign w:val="center"/>
            <w:hideMark/>
          </w:tcPr>
          <w:p w14:paraId="30E66421" w14:textId="322BFB0B"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504" w:type="dxa"/>
            <w:shd w:val="clear" w:color="auto" w:fill="BDD6EE"/>
            <w:tcMar>
              <w:left w:w="28" w:type="dxa"/>
              <w:right w:w="28" w:type="dxa"/>
            </w:tcMar>
            <w:vAlign w:val="center"/>
            <w:hideMark/>
          </w:tcPr>
          <w:p w14:paraId="119C10EB"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3969" w:type="dxa"/>
            <w:vMerge/>
            <w:tcMar>
              <w:left w:w="28" w:type="dxa"/>
              <w:right w:w="28" w:type="dxa"/>
            </w:tcMar>
            <w:vAlign w:val="center"/>
            <w:hideMark/>
          </w:tcPr>
          <w:p w14:paraId="2B41D36D" w14:textId="77777777" w:rsidR="00387C70" w:rsidRPr="003F23AC" w:rsidRDefault="00387C70" w:rsidP="003F23AC">
            <w:pPr>
              <w:spacing w:after="0" w:line="240" w:lineRule="auto"/>
              <w:jc w:val="both"/>
              <w:rPr>
                <w:rFonts w:ascii="Times New Roman" w:eastAsia="Times New Roman" w:hAnsi="Times New Roman" w:cs="Times New Roman"/>
                <w:b/>
                <w:noProof/>
                <w:sz w:val="18"/>
                <w:lang w:val="sk-SK"/>
              </w:rPr>
            </w:pPr>
          </w:p>
        </w:tc>
      </w:tr>
      <w:tr w:rsidR="00387C70" w:rsidRPr="003F23AC" w14:paraId="1B415B45" w14:textId="77777777" w:rsidTr="00EC7FC8">
        <w:trPr>
          <w:trHeight w:val="430"/>
        </w:trPr>
        <w:tc>
          <w:tcPr>
            <w:tcW w:w="1135" w:type="dxa"/>
            <w:shd w:val="clear" w:color="auto" w:fill="C4EFCE"/>
            <w:tcMar>
              <w:left w:w="28" w:type="dxa"/>
              <w:right w:w="28" w:type="dxa"/>
            </w:tcMar>
            <w:vAlign w:val="center"/>
          </w:tcPr>
          <w:p w14:paraId="42812264" w14:textId="024AEF5D"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21.1</w:t>
            </w:r>
          </w:p>
        </w:tc>
        <w:tc>
          <w:tcPr>
            <w:tcW w:w="1276" w:type="dxa"/>
            <w:shd w:val="clear" w:color="auto" w:fill="C4EFCE"/>
            <w:noWrap/>
            <w:tcMar>
              <w:left w:w="28" w:type="dxa"/>
              <w:right w:w="28" w:type="dxa"/>
            </w:tcMar>
            <w:vAlign w:val="center"/>
          </w:tcPr>
          <w:p w14:paraId="6F112C58" w14:textId="0FCD6E7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RP-C21-i01</w:t>
            </w:r>
          </w:p>
        </w:tc>
        <w:tc>
          <w:tcPr>
            <w:tcW w:w="1134" w:type="dxa"/>
            <w:shd w:val="clear" w:color="auto" w:fill="C4EFCE"/>
            <w:noWrap/>
            <w:tcMar>
              <w:left w:w="28" w:type="dxa"/>
              <w:right w:w="28" w:type="dxa"/>
            </w:tcMar>
            <w:vAlign w:val="center"/>
          </w:tcPr>
          <w:p w14:paraId="00DF19E5" w14:textId="20B5C046"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09F1054A" w14:textId="2CD7F0D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Finančná podpora projektov na zjednodušenie dekarbonizácie priemyslu</w:t>
            </w:r>
          </w:p>
        </w:tc>
        <w:tc>
          <w:tcPr>
            <w:tcW w:w="1275" w:type="dxa"/>
            <w:shd w:val="clear" w:color="auto" w:fill="C4EFCE"/>
            <w:noWrap/>
            <w:tcMar>
              <w:left w:w="28" w:type="dxa"/>
              <w:right w:w="28" w:type="dxa"/>
            </w:tcMar>
            <w:vAlign w:val="center"/>
          </w:tcPr>
          <w:p w14:paraId="7E64A9F8" w14:textId="7B347046"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76D97C60" w14:textId="733FC61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tcPr>
          <w:p w14:paraId="1085590D" w14:textId="21F3462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310</w:t>
            </w:r>
          </w:p>
        </w:tc>
        <w:tc>
          <w:tcPr>
            <w:tcW w:w="992" w:type="dxa"/>
            <w:shd w:val="clear" w:color="auto" w:fill="C4EFCE"/>
            <w:noWrap/>
            <w:tcMar>
              <w:left w:w="28" w:type="dxa"/>
              <w:right w:w="28" w:type="dxa"/>
            </w:tcMar>
            <w:vAlign w:val="center"/>
          </w:tcPr>
          <w:p w14:paraId="66B60A08" w14:textId="70EBD20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810</w:t>
            </w:r>
          </w:p>
        </w:tc>
        <w:tc>
          <w:tcPr>
            <w:tcW w:w="771" w:type="dxa"/>
            <w:shd w:val="clear" w:color="auto" w:fill="C4EFCE"/>
            <w:noWrap/>
            <w:tcMar>
              <w:left w:w="28" w:type="dxa"/>
              <w:right w:w="28" w:type="dxa"/>
            </w:tcMar>
            <w:vAlign w:val="center"/>
          </w:tcPr>
          <w:p w14:paraId="70ABCB97" w14:textId="13E726F9"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09AE5546" w14:textId="1A9D3DD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tcPr>
          <w:p w14:paraId="000A03D3" w14:textId="7D7FEE95"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projektov, ktoré získali finančnú podporu na dekarbonizáciu priemyslu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ktoré sa týkajú aspoň jednej</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týchto oblastí: nízkouhlíkové procesy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technológie; prijatie opatrení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energetickej efektívnosti;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začlenenie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jej uskladňovania. Pre podporované priemyselné zariadenia sa zabezpečí zníženie priamych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nepriamych emisií skleníkových plynov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30</w:t>
            </w:r>
            <w:r w:rsidR="00A75B3C" w:rsidRPr="003F23AC">
              <w:rPr>
                <w:rFonts w:ascii="Times New Roman" w:hAnsi="Times New Roman" w:cs="Times New Roman"/>
                <w:noProof/>
                <w:lang w:val="sk-SK"/>
              </w:rPr>
              <w:t> % v </w:t>
            </w:r>
            <w:r w:rsidRPr="003F23AC">
              <w:rPr>
                <w:rFonts w:ascii="Times New Roman" w:hAnsi="Times New Roman" w:cs="Times New Roman"/>
                <w:noProof/>
                <w:lang w:val="sk-SK"/>
              </w:rPr>
              <w:t>prípade projektov zodpovedajúcich oblasti intervencie 024ter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„výrazne nenarušiť“ (2021/C58/01),</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to aj</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zariadení, na ktoré sa vzťahuje systém EÚ na obchodovanie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emisiami,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zabezpečiť, aby podporované zariadenia dosiahli plánované emisie skleníkových plynov, ktoré nedosahujú referenčnú hodnotu stanovenú na bezodplatné prideľovanie kvót, ako sa stanovuje vo vykonávacom nariadení Komisie (EÚ) 2021/447.</w:t>
            </w:r>
          </w:p>
        </w:tc>
      </w:tr>
      <w:tr w:rsidR="00387C70" w:rsidRPr="003F23AC" w14:paraId="2C3FFB3B" w14:textId="77777777" w:rsidTr="00EC7FC8">
        <w:trPr>
          <w:trHeight w:val="430"/>
        </w:trPr>
        <w:tc>
          <w:tcPr>
            <w:tcW w:w="1135" w:type="dxa"/>
            <w:shd w:val="clear" w:color="auto" w:fill="C4EFCE"/>
            <w:tcMar>
              <w:left w:w="28" w:type="dxa"/>
              <w:right w:w="28" w:type="dxa"/>
            </w:tcMar>
            <w:vAlign w:val="center"/>
          </w:tcPr>
          <w:p w14:paraId="0747785A" w14:textId="48735E30"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21.2</w:t>
            </w:r>
          </w:p>
        </w:tc>
        <w:tc>
          <w:tcPr>
            <w:tcW w:w="1276" w:type="dxa"/>
            <w:shd w:val="clear" w:color="auto" w:fill="C4EFCE"/>
            <w:noWrap/>
            <w:tcMar>
              <w:left w:w="28" w:type="dxa"/>
              <w:right w:w="28" w:type="dxa"/>
            </w:tcMar>
            <w:vAlign w:val="center"/>
          </w:tcPr>
          <w:p w14:paraId="5BE0D3A2" w14:textId="6FC836B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RP-C21-i02</w:t>
            </w:r>
          </w:p>
        </w:tc>
        <w:tc>
          <w:tcPr>
            <w:tcW w:w="1134" w:type="dxa"/>
            <w:shd w:val="clear" w:color="auto" w:fill="C4EFCE"/>
            <w:noWrap/>
            <w:tcMar>
              <w:left w:w="28" w:type="dxa"/>
              <w:right w:w="28" w:type="dxa"/>
            </w:tcMar>
            <w:vAlign w:val="center"/>
          </w:tcPr>
          <w:p w14:paraId="5B23DDDE" w14:textId="014F6489"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0A037CB2" w14:textId="59F13AD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Obnova súkromných bytových budov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hľadiska energetickej efektívnosti</w:t>
            </w:r>
          </w:p>
        </w:tc>
        <w:tc>
          <w:tcPr>
            <w:tcW w:w="1275" w:type="dxa"/>
            <w:shd w:val="clear" w:color="auto" w:fill="C4EFCE"/>
            <w:noWrap/>
            <w:tcMar>
              <w:left w:w="28" w:type="dxa"/>
              <w:right w:w="28" w:type="dxa"/>
            </w:tcMar>
            <w:vAlign w:val="center"/>
          </w:tcPr>
          <w:p w14:paraId="42D3737C" w14:textId="3391A35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93" w:type="dxa"/>
            <w:shd w:val="clear" w:color="auto" w:fill="C4EFCE"/>
            <w:noWrap/>
            <w:tcMar>
              <w:left w:w="28" w:type="dxa"/>
              <w:right w:w="28" w:type="dxa"/>
            </w:tcMar>
            <w:vAlign w:val="center"/>
          </w:tcPr>
          <w:p w14:paraId="45022613" w14:textId="753503B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m²</w:t>
            </w:r>
          </w:p>
        </w:tc>
        <w:tc>
          <w:tcPr>
            <w:tcW w:w="992" w:type="dxa"/>
            <w:shd w:val="clear" w:color="auto" w:fill="C4EFCE"/>
            <w:noWrap/>
            <w:tcMar>
              <w:left w:w="28" w:type="dxa"/>
              <w:right w:w="28" w:type="dxa"/>
            </w:tcMar>
            <w:vAlign w:val="center"/>
          </w:tcPr>
          <w:p w14:paraId="7E7B926C" w14:textId="0DDBA67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tcPr>
          <w:p w14:paraId="65AD2C2C" w14:textId="1AD9FE5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6 588 000</w:t>
            </w:r>
          </w:p>
        </w:tc>
        <w:tc>
          <w:tcPr>
            <w:tcW w:w="771" w:type="dxa"/>
            <w:shd w:val="clear" w:color="auto" w:fill="C4EFCE"/>
            <w:noWrap/>
            <w:tcMar>
              <w:left w:w="28" w:type="dxa"/>
              <w:right w:w="28" w:type="dxa"/>
            </w:tcMar>
            <w:vAlign w:val="center"/>
          </w:tcPr>
          <w:p w14:paraId="3F848666" w14:textId="17892919"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04" w:type="dxa"/>
            <w:shd w:val="clear" w:color="auto" w:fill="C4EFCE"/>
            <w:noWrap/>
            <w:tcMar>
              <w:left w:w="28" w:type="dxa"/>
              <w:right w:w="28" w:type="dxa"/>
            </w:tcMar>
            <w:vAlign w:val="center"/>
          </w:tcPr>
          <w:p w14:paraId="5A24DEE7" w14:textId="05E3195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tcPr>
          <w:p w14:paraId="7450107E" w14:textId="5457A68C"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Oblasť obnovených súkromných obytných budov. Obnovami zameranými na energetickú efektívnosť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dosiahne aspoň stredná hĺbková obnova,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p w14:paraId="53883AAE" w14:textId="43ABAF55"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60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podlahovej plochy obnovenej</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tejto investície musí byť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bytových domoch.</w:t>
            </w:r>
          </w:p>
        </w:tc>
      </w:tr>
      <w:tr w:rsidR="00387C70" w:rsidRPr="003F23AC" w14:paraId="43A42DC3" w14:textId="77777777" w:rsidTr="00EC7FC8">
        <w:trPr>
          <w:trHeight w:val="430"/>
        </w:trPr>
        <w:tc>
          <w:tcPr>
            <w:tcW w:w="1135" w:type="dxa"/>
            <w:shd w:val="clear" w:color="auto" w:fill="C4EFCE"/>
            <w:tcMar>
              <w:left w:w="28" w:type="dxa"/>
              <w:right w:w="28" w:type="dxa"/>
            </w:tcMar>
            <w:vAlign w:val="center"/>
          </w:tcPr>
          <w:p w14:paraId="212EC2F2" w14:textId="10638F5D"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21.3</w:t>
            </w:r>
          </w:p>
        </w:tc>
        <w:tc>
          <w:tcPr>
            <w:tcW w:w="1276" w:type="dxa"/>
            <w:shd w:val="clear" w:color="auto" w:fill="C4EFCE"/>
            <w:noWrap/>
            <w:tcMar>
              <w:left w:w="28" w:type="dxa"/>
              <w:right w:w="28" w:type="dxa"/>
            </w:tcMar>
            <w:vAlign w:val="center"/>
          </w:tcPr>
          <w:p w14:paraId="19F97C7B" w14:textId="567F96C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RP-C21-i02</w:t>
            </w:r>
          </w:p>
        </w:tc>
        <w:tc>
          <w:tcPr>
            <w:tcW w:w="1134" w:type="dxa"/>
            <w:shd w:val="clear" w:color="auto" w:fill="C4EFCE"/>
            <w:noWrap/>
            <w:tcMar>
              <w:left w:w="28" w:type="dxa"/>
              <w:right w:w="28" w:type="dxa"/>
            </w:tcMar>
            <w:vAlign w:val="center"/>
          </w:tcPr>
          <w:p w14:paraId="132947DD" w14:textId="23FA823C"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31B6A035" w14:textId="44A81B6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Dodatočná kapacita výroby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 vlastnú spotrebu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použitie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súkromnom sektore bývania</w:t>
            </w:r>
          </w:p>
        </w:tc>
        <w:tc>
          <w:tcPr>
            <w:tcW w:w="1275" w:type="dxa"/>
            <w:shd w:val="clear" w:color="auto" w:fill="C4EFCE"/>
            <w:noWrap/>
            <w:tcMar>
              <w:left w:w="28" w:type="dxa"/>
              <w:right w:w="28" w:type="dxa"/>
            </w:tcMar>
            <w:vAlign w:val="center"/>
          </w:tcPr>
          <w:p w14:paraId="462CF090" w14:textId="485EB45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93" w:type="dxa"/>
            <w:shd w:val="clear" w:color="auto" w:fill="C4EFCE"/>
            <w:noWrap/>
            <w:tcMar>
              <w:left w:w="28" w:type="dxa"/>
              <w:right w:w="28" w:type="dxa"/>
            </w:tcMar>
            <w:vAlign w:val="center"/>
          </w:tcPr>
          <w:p w14:paraId="45159FF3" w14:textId="7438D3F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992" w:type="dxa"/>
            <w:shd w:val="clear" w:color="auto" w:fill="C4EFCE"/>
            <w:noWrap/>
            <w:tcMar>
              <w:left w:w="28" w:type="dxa"/>
              <w:right w:w="28" w:type="dxa"/>
            </w:tcMar>
            <w:vAlign w:val="center"/>
          </w:tcPr>
          <w:p w14:paraId="69A60CBC" w14:textId="4329196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tcPr>
          <w:p w14:paraId="224371DF" w14:textId="1ABF65F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10</w:t>
            </w:r>
          </w:p>
        </w:tc>
        <w:tc>
          <w:tcPr>
            <w:tcW w:w="771" w:type="dxa"/>
            <w:shd w:val="clear" w:color="auto" w:fill="C4EFCE"/>
            <w:noWrap/>
            <w:tcMar>
              <w:left w:w="28" w:type="dxa"/>
              <w:right w:w="28" w:type="dxa"/>
            </w:tcMar>
            <w:vAlign w:val="center"/>
          </w:tcPr>
          <w:p w14:paraId="10744F3B" w14:textId="35965F47"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04" w:type="dxa"/>
            <w:shd w:val="clear" w:color="auto" w:fill="C4EFCE"/>
            <w:noWrap/>
            <w:tcMar>
              <w:left w:w="28" w:type="dxa"/>
              <w:right w:w="28" w:type="dxa"/>
            </w:tcMar>
            <w:vAlign w:val="center"/>
          </w:tcPr>
          <w:p w14:paraId="59104E64" w14:textId="6E2C7F0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tcPr>
          <w:p w14:paraId="3C1262EC" w14:textId="520129DB"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Dodatočná kapacita na výrobu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(napríklad fotovoltické panely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batérie, keďže táto technológia je vyspelá) inštalovaná na vlastnú spotrebu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použitie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súkromnom sektore bývania.</w:t>
            </w:r>
          </w:p>
          <w:p w14:paraId="619C48DD" w14:textId="545238A6" w:rsidR="00387C70" w:rsidRPr="003F23AC" w:rsidRDefault="00387C70" w:rsidP="003F23AC">
            <w:pPr>
              <w:spacing w:after="0" w:line="240" w:lineRule="auto"/>
              <w:jc w:val="both"/>
              <w:rPr>
                <w:rFonts w:ascii="Times New Roman" w:eastAsia="Times New Roman" w:hAnsi="Times New Roman" w:cs="Times New Roman"/>
                <w:noProof/>
                <w:sz w:val="16"/>
                <w:lang w:val="sk-SK"/>
              </w:rPr>
            </w:pPr>
          </w:p>
        </w:tc>
      </w:tr>
      <w:tr w:rsidR="00387C70" w:rsidRPr="003F23AC" w14:paraId="73882A16" w14:textId="77777777" w:rsidTr="00EC7FC8">
        <w:trPr>
          <w:trHeight w:val="430"/>
        </w:trPr>
        <w:tc>
          <w:tcPr>
            <w:tcW w:w="1135" w:type="dxa"/>
            <w:shd w:val="clear" w:color="auto" w:fill="C4EFCE"/>
            <w:tcMar>
              <w:left w:w="28" w:type="dxa"/>
              <w:right w:w="28" w:type="dxa"/>
            </w:tcMar>
            <w:vAlign w:val="center"/>
          </w:tcPr>
          <w:p w14:paraId="15BBD858" w14:textId="5C3A7649"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21.4</w:t>
            </w:r>
          </w:p>
        </w:tc>
        <w:tc>
          <w:tcPr>
            <w:tcW w:w="1276" w:type="dxa"/>
            <w:shd w:val="clear" w:color="auto" w:fill="C4EFCE"/>
            <w:noWrap/>
            <w:tcMar>
              <w:left w:w="28" w:type="dxa"/>
              <w:right w:w="28" w:type="dxa"/>
            </w:tcMar>
            <w:vAlign w:val="center"/>
          </w:tcPr>
          <w:p w14:paraId="62676A47" w14:textId="49D8AEF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RP-C21-i03</w:t>
            </w:r>
          </w:p>
        </w:tc>
        <w:tc>
          <w:tcPr>
            <w:tcW w:w="1134" w:type="dxa"/>
            <w:shd w:val="clear" w:color="auto" w:fill="C4EFCE"/>
            <w:noWrap/>
            <w:tcMar>
              <w:left w:w="28" w:type="dxa"/>
              <w:right w:w="28" w:type="dxa"/>
            </w:tcMar>
            <w:vAlign w:val="center"/>
          </w:tcPr>
          <w:p w14:paraId="34651C7B" w14:textId="5E97582C"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260269BC" w14:textId="1EEC9E4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Obnova budov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hľadiska energetickej efektívnosti</w:t>
            </w:r>
          </w:p>
        </w:tc>
        <w:tc>
          <w:tcPr>
            <w:tcW w:w="1275" w:type="dxa"/>
            <w:shd w:val="clear" w:color="auto" w:fill="C4EFCE"/>
            <w:noWrap/>
            <w:tcMar>
              <w:left w:w="28" w:type="dxa"/>
              <w:right w:w="28" w:type="dxa"/>
            </w:tcMar>
            <w:vAlign w:val="center"/>
          </w:tcPr>
          <w:p w14:paraId="459F1CF9" w14:textId="40FFF73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93" w:type="dxa"/>
            <w:shd w:val="clear" w:color="auto" w:fill="C4EFCE"/>
            <w:noWrap/>
            <w:tcMar>
              <w:left w:w="28" w:type="dxa"/>
              <w:right w:w="28" w:type="dxa"/>
            </w:tcMar>
            <w:vAlign w:val="center"/>
          </w:tcPr>
          <w:p w14:paraId="042767D5" w14:textId="36BCCE48"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m²</w:t>
            </w:r>
          </w:p>
        </w:tc>
        <w:tc>
          <w:tcPr>
            <w:tcW w:w="992" w:type="dxa"/>
            <w:shd w:val="clear" w:color="auto" w:fill="C4EFCE"/>
            <w:noWrap/>
            <w:tcMar>
              <w:left w:w="28" w:type="dxa"/>
              <w:right w:w="28" w:type="dxa"/>
            </w:tcMar>
            <w:vAlign w:val="center"/>
          </w:tcPr>
          <w:p w14:paraId="76C71504" w14:textId="4B820CE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360,000</w:t>
            </w:r>
          </w:p>
        </w:tc>
        <w:tc>
          <w:tcPr>
            <w:tcW w:w="992" w:type="dxa"/>
            <w:shd w:val="clear" w:color="auto" w:fill="C4EFCE"/>
            <w:noWrap/>
            <w:tcMar>
              <w:left w:w="28" w:type="dxa"/>
              <w:right w:w="28" w:type="dxa"/>
            </w:tcMar>
            <w:vAlign w:val="center"/>
          </w:tcPr>
          <w:p w14:paraId="4E7E34F6" w14:textId="24377808"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1 060 000</w:t>
            </w:r>
          </w:p>
        </w:tc>
        <w:tc>
          <w:tcPr>
            <w:tcW w:w="771" w:type="dxa"/>
            <w:shd w:val="clear" w:color="auto" w:fill="C4EFCE"/>
            <w:noWrap/>
            <w:tcMar>
              <w:left w:w="28" w:type="dxa"/>
              <w:right w:w="28" w:type="dxa"/>
            </w:tcMar>
            <w:vAlign w:val="center"/>
          </w:tcPr>
          <w:p w14:paraId="5AC29A9B" w14:textId="09B4B6DF"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76B212F5" w14:textId="63663A4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tcPr>
          <w:p w14:paraId="63D5C6F9" w14:textId="06516AC9"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Celková plocha budov využívaných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sektore služieb, ktoré prechádzajú obnovou energetickej efektívnosti.</w:t>
            </w:r>
          </w:p>
          <w:p w14:paraId="288E3B5D" w14:textId="6FB8F945"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Obnovami zameranými na energetickú efektívnosť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dosiahne aspoň stredná hĺbková obnova,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87C70" w:rsidRPr="003F23AC" w14:paraId="51B258CA" w14:textId="77777777" w:rsidTr="00EC7FC8">
        <w:trPr>
          <w:trHeight w:val="430"/>
        </w:trPr>
        <w:tc>
          <w:tcPr>
            <w:tcW w:w="1135" w:type="dxa"/>
            <w:shd w:val="clear" w:color="auto" w:fill="C4EFCE"/>
            <w:tcMar>
              <w:left w:w="28" w:type="dxa"/>
              <w:right w:w="28" w:type="dxa"/>
            </w:tcMar>
            <w:vAlign w:val="center"/>
          </w:tcPr>
          <w:p w14:paraId="2644F217" w14:textId="22F80D52"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21.5</w:t>
            </w:r>
          </w:p>
        </w:tc>
        <w:tc>
          <w:tcPr>
            <w:tcW w:w="1276" w:type="dxa"/>
            <w:shd w:val="clear" w:color="auto" w:fill="C4EFCE"/>
            <w:noWrap/>
            <w:tcMar>
              <w:left w:w="28" w:type="dxa"/>
              <w:right w:w="28" w:type="dxa"/>
            </w:tcMar>
            <w:vAlign w:val="center"/>
          </w:tcPr>
          <w:p w14:paraId="3E081706" w14:textId="65AC1B46" w:rsidR="00387C70" w:rsidRPr="003F23AC" w:rsidRDefault="000F5AA4" w:rsidP="003F23AC">
            <w:pPr>
              <w:pStyle w:val="P68B1DB1-Bodytext1013"/>
              <w:rPr>
                <w:rFonts w:ascii="Times New Roman" w:hAnsi="Times New Roman" w:cs="Times New Roman"/>
                <w:noProof/>
                <w:lang w:val="sk-SK"/>
              </w:rPr>
            </w:pPr>
            <w:r w:rsidRPr="003F23AC">
              <w:rPr>
                <w:rFonts w:ascii="Times New Roman" w:hAnsi="Times New Roman" w:cs="Times New Roman"/>
                <w:noProof/>
                <w:lang w:val="sk-SK"/>
              </w:rPr>
              <w:t>RP-21-i04-RAM</w:t>
            </w:r>
          </w:p>
        </w:tc>
        <w:tc>
          <w:tcPr>
            <w:tcW w:w="1134" w:type="dxa"/>
            <w:shd w:val="clear" w:color="auto" w:fill="C4EFCE"/>
            <w:noWrap/>
            <w:tcMar>
              <w:left w:w="28" w:type="dxa"/>
              <w:right w:w="28" w:type="dxa"/>
            </w:tcMar>
            <w:vAlign w:val="center"/>
          </w:tcPr>
          <w:p w14:paraId="576823A2" w14:textId="7DEB2884"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512BF19D" w14:textId="17350B60"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Dodatočná kapacita na výrobu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 vlastnú spotrebu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komunitné využívanie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obnovených verejných budovách</w:t>
            </w:r>
          </w:p>
        </w:tc>
        <w:tc>
          <w:tcPr>
            <w:tcW w:w="1275" w:type="dxa"/>
            <w:shd w:val="clear" w:color="auto" w:fill="C4EFCE"/>
            <w:noWrap/>
            <w:tcMar>
              <w:left w:w="28" w:type="dxa"/>
              <w:right w:w="28" w:type="dxa"/>
            </w:tcMar>
            <w:vAlign w:val="center"/>
          </w:tcPr>
          <w:p w14:paraId="1DE1063A" w14:textId="66359CB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93" w:type="dxa"/>
            <w:shd w:val="clear" w:color="auto" w:fill="C4EFCE"/>
            <w:noWrap/>
            <w:tcMar>
              <w:left w:w="28" w:type="dxa"/>
              <w:right w:w="28" w:type="dxa"/>
            </w:tcMar>
            <w:vAlign w:val="center"/>
          </w:tcPr>
          <w:p w14:paraId="5CB8B204" w14:textId="31C920A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992" w:type="dxa"/>
            <w:shd w:val="clear" w:color="auto" w:fill="C4EFCE"/>
            <w:noWrap/>
            <w:tcMar>
              <w:left w:w="28" w:type="dxa"/>
              <w:right w:w="28" w:type="dxa"/>
            </w:tcMar>
            <w:vAlign w:val="center"/>
          </w:tcPr>
          <w:p w14:paraId="34922037" w14:textId="7CAC268A"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xml:space="preserve"> 0</w:t>
            </w:r>
          </w:p>
        </w:tc>
        <w:tc>
          <w:tcPr>
            <w:tcW w:w="992" w:type="dxa"/>
            <w:shd w:val="clear" w:color="auto" w:fill="C4EFCE"/>
            <w:noWrap/>
            <w:tcMar>
              <w:left w:w="28" w:type="dxa"/>
              <w:right w:w="28" w:type="dxa"/>
            </w:tcMar>
            <w:vAlign w:val="center"/>
          </w:tcPr>
          <w:p w14:paraId="64EAB2DF" w14:textId="7012C39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1.3</w:t>
            </w:r>
          </w:p>
        </w:tc>
        <w:tc>
          <w:tcPr>
            <w:tcW w:w="771" w:type="dxa"/>
            <w:shd w:val="clear" w:color="auto" w:fill="C4EFCE"/>
            <w:noWrap/>
            <w:tcMar>
              <w:left w:w="28" w:type="dxa"/>
              <w:right w:w="28" w:type="dxa"/>
            </w:tcMar>
            <w:vAlign w:val="center"/>
          </w:tcPr>
          <w:p w14:paraId="1ADD0D80" w14:textId="15ECC9E2"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tcPr>
          <w:p w14:paraId="2D5B9DF9" w14:textId="3800373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tcPr>
          <w:p w14:paraId="2EC83552" w14:textId="33E027AB"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Dodatočná kapacita na výrobu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 vlastnú spotrebu vo verejných budovách.</w:t>
            </w:r>
          </w:p>
        </w:tc>
      </w:tr>
      <w:tr w:rsidR="00387C70" w:rsidRPr="003F23AC" w14:paraId="468840B8" w14:textId="77777777" w:rsidTr="00EC7FC8">
        <w:trPr>
          <w:trHeight w:val="1519"/>
        </w:trPr>
        <w:tc>
          <w:tcPr>
            <w:tcW w:w="1135" w:type="dxa"/>
            <w:shd w:val="clear" w:color="auto" w:fill="C4EFCE"/>
            <w:tcMar>
              <w:left w:w="28" w:type="dxa"/>
              <w:right w:w="28" w:type="dxa"/>
            </w:tcMar>
            <w:vAlign w:val="center"/>
          </w:tcPr>
          <w:p w14:paraId="48117054" w14:textId="0841057E"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21.6</w:t>
            </w:r>
          </w:p>
        </w:tc>
        <w:tc>
          <w:tcPr>
            <w:tcW w:w="1276" w:type="dxa"/>
            <w:shd w:val="clear" w:color="auto" w:fill="C4EFCE"/>
            <w:noWrap/>
            <w:tcMar>
              <w:left w:w="28" w:type="dxa"/>
              <w:right w:w="28" w:type="dxa"/>
            </w:tcMar>
            <w:vAlign w:val="center"/>
          </w:tcPr>
          <w:p w14:paraId="600F3363" w14:textId="417C60D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RP-21-i04-RAM</w:t>
            </w:r>
          </w:p>
        </w:tc>
        <w:tc>
          <w:tcPr>
            <w:tcW w:w="1134" w:type="dxa"/>
            <w:shd w:val="clear" w:color="auto" w:fill="C4EFCE"/>
            <w:noWrap/>
            <w:tcMar>
              <w:left w:w="28" w:type="dxa"/>
              <w:right w:w="28" w:type="dxa"/>
            </w:tcMar>
            <w:vAlign w:val="center"/>
          </w:tcPr>
          <w:p w14:paraId="423333E2" w14:textId="27E108BE"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415A338D" w14:textId="1DF04D00"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Obnova budov verejných služieb zameraná na energetickú efektívnosť</w:t>
            </w:r>
          </w:p>
        </w:tc>
        <w:tc>
          <w:tcPr>
            <w:tcW w:w="1275" w:type="dxa"/>
            <w:shd w:val="clear" w:color="auto" w:fill="C4EFCE"/>
            <w:noWrap/>
            <w:tcMar>
              <w:left w:w="28" w:type="dxa"/>
              <w:right w:w="28" w:type="dxa"/>
            </w:tcMar>
            <w:vAlign w:val="center"/>
          </w:tcPr>
          <w:p w14:paraId="3C7888E1" w14:textId="26C6AC4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93" w:type="dxa"/>
            <w:shd w:val="clear" w:color="auto" w:fill="C4EFCE"/>
            <w:noWrap/>
            <w:tcMar>
              <w:left w:w="28" w:type="dxa"/>
              <w:right w:w="28" w:type="dxa"/>
            </w:tcMar>
            <w:vAlign w:val="center"/>
          </w:tcPr>
          <w:p w14:paraId="772805B6" w14:textId="2ECAF66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r w:rsidRPr="003F23AC">
              <w:rPr>
                <w:rFonts w:ascii="Times New Roman" w:hAnsi="Times New Roman" w:cs="Times New Roman"/>
                <w:noProof/>
                <w:vertAlign w:val="superscript"/>
                <w:lang w:val="sk-SK"/>
              </w:rPr>
              <w:t>2</w:t>
            </w:r>
          </w:p>
        </w:tc>
        <w:tc>
          <w:tcPr>
            <w:tcW w:w="992" w:type="dxa"/>
            <w:shd w:val="clear" w:color="auto" w:fill="C4EFCE"/>
            <w:noWrap/>
            <w:tcMar>
              <w:left w:w="28" w:type="dxa"/>
              <w:right w:w="28" w:type="dxa"/>
            </w:tcMar>
            <w:vAlign w:val="center"/>
          </w:tcPr>
          <w:p w14:paraId="55701F7C" w14:textId="5FDE8DB7"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xml:space="preserve"> 0</w:t>
            </w:r>
          </w:p>
        </w:tc>
        <w:tc>
          <w:tcPr>
            <w:tcW w:w="992" w:type="dxa"/>
            <w:shd w:val="clear" w:color="auto" w:fill="C4EFCE"/>
            <w:noWrap/>
            <w:tcMar>
              <w:left w:w="28" w:type="dxa"/>
              <w:right w:w="28" w:type="dxa"/>
            </w:tcMar>
            <w:vAlign w:val="center"/>
          </w:tcPr>
          <w:p w14:paraId="4974C85D" w14:textId="02953CA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105 000 </w:t>
            </w:r>
          </w:p>
        </w:tc>
        <w:tc>
          <w:tcPr>
            <w:tcW w:w="771" w:type="dxa"/>
            <w:shd w:val="clear" w:color="auto" w:fill="C4EFCE"/>
            <w:noWrap/>
            <w:tcMar>
              <w:left w:w="28" w:type="dxa"/>
              <w:right w:w="28" w:type="dxa"/>
            </w:tcMar>
            <w:vAlign w:val="center"/>
          </w:tcPr>
          <w:p w14:paraId="20377C57" w14:textId="6558011D"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tcPr>
          <w:p w14:paraId="0BA9E64F" w14:textId="05AC713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tcPr>
          <w:p w14:paraId="4380BFB2" w14:textId="7CCEDB59" w:rsidR="00387C70" w:rsidRPr="003F23AC" w:rsidRDefault="000F5AA4" w:rsidP="003F23AC">
            <w:pPr>
              <w:pStyle w:val="P68B1DB1-CommentText21"/>
              <w:keepNext w:val="0"/>
              <w:spacing w:line="240" w:lineRule="auto"/>
              <w:rPr>
                <w:rFonts w:ascii="Times New Roman" w:hAnsi="Times New Roman"/>
                <w:noProof/>
                <w:lang w:val="sk-SK"/>
              </w:rPr>
            </w:pPr>
            <w:r w:rsidRPr="003F23AC">
              <w:rPr>
                <w:rFonts w:ascii="Times New Roman" w:hAnsi="Times New Roman"/>
                <w:noProof/>
                <w:lang w:val="sk-SK"/>
              </w:rPr>
              <w:t>Celková plocha verejných budov</w:t>
            </w:r>
            <w:r w:rsidR="00A75B3C" w:rsidRPr="003F23AC">
              <w:rPr>
                <w:rFonts w:ascii="Times New Roman" w:hAnsi="Times New Roman"/>
                <w:noProof/>
                <w:lang w:val="sk-SK"/>
              </w:rPr>
              <w:t xml:space="preserve"> s </w:t>
            </w:r>
            <w:r w:rsidRPr="003F23AC">
              <w:rPr>
                <w:rFonts w:ascii="Times New Roman" w:hAnsi="Times New Roman"/>
                <w:noProof/>
                <w:lang w:val="sk-SK"/>
              </w:rPr>
              <w:t>rozlohou 105000 metrov štvorcových sa obnoví</w:t>
            </w:r>
            <w:r w:rsidR="00A75B3C" w:rsidRPr="003F23AC">
              <w:rPr>
                <w:rFonts w:ascii="Times New Roman" w:hAnsi="Times New Roman"/>
                <w:noProof/>
                <w:lang w:val="sk-SK"/>
              </w:rPr>
              <w:t xml:space="preserve"> z </w:t>
            </w:r>
            <w:r w:rsidRPr="003F23AC">
              <w:rPr>
                <w:rFonts w:ascii="Times New Roman" w:hAnsi="Times New Roman"/>
                <w:noProof/>
                <w:lang w:val="sk-SK"/>
              </w:rPr>
              <w:t>hľadiska energetickej efektívnosti.</w:t>
            </w:r>
          </w:p>
          <w:p w14:paraId="0FF509DE" w14:textId="32BA090E"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Obnovami zameranými na energetickú efektívnosť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priemere dosiahne aspoň stredná hĺbková obnova, ako sa vymedzuje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odporúčaní Komisie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obnove budov (EÚ) 2019/786.</w:t>
            </w:r>
          </w:p>
        </w:tc>
      </w:tr>
      <w:tr w:rsidR="00387C70" w:rsidRPr="003F23AC" w14:paraId="58D7856D" w14:textId="77777777" w:rsidTr="00EC7FC8">
        <w:trPr>
          <w:trHeight w:val="430"/>
        </w:trPr>
        <w:tc>
          <w:tcPr>
            <w:tcW w:w="1135" w:type="dxa"/>
            <w:shd w:val="clear" w:color="auto" w:fill="C4EFCE"/>
            <w:tcMar>
              <w:left w:w="28" w:type="dxa"/>
              <w:right w:w="28" w:type="dxa"/>
            </w:tcMar>
            <w:vAlign w:val="center"/>
          </w:tcPr>
          <w:p w14:paraId="2251B7BA" w14:textId="61C2CEA5"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21.7</w:t>
            </w:r>
          </w:p>
        </w:tc>
        <w:tc>
          <w:tcPr>
            <w:tcW w:w="1276" w:type="dxa"/>
            <w:shd w:val="clear" w:color="auto" w:fill="C4EFCE"/>
            <w:noWrap/>
            <w:tcMar>
              <w:left w:w="28" w:type="dxa"/>
              <w:right w:w="28" w:type="dxa"/>
            </w:tcMar>
            <w:vAlign w:val="center"/>
          </w:tcPr>
          <w:p w14:paraId="34021876" w14:textId="08C5790C" w:rsidR="00387C70" w:rsidRPr="003F23AC" w:rsidRDefault="000F5AA4" w:rsidP="003F23AC">
            <w:pPr>
              <w:pStyle w:val="P68B1DB1-Bodytext1013"/>
              <w:rPr>
                <w:rFonts w:ascii="Times New Roman" w:eastAsia="Times New Roman félkövér" w:hAnsi="Times New Roman" w:cs="Times New Roman"/>
                <w:noProof/>
                <w:lang w:val="sk-SK"/>
              </w:rPr>
            </w:pPr>
            <w:r w:rsidRPr="003F23AC">
              <w:rPr>
                <w:rFonts w:ascii="Times New Roman" w:hAnsi="Times New Roman" w:cs="Times New Roman"/>
                <w:noProof/>
                <w:lang w:val="sk-SK"/>
              </w:rPr>
              <w:t>RP-C21-r43</w:t>
            </w:r>
          </w:p>
        </w:tc>
        <w:tc>
          <w:tcPr>
            <w:tcW w:w="1134" w:type="dxa"/>
            <w:shd w:val="clear" w:color="auto" w:fill="C4EFCE"/>
            <w:noWrap/>
            <w:tcMar>
              <w:left w:w="28" w:type="dxa"/>
              <w:right w:w="28" w:type="dxa"/>
            </w:tcMar>
            <w:vAlign w:val="center"/>
          </w:tcPr>
          <w:p w14:paraId="4F71420E" w14:textId="56F3F28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46FFEF19" w14:textId="67ACAB8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právnych predpisov, ktorými sa zriaďuje Národné stredisko pre monitorovanie energetickej chudoby</w:t>
            </w:r>
          </w:p>
        </w:tc>
        <w:tc>
          <w:tcPr>
            <w:tcW w:w="1275" w:type="dxa"/>
            <w:shd w:val="clear" w:color="auto" w:fill="C4EFCE"/>
            <w:noWrap/>
            <w:tcMar>
              <w:left w:w="28" w:type="dxa"/>
              <w:right w:w="28" w:type="dxa"/>
            </w:tcMar>
            <w:vAlign w:val="center"/>
          </w:tcPr>
          <w:p w14:paraId="63846E04" w14:textId="25F67A1F"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Ustanovenie legislatívneho aktu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nadobudnutí účinnosti právnych predpisov </w:t>
            </w:r>
          </w:p>
        </w:tc>
        <w:tc>
          <w:tcPr>
            <w:tcW w:w="993" w:type="dxa"/>
            <w:shd w:val="clear" w:color="auto" w:fill="C4EFCE"/>
            <w:noWrap/>
            <w:tcMar>
              <w:left w:w="28" w:type="dxa"/>
              <w:right w:w="28" w:type="dxa"/>
            </w:tcMar>
            <w:vAlign w:val="center"/>
          </w:tcPr>
          <w:p w14:paraId="6A7D8AC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6D421A1B" w14:textId="45638A68"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92" w:type="dxa"/>
            <w:shd w:val="clear" w:color="auto" w:fill="C4EFCE"/>
            <w:noWrap/>
            <w:tcMar>
              <w:left w:w="28" w:type="dxa"/>
              <w:right w:w="28" w:type="dxa"/>
            </w:tcMar>
            <w:vAlign w:val="center"/>
          </w:tcPr>
          <w:p w14:paraId="1BF07CE4"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73F3ECB3" w14:textId="669A6217"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04" w:type="dxa"/>
            <w:shd w:val="clear" w:color="auto" w:fill="C4EFCE"/>
            <w:noWrap/>
            <w:tcMar>
              <w:left w:w="28" w:type="dxa"/>
              <w:right w:w="28" w:type="dxa"/>
            </w:tcMar>
            <w:vAlign w:val="center"/>
          </w:tcPr>
          <w:p w14:paraId="6FCC7FDE" w14:textId="1C1EA560"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69" w:type="dxa"/>
            <w:shd w:val="clear" w:color="auto" w:fill="C4EFCE"/>
            <w:tcMar>
              <w:left w:w="28" w:type="dxa"/>
              <w:right w:w="28" w:type="dxa"/>
            </w:tcMar>
            <w:vAlign w:val="center"/>
          </w:tcPr>
          <w:p w14:paraId="135256C5" w14:textId="12FF2C95"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právnych predpisov, ktorými sa zriaďuje Národné stredisko pre monitorovanie energetickej chudoby (ONPE) vrátane vymedzenia riadenia, zodpovedností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účelov, ako sa uvádza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opise opatrenia.</w:t>
            </w:r>
          </w:p>
        </w:tc>
      </w:tr>
      <w:tr w:rsidR="00387C70" w:rsidRPr="003F23AC" w14:paraId="516DA8F8" w14:textId="77777777" w:rsidTr="00EC7FC8">
        <w:trPr>
          <w:trHeight w:val="430"/>
        </w:trPr>
        <w:tc>
          <w:tcPr>
            <w:tcW w:w="1135" w:type="dxa"/>
            <w:shd w:val="clear" w:color="auto" w:fill="C4EFCE"/>
            <w:tcMar>
              <w:left w:w="28" w:type="dxa"/>
              <w:right w:w="28" w:type="dxa"/>
            </w:tcMar>
            <w:vAlign w:val="center"/>
          </w:tcPr>
          <w:p w14:paraId="34B69183" w14:textId="15D64060"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21.8</w:t>
            </w:r>
          </w:p>
        </w:tc>
        <w:tc>
          <w:tcPr>
            <w:tcW w:w="1276" w:type="dxa"/>
            <w:shd w:val="clear" w:color="auto" w:fill="C4EFCE"/>
            <w:noWrap/>
            <w:tcMar>
              <w:left w:w="28" w:type="dxa"/>
              <w:right w:w="28" w:type="dxa"/>
            </w:tcMar>
            <w:vAlign w:val="center"/>
          </w:tcPr>
          <w:p w14:paraId="5AF91C70" w14:textId="57FF3B2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RP-C21-r43</w:t>
            </w:r>
          </w:p>
        </w:tc>
        <w:tc>
          <w:tcPr>
            <w:tcW w:w="1134" w:type="dxa"/>
            <w:shd w:val="clear" w:color="auto" w:fill="C4EFCE"/>
            <w:noWrap/>
            <w:tcMar>
              <w:left w:w="28" w:type="dxa"/>
              <w:right w:w="28" w:type="dxa"/>
            </w:tcMar>
            <w:vAlign w:val="center"/>
          </w:tcPr>
          <w:p w14:paraId="21C4EA54" w14:textId="0E98EAB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1A5E52BD" w14:textId="730B2BA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Spustenie nástroja financovania na boj proti energetickej chudobe</w:t>
            </w:r>
          </w:p>
        </w:tc>
        <w:tc>
          <w:tcPr>
            <w:tcW w:w="1275" w:type="dxa"/>
            <w:shd w:val="clear" w:color="auto" w:fill="C4EFCE"/>
            <w:noWrap/>
            <w:tcMar>
              <w:left w:w="28" w:type="dxa"/>
              <w:right w:w="28" w:type="dxa"/>
            </w:tcMar>
            <w:vAlign w:val="center"/>
          </w:tcPr>
          <w:p w14:paraId="2F98D54F" w14:textId="6858B98B" w:rsidR="00387C70" w:rsidRPr="003F23AC" w:rsidRDefault="000F5AA4" w:rsidP="003F23AC">
            <w:pPr>
              <w:pStyle w:val="P68B1DB1-Normal12"/>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Spustenie nástroja financovania na boj proti energetickej chudobe</w:t>
            </w:r>
          </w:p>
        </w:tc>
        <w:tc>
          <w:tcPr>
            <w:tcW w:w="993" w:type="dxa"/>
            <w:shd w:val="clear" w:color="auto" w:fill="C4EFCE"/>
            <w:noWrap/>
            <w:tcMar>
              <w:left w:w="28" w:type="dxa"/>
              <w:right w:w="28" w:type="dxa"/>
            </w:tcMar>
            <w:vAlign w:val="center"/>
          </w:tcPr>
          <w:p w14:paraId="153BF777"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389159D0"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3B2F4246"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1F0E5CBC" w14:textId="29839C0C"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04" w:type="dxa"/>
            <w:shd w:val="clear" w:color="auto" w:fill="C4EFCE"/>
            <w:noWrap/>
            <w:tcMar>
              <w:left w:w="28" w:type="dxa"/>
              <w:right w:w="28" w:type="dxa"/>
            </w:tcMar>
            <w:vAlign w:val="center"/>
          </w:tcPr>
          <w:p w14:paraId="050861F5" w14:textId="62CDF1F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tcPr>
          <w:p w14:paraId="2DA29653" w14:textId="4BFA4C63"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Spustenie nástroja financovania opatrení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energetickej efektívnosti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sektore bývania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riešiť energetickú chudobu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súvislosti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identifikovanými profilmi domácností. Toto sa prijme buď nadobudnutím účinnosti príslušných právnych predpisov, alebo prijatím rozhodnutia finančnou inštitúciou.</w:t>
            </w:r>
          </w:p>
        </w:tc>
      </w:tr>
      <w:tr w:rsidR="00387C70" w:rsidRPr="003F23AC" w14:paraId="76ADC491" w14:textId="77777777" w:rsidTr="00EC7FC8">
        <w:trPr>
          <w:trHeight w:val="430"/>
        </w:trPr>
        <w:tc>
          <w:tcPr>
            <w:tcW w:w="1135" w:type="dxa"/>
            <w:shd w:val="clear" w:color="auto" w:fill="C4EFCE"/>
            <w:tcMar>
              <w:left w:w="28" w:type="dxa"/>
              <w:right w:w="28" w:type="dxa"/>
            </w:tcMar>
            <w:vAlign w:val="center"/>
          </w:tcPr>
          <w:p w14:paraId="624C6CC1" w14:textId="2FA7289B"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21.9</w:t>
            </w:r>
          </w:p>
        </w:tc>
        <w:tc>
          <w:tcPr>
            <w:tcW w:w="1276" w:type="dxa"/>
            <w:shd w:val="clear" w:color="auto" w:fill="C4EFCE"/>
            <w:noWrap/>
            <w:tcMar>
              <w:left w:w="28" w:type="dxa"/>
              <w:right w:w="28" w:type="dxa"/>
            </w:tcMar>
            <w:vAlign w:val="center"/>
          </w:tcPr>
          <w:p w14:paraId="28F5253F" w14:textId="3B061D3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RP-C21-r44</w:t>
            </w:r>
          </w:p>
        </w:tc>
        <w:tc>
          <w:tcPr>
            <w:tcW w:w="1134" w:type="dxa"/>
            <w:shd w:val="clear" w:color="auto" w:fill="C4EFCE"/>
            <w:noWrap/>
            <w:tcMar>
              <w:left w:w="28" w:type="dxa"/>
              <w:right w:w="28" w:type="dxa"/>
            </w:tcMar>
            <w:vAlign w:val="center"/>
          </w:tcPr>
          <w:p w14:paraId="5FA2A266" w14:textId="7A8ACAE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7D3D0BF3" w14:textId="53E3BAE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protokolu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spolupráci</w:t>
            </w:r>
          </w:p>
        </w:tc>
        <w:tc>
          <w:tcPr>
            <w:tcW w:w="1275" w:type="dxa"/>
            <w:shd w:val="clear" w:color="auto" w:fill="C4EFCE"/>
            <w:noWrap/>
            <w:tcMar>
              <w:left w:w="28" w:type="dxa"/>
              <w:right w:w="28" w:type="dxa"/>
            </w:tcMar>
            <w:vAlign w:val="center"/>
          </w:tcPr>
          <w:p w14:paraId="2A0074DF" w14:textId="281D3D2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protokolu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spolupráci</w:t>
            </w:r>
          </w:p>
        </w:tc>
        <w:tc>
          <w:tcPr>
            <w:tcW w:w="993" w:type="dxa"/>
            <w:shd w:val="clear" w:color="auto" w:fill="C4EFCE"/>
            <w:noWrap/>
            <w:tcMar>
              <w:left w:w="28" w:type="dxa"/>
              <w:right w:w="28" w:type="dxa"/>
            </w:tcMar>
            <w:vAlign w:val="center"/>
          </w:tcPr>
          <w:p w14:paraId="6E9051C5"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319DECB3" w14:textId="0694995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92" w:type="dxa"/>
            <w:shd w:val="clear" w:color="auto" w:fill="C4EFCE"/>
            <w:noWrap/>
            <w:tcMar>
              <w:left w:w="28" w:type="dxa"/>
              <w:right w:w="28" w:type="dxa"/>
            </w:tcMar>
            <w:vAlign w:val="center"/>
          </w:tcPr>
          <w:p w14:paraId="128E6BDE"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7CCCD925" w14:textId="4A4568E5"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tcPr>
          <w:p w14:paraId="59B354CE" w14:textId="76A1576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69" w:type="dxa"/>
            <w:shd w:val="clear" w:color="auto" w:fill="C4EFCE"/>
            <w:tcMar>
              <w:left w:w="28" w:type="dxa"/>
              <w:right w:w="28" w:type="dxa"/>
            </w:tcMar>
            <w:vAlign w:val="center"/>
          </w:tcPr>
          <w:p w14:paraId="4FC9401F" w14:textId="5A705DB5"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Podpísanie protokolu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spolupráci medzi Agência para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Energia (ADENE), Associação Nacional de Freguesias (Anafre)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Rede Nacional de Agências de Energia (RNAE), Associação Nacional de Municípios (ANMP)</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Confederação Nacional de Instituições de Solidariedade (CNIS) na účely vytvorenia </w:t>
            </w:r>
            <w:r w:rsidRPr="003F23AC">
              <w:rPr>
                <w:rFonts w:ascii="Times New Roman" w:hAnsi="Times New Roman" w:cs="Times New Roman"/>
                <w:i/>
                <w:noProof/>
                <w:lang w:val="sk-SK"/>
              </w:rPr>
              <w:t>Espaços Cidadão Energia</w:t>
            </w:r>
            <w:r w:rsidRPr="003F23AC">
              <w:rPr>
                <w:rFonts w:ascii="Times New Roman" w:hAnsi="Times New Roman" w:cs="Times New Roman"/>
                <w:noProof/>
                <w:lang w:val="sk-SK"/>
              </w:rPr>
              <w:t>,</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uvedením ich úloh, riadenia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finančnej štruktúry. </w:t>
            </w:r>
          </w:p>
        </w:tc>
      </w:tr>
      <w:tr w:rsidR="00387C70" w:rsidRPr="003F23AC" w14:paraId="4405AF92" w14:textId="77777777" w:rsidTr="00EC7FC8">
        <w:trPr>
          <w:trHeight w:val="430"/>
        </w:trPr>
        <w:tc>
          <w:tcPr>
            <w:tcW w:w="1135" w:type="dxa"/>
            <w:shd w:val="clear" w:color="auto" w:fill="C4EFCE"/>
            <w:tcMar>
              <w:left w:w="28" w:type="dxa"/>
              <w:right w:w="28" w:type="dxa"/>
            </w:tcMar>
            <w:vAlign w:val="center"/>
          </w:tcPr>
          <w:p w14:paraId="6F3D3865" w14:textId="0376A8B8"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21.10</w:t>
            </w:r>
          </w:p>
        </w:tc>
        <w:tc>
          <w:tcPr>
            <w:tcW w:w="1276" w:type="dxa"/>
            <w:shd w:val="clear" w:color="auto" w:fill="C4EFCE"/>
            <w:noWrap/>
            <w:tcMar>
              <w:left w:w="28" w:type="dxa"/>
              <w:right w:w="28" w:type="dxa"/>
            </w:tcMar>
            <w:vAlign w:val="center"/>
          </w:tcPr>
          <w:p w14:paraId="1AA96F0F" w14:textId="1A78FB1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RP-C21-r44</w:t>
            </w:r>
          </w:p>
        </w:tc>
        <w:tc>
          <w:tcPr>
            <w:tcW w:w="1134" w:type="dxa"/>
            <w:shd w:val="clear" w:color="auto" w:fill="C4EFCE"/>
            <w:noWrap/>
            <w:tcMar>
              <w:left w:w="28" w:type="dxa"/>
              <w:right w:w="28" w:type="dxa"/>
            </w:tcMar>
            <w:vAlign w:val="center"/>
          </w:tcPr>
          <w:p w14:paraId="7116495E" w14:textId="03C37B2E"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7F09A0D1" w14:textId="2A3C94D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Akcie zamerané na budovanie kapacít</w:t>
            </w:r>
          </w:p>
        </w:tc>
        <w:tc>
          <w:tcPr>
            <w:tcW w:w="1275" w:type="dxa"/>
            <w:shd w:val="clear" w:color="auto" w:fill="C4EFCE"/>
            <w:noWrap/>
            <w:tcMar>
              <w:left w:w="28" w:type="dxa"/>
              <w:right w:w="28" w:type="dxa"/>
            </w:tcMar>
            <w:vAlign w:val="center"/>
          </w:tcPr>
          <w:p w14:paraId="2F6B73ED" w14:textId="32E45BC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93" w:type="dxa"/>
            <w:shd w:val="clear" w:color="auto" w:fill="C4EFCE"/>
            <w:noWrap/>
            <w:tcMar>
              <w:left w:w="28" w:type="dxa"/>
              <w:right w:w="28" w:type="dxa"/>
            </w:tcMar>
            <w:vAlign w:val="center"/>
          </w:tcPr>
          <w:p w14:paraId="484B2AA2" w14:textId="7DA23D0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tcPr>
          <w:p w14:paraId="06AF5309" w14:textId="540D38C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0</w:t>
            </w:r>
          </w:p>
        </w:tc>
        <w:tc>
          <w:tcPr>
            <w:tcW w:w="992" w:type="dxa"/>
            <w:shd w:val="clear" w:color="auto" w:fill="C4EFCE"/>
            <w:noWrap/>
            <w:tcMar>
              <w:left w:w="28" w:type="dxa"/>
              <w:right w:w="28" w:type="dxa"/>
            </w:tcMar>
            <w:vAlign w:val="center"/>
          </w:tcPr>
          <w:p w14:paraId="0F112D01" w14:textId="1A47D2F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300 </w:t>
            </w:r>
          </w:p>
        </w:tc>
        <w:tc>
          <w:tcPr>
            <w:tcW w:w="771" w:type="dxa"/>
            <w:shd w:val="clear" w:color="auto" w:fill="C4EFCE"/>
            <w:noWrap/>
            <w:tcMar>
              <w:left w:w="28" w:type="dxa"/>
              <w:right w:w="28" w:type="dxa"/>
            </w:tcMar>
            <w:vAlign w:val="center"/>
          </w:tcPr>
          <w:p w14:paraId="20F843B3" w14:textId="24E72867"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tcPr>
          <w:p w14:paraId="6F49F6AD" w14:textId="4E5B8D4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tcPr>
          <w:p w14:paraId="03894416" w14:textId="36124CCB"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300 kvalifikovaných odborníkov musí byť vyškolených na vykonávanie rôznych úloh</w:t>
            </w:r>
            <w:r w:rsidR="00A75B3C" w:rsidRPr="003F23AC">
              <w:rPr>
                <w:rFonts w:ascii="Times New Roman" w:hAnsi="Times New Roman" w:cs="Times New Roman"/>
                <w:noProof/>
                <w:lang w:val="sk-SK"/>
              </w:rPr>
              <w:t xml:space="preserve"> v </w:t>
            </w:r>
            <w:r w:rsidRPr="003F23AC">
              <w:rPr>
                <w:rFonts w:ascii="Times New Roman" w:hAnsi="Times New Roman" w:cs="Times New Roman"/>
                <w:i/>
                <w:noProof/>
                <w:lang w:val="sk-SK"/>
              </w:rPr>
              <w:t>Espaços Cidadão Energia</w:t>
            </w:r>
            <w:r w:rsidRPr="003F23AC">
              <w:rPr>
                <w:rFonts w:ascii="Times New Roman" w:hAnsi="Times New Roman" w:cs="Times New Roman"/>
                <w:noProof/>
                <w:lang w:val="sk-SK"/>
              </w:rPr>
              <w:t>.</w:t>
            </w:r>
          </w:p>
        </w:tc>
      </w:tr>
      <w:tr w:rsidR="00387C70" w:rsidRPr="003F23AC" w14:paraId="44C003C4" w14:textId="77777777" w:rsidTr="00EC7FC8">
        <w:trPr>
          <w:trHeight w:val="430"/>
        </w:trPr>
        <w:tc>
          <w:tcPr>
            <w:tcW w:w="1135" w:type="dxa"/>
            <w:shd w:val="clear" w:color="auto" w:fill="C4EFCE"/>
            <w:tcMar>
              <w:left w:w="28" w:type="dxa"/>
              <w:right w:w="28" w:type="dxa"/>
            </w:tcMar>
            <w:vAlign w:val="center"/>
          </w:tcPr>
          <w:p w14:paraId="115B339E" w14:textId="18B4AA3F"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21.11</w:t>
            </w:r>
          </w:p>
        </w:tc>
        <w:tc>
          <w:tcPr>
            <w:tcW w:w="1276" w:type="dxa"/>
            <w:shd w:val="clear" w:color="auto" w:fill="C4EFCE"/>
            <w:noWrap/>
            <w:tcMar>
              <w:left w:w="28" w:type="dxa"/>
              <w:right w:w="28" w:type="dxa"/>
            </w:tcMar>
            <w:vAlign w:val="center"/>
          </w:tcPr>
          <w:p w14:paraId="72D7DD9B" w14:textId="75022C6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RP-C21-r44</w:t>
            </w:r>
          </w:p>
        </w:tc>
        <w:tc>
          <w:tcPr>
            <w:tcW w:w="1134" w:type="dxa"/>
            <w:shd w:val="clear" w:color="auto" w:fill="C4EFCE"/>
            <w:noWrap/>
            <w:tcMar>
              <w:left w:w="28" w:type="dxa"/>
              <w:right w:w="28" w:type="dxa"/>
            </w:tcMar>
            <w:vAlign w:val="center"/>
          </w:tcPr>
          <w:p w14:paraId="5E5D7FC3" w14:textId="64B0D23F"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43FB50CE" w14:textId="3D9DC0A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Začatie činnosti Espaços Cidadão Energia</w:t>
            </w:r>
          </w:p>
        </w:tc>
        <w:tc>
          <w:tcPr>
            <w:tcW w:w="1275" w:type="dxa"/>
            <w:shd w:val="clear" w:color="auto" w:fill="C4EFCE"/>
            <w:noWrap/>
            <w:tcMar>
              <w:left w:w="28" w:type="dxa"/>
              <w:right w:w="28" w:type="dxa"/>
            </w:tcMar>
            <w:vAlign w:val="center"/>
          </w:tcPr>
          <w:p w14:paraId="1B57B712"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0F16E4EA" w14:textId="67F3B74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tcPr>
          <w:p w14:paraId="7C58A166" w14:textId="0BCA1F7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tcPr>
          <w:p w14:paraId="6F34AF54" w14:textId="6426E74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50</w:t>
            </w:r>
          </w:p>
        </w:tc>
        <w:tc>
          <w:tcPr>
            <w:tcW w:w="771" w:type="dxa"/>
            <w:shd w:val="clear" w:color="auto" w:fill="C4EFCE"/>
            <w:noWrap/>
            <w:tcMar>
              <w:left w:w="28" w:type="dxa"/>
              <w:right w:w="28" w:type="dxa"/>
            </w:tcMar>
            <w:vAlign w:val="center"/>
          </w:tcPr>
          <w:p w14:paraId="53370B4C" w14:textId="420DC5E4"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04" w:type="dxa"/>
            <w:shd w:val="clear" w:color="auto" w:fill="C4EFCE"/>
            <w:noWrap/>
            <w:tcMar>
              <w:left w:w="28" w:type="dxa"/>
              <w:right w:w="28" w:type="dxa"/>
            </w:tcMar>
            <w:vAlign w:val="center"/>
          </w:tcPr>
          <w:p w14:paraId="01B93E1A" w14:textId="5304BB2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tcPr>
          <w:p w14:paraId="3A90169B" w14:textId="44D3EC9C"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 xml:space="preserve">50 fyzických </w:t>
            </w:r>
            <w:r w:rsidRPr="003F23AC">
              <w:rPr>
                <w:rFonts w:ascii="Times New Roman" w:hAnsi="Times New Roman" w:cs="Times New Roman"/>
                <w:i/>
                <w:noProof/>
                <w:lang w:val="sk-SK"/>
              </w:rPr>
              <w:t xml:space="preserve">Espaços Cidadão Energia </w:t>
            </w:r>
            <w:r w:rsidRPr="003F23AC">
              <w:rPr>
                <w:rFonts w:ascii="Times New Roman" w:hAnsi="Times New Roman" w:cs="Times New Roman"/>
                <w:noProof/>
                <w:lang w:val="sk-SK"/>
              </w:rPr>
              <w:t>je fungujúcich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otvorených pre občanov.</w:t>
            </w:r>
          </w:p>
        </w:tc>
      </w:tr>
      <w:tr w:rsidR="00387C70" w:rsidRPr="003F23AC" w14:paraId="7A001E81" w14:textId="77777777" w:rsidTr="00EC7FC8">
        <w:trPr>
          <w:trHeight w:val="430"/>
        </w:trPr>
        <w:tc>
          <w:tcPr>
            <w:tcW w:w="1135" w:type="dxa"/>
            <w:shd w:val="clear" w:color="auto" w:fill="C4EFCE"/>
            <w:tcMar>
              <w:left w:w="28" w:type="dxa"/>
              <w:right w:w="28" w:type="dxa"/>
            </w:tcMar>
            <w:vAlign w:val="center"/>
          </w:tcPr>
          <w:p w14:paraId="02453CBA" w14:textId="7EC4B509"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21.12</w:t>
            </w:r>
          </w:p>
        </w:tc>
        <w:tc>
          <w:tcPr>
            <w:tcW w:w="1276" w:type="dxa"/>
            <w:shd w:val="clear" w:color="auto" w:fill="C4EFCE"/>
            <w:noWrap/>
            <w:tcMar>
              <w:left w:w="28" w:type="dxa"/>
              <w:right w:w="28" w:type="dxa"/>
            </w:tcMar>
            <w:vAlign w:val="center"/>
          </w:tcPr>
          <w:p w14:paraId="35376737" w14:textId="5B6224D0"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RP-C21-i05</w:t>
            </w:r>
          </w:p>
        </w:tc>
        <w:tc>
          <w:tcPr>
            <w:tcW w:w="1134" w:type="dxa"/>
            <w:shd w:val="clear" w:color="auto" w:fill="C4EFCE"/>
            <w:noWrap/>
            <w:tcMar>
              <w:left w:w="28" w:type="dxa"/>
              <w:right w:w="28" w:type="dxa"/>
            </w:tcMar>
            <w:vAlign w:val="center"/>
          </w:tcPr>
          <w:p w14:paraId="297F72F0" w14:textId="5F2B13D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19693662" w14:textId="27A73E9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Podpis podmienok súhlasu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realizáciou priemyselných projektov</w:t>
            </w:r>
          </w:p>
        </w:tc>
        <w:tc>
          <w:tcPr>
            <w:tcW w:w="1275" w:type="dxa"/>
            <w:shd w:val="clear" w:color="auto" w:fill="C4EFCE"/>
            <w:noWrap/>
            <w:tcMar>
              <w:left w:w="28" w:type="dxa"/>
              <w:right w:w="28" w:type="dxa"/>
            </w:tcMar>
            <w:vAlign w:val="center"/>
          </w:tcPr>
          <w:p w14:paraId="7458153B" w14:textId="2F9D311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Podpis podmienok súhlasu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realizáciou priemyselných projektov.</w:t>
            </w:r>
          </w:p>
        </w:tc>
        <w:tc>
          <w:tcPr>
            <w:tcW w:w="993" w:type="dxa"/>
            <w:shd w:val="clear" w:color="auto" w:fill="C4EFCE"/>
            <w:noWrap/>
            <w:tcMar>
              <w:left w:w="28" w:type="dxa"/>
              <w:right w:w="28" w:type="dxa"/>
            </w:tcMar>
            <w:vAlign w:val="center"/>
          </w:tcPr>
          <w:p w14:paraId="72336B25"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39A26E3E" w14:textId="2DB3039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92" w:type="dxa"/>
            <w:shd w:val="clear" w:color="auto" w:fill="C4EFCE"/>
            <w:noWrap/>
            <w:tcMar>
              <w:left w:w="28" w:type="dxa"/>
              <w:right w:w="28" w:type="dxa"/>
            </w:tcMar>
            <w:vAlign w:val="center"/>
          </w:tcPr>
          <w:p w14:paraId="276C077B"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7667D40B" w14:textId="273931B6"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083EAC73" w14:textId="1C62860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tcPr>
          <w:p w14:paraId="7BE0AFF3" w14:textId="6C9F8496"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Podmienky prijatia sa podpíšu na účely vykonávania priemyselných projektov, ktoré sa vyberajú prostredníctvom súťažných výziev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ktoré súvisia so strategickými technológiami pre klimatickú transformáciu, ako sa uvádza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opise opatrenia.</w:t>
            </w:r>
          </w:p>
          <w:p w14:paraId="676A7464" w14:textId="4AC66701"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Podmienkami prijatia sa zabezpečí súlad</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technickým usmernením „nespôsobovať významnú škodu“ (2021/C58/01) podporovaných transakcií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tohto opatrenia prostredníctvom použitia zoznamu vylúčených subjektov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požiadavky súladu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príslušnými právnymi predpismi EÚ</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vnútroštátnymi právnymi predpismi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životného prostredia.</w:t>
            </w:r>
          </w:p>
        </w:tc>
      </w:tr>
      <w:tr w:rsidR="00387C70" w:rsidRPr="003F23AC" w14:paraId="38C0F350" w14:textId="77777777" w:rsidTr="00EC7FC8">
        <w:trPr>
          <w:trHeight w:val="430"/>
        </w:trPr>
        <w:tc>
          <w:tcPr>
            <w:tcW w:w="1135" w:type="dxa"/>
            <w:shd w:val="clear" w:color="auto" w:fill="C4EFCE"/>
            <w:tcMar>
              <w:left w:w="28" w:type="dxa"/>
              <w:right w:w="28" w:type="dxa"/>
            </w:tcMar>
            <w:vAlign w:val="center"/>
          </w:tcPr>
          <w:p w14:paraId="2822A641" w14:textId="17EAD665"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21.13</w:t>
            </w:r>
          </w:p>
        </w:tc>
        <w:tc>
          <w:tcPr>
            <w:tcW w:w="1276" w:type="dxa"/>
            <w:shd w:val="clear" w:color="auto" w:fill="C4EFCE"/>
            <w:noWrap/>
            <w:tcMar>
              <w:left w:w="28" w:type="dxa"/>
              <w:right w:w="28" w:type="dxa"/>
            </w:tcMar>
            <w:vAlign w:val="center"/>
          </w:tcPr>
          <w:p w14:paraId="5450DE1C" w14:textId="272FA70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RP-C21-i05</w:t>
            </w:r>
          </w:p>
        </w:tc>
        <w:tc>
          <w:tcPr>
            <w:tcW w:w="1134" w:type="dxa"/>
            <w:shd w:val="clear" w:color="auto" w:fill="C4EFCE"/>
            <w:noWrap/>
            <w:tcMar>
              <w:left w:w="28" w:type="dxa"/>
              <w:right w:w="28" w:type="dxa"/>
            </w:tcMar>
            <w:vAlign w:val="center"/>
          </w:tcPr>
          <w:p w14:paraId="3D65B17D" w14:textId="0B94D8CB"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0156CFAC" w14:textId="3A9AB12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5 priemyselných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strategických technológií pre klimatickú transformáciu</w:t>
            </w:r>
          </w:p>
        </w:tc>
        <w:tc>
          <w:tcPr>
            <w:tcW w:w="1275" w:type="dxa"/>
            <w:shd w:val="clear" w:color="auto" w:fill="C4EFCE"/>
            <w:noWrap/>
            <w:tcMar>
              <w:left w:w="28" w:type="dxa"/>
              <w:right w:w="28" w:type="dxa"/>
            </w:tcMar>
            <w:vAlign w:val="center"/>
          </w:tcPr>
          <w:p w14:paraId="7A69A2FE"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419EDC3E" w14:textId="286CAB8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tcPr>
          <w:p w14:paraId="0674002F" w14:textId="6BFD93C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tcPr>
          <w:p w14:paraId="2B37AD65" w14:textId="7A1B913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w:t>
            </w:r>
          </w:p>
        </w:tc>
        <w:tc>
          <w:tcPr>
            <w:tcW w:w="771" w:type="dxa"/>
            <w:shd w:val="clear" w:color="auto" w:fill="C4EFCE"/>
            <w:noWrap/>
            <w:tcMar>
              <w:left w:w="28" w:type="dxa"/>
              <w:right w:w="28" w:type="dxa"/>
            </w:tcMar>
            <w:vAlign w:val="center"/>
          </w:tcPr>
          <w:p w14:paraId="1203B683" w14:textId="00AFCD79"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337D899F" w14:textId="1B849260"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tcPr>
          <w:p w14:paraId="72155DEB" w14:textId="7D96CAB5"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Dokončenie aspoň piatich projektov priemyselných technológií, ktorých úroveň technologickej pripravenosti sa rovná alebo je vyššia ako sedem, ktoré súvisia so strategickými technológiami pre klimatickú transformáciu, ako sa uvádza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opise opatrenia.</w:t>
            </w:r>
          </w:p>
        </w:tc>
      </w:tr>
      <w:tr w:rsidR="00387C70" w:rsidRPr="003F23AC" w14:paraId="5A219778" w14:textId="77777777" w:rsidTr="00EC7FC8">
        <w:trPr>
          <w:trHeight w:val="430"/>
        </w:trPr>
        <w:tc>
          <w:tcPr>
            <w:tcW w:w="1135" w:type="dxa"/>
            <w:shd w:val="clear" w:color="auto" w:fill="C4EFCE"/>
            <w:tcMar>
              <w:left w:w="28" w:type="dxa"/>
              <w:right w:w="28" w:type="dxa"/>
            </w:tcMar>
            <w:vAlign w:val="center"/>
          </w:tcPr>
          <w:p w14:paraId="748E9E6F" w14:textId="3FC7C9E1"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21.14</w:t>
            </w:r>
          </w:p>
        </w:tc>
        <w:tc>
          <w:tcPr>
            <w:tcW w:w="1276" w:type="dxa"/>
            <w:shd w:val="clear" w:color="auto" w:fill="C4EFCE"/>
            <w:noWrap/>
            <w:tcMar>
              <w:left w:w="28" w:type="dxa"/>
              <w:right w:w="28" w:type="dxa"/>
            </w:tcMar>
            <w:vAlign w:val="center"/>
          </w:tcPr>
          <w:p w14:paraId="1E60F546" w14:textId="66482F0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RP-C21-r45</w:t>
            </w:r>
          </w:p>
        </w:tc>
        <w:tc>
          <w:tcPr>
            <w:tcW w:w="1134" w:type="dxa"/>
            <w:shd w:val="clear" w:color="auto" w:fill="C4EFCE"/>
            <w:noWrap/>
            <w:tcMar>
              <w:left w:w="28" w:type="dxa"/>
              <w:right w:w="28" w:type="dxa"/>
            </w:tcMar>
            <w:vAlign w:val="center"/>
          </w:tcPr>
          <w:p w14:paraId="08AE361B" w14:textId="05C01F96"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1E5E5BB7" w14:textId="104D381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Odborná príprava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ekologických zručností</w:t>
            </w:r>
          </w:p>
        </w:tc>
        <w:tc>
          <w:tcPr>
            <w:tcW w:w="1275" w:type="dxa"/>
            <w:shd w:val="clear" w:color="auto" w:fill="C4EFCE"/>
            <w:noWrap/>
            <w:tcMar>
              <w:left w:w="28" w:type="dxa"/>
              <w:right w:w="28" w:type="dxa"/>
            </w:tcMar>
            <w:vAlign w:val="center"/>
          </w:tcPr>
          <w:p w14:paraId="24F12DE9"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537B007C" w14:textId="482EBD6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tcPr>
          <w:p w14:paraId="30CE81C5" w14:textId="44255BD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0</w:t>
            </w:r>
          </w:p>
        </w:tc>
        <w:tc>
          <w:tcPr>
            <w:tcW w:w="992" w:type="dxa"/>
            <w:shd w:val="clear" w:color="auto" w:fill="C4EFCE"/>
            <w:noWrap/>
            <w:tcMar>
              <w:left w:w="28" w:type="dxa"/>
              <w:right w:w="28" w:type="dxa"/>
            </w:tcMar>
            <w:vAlign w:val="center"/>
          </w:tcPr>
          <w:p w14:paraId="7D552B8B" w14:textId="6840C96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12 500</w:t>
            </w:r>
          </w:p>
        </w:tc>
        <w:tc>
          <w:tcPr>
            <w:tcW w:w="771" w:type="dxa"/>
            <w:shd w:val="clear" w:color="auto" w:fill="C4EFCE"/>
            <w:noWrap/>
            <w:tcMar>
              <w:left w:w="28" w:type="dxa"/>
              <w:right w:w="28" w:type="dxa"/>
            </w:tcMar>
            <w:vAlign w:val="center"/>
          </w:tcPr>
          <w:p w14:paraId="4774708D" w14:textId="1FE671E9"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tcPr>
          <w:p w14:paraId="590EB134" w14:textId="7394F49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tcPr>
          <w:p w14:paraId="23B10BE2" w14:textId="657FE872"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osôb vyškolených buď</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zelenej práce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zručností, alebo kurzov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školiacom centre pre energetickú transformáciu.</w:t>
            </w:r>
            <w:r w:rsidR="00A75B3C" w:rsidRPr="003F23AC">
              <w:rPr>
                <w:rFonts w:ascii="Times New Roman" w:hAnsi="Times New Roman" w:cs="Times New Roman"/>
                <w:noProof/>
                <w:lang w:val="sk-SK"/>
              </w:rPr>
              <w:t xml:space="preserve"> </w:t>
            </w:r>
          </w:p>
        </w:tc>
      </w:tr>
      <w:tr w:rsidR="00387C70" w:rsidRPr="003F23AC" w14:paraId="6B1F2C06" w14:textId="77777777" w:rsidTr="00EC7FC8">
        <w:trPr>
          <w:trHeight w:val="430"/>
        </w:trPr>
        <w:tc>
          <w:tcPr>
            <w:tcW w:w="1135" w:type="dxa"/>
            <w:shd w:val="clear" w:color="auto" w:fill="C4EFCE"/>
            <w:tcMar>
              <w:left w:w="28" w:type="dxa"/>
              <w:right w:w="28" w:type="dxa"/>
            </w:tcMar>
            <w:vAlign w:val="center"/>
          </w:tcPr>
          <w:p w14:paraId="01B3604D" w14:textId="7B2AF347"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21.15</w:t>
            </w:r>
          </w:p>
        </w:tc>
        <w:tc>
          <w:tcPr>
            <w:tcW w:w="1276" w:type="dxa"/>
            <w:shd w:val="clear" w:color="auto" w:fill="C4EFCE"/>
            <w:noWrap/>
            <w:tcMar>
              <w:left w:w="28" w:type="dxa"/>
              <w:right w:w="28" w:type="dxa"/>
            </w:tcMar>
            <w:vAlign w:val="center"/>
          </w:tcPr>
          <w:p w14:paraId="59821F78" w14:textId="3E0A4BA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RP-C21-r45</w:t>
            </w:r>
          </w:p>
        </w:tc>
        <w:tc>
          <w:tcPr>
            <w:tcW w:w="1134" w:type="dxa"/>
            <w:shd w:val="clear" w:color="auto" w:fill="C4EFCE"/>
            <w:noWrap/>
            <w:tcMar>
              <w:left w:w="28" w:type="dxa"/>
              <w:right w:w="28" w:type="dxa"/>
            </w:tcMar>
            <w:vAlign w:val="center"/>
          </w:tcPr>
          <w:p w14:paraId="6FFE32F5" w14:textId="2CAA5D06"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05F5D539" w14:textId="798B96D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Odborná príprava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ekologických zručností</w:t>
            </w:r>
          </w:p>
        </w:tc>
        <w:tc>
          <w:tcPr>
            <w:tcW w:w="1275" w:type="dxa"/>
            <w:shd w:val="clear" w:color="auto" w:fill="C4EFCE"/>
            <w:noWrap/>
            <w:tcMar>
              <w:left w:w="28" w:type="dxa"/>
              <w:right w:w="28" w:type="dxa"/>
            </w:tcMar>
            <w:vAlign w:val="center"/>
          </w:tcPr>
          <w:p w14:paraId="430194B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2EB231DA" w14:textId="69A30C8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tcPr>
          <w:p w14:paraId="052F5316" w14:textId="2F24CFF8"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12 500</w:t>
            </w:r>
          </w:p>
        </w:tc>
        <w:tc>
          <w:tcPr>
            <w:tcW w:w="992" w:type="dxa"/>
            <w:shd w:val="clear" w:color="auto" w:fill="C4EFCE"/>
            <w:noWrap/>
            <w:tcMar>
              <w:left w:w="28" w:type="dxa"/>
              <w:right w:w="28" w:type="dxa"/>
            </w:tcMar>
            <w:vAlign w:val="center"/>
          </w:tcPr>
          <w:p w14:paraId="03933323" w14:textId="324B1BA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25 000</w:t>
            </w:r>
          </w:p>
        </w:tc>
        <w:tc>
          <w:tcPr>
            <w:tcW w:w="771" w:type="dxa"/>
            <w:shd w:val="clear" w:color="auto" w:fill="C4EFCE"/>
            <w:noWrap/>
            <w:tcMar>
              <w:left w:w="28" w:type="dxa"/>
              <w:right w:w="28" w:type="dxa"/>
            </w:tcMar>
            <w:vAlign w:val="center"/>
          </w:tcPr>
          <w:p w14:paraId="411D6569" w14:textId="0CFEE9F7"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tcPr>
          <w:p w14:paraId="1FC8409E" w14:textId="35A3915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tcPr>
          <w:p w14:paraId="6063AE36" w14:textId="23ABCAA9"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Počet osôb vyškolených buď</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zelenej práce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zručností, alebo kurzov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školiacom centre pre energetickú transformáciu. Najmenej 12500 osôb absolvuje odbornú prípravu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stredisku odbornej prípravy pre energetickú transformáciu. </w:t>
            </w:r>
          </w:p>
        </w:tc>
      </w:tr>
      <w:tr w:rsidR="00387C70" w:rsidRPr="003F23AC" w14:paraId="01B2B8AD" w14:textId="77777777" w:rsidTr="00EC7FC8">
        <w:trPr>
          <w:trHeight w:val="430"/>
        </w:trPr>
        <w:tc>
          <w:tcPr>
            <w:tcW w:w="1135" w:type="dxa"/>
            <w:shd w:val="clear" w:color="auto" w:fill="C4EFCE"/>
            <w:tcMar>
              <w:left w:w="28" w:type="dxa"/>
              <w:right w:w="28" w:type="dxa"/>
            </w:tcMar>
            <w:vAlign w:val="center"/>
          </w:tcPr>
          <w:p w14:paraId="56013C8B" w14:textId="37C588C6"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21.16</w:t>
            </w:r>
          </w:p>
        </w:tc>
        <w:tc>
          <w:tcPr>
            <w:tcW w:w="1276" w:type="dxa"/>
            <w:shd w:val="clear" w:color="auto" w:fill="C4EFCE"/>
            <w:noWrap/>
            <w:tcMar>
              <w:left w:w="28" w:type="dxa"/>
              <w:right w:w="28" w:type="dxa"/>
            </w:tcMar>
            <w:vAlign w:val="center"/>
          </w:tcPr>
          <w:p w14:paraId="087C73AC" w14:textId="2C060A7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 – r46</w:t>
            </w:r>
          </w:p>
        </w:tc>
        <w:tc>
          <w:tcPr>
            <w:tcW w:w="1134" w:type="dxa"/>
            <w:shd w:val="clear" w:color="auto" w:fill="C4EFCE"/>
            <w:noWrap/>
            <w:tcMar>
              <w:left w:w="28" w:type="dxa"/>
              <w:right w:w="28" w:type="dxa"/>
            </w:tcMar>
            <w:vAlign w:val="center"/>
          </w:tcPr>
          <w:p w14:paraId="296E326D" w14:textId="5E900A9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03914822" w14:textId="6690FDE2" w:rsidR="00387C70" w:rsidRPr="003F23AC" w:rsidRDefault="000F5AA4" w:rsidP="003F23AC">
            <w:pPr>
              <w:pStyle w:val="P68B1DB1-Bodytext1013"/>
              <w:spacing w:line="240" w:lineRule="auto"/>
              <w:jc w:val="center"/>
              <w:rPr>
                <w:rFonts w:ascii="Times New Roman" w:hAnsi="Times New Roman" w:cs="Times New Roman"/>
                <w:noProof/>
                <w:lang w:val="sk-SK"/>
              </w:rPr>
            </w:pPr>
            <w:r w:rsidRPr="003F23AC">
              <w:rPr>
                <w:rFonts w:ascii="Times New Roman" w:hAnsi="Times New Roman" w:cs="Times New Roman"/>
                <w:noProof/>
                <w:lang w:val="sk-SK"/>
              </w:rPr>
              <w:t>Nadobudnutie účinnosti správneho alebo právneho aktu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obnoviteľnom vodíku</w:t>
            </w:r>
          </w:p>
        </w:tc>
        <w:tc>
          <w:tcPr>
            <w:tcW w:w="1275" w:type="dxa"/>
            <w:shd w:val="clear" w:color="auto" w:fill="C4EFCE"/>
            <w:noWrap/>
            <w:tcMar>
              <w:left w:w="28" w:type="dxa"/>
              <w:right w:w="28" w:type="dxa"/>
            </w:tcMar>
            <w:vAlign w:val="center"/>
          </w:tcPr>
          <w:p w14:paraId="7788ED3B" w14:textId="43A7A48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Ustanovenie správneho alebo právneho aktu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nadobudnutí účinnosti</w:t>
            </w:r>
          </w:p>
        </w:tc>
        <w:tc>
          <w:tcPr>
            <w:tcW w:w="993" w:type="dxa"/>
            <w:shd w:val="clear" w:color="auto" w:fill="C4EFCE"/>
            <w:noWrap/>
            <w:tcMar>
              <w:left w:w="28" w:type="dxa"/>
              <w:right w:w="28" w:type="dxa"/>
            </w:tcMar>
            <w:vAlign w:val="center"/>
          </w:tcPr>
          <w:p w14:paraId="5B01E91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73571C1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6FDDCCA3"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2B00763D" w14:textId="083C9FC3"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04" w:type="dxa"/>
            <w:shd w:val="clear" w:color="auto" w:fill="C4EFCE"/>
            <w:noWrap/>
            <w:tcMar>
              <w:left w:w="28" w:type="dxa"/>
              <w:right w:w="28" w:type="dxa"/>
            </w:tcMar>
            <w:vAlign w:val="center"/>
          </w:tcPr>
          <w:p w14:paraId="4BC4C0BA" w14:textId="16296F8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69" w:type="dxa"/>
            <w:shd w:val="clear" w:color="auto" w:fill="C4EFCE"/>
            <w:tcMar>
              <w:left w:w="28" w:type="dxa"/>
              <w:right w:w="28" w:type="dxa"/>
            </w:tcMar>
            <w:vAlign w:val="center"/>
          </w:tcPr>
          <w:p w14:paraId="56226CBF" w14:textId="29B4FB60"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Nadobudnutie účinnosti administratívneho alebo právneho aktu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obnoviteľnom vodíku,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ktorom sa stanovuje, že za zariadenia na výrobu vodíka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sa považujú len zariadenia, ktoré spĺňajú požiadavky uvedené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smernici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obnoviteľných zdrojoch energie</w:t>
            </w:r>
            <w:r w:rsidR="00A75B3C" w:rsidRPr="003F23AC">
              <w:rPr>
                <w:rFonts w:ascii="Times New Roman" w:hAnsi="Times New Roman" w:cs="Times New Roman"/>
                <w:noProof/>
                <w:lang w:val="sk-SK"/>
              </w:rPr>
              <w:t xml:space="preserve"> a v </w:t>
            </w:r>
            <w:r w:rsidRPr="003F23AC">
              <w:rPr>
                <w:rFonts w:ascii="Times New Roman" w:hAnsi="Times New Roman" w:cs="Times New Roman"/>
                <w:noProof/>
                <w:lang w:val="sk-SK"/>
              </w:rPr>
              <w:t>jej delegovaných aktoch (2018/2001/EÚ).</w:t>
            </w:r>
          </w:p>
        </w:tc>
      </w:tr>
      <w:tr w:rsidR="00387C70" w:rsidRPr="003F23AC" w14:paraId="7A0E7FBC" w14:textId="77777777" w:rsidTr="00EC7FC8">
        <w:trPr>
          <w:trHeight w:val="430"/>
        </w:trPr>
        <w:tc>
          <w:tcPr>
            <w:tcW w:w="1135" w:type="dxa"/>
            <w:shd w:val="clear" w:color="auto" w:fill="C4EFCE"/>
            <w:tcMar>
              <w:left w:w="28" w:type="dxa"/>
              <w:right w:w="28" w:type="dxa"/>
            </w:tcMar>
            <w:vAlign w:val="center"/>
          </w:tcPr>
          <w:p w14:paraId="3D1E7654" w14:textId="46F81725"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21.17</w:t>
            </w:r>
          </w:p>
        </w:tc>
        <w:tc>
          <w:tcPr>
            <w:tcW w:w="1276" w:type="dxa"/>
            <w:shd w:val="clear" w:color="auto" w:fill="C4EFCE"/>
            <w:noWrap/>
            <w:tcMar>
              <w:left w:w="28" w:type="dxa"/>
              <w:right w:w="28" w:type="dxa"/>
            </w:tcMar>
            <w:vAlign w:val="center"/>
          </w:tcPr>
          <w:p w14:paraId="54AE443D" w14:textId="7ECCFA5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 – r46</w:t>
            </w:r>
          </w:p>
        </w:tc>
        <w:tc>
          <w:tcPr>
            <w:tcW w:w="1134" w:type="dxa"/>
            <w:shd w:val="clear" w:color="auto" w:fill="C4EFCE"/>
            <w:noWrap/>
            <w:tcMar>
              <w:left w:w="28" w:type="dxa"/>
              <w:right w:w="28" w:type="dxa"/>
            </w:tcMar>
            <w:vAlign w:val="center"/>
          </w:tcPr>
          <w:p w14:paraId="3C7CBC31" w14:textId="351C4C4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184C6A16" w14:textId="1C130E8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revidovaného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národnej prepravnej sieti plynu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národnej distribučnej sieti plynu</w:t>
            </w:r>
          </w:p>
        </w:tc>
        <w:tc>
          <w:tcPr>
            <w:tcW w:w="1275" w:type="dxa"/>
            <w:shd w:val="clear" w:color="auto" w:fill="C4EFCE"/>
            <w:noWrap/>
            <w:tcMar>
              <w:left w:w="28" w:type="dxa"/>
              <w:right w:w="28" w:type="dxa"/>
            </w:tcMar>
            <w:vAlign w:val="center"/>
          </w:tcPr>
          <w:p w14:paraId="468E9001" w14:textId="1B025DB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Ustanovenie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nariadeniach,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ktorom sa uvádza nadobudnutie účinnosti nariadenia </w:t>
            </w:r>
          </w:p>
        </w:tc>
        <w:tc>
          <w:tcPr>
            <w:tcW w:w="993" w:type="dxa"/>
            <w:shd w:val="clear" w:color="auto" w:fill="C4EFCE"/>
            <w:noWrap/>
            <w:tcMar>
              <w:left w:w="28" w:type="dxa"/>
              <w:right w:w="28" w:type="dxa"/>
            </w:tcMar>
            <w:vAlign w:val="center"/>
          </w:tcPr>
          <w:p w14:paraId="6637512D"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73320AE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61D84A47"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41A67F67" w14:textId="51FEF699"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2B7264B1" w14:textId="17E3A68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tcPr>
          <w:p w14:paraId="5E8D9EB5" w14:textId="15D7A0B8"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revidovaného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národnej prepravnej sieti plynu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národnej distribučnej sieti plynu,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ktorých sa stanovujú kritériá pre vtláčanie vodíka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do plynárenskej siete.</w:t>
            </w:r>
          </w:p>
        </w:tc>
      </w:tr>
      <w:tr w:rsidR="00387C70" w:rsidRPr="003F23AC" w14:paraId="605D9DEB" w14:textId="77777777" w:rsidTr="00EC7FC8">
        <w:trPr>
          <w:trHeight w:val="430"/>
        </w:trPr>
        <w:tc>
          <w:tcPr>
            <w:tcW w:w="1135" w:type="dxa"/>
            <w:shd w:val="clear" w:color="auto" w:fill="C4EFCE"/>
            <w:tcMar>
              <w:left w:w="28" w:type="dxa"/>
              <w:right w:w="28" w:type="dxa"/>
            </w:tcMar>
            <w:vAlign w:val="center"/>
          </w:tcPr>
          <w:p w14:paraId="79442355" w14:textId="47ECB25B"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21.18</w:t>
            </w:r>
          </w:p>
        </w:tc>
        <w:tc>
          <w:tcPr>
            <w:tcW w:w="1276" w:type="dxa"/>
            <w:shd w:val="clear" w:color="auto" w:fill="C4EFCE"/>
            <w:noWrap/>
            <w:tcMar>
              <w:left w:w="28" w:type="dxa"/>
              <w:right w:w="28" w:type="dxa"/>
            </w:tcMar>
            <w:vAlign w:val="center"/>
          </w:tcPr>
          <w:p w14:paraId="460C67CB" w14:textId="18AC6D1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RP-C21-r47</w:t>
            </w:r>
          </w:p>
        </w:tc>
        <w:tc>
          <w:tcPr>
            <w:tcW w:w="1134" w:type="dxa"/>
            <w:shd w:val="clear" w:color="auto" w:fill="C4EFCE"/>
            <w:noWrap/>
            <w:tcMar>
              <w:left w:w="28" w:type="dxa"/>
              <w:right w:w="28" w:type="dxa"/>
            </w:tcMar>
            <w:vAlign w:val="center"/>
          </w:tcPr>
          <w:p w14:paraId="64F6B095" w14:textId="68DF929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66E13C29" w14:textId="6406C98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Začatie prvej aukcie centralizovaného nákupu udržateľného biometánu</w:t>
            </w:r>
          </w:p>
        </w:tc>
        <w:tc>
          <w:tcPr>
            <w:tcW w:w="1275" w:type="dxa"/>
            <w:shd w:val="clear" w:color="auto" w:fill="C4EFCE"/>
            <w:noWrap/>
            <w:tcMar>
              <w:left w:w="28" w:type="dxa"/>
              <w:right w:w="28" w:type="dxa"/>
            </w:tcMar>
            <w:vAlign w:val="center"/>
          </w:tcPr>
          <w:p w14:paraId="69CDF0A5" w14:textId="736DF56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Začatie prvej aukcie centralizovaného nákupu udržateľného biometánu</w:t>
            </w:r>
          </w:p>
        </w:tc>
        <w:tc>
          <w:tcPr>
            <w:tcW w:w="993" w:type="dxa"/>
            <w:shd w:val="clear" w:color="auto" w:fill="C4EFCE"/>
            <w:noWrap/>
            <w:tcMar>
              <w:left w:w="28" w:type="dxa"/>
              <w:right w:w="28" w:type="dxa"/>
            </w:tcMar>
            <w:vAlign w:val="center"/>
          </w:tcPr>
          <w:p w14:paraId="5C6BE3C1" w14:textId="77777777" w:rsidR="00387C70" w:rsidRPr="003F23AC" w:rsidRDefault="00387C70" w:rsidP="003F23AC">
            <w:pPr>
              <w:pStyle w:val="Bodytext10"/>
              <w:rPr>
                <w:rFonts w:ascii="Times New Roman" w:hAnsi="Times New Roman" w:cs="Times New Roman"/>
                <w:noProof/>
                <w:sz w:val="16"/>
                <w:lang w:val="sk-SK"/>
              </w:rPr>
            </w:pPr>
          </w:p>
          <w:p w14:paraId="1C95DE8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3C86D329"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1B5F97E0"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3D5226E5" w14:textId="0ECA2BE8"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04" w:type="dxa"/>
            <w:shd w:val="clear" w:color="auto" w:fill="C4EFCE"/>
            <w:noWrap/>
            <w:tcMar>
              <w:left w:w="28" w:type="dxa"/>
              <w:right w:w="28" w:type="dxa"/>
            </w:tcMar>
            <w:vAlign w:val="center"/>
          </w:tcPr>
          <w:p w14:paraId="13AAF3B7" w14:textId="42A89A2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69" w:type="dxa"/>
            <w:shd w:val="clear" w:color="auto" w:fill="C4EFCE"/>
            <w:tcMar>
              <w:left w:w="28" w:type="dxa"/>
              <w:right w:w="28" w:type="dxa"/>
            </w:tcMar>
            <w:vAlign w:val="center"/>
          </w:tcPr>
          <w:p w14:paraId="205462C3" w14:textId="12E93B9E"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Začatie prvej aukcie centralizovaného nákupu udržateľného biometánu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pravidlami stanovenými vo vládnom nariadení </w:t>
            </w:r>
            <w:r w:rsidR="00A75B3C" w:rsidRPr="003F23AC">
              <w:rPr>
                <w:rFonts w:ascii="Times New Roman" w:hAnsi="Times New Roman" w:cs="Times New Roman"/>
                <w:noProof/>
                <w:lang w:val="sk-SK"/>
              </w:rPr>
              <w:t>č. </w:t>
            </w:r>
            <w:r w:rsidRPr="003F23AC">
              <w:rPr>
                <w:rFonts w:ascii="Times New Roman" w:hAnsi="Times New Roman" w:cs="Times New Roman"/>
                <w:noProof/>
                <w:lang w:val="sk-SK"/>
              </w:rPr>
              <w:t>15/2023 zo 4</w:t>
            </w:r>
            <w:r w:rsidR="00A75B3C" w:rsidRPr="003F23AC">
              <w:rPr>
                <w:rFonts w:ascii="Times New Roman" w:hAnsi="Times New Roman" w:cs="Times New Roman"/>
                <w:noProof/>
                <w:lang w:val="sk-SK"/>
              </w:rPr>
              <w:t>. januára s </w:t>
            </w:r>
            <w:r w:rsidRPr="003F23AC">
              <w:rPr>
                <w:rFonts w:ascii="Times New Roman" w:hAnsi="Times New Roman" w:cs="Times New Roman"/>
                <w:noProof/>
                <w:lang w:val="sk-SK"/>
              </w:rPr>
              <w:t>cieľom nakúpiť 150 GWh/rok biometánu na vtlačenie do vnútroštátnej plynárenskej siete.</w:t>
            </w:r>
          </w:p>
        </w:tc>
      </w:tr>
      <w:tr w:rsidR="00387C70" w:rsidRPr="003F23AC" w14:paraId="1C21BC20" w14:textId="77777777" w:rsidTr="00EC7FC8">
        <w:trPr>
          <w:trHeight w:val="430"/>
        </w:trPr>
        <w:tc>
          <w:tcPr>
            <w:tcW w:w="1135" w:type="dxa"/>
            <w:shd w:val="clear" w:color="auto" w:fill="C4EFCE"/>
            <w:tcMar>
              <w:left w:w="28" w:type="dxa"/>
              <w:right w:w="28" w:type="dxa"/>
            </w:tcMar>
            <w:vAlign w:val="center"/>
          </w:tcPr>
          <w:p w14:paraId="7BCD5805" w14:textId="57AAEBFF"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21.19</w:t>
            </w:r>
          </w:p>
        </w:tc>
        <w:tc>
          <w:tcPr>
            <w:tcW w:w="1276" w:type="dxa"/>
            <w:shd w:val="clear" w:color="auto" w:fill="C4EFCE"/>
            <w:noWrap/>
            <w:tcMar>
              <w:left w:w="28" w:type="dxa"/>
              <w:right w:w="28" w:type="dxa"/>
            </w:tcMar>
            <w:vAlign w:val="center"/>
          </w:tcPr>
          <w:p w14:paraId="0FB6B493" w14:textId="29E0E51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RP-C21-r47</w:t>
            </w:r>
          </w:p>
        </w:tc>
        <w:tc>
          <w:tcPr>
            <w:tcW w:w="1134" w:type="dxa"/>
            <w:shd w:val="clear" w:color="auto" w:fill="C4EFCE"/>
            <w:noWrap/>
            <w:tcMar>
              <w:left w:w="28" w:type="dxa"/>
              <w:right w:w="28" w:type="dxa"/>
            </w:tcMar>
            <w:vAlign w:val="center"/>
          </w:tcPr>
          <w:p w14:paraId="6F3A2F82" w14:textId="6C89584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263D92B4" w14:textId="6C0D542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akčného plánu pre biometán</w:t>
            </w:r>
          </w:p>
        </w:tc>
        <w:tc>
          <w:tcPr>
            <w:tcW w:w="1275" w:type="dxa"/>
            <w:shd w:val="clear" w:color="auto" w:fill="C4EFCE"/>
            <w:noWrap/>
            <w:tcMar>
              <w:left w:w="28" w:type="dxa"/>
              <w:right w:w="28" w:type="dxa"/>
            </w:tcMar>
            <w:vAlign w:val="center"/>
          </w:tcPr>
          <w:p w14:paraId="2331BC43" w14:textId="5662D980"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akčného plánu pre biometán</w:t>
            </w:r>
          </w:p>
        </w:tc>
        <w:tc>
          <w:tcPr>
            <w:tcW w:w="993" w:type="dxa"/>
            <w:shd w:val="clear" w:color="auto" w:fill="C4EFCE"/>
            <w:noWrap/>
            <w:tcMar>
              <w:left w:w="28" w:type="dxa"/>
              <w:right w:w="28" w:type="dxa"/>
            </w:tcMar>
            <w:vAlign w:val="center"/>
          </w:tcPr>
          <w:p w14:paraId="46102B02"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754ECF4E"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6B73CC8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547A7E82" w14:textId="766FE5AC"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04" w:type="dxa"/>
            <w:shd w:val="clear" w:color="auto" w:fill="C4EFCE"/>
            <w:noWrap/>
            <w:tcMar>
              <w:left w:w="28" w:type="dxa"/>
              <w:right w:w="28" w:type="dxa"/>
            </w:tcMar>
            <w:vAlign w:val="center"/>
          </w:tcPr>
          <w:p w14:paraId="7A5419DD" w14:textId="6C7BDBB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tcPr>
          <w:p w14:paraId="07712EEC" w14:textId="30021808"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Prijatie akčného plánu pre biometán,</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ktorom sa stanoví stratégia rozvoja trhu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biometánom. </w:t>
            </w:r>
          </w:p>
        </w:tc>
      </w:tr>
      <w:tr w:rsidR="00387C70" w:rsidRPr="003F23AC" w14:paraId="418F63A0" w14:textId="77777777" w:rsidTr="00EC7FC8">
        <w:trPr>
          <w:trHeight w:val="430"/>
        </w:trPr>
        <w:tc>
          <w:tcPr>
            <w:tcW w:w="1135" w:type="dxa"/>
            <w:shd w:val="clear" w:color="auto" w:fill="C4EFCE"/>
            <w:tcMar>
              <w:left w:w="28" w:type="dxa"/>
              <w:right w:w="28" w:type="dxa"/>
            </w:tcMar>
            <w:vAlign w:val="center"/>
          </w:tcPr>
          <w:p w14:paraId="142F0F30" w14:textId="5290C99B"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21.20</w:t>
            </w:r>
          </w:p>
        </w:tc>
        <w:tc>
          <w:tcPr>
            <w:tcW w:w="1276" w:type="dxa"/>
            <w:shd w:val="clear" w:color="auto" w:fill="C4EFCE"/>
            <w:noWrap/>
            <w:tcMar>
              <w:left w:w="28" w:type="dxa"/>
              <w:right w:w="28" w:type="dxa"/>
            </w:tcMar>
            <w:vAlign w:val="center"/>
          </w:tcPr>
          <w:p w14:paraId="6C665450" w14:textId="33C17AD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RP-C21-r48</w:t>
            </w:r>
          </w:p>
        </w:tc>
        <w:tc>
          <w:tcPr>
            <w:tcW w:w="1134" w:type="dxa"/>
            <w:shd w:val="clear" w:color="auto" w:fill="C4EFCE"/>
            <w:noWrap/>
            <w:tcMar>
              <w:left w:w="28" w:type="dxa"/>
              <w:right w:w="28" w:type="dxa"/>
            </w:tcMar>
            <w:vAlign w:val="center"/>
          </w:tcPr>
          <w:p w14:paraId="2CBD83E4" w14:textId="031B82C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7D797AFF" w14:textId="7C6D96E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Vytvorenie náteru do roku 2030</w:t>
            </w:r>
          </w:p>
        </w:tc>
        <w:tc>
          <w:tcPr>
            <w:tcW w:w="1275" w:type="dxa"/>
            <w:shd w:val="clear" w:color="auto" w:fill="C4EFCE"/>
            <w:noWrap/>
            <w:tcMar>
              <w:left w:w="28" w:type="dxa"/>
              <w:right w:w="28" w:type="dxa"/>
            </w:tcMar>
            <w:vAlign w:val="center"/>
          </w:tcPr>
          <w:p w14:paraId="3870792E" w14:textId="3D8FFD5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Ustanovenie legislatívneho aktu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nadobudnutí účinnosti legislatívneho aktu </w:t>
            </w:r>
          </w:p>
        </w:tc>
        <w:tc>
          <w:tcPr>
            <w:tcW w:w="993" w:type="dxa"/>
            <w:shd w:val="clear" w:color="auto" w:fill="C4EFCE"/>
            <w:noWrap/>
            <w:tcMar>
              <w:left w:w="28" w:type="dxa"/>
              <w:right w:w="28" w:type="dxa"/>
            </w:tcMar>
            <w:vAlign w:val="center"/>
          </w:tcPr>
          <w:p w14:paraId="4DE5ACF5"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7F290546"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63BC3933"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46EB5396" w14:textId="7DD43C62"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04" w:type="dxa"/>
            <w:shd w:val="clear" w:color="auto" w:fill="C4EFCE"/>
            <w:noWrap/>
            <w:tcMar>
              <w:left w:w="28" w:type="dxa"/>
              <w:right w:w="28" w:type="dxa"/>
            </w:tcMar>
            <w:vAlign w:val="center"/>
          </w:tcPr>
          <w:p w14:paraId="4CF27736" w14:textId="7B6485C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69" w:type="dxa"/>
            <w:shd w:val="clear" w:color="auto" w:fill="C4EFCE"/>
            <w:tcMar>
              <w:left w:w="28" w:type="dxa"/>
              <w:right w:w="28" w:type="dxa"/>
            </w:tcMar>
            <w:vAlign w:val="center"/>
          </w:tcPr>
          <w:p w14:paraId="0CD424AB" w14:textId="063FD0DA"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súvisiaceho legislatívneho aktu, ktorým sa zriaďuje umer 2030.</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legislatívnom akte sa vymedzia úlohy programu 2030, ako sa uvádza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opise opatrenia. </w:t>
            </w:r>
          </w:p>
        </w:tc>
      </w:tr>
      <w:tr w:rsidR="00387C70" w:rsidRPr="003F23AC" w14:paraId="3434404A" w14:textId="77777777" w:rsidTr="00EC7FC8">
        <w:trPr>
          <w:trHeight w:val="430"/>
        </w:trPr>
        <w:tc>
          <w:tcPr>
            <w:tcW w:w="1135" w:type="dxa"/>
            <w:shd w:val="clear" w:color="auto" w:fill="C4EFCE"/>
            <w:tcMar>
              <w:left w:w="28" w:type="dxa"/>
              <w:right w:w="28" w:type="dxa"/>
            </w:tcMar>
            <w:vAlign w:val="center"/>
          </w:tcPr>
          <w:p w14:paraId="37F09A11" w14:textId="7EBD0484"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21.21</w:t>
            </w:r>
          </w:p>
        </w:tc>
        <w:tc>
          <w:tcPr>
            <w:tcW w:w="1276" w:type="dxa"/>
            <w:shd w:val="clear" w:color="auto" w:fill="C4EFCE"/>
            <w:noWrap/>
            <w:tcMar>
              <w:left w:w="28" w:type="dxa"/>
              <w:right w:w="28" w:type="dxa"/>
            </w:tcMar>
            <w:vAlign w:val="center"/>
          </w:tcPr>
          <w:p w14:paraId="24535339" w14:textId="20939CD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RP-C21-r48</w:t>
            </w:r>
          </w:p>
        </w:tc>
        <w:tc>
          <w:tcPr>
            <w:tcW w:w="1134" w:type="dxa"/>
            <w:shd w:val="clear" w:color="auto" w:fill="C4EFCE"/>
            <w:noWrap/>
            <w:tcMar>
              <w:left w:w="28" w:type="dxa"/>
              <w:right w:w="28" w:type="dxa"/>
            </w:tcMar>
            <w:vAlign w:val="center"/>
          </w:tcPr>
          <w:p w14:paraId="2BAC6B67" w14:textId="5DA5E0A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10A12304" w14:textId="2E903B2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udeľovaní licencií obciam na projekty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uskladňovania energie</w:t>
            </w:r>
          </w:p>
        </w:tc>
        <w:tc>
          <w:tcPr>
            <w:tcW w:w="1275" w:type="dxa"/>
            <w:shd w:val="clear" w:color="auto" w:fill="C4EFCE"/>
            <w:noWrap/>
            <w:tcMar>
              <w:left w:w="28" w:type="dxa"/>
              <w:right w:w="28" w:type="dxa"/>
            </w:tcMar>
            <w:vAlign w:val="center"/>
          </w:tcPr>
          <w:p w14:paraId="10C906B4" w14:textId="24F9810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Ustanovenie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obciach,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ktorom sa uvádza nadobudnutie účinnosti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 xml:space="preserve">obciach </w:t>
            </w:r>
          </w:p>
        </w:tc>
        <w:tc>
          <w:tcPr>
            <w:tcW w:w="993" w:type="dxa"/>
            <w:shd w:val="clear" w:color="auto" w:fill="C4EFCE"/>
            <w:noWrap/>
            <w:tcMar>
              <w:left w:w="28" w:type="dxa"/>
              <w:right w:w="28" w:type="dxa"/>
            </w:tcMar>
            <w:vAlign w:val="center"/>
          </w:tcPr>
          <w:p w14:paraId="0B12EE5A"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704EA6B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145DD6C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6F0466BA" w14:textId="4DFB786A"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04" w:type="dxa"/>
            <w:shd w:val="clear" w:color="auto" w:fill="C4EFCE"/>
            <w:noWrap/>
            <w:tcMar>
              <w:left w:w="28" w:type="dxa"/>
              <w:right w:w="28" w:type="dxa"/>
            </w:tcMar>
            <w:vAlign w:val="center"/>
          </w:tcPr>
          <w:p w14:paraId="16E5EBC1" w14:textId="31A3FA9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69" w:type="dxa"/>
            <w:shd w:val="clear" w:color="auto" w:fill="C4EFCE"/>
            <w:tcMar>
              <w:left w:w="28" w:type="dxa"/>
              <w:right w:w="28" w:type="dxa"/>
            </w:tcMar>
            <w:vAlign w:val="center"/>
          </w:tcPr>
          <w:p w14:paraId="0D91FA19" w14:textId="559E73CB"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Uverejnenie uznesenia Rady ministrov, ktorým sa ustanovuje nariadenie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komunálnom udeľovaní licencií na projekty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skladovanie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p>
        </w:tc>
      </w:tr>
      <w:tr w:rsidR="00387C70" w:rsidRPr="003F23AC" w14:paraId="59D26DB7" w14:textId="77777777" w:rsidTr="00EC7FC8">
        <w:trPr>
          <w:trHeight w:val="430"/>
        </w:trPr>
        <w:tc>
          <w:tcPr>
            <w:tcW w:w="1135" w:type="dxa"/>
            <w:shd w:val="clear" w:color="auto" w:fill="C4EFCE"/>
            <w:tcMar>
              <w:left w:w="28" w:type="dxa"/>
              <w:right w:w="28" w:type="dxa"/>
            </w:tcMar>
            <w:vAlign w:val="center"/>
          </w:tcPr>
          <w:p w14:paraId="4648D13C" w14:textId="44A43D75"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21.22</w:t>
            </w:r>
          </w:p>
        </w:tc>
        <w:tc>
          <w:tcPr>
            <w:tcW w:w="1276" w:type="dxa"/>
            <w:shd w:val="clear" w:color="auto" w:fill="C4EFCE"/>
            <w:noWrap/>
            <w:tcMar>
              <w:left w:w="28" w:type="dxa"/>
              <w:right w:w="28" w:type="dxa"/>
            </w:tcMar>
            <w:vAlign w:val="center"/>
          </w:tcPr>
          <w:p w14:paraId="728FC768" w14:textId="59F4F08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RP-C21-r48</w:t>
            </w:r>
          </w:p>
        </w:tc>
        <w:tc>
          <w:tcPr>
            <w:tcW w:w="1134" w:type="dxa"/>
            <w:shd w:val="clear" w:color="auto" w:fill="C4EFCE"/>
            <w:noWrap/>
            <w:tcMar>
              <w:left w:w="28" w:type="dxa"/>
              <w:right w:w="28" w:type="dxa"/>
            </w:tcMar>
            <w:vAlign w:val="center"/>
          </w:tcPr>
          <w:p w14:paraId="10E1CE1B" w14:textId="1F3111B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41AC95E2" w14:textId="555F9AB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Odborná príprava zamestnancov zapojených do povoľovania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obnoviteľných zdrojov energie</w:t>
            </w:r>
          </w:p>
        </w:tc>
        <w:tc>
          <w:tcPr>
            <w:tcW w:w="1275" w:type="dxa"/>
            <w:shd w:val="clear" w:color="auto" w:fill="C4EFCE"/>
            <w:noWrap/>
            <w:tcMar>
              <w:left w:w="28" w:type="dxa"/>
              <w:right w:w="28" w:type="dxa"/>
            </w:tcMar>
            <w:vAlign w:val="center"/>
          </w:tcPr>
          <w:p w14:paraId="14FEE229"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1136F752" w14:textId="546F194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tcPr>
          <w:p w14:paraId="04BAAFA7" w14:textId="452A409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0</w:t>
            </w:r>
          </w:p>
        </w:tc>
        <w:tc>
          <w:tcPr>
            <w:tcW w:w="992" w:type="dxa"/>
            <w:shd w:val="clear" w:color="auto" w:fill="C4EFCE"/>
            <w:noWrap/>
            <w:tcMar>
              <w:left w:w="28" w:type="dxa"/>
              <w:right w:w="28" w:type="dxa"/>
            </w:tcMar>
            <w:vAlign w:val="center"/>
          </w:tcPr>
          <w:p w14:paraId="08F14940" w14:textId="00FDB63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500</w:t>
            </w:r>
          </w:p>
        </w:tc>
        <w:tc>
          <w:tcPr>
            <w:tcW w:w="771" w:type="dxa"/>
            <w:shd w:val="clear" w:color="auto" w:fill="C4EFCE"/>
            <w:noWrap/>
            <w:tcMar>
              <w:left w:w="28" w:type="dxa"/>
              <w:right w:w="28" w:type="dxa"/>
            </w:tcMar>
            <w:vAlign w:val="center"/>
          </w:tcPr>
          <w:p w14:paraId="2B93DCD7" w14:textId="6E762644"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628BED9C" w14:textId="08411F98"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tcPr>
          <w:p w14:paraId="2D275AC8" w14:textId="380C72BA"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500 manažérov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technikov ústrednej, regionálnej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miestnej verejnej správy absolvuje odbornú prípravu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oblastiach súvisiacich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povoľovacími postupmi pre projekty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uskladňovania energie. </w:t>
            </w:r>
          </w:p>
        </w:tc>
      </w:tr>
      <w:tr w:rsidR="00387C70" w:rsidRPr="003F23AC" w14:paraId="36CE5503" w14:textId="77777777" w:rsidTr="00EC7FC8">
        <w:trPr>
          <w:trHeight w:val="430"/>
        </w:trPr>
        <w:tc>
          <w:tcPr>
            <w:tcW w:w="1135" w:type="dxa"/>
            <w:shd w:val="clear" w:color="auto" w:fill="C4EFCE"/>
            <w:tcMar>
              <w:left w:w="28" w:type="dxa"/>
              <w:right w:w="28" w:type="dxa"/>
            </w:tcMar>
            <w:vAlign w:val="center"/>
          </w:tcPr>
          <w:p w14:paraId="37D608B0" w14:textId="69E7C5E2"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21.23</w:t>
            </w:r>
          </w:p>
        </w:tc>
        <w:tc>
          <w:tcPr>
            <w:tcW w:w="1276" w:type="dxa"/>
            <w:shd w:val="clear" w:color="auto" w:fill="C4EFCE"/>
            <w:noWrap/>
            <w:tcMar>
              <w:left w:w="28" w:type="dxa"/>
              <w:right w:w="28" w:type="dxa"/>
            </w:tcMar>
            <w:vAlign w:val="center"/>
          </w:tcPr>
          <w:p w14:paraId="29182886" w14:textId="24BC074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RP-C21-r48</w:t>
            </w:r>
          </w:p>
        </w:tc>
        <w:tc>
          <w:tcPr>
            <w:tcW w:w="1134" w:type="dxa"/>
            <w:shd w:val="clear" w:color="auto" w:fill="C4EFCE"/>
            <w:noWrap/>
            <w:tcMar>
              <w:left w:w="28" w:type="dxa"/>
              <w:right w:w="28" w:type="dxa"/>
            </w:tcMar>
            <w:vAlign w:val="center"/>
          </w:tcPr>
          <w:p w14:paraId="1ED75554" w14:textId="2C08515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45F13748" w14:textId="4662C970"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harmonogramu prideľovania nových kapacít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osobitným zameraním na geografické oblasti vyplývajúce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„odvetvového programu pre obnoviteľné zdroje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p>
        </w:tc>
        <w:tc>
          <w:tcPr>
            <w:tcW w:w="1275" w:type="dxa"/>
            <w:shd w:val="clear" w:color="auto" w:fill="C4EFCE"/>
            <w:noWrap/>
            <w:tcMar>
              <w:left w:w="28" w:type="dxa"/>
              <w:right w:w="28" w:type="dxa"/>
            </w:tcMar>
            <w:vAlign w:val="center"/>
          </w:tcPr>
          <w:p w14:paraId="51E28EBC" w14:textId="069798A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Prijatie harmonogramu prideľovania novej kapacity OZE na základe oblastí vhodných na výrobu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 xml:space="preserve">obnoviteľných zdrojov </w:t>
            </w:r>
          </w:p>
        </w:tc>
        <w:tc>
          <w:tcPr>
            <w:tcW w:w="993" w:type="dxa"/>
            <w:shd w:val="clear" w:color="auto" w:fill="C4EFCE"/>
            <w:noWrap/>
            <w:tcMar>
              <w:left w:w="28" w:type="dxa"/>
              <w:right w:w="28" w:type="dxa"/>
            </w:tcMar>
            <w:vAlign w:val="center"/>
          </w:tcPr>
          <w:p w14:paraId="7B8AAA5E"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11B6E3D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304E9295"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515A26CF" w14:textId="2EA58909"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0A8FB463" w14:textId="6E885BE8"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tcPr>
          <w:p w14:paraId="4607DDA1" w14:textId="6088DB2A"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Prijatie harmonogramu prideľovania novej kapacity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 rozvoj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(navrhnuté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roku 2030)</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osobitným zameraním na geografické oblasti vyplývajúce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„odvetvového programu pre obnoviteľné zdroje energie“ (Renewable Go-Areas), ktorý sa má uverejniť</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 xml:space="preserve">roku 2024. </w:t>
            </w:r>
          </w:p>
        </w:tc>
      </w:tr>
      <w:tr w:rsidR="00387C70" w:rsidRPr="003F23AC" w14:paraId="41B1E0D5" w14:textId="77777777" w:rsidTr="00EC7FC8">
        <w:trPr>
          <w:trHeight w:val="430"/>
        </w:trPr>
        <w:tc>
          <w:tcPr>
            <w:tcW w:w="1135" w:type="dxa"/>
            <w:shd w:val="clear" w:color="auto" w:fill="C4EFCE"/>
            <w:tcMar>
              <w:left w:w="28" w:type="dxa"/>
              <w:right w:w="28" w:type="dxa"/>
            </w:tcMar>
            <w:vAlign w:val="center"/>
          </w:tcPr>
          <w:p w14:paraId="3CE0F6A4" w14:textId="7162E82F"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21.24</w:t>
            </w:r>
          </w:p>
        </w:tc>
        <w:tc>
          <w:tcPr>
            <w:tcW w:w="1276" w:type="dxa"/>
            <w:shd w:val="clear" w:color="auto" w:fill="C4EFCE"/>
            <w:noWrap/>
            <w:tcMar>
              <w:left w:w="28" w:type="dxa"/>
              <w:right w:w="28" w:type="dxa"/>
            </w:tcMar>
            <w:vAlign w:val="center"/>
          </w:tcPr>
          <w:p w14:paraId="1D62C08E" w14:textId="5C708E1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 – i06</w:t>
            </w:r>
          </w:p>
        </w:tc>
        <w:tc>
          <w:tcPr>
            <w:tcW w:w="1134" w:type="dxa"/>
            <w:shd w:val="clear" w:color="auto" w:fill="C4EFCE"/>
            <w:noWrap/>
            <w:tcMar>
              <w:left w:w="28" w:type="dxa"/>
              <w:right w:w="28" w:type="dxa"/>
            </w:tcMar>
            <w:vAlign w:val="center"/>
          </w:tcPr>
          <w:p w14:paraId="7081CC4B" w14:textId="0DFD479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3E8748BD" w14:textId="06F0035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Výzva na predkladanie ponúk na projekty výroby plynu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p>
        </w:tc>
        <w:tc>
          <w:tcPr>
            <w:tcW w:w="1275" w:type="dxa"/>
            <w:shd w:val="clear" w:color="auto" w:fill="C4EFCE"/>
            <w:noWrap/>
            <w:tcMar>
              <w:left w:w="28" w:type="dxa"/>
              <w:right w:w="28" w:type="dxa"/>
            </w:tcMar>
            <w:vAlign w:val="center"/>
          </w:tcPr>
          <w:p w14:paraId="66FE5F49" w14:textId="6737AF70"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Vyhlásená výzva na predkladanie ponúk</w:t>
            </w:r>
          </w:p>
        </w:tc>
        <w:tc>
          <w:tcPr>
            <w:tcW w:w="993" w:type="dxa"/>
            <w:shd w:val="clear" w:color="auto" w:fill="C4EFCE"/>
            <w:noWrap/>
            <w:tcMar>
              <w:left w:w="28" w:type="dxa"/>
              <w:right w:w="28" w:type="dxa"/>
            </w:tcMar>
            <w:vAlign w:val="center"/>
          </w:tcPr>
          <w:p w14:paraId="479A718C"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0B02F5A2"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0B95FF4D"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146FF056" w14:textId="1D245026"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tcPr>
          <w:p w14:paraId="2563D209" w14:textId="5636F9A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3969" w:type="dxa"/>
            <w:shd w:val="clear" w:color="auto" w:fill="C4EFCE"/>
            <w:tcMar>
              <w:left w:w="28" w:type="dxa"/>
              <w:right w:w="28" w:type="dxa"/>
            </w:tcMar>
            <w:vAlign w:val="center"/>
          </w:tcPr>
          <w:p w14:paraId="017D5EFE" w14:textId="418A24A1"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Vyhlásenie výzvy na výber projektov, ktoré sa majú podporiť na najmenej 77 MW inštalovaného vodíka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iných obnoviteľných plynov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nulovou alebo takmer nulovou kapacitou emisií skleníkových plynov počas životného cyklu</w:t>
            </w:r>
          </w:p>
        </w:tc>
      </w:tr>
      <w:tr w:rsidR="00387C70" w:rsidRPr="003F23AC" w14:paraId="40C08A18" w14:textId="77777777" w:rsidTr="00EC7FC8">
        <w:trPr>
          <w:trHeight w:val="430"/>
        </w:trPr>
        <w:tc>
          <w:tcPr>
            <w:tcW w:w="1135" w:type="dxa"/>
            <w:shd w:val="clear" w:color="auto" w:fill="C4EFCE"/>
            <w:tcMar>
              <w:left w:w="28" w:type="dxa"/>
              <w:right w:w="28" w:type="dxa"/>
            </w:tcMar>
            <w:vAlign w:val="center"/>
          </w:tcPr>
          <w:p w14:paraId="0D51024F" w14:textId="29C3E044"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21.25</w:t>
            </w:r>
          </w:p>
        </w:tc>
        <w:tc>
          <w:tcPr>
            <w:tcW w:w="1276" w:type="dxa"/>
            <w:shd w:val="clear" w:color="auto" w:fill="C4EFCE"/>
            <w:noWrap/>
            <w:tcMar>
              <w:left w:w="28" w:type="dxa"/>
              <w:right w:w="28" w:type="dxa"/>
            </w:tcMar>
            <w:vAlign w:val="center"/>
          </w:tcPr>
          <w:p w14:paraId="77D23AA8" w14:textId="65077A3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 – i06</w:t>
            </w:r>
          </w:p>
        </w:tc>
        <w:tc>
          <w:tcPr>
            <w:tcW w:w="1134" w:type="dxa"/>
            <w:shd w:val="clear" w:color="auto" w:fill="C4EFCE"/>
            <w:noWrap/>
            <w:tcMar>
              <w:left w:w="28" w:type="dxa"/>
              <w:right w:w="28" w:type="dxa"/>
            </w:tcMar>
            <w:vAlign w:val="center"/>
          </w:tcPr>
          <w:p w14:paraId="57213471" w14:textId="337CE78F"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2FE5C52B" w14:textId="450FE2C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Dodatočná kapacita výroby obnoviteľného vodíka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obnoviteľného plynu</w:t>
            </w:r>
          </w:p>
        </w:tc>
        <w:tc>
          <w:tcPr>
            <w:tcW w:w="1275" w:type="dxa"/>
            <w:shd w:val="clear" w:color="auto" w:fill="C4EFCE"/>
            <w:noWrap/>
            <w:tcMar>
              <w:left w:w="28" w:type="dxa"/>
              <w:right w:w="28" w:type="dxa"/>
            </w:tcMar>
            <w:vAlign w:val="center"/>
          </w:tcPr>
          <w:p w14:paraId="1CC9CE9A"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0507A478" w14:textId="2F6724C7" w:rsidR="00387C70" w:rsidRPr="003F23AC" w:rsidRDefault="000F5AA4" w:rsidP="003F23AC">
            <w:pPr>
              <w:pStyle w:val="P68B1DB1-Bodytext1013"/>
              <w:jc w:val="center"/>
              <w:rPr>
                <w:rFonts w:ascii="Times New Roman" w:hAnsi="Times New Roman" w:cs="Times New Roman"/>
                <w:noProof/>
                <w:lang w:val="sk-SK"/>
              </w:rPr>
            </w:pPr>
            <w:r w:rsidRPr="003F23AC">
              <w:rPr>
                <w:rFonts w:ascii="Times New Roman" w:hAnsi="Times New Roman" w:cs="Times New Roman"/>
                <w:noProof/>
                <w:lang w:val="sk-SK"/>
              </w:rPr>
              <w:t>MW</w:t>
            </w:r>
          </w:p>
        </w:tc>
        <w:tc>
          <w:tcPr>
            <w:tcW w:w="992" w:type="dxa"/>
            <w:shd w:val="clear" w:color="auto" w:fill="C4EFCE"/>
            <w:noWrap/>
            <w:tcMar>
              <w:left w:w="28" w:type="dxa"/>
              <w:right w:w="28" w:type="dxa"/>
            </w:tcMar>
            <w:vAlign w:val="center"/>
          </w:tcPr>
          <w:p w14:paraId="113D3DC1" w14:textId="69E6A3A4" w:rsidR="00387C70" w:rsidRPr="003F23AC" w:rsidRDefault="000F5AA4" w:rsidP="003F23AC">
            <w:pPr>
              <w:pStyle w:val="P68B1DB1-Bodytext1013"/>
              <w:jc w:val="center"/>
              <w:rPr>
                <w:rFonts w:ascii="Times New Roman" w:hAnsi="Times New Roman" w:cs="Times New Roman"/>
                <w:noProof/>
                <w:lang w:val="sk-SK"/>
              </w:rPr>
            </w:pPr>
            <w:r w:rsidRPr="003F23AC">
              <w:rPr>
                <w:rFonts w:ascii="Times New Roman" w:hAnsi="Times New Roman" w:cs="Times New Roman"/>
                <w:noProof/>
                <w:lang w:val="sk-SK"/>
              </w:rPr>
              <w:t>200</w:t>
            </w:r>
          </w:p>
        </w:tc>
        <w:tc>
          <w:tcPr>
            <w:tcW w:w="992" w:type="dxa"/>
            <w:shd w:val="clear" w:color="auto" w:fill="C4EFCE"/>
            <w:noWrap/>
            <w:tcMar>
              <w:left w:w="28" w:type="dxa"/>
              <w:right w:w="28" w:type="dxa"/>
            </w:tcMar>
            <w:vAlign w:val="center"/>
          </w:tcPr>
          <w:p w14:paraId="7576C464" w14:textId="71409B46" w:rsidR="00387C70" w:rsidRPr="003F23AC" w:rsidRDefault="000F5AA4" w:rsidP="003F23AC">
            <w:pPr>
              <w:pStyle w:val="P68B1DB1-Bodytext1013"/>
              <w:jc w:val="center"/>
              <w:rPr>
                <w:rFonts w:ascii="Times New Roman" w:hAnsi="Times New Roman" w:cs="Times New Roman"/>
                <w:noProof/>
                <w:lang w:val="sk-SK"/>
              </w:rPr>
            </w:pPr>
            <w:r w:rsidRPr="003F23AC">
              <w:rPr>
                <w:rFonts w:ascii="Times New Roman" w:hAnsi="Times New Roman" w:cs="Times New Roman"/>
                <w:noProof/>
                <w:lang w:val="sk-SK"/>
              </w:rPr>
              <w:t>277</w:t>
            </w:r>
          </w:p>
        </w:tc>
        <w:tc>
          <w:tcPr>
            <w:tcW w:w="771" w:type="dxa"/>
            <w:shd w:val="clear" w:color="auto" w:fill="C4EFCE"/>
            <w:noWrap/>
            <w:tcMar>
              <w:left w:w="28" w:type="dxa"/>
              <w:right w:w="28" w:type="dxa"/>
            </w:tcMar>
            <w:vAlign w:val="center"/>
          </w:tcPr>
          <w:p w14:paraId="685921C4" w14:textId="1556D976"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3E715CB5" w14:textId="528BEFE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tcPr>
          <w:p w14:paraId="1DFE52F0" w14:textId="562F4DF8"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Dodatočná kapacita výroby vodíka</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obnoviteľných plynov inštalovaná</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nulovými alebo takmer nulovými emisiami skleníkových plynov počas životného cyklu</w:t>
            </w:r>
          </w:p>
        </w:tc>
      </w:tr>
      <w:tr w:rsidR="00387C70" w:rsidRPr="003F23AC" w14:paraId="1045276A" w14:textId="77777777" w:rsidTr="00EC7FC8">
        <w:trPr>
          <w:trHeight w:val="430"/>
        </w:trPr>
        <w:tc>
          <w:tcPr>
            <w:tcW w:w="1135" w:type="dxa"/>
            <w:shd w:val="clear" w:color="auto" w:fill="C4EFCE"/>
            <w:tcMar>
              <w:left w:w="28" w:type="dxa"/>
              <w:right w:w="28" w:type="dxa"/>
            </w:tcMar>
            <w:vAlign w:val="center"/>
          </w:tcPr>
          <w:p w14:paraId="55738168" w14:textId="0E945F03"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21.26</w:t>
            </w:r>
          </w:p>
        </w:tc>
        <w:tc>
          <w:tcPr>
            <w:tcW w:w="1276" w:type="dxa"/>
            <w:shd w:val="clear" w:color="auto" w:fill="C4EFCE"/>
            <w:noWrap/>
            <w:tcMar>
              <w:left w:w="28" w:type="dxa"/>
              <w:right w:w="28" w:type="dxa"/>
            </w:tcMar>
            <w:vAlign w:val="center"/>
          </w:tcPr>
          <w:p w14:paraId="4B3853AA" w14:textId="5D7EDD3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RP-C21-i07</w:t>
            </w:r>
          </w:p>
        </w:tc>
        <w:tc>
          <w:tcPr>
            <w:tcW w:w="1134" w:type="dxa"/>
            <w:shd w:val="clear" w:color="auto" w:fill="C4EFCE"/>
            <w:noWrap/>
            <w:tcMar>
              <w:left w:w="28" w:type="dxa"/>
              <w:right w:w="28" w:type="dxa"/>
            </w:tcMar>
            <w:vAlign w:val="center"/>
          </w:tcPr>
          <w:p w14:paraId="4AEE7547" w14:textId="408AED3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3915FA70" w14:textId="3F66434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 (zmlúv) na technické štúdie na mori</w:t>
            </w:r>
          </w:p>
        </w:tc>
        <w:tc>
          <w:tcPr>
            <w:tcW w:w="1275" w:type="dxa"/>
            <w:shd w:val="clear" w:color="auto" w:fill="C4EFCE"/>
            <w:noWrap/>
            <w:tcMar>
              <w:left w:w="28" w:type="dxa"/>
              <w:right w:w="28" w:type="dxa"/>
            </w:tcMar>
            <w:vAlign w:val="center"/>
          </w:tcPr>
          <w:p w14:paraId="1B3565C5" w14:textId="155871F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 (zmlúv) na technické štúdie na mori</w:t>
            </w:r>
          </w:p>
        </w:tc>
        <w:tc>
          <w:tcPr>
            <w:tcW w:w="993" w:type="dxa"/>
            <w:shd w:val="clear" w:color="auto" w:fill="C4EFCE"/>
            <w:noWrap/>
            <w:tcMar>
              <w:left w:w="28" w:type="dxa"/>
              <w:right w:w="28" w:type="dxa"/>
            </w:tcMar>
            <w:vAlign w:val="center"/>
          </w:tcPr>
          <w:p w14:paraId="6A8DEA3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615E396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76CD424A"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3B750639" w14:textId="417635B7"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137C7D92" w14:textId="007769A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tcPr>
          <w:p w14:paraId="29E9FABE" w14:textId="728AF157"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 (zmlúv) na geofyzikálne, geotechnické štúdie, štúdie vetra, vĺn</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súčasné štúdie zamerané na uľahčenie inštalácie veternej energie na mori. </w:t>
            </w:r>
          </w:p>
        </w:tc>
      </w:tr>
      <w:tr w:rsidR="00387C70" w:rsidRPr="003F23AC" w14:paraId="54C1DF86" w14:textId="77777777" w:rsidTr="00EC7FC8">
        <w:trPr>
          <w:trHeight w:val="430"/>
        </w:trPr>
        <w:tc>
          <w:tcPr>
            <w:tcW w:w="1135" w:type="dxa"/>
            <w:shd w:val="clear" w:color="auto" w:fill="C4EFCE"/>
            <w:tcMar>
              <w:left w:w="28" w:type="dxa"/>
              <w:right w:w="28" w:type="dxa"/>
            </w:tcMar>
            <w:vAlign w:val="center"/>
          </w:tcPr>
          <w:p w14:paraId="74BF25A6" w14:textId="17A4170C"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21.27</w:t>
            </w:r>
          </w:p>
        </w:tc>
        <w:tc>
          <w:tcPr>
            <w:tcW w:w="1276" w:type="dxa"/>
            <w:shd w:val="clear" w:color="auto" w:fill="C4EFCE"/>
            <w:noWrap/>
            <w:tcMar>
              <w:left w:w="28" w:type="dxa"/>
              <w:right w:w="28" w:type="dxa"/>
            </w:tcMar>
            <w:vAlign w:val="center"/>
          </w:tcPr>
          <w:p w14:paraId="64144345" w14:textId="66F9433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RP-C21-i07</w:t>
            </w:r>
          </w:p>
        </w:tc>
        <w:tc>
          <w:tcPr>
            <w:tcW w:w="1134" w:type="dxa"/>
            <w:shd w:val="clear" w:color="auto" w:fill="C4EFCE"/>
            <w:noWrap/>
            <w:tcMar>
              <w:left w:w="28" w:type="dxa"/>
              <w:right w:w="28" w:type="dxa"/>
            </w:tcMar>
            <w:vAlign w:val="center"/>
          </w:tcPr>
          <w:p w14:paraId="7865928B" w14:textId="72EB631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6BB3CE96" w14:textId="66D1E21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technických štúdií týkajúcich sa veternej energie na mori</w:t>
            </w:r>
          </w:p>
        </w:tc>
        <w:tc>
          <w:tcPr>
            <w:tcW w:w="1275" w:type="dxa"/>
            <w:shd w:val="clear" w:color="auto" w:fill="C4EFCE"/>
            <w:noWrap/>
            <w:tcMar>
              <w:left w:w="28" w:type="dxa"/>
              <w:right w:w="28" w:type="dxa"/>
            </w:tcMar>
            <w:vAlign w:val="center"/>
          </w:tcPr>
          <w:p w14:paraId="6C094680" w14:textId="1CDCB07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Dokončenie technických štúdií týkajúcich sa veternej energie na mori</w:t>
            </w:r>
          </w:p>
        </w:tc>
        <w:tc>
          <w:tcPr>
            <w:tcW w:w="993" w:type="dxa"/>
            <w:shd w:val="clear" w:color="auto" w:fill="C4EFCE"/>
            <w:noWrap/>
            <w:tcMar>
              <w:left w:w="28" w:type="dxa"/>
              <w:right w:w="28" w:type="dxa"/>
            </w:tcMar>
            <w:vAlign w:val="center"/>
          </w:tcPr>
          <w:p w14:paraId="3AE2A000"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2320F173"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41DB8D43"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1EC71DEE" w14:textId="27125D5A"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57D3FE17" w14:textId="51C26B1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tcPr>
          <w:p w14:paraId="7AC78EE5" w14:textId="30AA4C37"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Dokončenie geofyzikálnych, geotechnických, veterných, vĺn</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súčasných štúdií zameraných na uľahčenie inštalácie veternej energie na mori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pokrývajúcich oblasť</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rozlohou najmenej 2 000 km².</w:t>
            </w:r>
          </w:p>
        </w:tc>
      </w:tr>
      <w:tr w:rsidR="00387C70" w:rsidRPr="003F23AC" w14:paraId="7539E854" w14:textId="77777777" w:rsidTr="00EC7FC8">
        <w:trPr>
          <w:trHeight w:val="430"/>
        </w:trPr>
        <w:tc>
          <w:tcPr>
            <w:tcW w:w="1135" w:type="dxa"/>
            <w:shd w:val="clear" w:color="auto" w:fill="C4EFCE"/>
            <w:tcMar>
              <w:left w:w="28" w:type="dxa"/>
              <w:right w:w="28" w:type="dxa"/>
            </w:tcMar>
            <w:vAlign w:val="center"/>
          </w:tcPr>
          <w:p w14:paraId="3006E847" w14:textId="1BEAC184"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21.28</w:t>
            </w:r>
          </w:p>
        </w:tc>
        <w:tc>
          <w:tcPr>
            <w:tcW w:w="1276" w:type="dxa"/>
            <w:shd w:val="clear" w:color="auto" w:fill="C4EFCE"/>
            <w:noWrap/>
            <w:tcMar>
              <w:left w:w="28" w:type="dxa"/>
              <w:right w:w="28" w:type="dxa"/>
            </w:tcMar>
            <w:vAlign w:val="center"/>
          </w:tcPr>
          <w:p w14:paraId="1409BB5F" w14:textId="7C2538F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 – i08</w:t>
            </w:r>
          </w:p>
        </w:tc>
        <w:tc>
          <w:tcPr>
            <w:tcW w:w="1134" w:type="dxa"/>
            <w:shd w:val="clear" w:color="auto" w:fill="C4EFCE"/>
            <w:noWrap/>
            <w:tcMar>
              <w:left w:w="28" w:type="dxa"/>
              <w:right w:w="28" w:type="dxa"/>
            </w:tcMar>
            <w:vAlign w:val="center"/>
          </w:tcPr>
          <w:p w14:paraId="5465DB3D" w14:textId="06A0BB9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6298A80C" w14:textId="18FD388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Podpis podmienok súhlasu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inštaláciou kapacity uskladňovania elektrickej energie</w:t>
            </w:r>
          </w:p>
        </w:tc>
        <w:tc>
          <w:tcPr>
            <w:tcW w:w="1275" w:type="dxa"/>
            <w:shd w:val="clear" w:color="auto" w:fill="C4EFCE"/>
            <w:noWrap/>
            <w:tcMar>
              <w:left w:w="28" w:type="dxa"/>
              <w:right w:w="28" w:type="dxa"/>
            </w:tcMar>
            <w:vAlign w:val="center"/>
          </w:tcPr>
          <w:p w14:paraId="1573BBFD" w14:textId="21075820"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Podpis podmienok prijatia pre inštaláciu uskladňovacej kapacity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výkonom najmenej 500 MW</w:t>
            </w:r>
          </w:p>
        </w:tc>
        <w:tc>
          <w:tcPr>
            <w:tcW w:w="993" w:type="dxa"/>
            <w:shd w:val="clear" w:color="auto" w:fill="C4EFCE"/>
            <w:noWrap/>
            <w:tcMar>
              <w:left w:w="28" w:type="dxa"/>
              <w:right w:w="28" w:type="dxa"/>
            </w:tcMar>
            <w:vAlign w:val="center"/>
          </w:tcPr>
          <w:p w14:paraId="13FF946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4EED15CC" w14:textId="7413286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92" w:type="dxa"/>
            <w:shd w:val="clear" w:color="auto" w:fill="C4EFCE"/>
            <w:noWrap/>
            <w:tcMar>
              <w:left w:w="28" w:type="dxa"/>
              <w:right w:w="28" w:type="dxa"/>
            </w:tcMar>
            <w:vAlign w:val="center"/>
          </w:tcPr>
          <w:p w14:paraId="786A1FE7"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1A56D73B" w14:textId="7B905C2E"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108BC515" w14:textId="020B0AB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tcPr>
          <w:p w14:paraId="5D147784" w14:textId="549198BC"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Podmienky prijatia podpísané pre inštaláciu aspoň 500 MW skladovacej kapacity vo vopred určených oblastiach, ktoré sa považujú za najviac potrebné.</w:t>
            </w:r>
          </w:p>
        </w:tc>
      </w:tr>
      <w:tr w:rsidR="00387C70" w:rsidRPr="003F23AC" w14:paraId="6EA9FB44" w14:textId="77777777" w:rsidTr="00EC7FC8">
        <w:trPr>
          <w:trHeight w:val="430"/>
        </w:trPr>
        <w:tc>
          <w:tcPr>
            <w:tcW w:w="1135" w:type="dxa"/>
            <w:shd w:val="clear" w:color="auto" w:fill="C4EFCE"/>
            <w:tcMar>
              <w:left w:w="28" w:type="dxa"/>
              <w:right w:w="28" w:type="dxa"/>
            </w:tcMar>
            <w:vAlign w:val="center"/>
          </w:tcPr>
          <w:p w14:paraId="67CC59EB" w14:textId="5139272B"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21.29</w:t>
            </w:r>
          </w:p>
        </w:tc>
        <w:tc>
          <w:tcPr>
            <w:tcW w:w="1276" w:type="dxa"/>
            <w:shd w:val="clear" w:color="auto" w:fill="C4EFCE"/>
            <w:noWrap/>
            <w:tcMar>
              <w:left w:w="28" w:type="dxa"/>
              <w:right w:w="28" w:type="dxa"/>
            </w:tcMar>
            <w:vAlign w:val="center"/>
          </w:tcPr>
          <w:p w14:paraId="25A27E44" w14:textId="3B066F9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 – i08</w:t>
            </w:r>
          </w:p>
        </w:tc>
        <w:tc>
          <w:tcPr>
            <w:tcW w:w="1134" w:type="dxa"/>
            <w:shd w:val="clear" w:color="auto" w:fill="C4EFCE"/>
            <w:noWrap/>
            <w:tcMar>
              <w:left w:w="28" w:type="dxa"/>
              <w:right w:w="28" w:type="dxa"/>
            </w:tcMar>
            <w:vAlign w:val="center"/>
          </w:tcPr>
          <w:p w14:paraId="65D2ADC6" w14:textId="0ABC75F0"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5E61722C" w14:textId="562F0185" w:rsidR="00387C70" w:rsidRPr="003F23AC" w:rsidRDefault="000F5AA4" w:rsidP="003F23AC">
            <w:pPr>
              <w:pStyle w:val="P68B1DB1-Bodytext1013"/>
              <w:spacing w:line="240" w:lineRule="auto"/>
              <w:jc w:val="center"/>
              <w:rPr>
                <w:rFonts w:ascii="Times New Roman" w:hAnsi="Times New Roman" w:cs="Times New Roman"/>
                <w:noProof/>
                <w:lang w:val="sk-SK"/>
              </w:rPr>
            </w:pPr>
            <w:r w:rsidRPr="003F23AC">
              <w:rPr>
                <w:rFonts w:ascii="Times New Roman" w:hAnsi="Times New Roman" w:cs="Times New Roman"/>
                <w:noProof/>
                <w:lang w:val="sk-SK"/>
              </w:rPr>
              <w:t>Inštalácia kapacity na uskladňovanie elektrickej energie</w:t>
            </w:r>
          </w:p>
        </w:tc>
        <w:tc>
          <w:tcPr>
            <w:tcW w:w="1275" w:type="dxa"/>
            <w:shd w:val="clear" w:color="auto" w:fill="C4EFCE"/>
            <w:noWrap/>
            <w:tcMar>
              <w:left w:w="28" w:type="dxa"/>
              <w:right w:w="28" w:type="dxa"/>
            </w:tcMar>
            <w:vAlign w:val="center"/>
          </w:tcPr>
          <w:p w14:paraId="5B65FBBE"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7277883B" w14:textId="11FA7FE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992" w:type="dxa"/>
            <w:shd w:val="clear" w:color="auto" w:fill="C4EFCE"/>
            <w:noWrap/>
            <w:tcMar>
              <w:left w:w="28" w:type="dxa"/>
              <w:right w:w="28" w:type="dxa"/>
            </w:tcMar>
            <w:vAlign w:val="center"/>
          </w:tcPr>
          <w:p w14:paraId="6EB221F6" w14:textId="520A661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tcPr>
          <w:p w14:paraId="42CDD52D" w14:textId="73FC3728"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500</w:t>
            </w:r>
          </w:p>
        </w:tc>
        <w:tc>
          <w:tcPr>
            <w:tcW w:w="771" w:type="dxa"/>
            <w:shd w:val="clear" w:color="auto" w:fill="C4EFCE"/>
            <w:noWrap/>
            <w:tcMar>
              <w:left w:w="28" w:type="dxa"/>
              <w:right w:w="28" w:type="dxa"/>
            </w:tcMar>
            <w:vAlign w:val="center"/>
          </w:tcPr>
          <w:p w14:paraId="6D77EE18" w14:textId="0EC400E6"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tcPr>
          <w:p w14:paraId="2CF60B40" w14:textId="0E3517C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tcPr>
          <w:p w14:paraId="761A6BE4" w14:textId="111DD747"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Inštalovaná kapacita skladovania elektrickej energie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výkonom najmenej 500 MW. </w:t>
            </w:r>
          </w:p>
        </w:tc>
      </w:tr>
      <w:tr w:rsidR="00387C70" w:rsidRPr="003F23AC" w14:paraId="666E99E3" w14:textId="77777777" w:rsidTr="00EC7FC8">
        <w:trPr>
          <w:trHeight w:val="430"/>
        </w:trPr>
        <w:tc>
          <w:tcPr>
            <w:tcW w:w="1135" w:type="dxa"/>
            <w:shd w:val="clear" w:color="auto" w:fill="C4EFCE"/>
            <w:tcMar>
              <w:left w:w="28" w:type="dxa"/>
              <w:right w:w="28" w:type="dxa"/>
            </w:tcMar>
            <w:vAlign w:val="center"/>
          </w:tcPr>
          <w:p w14:paraId="7B3F0627" w14:textId="37869B3E"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21.30</w:t>
            </w:r>
          </w:p>
        </w:tc>
        <w:tc>
          <w:tcPr>
            <w:tcW w:w="1276" w:type="dxa"/>
            <w:shd w:val="clear" w:color="auto" w:fill="C4EFCE"/>
            <w:noWrap/>
            <w:tcMar>
              <w:left w:w="28" w:type="dxa"/>
              <w:right w:w="28" w:type="dxa"/>
            </w:tcMar>
            <w:vAlign w:val="center"/>
          </w:tcPr>
          <w:p w14:paraId="3BDC0F23" w14:textId="157C435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RP-C21-i09</w:t>
            </w:r>
          </w:p>
        </w:tc>
        <w:tc>
          <w:tcPr>
            <w:tcW w:w="1134" w:type="dxa"/>
            <w:shd w:val="clear" w:color="auto" w:fill="C4EFCE"/>
            <w:noWrap/>
            <w:tcMar>
              <w:left w:w="28" w:type="dxa"/>
              <w:right w:w="28" w:type="dxa"/>
            </w:tcMar>
            <w:vAlign w:val="center"/>
          </w:tcPr>
          <w:p w14:paraId="043D8D0E" w14:textId="5A1B02C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485915AC" w14:textId="37C0A913" w:rsidR="00387C70" w:rsidRPr="003F23AC" w:rsidRDefault="000F5AA4" w:rsidP="003F23AC">
            <w:pPr>
              <w:pStyle w:val="P68B1DB1-Bodytext1013"/>
              <w:spacing w:line="240" w:lineRule="auto"/>
              <w:jc w:val="center"/>
              <w:rPr>
                <w:rFonts w:ascii="Times New Roman" w:hAnsi="Times New Roman" w:cs="Times New Roman"/>
                <w:noProof/>
                <w:lang w:val="sk-SK"/>
              </w:rPr>
            </w:pPr>
            <w:r w:rsidRPr="003F23AC">
              <w:rPr>
                <w:rFonts w:ascii="Times New Roman" w:hAnsi="Times New Roman" w:cs="Times New Roman"/>
                <w:noProof/>
                <w:lang w:val="sk-SK"/>
              </w:rPr>
              <w:t>Uvedenie do prevádzky modulov prvej fázy digitálnej platformy jednotného kontaktného miesta na povoľovanie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monitorovanie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p>
        </w:tc>
        <w:tc>
          <w:tcPr>
            <w:tcW w:w="1275" w:type="dxa"/>
            <w:shd w:val="clear" w:color="auto" w:fill="C4EFCE"/>
            <w:noWrap/>
            <w:tcMar>
              <w:left w:w="28" w:type="dxa"/>
              <w:right w:w="28" w:type="dxa"/>
            </w:tcMar>
            <w:vAlign w:val="center"/>
          </w:tcPr>
          <w:p w14:paraId="1CA13B2F" w14:textId="5B13EB12" w:rsidR="00387C70" w:rsidRPr="003F23AC" w:rsidRDefault="000F5AA4" w:rsidP="003F23AC">
            <w:pPr>
              <w:pStyle w:val="P68B1DB1-Bodytext1013"/>
              <w:rPr>
                <w:rFonts w:ascii="Times New Roman" w:hAnsi="Times New Roman" w:cs="Times New Roman"/>
                <w:noProof/>
                <w:lang w:val="sk-SK"/>
              </w:rPr>
            </w:pPr>
            <w:r w:rsidRPr="003F23AC">
              <w:rPr>
                <w:rFonts w:ascii="Times New Roman" w:hAnsi="Times New Roman" w:cs="Times New Roman"/>
                <w:noProof/>
                <w:lang w:val="sk-SK"/>
              </w:rPr>
              <w:t>Uvedenie do prevádzky modulov prvej fázy digitálnej platformy jednotného kontaktného miesta na povoľovanie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monitorovanie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p>
        </w:tc>
        <w:tc>
          <w:tcPr>
            <w:tcW w:w="993" w:type="dxa"/>
            <w:shd w:val="clear" w:color="auto" w:fill="C4EFCE"/>
            <w:noWrap/>
            <w:tcMar>
              <w:left w:w="28" w:type="dxa"/>
              <w:right w:w="28" w:type="dxa"/>
            </w:tcMar>
            <w:vAlign w:val="center"/>
          </w:tcPr>
          <w:p w14:paraId="7068296D"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670A330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0D53A9AC"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5DA0EC12" w14:textId="463A71CE"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tcPr>
          <w:p w14:paraId="018D5E69" w14:textId="0E4CC2F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tcPr>
          <w:p w14:paraId="276B9CE4" w14:textId="4ADF7795" w:rsidR="00387C70" w:rsidRPr="003F23AC" w:rsidRDefault="000F5AA4" w:rsidP="003F23AC">
            <w:pPr>
              <w:pStyle w:val="P68B1DB1-Bodytext1013"/>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Uvedenie do prevádzky modulov prvej fázy digitálnej platformy jednotného kontaktného miesta na povoľovanie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monitorovanie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ako sa uvádza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opise opatrenia.</w:t>
            </w:r>
          </w:p>
        </w:tc>
      </w:tr>
      <w:tr w:rsidR="00387C70" w:rsidRPr="003F23AC" w14:paraId="4586FFC2" w14:textId="77777777" w:rsidTr="00EC7FC8">
        <w:trPr>
          <w:trHeight w:val="430"/>
        </w:trPr>
        <w:tc>
          <w:tcPr>
            <w:tcW w:w="1135" w:type="dxa"/>
            <w:shd w:val="clear" w:color="auto" w:fill="C4EFCE"/>
            <w:tcMar>
              <w:left w:w="28" w:type="dxa"/>
              <w:right w:w="28" w:type="dxa"/>
            </w:tcMar>
            <w:vAlign w:val="center"/>
          </w:tcPr>
          <w:p w14:paraId="7F1EF689" w14:textId="32009939"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21.31</w:t>
            </w:r>
          </w:p>
        </w:tc>
        <w:tc>
          <w:tcPr>
            <w:tcW w:w="1276" w:type="dxa"/>
            <w:shd w:val="clear" w:color="auto" w:fill="C4EFCE"/>
            <w:noWrap/>
            <w:tcMar>
              <w:left w:w="28" w:type="dxa"/>
              <w:right w:w="28" w:type="dxa"/>
            </w:tcMar>
            <w:vAlign w:val="center"/>
          </w:tcPr>
          <w:p w14:paraId="61E4D6AF" w14:textId="2D0F678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RP-C21-i09</w:t>
            </w:r>
          </w:p>
        </w:tc>
        <w:tc>
          <w:tcPr>
            <w:tcW w:w="1134" w:type="dxa"/>
            <w:shd w:val="clear" w:color="auto" w:fill="C4EFCE"/>
            <w:noWrap/>
            <w:tcMar>
              <w:left w:w="28" w:type="dxa"/>
              <w:right w:w="28" w:type="dxa"/>
            </w:tcMar>
            <w:vAlign w:val="center"/>
          </w:tcPr>
          <w:p w14:paraId="230CED97" w14:textId="74F37228"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4203708E" w14:textId="22DE8DDD" w:rsidR="00387C70" w:rsidRPr="003F23AC" w:rsidRDefault="000F5AA4" w:rsidP="003F23AC">
            <w:pPr>
              <w:pStyle w:val="P68B1DB1-Bodytext1013"/>
              <w:spacing w:line="240" w:lineRule="auto"/>
              <w:jc w:val="center"/>
              <w:rPr>
                <w:rFonts w:ascii="Times New Roman" w:hAnsi="Times New Roman" w:cs="Times New Roman"/>
                <w:noProof/>
                <w:lang w:val="sk-SK"/>
              </w:rPr>
            </w:pPr>
            <w:r w:rsidRPr="003F23AC">
              <w:rPr>
                <w:rFonts w:ascii="Times New Roman" w:hAnsi="Times New Roman" w:cs="Times New Roman"/>
                <w:noProof/>
                <w:lang w:val="sk-SK"/>
              </w:rPr>
              <w:t>Sprevádzkovanie modulov druhej fázy digitálnej platformy jednotného kontaktného miesta na povoľovanie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monitorovanie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dokončenie procesu dematerializácie existujúcich povoľovacích dokumentov.</w:t>
            </w:r>
          </w:p>
        </w:tc>
        <w:tc>
          <w:tcPr>
            <w:tcW w:w="1275" w:type="dxa"/>
            <w:shd w:val="clear" w:color="auto" w:fill="C4EFCE"/>
            <w:noWrap/>
            <w:tcMar>
              <w:left w:w="28" w:type="dxa"/>
              <w:right w:w="28" w:type="dxa"/>
            </w:tcMar>
            <w:vAlign w:val="center"/>
          </w:tcPr>
          <w:p w14:paraId="1901C1FE" w14:textId="2E8FF421" w:rsidR="00387C70" w:rsidRPr="003F23AC" w:rsidRDefault="000F5AA4" w:rsidP="003F23AC">
            <w:pPr>
              <w:pStyle w:val="P68B1DB1-Bodytext1013"/>
              <w:rPr>
                <w:rFonts w:ascii="Times New Roman" w:hAnsi="Times New Roman" w:cs="Times New Roman"/>
                <w:noProof/>
                <w:lang w:val="sk-SK"/>
              </w:rPr>
            </w:pPr>
            <w:r w:rsidRPr="003F23AC">
              <w:rPr>
                <w:rFonts w:ascii="Times New Roman" w:hAnsi="Times New Roman" w:cs="Times New Roman"/>
                <w:noProof/>
                <w:lang w:val="sk-SK"/>
              </w:rPr>
              <w:t>Uvedenie modulov druhej fázy do prevádzky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dokončenie procesu dematerializácie</w:t>
            </w:r>
          </w:p>
        </w:tc>
        <w:tc>
          <w:tcPr>
            <w:tcW w:w="993" w:type="dxa"/>
            <w:shd w:val="clear" w:color="auto" w:fill="C4EFCE"/>
            <w:noWrap/>
            <w:tcMar>
              <w:left w:w="28" w:type="dxa"/>
              <w:right w:w="28" w:type="dxa"/>
            </w:tcMar>
            <w:vAlign w:val="center"/>
          </w:tcPr>
          <w:p w14:paraId="737BEEE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74893EFA"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5041F109"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0CC8B59F" w14:textId="203881C2"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0AEC55F4" w14:textId="056D3D0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tcPr>
          <w:p w14:paraId="27AA262B" w14:textId="53D808A3"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Sprevádzkovanie modulov druhej fázy digitálnej platformy jednotného kontaktného miesta na povoľovanie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monitorovanie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dokončenie procesu dematerializácie existujúcich povoľovacích dokumentov podľa potreby stanovenej Generálnym riaditeľstvom pre energetiku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geológiu, ako sa uvádza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opise opatrenia.</w:t>
            </w:r>
          </w:p>
        </w:tc>
      </w:tr>
      <w:tr w:rsidR="00387C70" w:rsidRPr="003F23AC" w14:paraId="6BE813FA" w14:textId="77777777" w:rsidTr="00EC7FC8">
        <w:trPr>
          <w:trHeight w:val="430"/>
        </w:trPr>
        <w:tc>
          <w:tcPr>
            <w:tcW w:w="1135" w:type="dxa"/>
            <w:shd w:val="clear" w:color="auto" w:fill="C4EFCE"/>
            <w:tcMar>
              <w:left w:w="28" w:type="dxa"/>
              <w:right w:w="28" w:type="dxa"/>
            </w:tcMar>
            <w:vAlign w:val="center"/>
          </w:tcPr>
          <w:p w14:paraId="733A43BD" w14:textId="414B2FAD"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21.32</w:t>
            </w:r>
          </w:p>
        </w:tc>
        <w:tc>
          <w:tcPr>
            <w:tcW w:w="1276" w:type="dxa"/>
            <w:shd w:val="clear" w:color="auto" w:fill="C4EFCE"/>
            <w:noWrap/>
            <w:tcMar>
              <w:left w:w="28" w:type="dxa"/>
              <w:right w:w="28" w:type="dxa"/>
            </w:tcMar>
            <w:vAlign w:val="center"/>
          </w:tcPr>
          <w:p w14:paraId="1D4596FC" w14:textId="6C3C6EA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RP-C21-i10-RAA</w:t>
            </w:r>
          </w:p>
        </w:tc>
        <w:tc>
          <w:tcPr>
            <w:tcW w:w="1134" w:type="dxa"/>
            <w:shd w:val="clear" w:color="auto" w:fill="C4EFCE"/>
            <w:noWrap/>
            <w:tcMar>
              <w:left w:w="28" w:type="dxa"/>
              <w:right w:w="28" w:type="dxa"/>
            </w:tcMar>
            <w:vAlign w:val="center"/>
          </w:tcPr>
          <w:p w14:paraId="11BDF5A0" w14:textId="0EF8FAFD"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3F84B7D1" w14:textId="71264E8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Inštalácia kapacity na uskladňovanie elektrickej energie</w:t>
            </w:r>
          </w:p>
        </w:tc>
        <w:tc>
          <w:tcPr>
            <w:tcW w:w="1275" w:type="dxa"/>
            <w:shd w:val="clear" w:color="auto" w:fill="C4EFCE"/>
            <w:noWrap/>
            <w:tcMar>
              <w:left w:w="28" w:type="dxa"/>
              <w:right w:w="28" w:type="dxa"/>
            </w:tcMar>
            <w:vAlign w:val="center"/>
          </w:tcPr>
          <w:p w14:paraId="618CABB5"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6CA43656" w14:textId="647D88F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992" w:type="dxa"/>
            <w:shd w:val="clear" w:color="auto" w:fill="C4EFCE"/>
            <w:noWrap/>
            <w:tcMar>
              <w:left w:w="28" w:type="dxa"/>
              <w:right w:w="28" w:type="dxa"/>
            </w:tcMar>
            <w:vAlign w:val="center"/>
          </w:tcPr>
          <w:p w14:paraId="72C57D8C" w14:textId="3EFCC2B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tcPr>
          <w:p w14:paraId="1D6E4AE3" w14:textId="01C62BB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8,75</w:t>
            </w:r>
          </w:p>
        </w:tc>
        <w:tc>
          <w:tcPr>
            <w:tcW w:w="771" w:type="dxa"/>
            <w:shd w:val="clear" w:color="auto" w:fill="C4EFCE"/>
            <w:noWrap/>
            <w:tcMar>
              <w:left w:w="28" w:type="dxa"/>
              <w:right w:w="28" w:type="dxa"/>
            </w:tcMar>
            <w:vAlign w:val="center"/>
          </w:tcPr>
          <w:p w14:paraId="2B3BB704" w14:textId="0E88DC75"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tcPr>
          <w:p w14:paraId="2CE8D20C" w14:textId="5A9DDA1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tcPr>
          <w:p w14:paraId="7ACED5AC" w14:textId="74C3E21E"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Aspoň 8,75 MW kapacity uskladňovania elektrickej energie inštalovanej na vlastnú spotrebu.</w:t>
            </w:r>
          </w:p>
        </w:tc>
      </w:tr>
      <w:tr w:rsidR="00387C70" w:rsidRPr="003F23AC" w14:paraId="59FCB201" w14:textId="77777777" w:rsidTr="00EC7FC8">
        <w:trPr>
          <w:trHeight w:val="430"/>
        </w:trPr>
        <w:tc>
          <w:tcPr>
            <w:tcW w:w="1135" w:type="dxa"/>
            <w:shd w:val="clear" w:color="auto" w:fill="C4EFCE"/>
            <w:tcMar>
              <w:left w:w="28" w:type="dxa"/>
              <w:right w:w="28" w:type="dxa"/>
            </w:tcMar>
            <w:vAlign w:val="center"/>
          </w:tcPr>
          <w:p w14:paraId="16D1E889" w14:textId="1734E102"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21.33</w:t>
            </w:r>
          </w:p>
        </w:tc>
        <w:tc>
          <w:tcPr>
            <w:tcW w:w="1276" w:type="dxa"/>
            <w:shd w:val="clear" w:color="auto" w:fill="C4EFCE"/>
            <w:noWrap/>
            <w:tcMar>
              <w:left w:w="28" w:type="dxa"/>
              <w:right w:w="28" w:type="dxa"/>
            </w:tcMar>
            <w:vAlign w:val="center"/>
          </w:tcPr>
          <w:p w14:paraId="0DD29FA5" w14:textId="656F08E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RP-C21-i11-RAM</w:t>
            </w:r>
          </w:p>
        </w:tc>
        <w:tc>
          <w:tcPr>
            <w:tcW w:w="1134" w:type="dxa"/>
            <w:shd w:val="clear" w:color="auto" w:fill="C4EFCE"/>
            <w:noWrap/>
            <w:tcMar>
              <w:left w:w="28" w:type="dxa"/>
              <w:right w:w="28" w:type="dxa"/>
            </w:tcMar>
            <w:vAlign w:val="center"/>
          </w:tcPr>
          <w:p w14:paraId="6443488B" w14:textId="165F8BB6"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0442E0E7" w14:textId="4A0EC4B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Zvýšenie inštalovaného výkonu zariadení na výrobu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 vlastnú spotrebu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zvýšenie inštalovanej uskladňovacej kapacity na vlastnú spotrebu</w:t>
            </w:r>
          </w:p>
        </w:tc>
        <w:tc>
          <w:tcPr>
            <w:tcW w:w="1275" w:type="dxa"/>
            <w:shd w:val="clear" w:color="auto" w:fill="C4EFCE"/>
            <w:noWrap/>
            <w:tcMar>
              <w:left w:w="28" w:type="dxa"/>
              <w:right w:w="28" w:type="dxa"/>
            </w:tcMar>
            <w:vAlign w:val="center"/>
          </w:tcPr>
          <w:p w14:paraId="14BAC0AF"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5B7EA6FB" w14:textId="6D0983F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992" w:type="dxa"/>
            <w:shd w:val="clear" w:color="auto" w:fill="C4EFCE"/>
            <w:noWrap/>
            <w:tcMar>
              <w:left w:w="28" w:type="dxa"/>
              <w:right w:w="28" w:type="dxa"/>
            </w:tcMar>
            <w:vAlign w:val="center"/>
          </w:tcPr>
          <w:p w14:paraId="24D8C7DF" w14:textId="2118349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0</w:t>
            </w:r>
          </w:p>
        </w:tc>
        <w:tc>
          <w:tcPr>
            <w:tcW w:w="992" w:type="dxa"/>
            <w:shd w:val="clear" w:color="auto" w:fill="C4EFCE"/>
            <w:noWrap/>
            <w:tcMar>
              <w:left w:w="28" w:type="dxa"/>
              <w:right w:w="28" w:type="dxa"/>
            </w:tcMar>
            <w:vAlign w:val="center"/>
          </w:tcPr>
          <w:p w14:paraId="2B7883F0" w14:textId="7809369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5.25</w:t>
            </w:r>
          </w:p>
        </w:tc>
        <w:tc>
          <w:tcPr>
            <w:tcW w:w="771" w:type="dxa"/>
            <w:shd w:val="clear" w:color="auto" w:fill="C4EFCE"/>
            <w:noWrap/>
            <w:tcMar>
              <w:left w:w="28" w:type="dxa"/>
              <w:right w:w="28" w:type="dxa"/>
            </w:tcMar>
            <w:vAlign w:val="center"/>
          </w:tcPr>
          <w:p w14:paraId="496A646E" w14:textId="2CAA026A"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04" w:type="dxa"/>
            <w:shd w:val="clear" w:color="auto" w:fill="C4EFCE"/>
            <w:noWrap/>
            <w:tcMar>
              <w:left w:w="28" w:type="dxa"/>
              <w:right w:w="28" w:type="dxa"/>
            </w:tcMar>
            <w:vAlign w:val="center"/>
          </w:tcPr>
          <w:p w14:paraId="119BAC6D" w14:textId="70C26F2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tcPr>
          <w:p w14:paraId="4F13C5D1" w14:textId="507D380A"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Je inštalovaná kapacita na výrobu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 vlastnú spotrebu aspoň 2,75 MW.</w:t>
            </w:r>
          </w:p>
          <w:p w14:paraId="0A9ABADC" w14:textId="3E09A486" w:rsidR="00387C70" w:rsidRPr="003F23AC" w:rsidRDefault="00387C70" w:rsidP="003F23AC">
            <w:pPr>
              <w:spacing w:after="0" w:line="240" w:lineRule="auto"/>
              <w:jc w:val="both"/>
              <w:rPr>
                <w:rFonts w:ascii="Times New Roman" w:hAnsi="Times New Roman" w:cs="Times New Roman"/>
                <w:noProof/>
                <w:sz w:val="16"/>
                <w:lang w:val="sk-SK"/>
              </w:rPr>
            </w:pPr>
          </w:p>
          <w:p w14:paraId="1C328A9F" w14:textId="1996C913"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Inštaluje sa kapacita uskladňovania elektrickej energie aspoň 2,5 MW na vlastnú spotrebu.</w:t>
            </w:r>
          </w:p>
        </w:tc>
      </w:tr>
      <w:tr w:rsidR="00387C70" w:rsidRPr="003F23AC" w14:paraId="5AEA89DD" w14:textId="77777777" w:rsidTr="00EC7FC8">
        <w:trPr>
          <w:trHeight w:val="430"/>
        </w:trPr>
        <w:tc>
          <w:tcPr>
            <w:tcW w:w="1135" w:type="dxa"/>
            <w:shd w:val="clear" w:color="auto" w:fill="C4EFCE"/>
            <w:tcMar>
              <w:left w:w="28" w:type="dxa"/>
              <w:right w:w="28" w:type="dxa"/>
            </w:tcMar>
            <w:vAlign w:val="center"/>
          </w:tcPr>
          <w:p w14:paraId="06F06D71" w14:textId="1CAAC2A0"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21.34</w:t>
            </w:r>
          </w:p>
        </w:tc>
        <w:tc>
          <w:tcPr>
            <w:tcW w:w="1276" w:type="dxa"/>
            <w:shd w:val="clear" w:color="auto" w:fill="C4EFCE"/>
            <w:noWrap/>
            <w:tcMar>
              <w:left w:w="28" w:type="dxa"/>
              <w:right w:w="28" w:type="dxa"/>
            </w:tcMar>
            <w:vAlign w:val="center"/>
          </w:tcPr>
          <w:p w14:paraId="50A32A38" w14:textId="6FB4DA1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RP-C21-i11-RAM</w:t>
            </w:r>
          </w:p>
        </w:tc>
        <w:tc>
          <w:tcPr>
            <w:tcW w:w="1134" w:type="dxa"/>
            <w:shd w:val="clear" w:color="auto" w:fill="C4EFCE"/>
            <w:noWrap/>
            <w:tcMar>
              <w:left w:w="28" w:type="dxa"/>
              <w:right w:w="28" w:type="dxa"/>
            </w:tcMar>
            <w:vAlign w:val="center"/>
          </w:tcPr>
          <w:p w14:paraId="1E977997" w14:textId="38397145"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34206821" w14:textId="7D6204F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Posilnenie inštalovanej kapacity veternej energie</w:t>
            </w:r>
          </w:p>
        </w:tc>
        <w:tc>
          <w:tcPr>
            <w:tcW w:w="1275" w:type="dxa"/>
            <w:shd w:val="clear" w:color="auto" w:fill="C4EFCE"/>
            <w:noWrap/>
            <w:tcMar>
              <w:left w:w="28" w:type="dxa"/>
              <w:right w:w="28" w:type="dxa"/>
            </w:tcMar>
          </w:tcPr>
          <w:p w14:paraId="5A477E66" w14:textId="3465589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93" w:type="dxa"/>
            <w:shd w:val="clear" w:color="auto" w:fill="C4EFCE"/>
            <w:noWrap/>
            <w:tcMar>
              <w:left w:w="28" w:type="dxa"/>
              <w:right w:w="28" w:type="dxa"/>
            </w:tcMar>
            <w:vAlign w:val="center"/>
          </w:tcPr>
          <w:p w14:paraId="03C8E2AE" w14:textId="2F0553A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w:t>
            </w:r>
          </w:p>
        </w:tc>
        <w:tc>
          <w:tcPr>
            <w:tcW w:w="992" w:type="dxa"/>
            <w:shd w:val="clear" w:color="auto" w:fill="C4EFCE"/>
            <w:noWrap/>
            <w:tcMar>
              <w:left w:w="28" w:type="dxa"/>
              <w:right w:w="28" w:type="dxa"/>
            </w:tcMar>
            <w:vAlign w:val="center"/>
          </w:tcPr>
          <w:p w14:paraId="4CACD599" w14:textId="7A66241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0</w:t>
            </w:r>
          </w:p>
        </w:tc>
        <w:tc>
          <w:tcPr>
            <w:tcW w:w="992" w:type="dxa"/>
            <w:shd w:val="clear" w:color="auto" w:fill="C4EFCE"/>
            <w:noWrap/>
            <w:tcMar>
              <w:left w:w="28" w:type="dxa"/>
              <w:right w:w="28" w:type="dxa"/>
            </w:tcMar>
            <w:vAlign w:val="center"/>
          </w:tcPr>
          <w:p w14:paraId="1D8B24C1" w14:textId="3B83C06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7</w:t>
            </w:r>
          </w:p>
        </w:tc>
        <w:tc>
          <w:tcPr>
            <w:tcW w:w="771" w:type="dxa"/>
            <w:shd w:val="clear" w:color="auto" w:fill="C4EFCE"/>
            <w:noWrap/>
            <w:tcMar>
              <w:left w:w="28" w:type="dxa"/>
              <w:right w:w="28" w:type="dxa"/>
            </w:tcMar>
            <w:vAlign w:val="center"/>
          </w:tcPr>
          <w:p w14:paraId="7E0DAF3D" w14:textId="0843EBB5"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tcPr>
          <w:p w14:paraId="6E08C107" w14:textId="667BF99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tcPr>
          <w:p w14:paraId="60E20BC6" w14:textId="5BA38352"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 ostrove Porto Santo sa inštaluje ďalšia kapacita výroby veternej energie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výkonom 7 MW pripojená</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elektrizačnej sústave.</w:t>
            </w:r>
          </w:p>
        </w:tc>
      </w:tr>
      <w:tr w:rsidR="00387C70" w:rsidRPr="003F23AC" w14:paraId="57E89DD0" w14:textId="77777777" w:rsidTr="00EC7FC8">
        <w:trPr>
          <w:trHeight w:val="430"/>
        </w:trPr>
        <w:tc>
          <w:tcPr>
            <w:tcW w:w="1135" w:type="dxa"/>
            <w:shd w:val="clear" w:color="auto" w:fill="C4EFCE"/>
            <w:tcMar>
              <w:left w:w="28" w:type="dxa"/>
              <w:right w:w="28" w:type="dxa"/>
            </w:tcMar>
            <w:vAlign w:val="center"/>
          </w:tcPr>
          <w:p w14:paraId="5BE74300" w14:textId="459942DF"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21.35</w:t>
            </w:r>
          </w:p>
        </w:tc>
        <w:tc>
          <w:tcPr>
            <w:tcW w:w="1276" w:type="dxa"/>
            <w:shd w:val="clear" w:color="auto" w:fill="C4EFCE"/>
            <w:noWrap/>
            <w:tcMar>
              <w:left w:w="28" w:type="dxa"/>
              <w:right w:w="28" w:type="dxa"/>
            </w:tcMar>
            <w:vAlign w:val="center"/>
          </w:tcPr>
          <w:p w14:paraId="5202472B" w14:textId="081F4DD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RP-C21-i12</w:t>
            </w:r>
          </w:p>
        </w:tc>
        <w:tc>
          <w:tcPr>
            <w:tcW w:w="1134" w:type="dxa"/>
            <w:shd w:val="clear" w:color="auto" w:fill="C4EFCE"/>
            <w:noWrap/>
            <w:tcMar>
              <w:left w:w="28" w:type="dxa"/>
              <w:right w:w="28" w:type="dxa"/>
            </w:tcMar>
            <w:vAlign w:val="center"/>
          </w:tcPr>
          <w:p w14:paraId="3C71133D" w14:textId="339DEA58"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58FBE419" w14:textId="54406FB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nákupe ekologických autobusov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dekarbonizácie verejnej dopravy</w:t>
            </w:r>
          </w:p>
        </w:tc>
        <w:tc>
          <w:tcPr>
            <w:tcW w:w="1275" w:type="dxa"/>
            <w:shd w:val="clear" w:color="auto" w:fill="C4EFCE"/>
            <w:noWrap/>
            <w:tcMar>
              <w:left w:w="28" w:type="dxa"/>
              <w:right w:w="28" w:type="dxa"/>
            </w:tcMar>
          </w:tcPr>
          <w:p w14:paraId="526A8439" w14:textId="711AD58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nákupe ekologických autobusov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dekarbonizácie verejnej dopravy</w:t>
            </w:r>
          </w:p>
        </w:tc>
        <w:tc>
          <w:tcPr>
            <w:tcW w:w="993" w:type="dxa"/>
            <w:shd w:val="clear" w:color="auto" w:fill="C4EFCE"/>
            <w:noWrap/>
            <w:tcMar>
              <w:left w:w="28" w:type="dxa"/>
              <w:right w:w="28" w:type="dxa"/>
            </w:tcMar>
          </w:tcPr>
          <w:p w14:paraId="5B5F632F" w14:textId="43CF795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92" w:type="dxa"/>
            <w:shd w:val="clear" w:color="auto" w:fill="C4EFCE"/>
            <w:noWrap/>
            <w:tcMar>
              <w:left w:w="28" w:type="dxa"/>
              <w:right w:w="28" w:type="dxa"/>
            </w:tcMar>
            <w:vAlign w:val="center"/>
          </w:tcPr>
          <w:p w14:paraId="756CF22A" w14:textId="0AB870C4"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tcPr>
          <w:p w14:paraId="6F932B44" w14:textId="27A48D9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771" w:type="dxa"/>
            <w:shd w:val="clear" w:color="auto" w:fill="C4EFCE"/>
            <w:noWrap/>
            <w:tcMar>
              <w:left w:w="28" w:type="dxa"/>
              <w:right w:w="28" w:type="dxa"/>
            </w:tcMar>
            <w:vAlign w:val="center"/>
          </w:tcPr>
          <w:p w14:paraId="7BEFD333" w14:textId="72D99268"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3A864357" w14:textId="6C2FC1D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tcPr>
          <w:p w14:paraId="4BD2252A" w14:textId="5197B004"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 medzi prijímateľmi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riadiacim orgánom na základe výberového konania,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ktorom sa stanovuje záväzok nakúpiť 300 autobusov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nulovými emisiami (elektrický</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vodíkový).</w:t>
            </w:r>
          </w:p>
        </w:tc>
      </w:tr>
      <w:tr w:rsidR="00387C70" w:rsidRPr="003F23AC" w14:paraId="716F3052" w14:textId="77777777" w:rsidTr="00EC7FC8">
        <w:trPr>
          <w:trHeight w:val="430"/>
        </w:trPr>
        <w:tc>
          <w:tcPr>
            <w:tcW w:w="1135" w:type="dxa"/>
            <w:shd w:val="clear" w:color="auto" w:fill="C4EFCE"/>
            <w:tcMar>
              <w:left w:w="28" w:type="dxa"/>
              <w:right w:w="28" w:type="dxa"/>
            </w:tcMar>
            <w:vAlign w:val="center"/>
          </w:tcPr>
          <w:p w14:paraId="3FC90F90" w14:textId="5F27DE07"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21.36</w:t>
            </w:r>
          </w:p>
        </w:tc>
        <w:tc>
          <w:tcPr>
            <w:tcW w:w="1276" w:type="dxa"/>
            <w:shd w:val="clear" w:color="auto" w:fill="C4EFCE"/>
            <w:noWrap/>
            <w:tcMar>
              <w:left w:w="28" w:type="dxa"/>
              <w:right w:w="28" w:type="dxa"/>
            </w:tcMar>
            <w:vAlign w:val="center"/>
          </w:tcPr>
          <w:p w14:paraId="1F66CCD9" w14:textId="33FB096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RP-C21-i12</w:t>
            </w:r>
          </w:p>
        </w:tc>
        <w:tc>
          <w:tcPr>
            <w:tcW w:w="1134" w:type="dxa"/>
            <w:shd w:val="clear" w:color="auto" w:fill="C4EFCE"/>
            <w:noWrap/>
            <w:tcMar>
              <w:left w:w="28" w:type="dxa"/>
              <w:right w:w="28" w:type="dxa"/>
            </w:tcMar>
            <w:vAlign w:val="center"/>
          </w:tcPr>
          <w:p w14:paraId="45CD69E3" w14:textId="4103564A"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7464071F" w14:textId="2853508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Nákup nových autobusov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nulovými emisiami (elektrických alebo vodíkových) používaných vo verejnej doprave</w:t>
            </w:r>
          </w:p>
        </w:tc>
        <w:tc>
          <w:tcPr>
            <w:tcW w:w="1275" w:type="dxa"/>
            <w:shd w:val="clear" w:color="auto" w:fill="C4EFCE"/>
            <w:noWrap/>
            <w:tcMar>
              <w:left w:w="28" w:type="dxa"/>
              <w:right w:w="28" w:type="dxa"/>
            </w:tcMar>
          </w:tcPr>
          <w:p w14:paraId="3C72326A" w14:textId="2F037DC0"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93" w:type="dxa"/>
            <w:shd w:val="clear" w:color="auto" w:fill="C4EFCE"/>
            <w:noWrap/>
            <w:tcMar>
              <w:left w:w="28" w:type="dxa"/>
              <w:right w:w="28" w:type="dxa"/>
            </w:tcMar>
            <w:vAlign w:val="center"/>
          </w:tcPr>
          <w:p w14:paraId="0404D39E" w14:textId="33FBF6E8"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tcPr>
          <w:p w14:paraId="48371656" w14:textId="6BCE283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145</w:t>
            </w:r>
          </w:p>
        </w:tc>
        <w:tc>
          <w:tcPr>
            <w:tcW w:w="992" w:type="dxa"/>
            <w:shd w:val="clear" w:color="auto" w:fill="C4EFCE"/>
            <w:noWrap/>
            <w:tcMar>
              <w:left w:w="28" w:type="dxa"/>
              <w:right w:w="28" w:type="dxa"/>
            </w:tcMar>
            <w:vAlign w:val="center"/>
          </w:tcPr>
          <w:p w14:paraId="0460B517" w14:textId="5EEA6EB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445</w:t>
            </w:r>
          </w:p>
        </w:tc>
        <w:tc>
          <w:tcPr>
            <w:tcW w:w="771" w:type="dxa"/>
            <w:shd w:val="clear" w:color="auto" w:fill="C4EFCE"/>
            <w:noWrap/>
            <w:tcMar>
              <w:left w:w="28" w:type="dxa"/>
              <w:right w:w="28" w:type="dxa"/>
            </w:tcMar>
            <w:vAlign w:val="center"/>
          </w:tcPr>
          <w:p w14:paraId="0D0FF0A6" w14:textId="6F5E8C22"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378FDA1C" w14:textId="035B1EE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tcPr>
          <w:p w14:paraId="24AF3ACA" w14:textId="4E3AE1B5"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Zakúpi sa 300 nových autobusov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nulovými emisiami (elektrický alebo vodíkový)</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musia sa inštalovať súvisiace nabíjacie alebo čerpacie stanice.</w:t>
            </w:r>
          </w:p>
        </w:tc>
      </w:tr>
      <w:tr w:rsidR="00387C70" w:rsidRPr="003F23AC" w14:paraId="384ADCA7" w14:textId="77777777" w:rsidTr="00EC7FC8">
        <w:trPr>
          <w:trHeight w:val="430"/>
        </w:trPr>
        <w:tc>
          <w:tcPr>
            <w:tcW w:w="1135" w:type="dxa"/>
            <w:shd w:val="clear" w:color="auto" w:fill="C4EFCE"/>
            <w:tcMar>
              <w:left w:w="28" w:type="dxa"/>
              <w:right w:w="28" w:type="dxa"/>
            </w:tcMar>
            <w:vAlign w:val="center"/>
          </w:tcPr>
          <w:p w14:paraId="2962B7B9" w14:textId="4E1C3EE5"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21.37</w:t>
            </w:r>
          </w:p>
        </w:tc>
        <w:tc>
          <w:tcPr>
            <w:tcW w:w="1276" w:type="dxa"/>
            <w:shd w:val="clear" w:color="auto" w:fill="C4EFCE"/>
            <w:noWrap/>
            <w:tcMar>
              <w:left w:w="28" w:type="dxa"/>
              <w:right w:w="28" w:type="dxa"/>
            </w:tcMar>
            <w:vAlign w:val="center"/>
          </w:tcPr>
          <w:p w14:paraId="4B2F008F" w14:textId="40A48065"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RP-C21-i13-RAM</w:t>
            </w:r>
          </w:p>
        </w:tc>
        <w:tc>
          <w:tcPr>
            <w:tcW w:w="1134" w:type="dxa"/>
            <w:shd w:val="clear" w:color="auto" w:fill="C4EFCE"/>
            <w:noWrap/>
            <w:tcMar>
              <w:left w:w="28" w:type="dxa"/>
              <w:right w:w="28" w:type="dxa"/>
            </w:tcMar>
            <w:vAlign w:val="center"/>
          </w:tcPr>
          <w:p w14:paraId="65354B4F" w14:textId="2B63AEB8"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4896FBFA" w14:textId="081E233F"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Nákup nových autobusov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nulovými emisiami (elektrických alebo vodíkových) používaných vo verejnej doprave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turistických službách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nákup elektrických vozidiel nahrádzajúcich zošrotované vozidlá</w:t>
            </w:r>
          </w:p>
        </w:tc>
        <w:tc>
          <w:tcPr>
            <w:tcW w:w="1275" w:type="dxa"/>
            <w:shd w:val="clear" w:color="auto" w:fill="C4EFCE"/>
            <w:noWrap/>
            <w:tcMar>
              <w:left w:w="28" w:type="dxa"/>
              <w:right w:w="28" w:type="dxa"/>
            </w:tcMar>
            <w:vAlign w:val="center"/>
          </w:tcPr>
          <w:p w14:paraId="634D7D56"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2ECE2C14" w14:textId="6594762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tcPr>
          <w:p w14:paraId="367DBAF5" w14:textId="0B86A6A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92" w:type="dxa"/>
            <w:shd w:val="clear" w:color="auto" w:fill="C4EFCE"/>
            <w:noWrap/>
            <w:tcMar>
              <w:left w:w="28" w:type="dxa"/>
              <w:right w:w="28" w:type="dxa"/>
            </w:tcMar>
            <w:vAlign w:val="center"/>
          </w:tcPr>
          <w:p w14:paraId="107A0B9E" w14:textId="7CEAB357"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576</w:t>
            </w:r>
          </w:p>
        </w:tc>
        <w:tc>
          <w:tcPr>
            <w:tcW w:w="771" w:type="dxa"/>
            <w:shd w:val="clear" w:color="auto" w:fill="C4EFCE"/>
            <w:noWrap/>
            <w:tcMar>
              <w:left w:w="28" w:type="dxa"/>
              <w:right w:w="28" w:type="dxa"/>
            </w:tcMar>
            <w:vAlign w:val="center"/>
          </w:tcPr>
          <w:p w14:paraId="351C723C" w14:textId="46E759DD"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04" w:type="dxa"/>
            <w:shd w:val="clear" w:color="auto" w:fill="C4EFCE"/>
            <w:noWrap/>
            <w:tcMar>
              <w:left w:w="28" w:type="dxa"/>
              <w:right w:w="28" w:type="dxa"/>
            </w:tcMar>
            <w:vAlign w:val="center"/>
          </w:tcPr>
          <w:p w14:paraId="1F57265D" w14:textId="1B91BDB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tcPr>
          <w:p w14:paraId="09AD6591" w14:textId="77299A06" w:rsidR="00A75B3C" w:rsidRPr="003F23AC" w:rsidRDefault="000F5AA4" w:rsidP="003F23AC">
            <w:pPr>
              <w:pStyle w:val="P68B1DB1-Normal12"/>
              <w:spacing w:after="0" w:line="240" w:lineRule="auto"/>
              <w:jc w:val="both"/>
              <w:rPr>
                <w:rFonts w:ascii="Times New Roman" w:hAnsi="Times New Roman" w:cs="Times New Roman"/>
                <w:noProof/>
                <w:lang w:val="sk-SK"/>
              </w:rPr>
            </w:pPr>
            <w:r w:rsidRPr="003F23AC">
              <w:rPr>
                <w:rFonts w:ascii="Times New Roman" w:hAnsi="Times New Roman" w:cs="Times New Roman"/>
                <w:noProof/>
                <w:lang w:val="sk-SK"/>
              </w:rPr>
              <w:t>Zakúpi sa 26 nových autobusov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nulovými emisiami (elektrické alebo vodíkové)</w:t>
            </w:r>
            <w:r w:rsidR="00A75B3C" w:rsidRPr="003F23AC">
              <w:rPr>
                <w:rFonts w:ascii="Times New Roman" w:hAnsi="Times New Roman" w:cs="Times New Roman"/>
                <w:noProof/>
                <w:lang w:val="sk-SK"/>
              </w:rPr>
              <w:t xml:space="preserve"> a v </w:t>
            </w:r>
            <w:r w:rsidRPr="003F23AC">
              <w:rPr>
                <w:rFonts w:ascii="Times New Roman" w:hAnsi="Times New Roman" w:cs="Times New Roman"/>
                <w:noProof/>
                <w:lang w:val="sk-SK"/>
              </w:rPr>
              <w:t>autonómnej oblasti Madeira sa inštalujú relatívne nabíjacie body. Najmenej 10 zakúpených autobusov sa použije na verejnú osobnú dopravu</w:t>
            </w:r>
            <w:r w:rsidR="00A75B3C" w:rsidRPr="003F23AC">
              <w:rPr>
                <w:rFonts w:ascii="Times New Roman" w:hAnsi="Times New Roman" w:cs="Times New Roman"/>
                <w:noProof/>
                <w:lang w:val="sk-SK"/>
              </w:rPr>
              <w:t>.</w:t>
            </w:r>
          </w:p>
          <w:p w14:paraId="2D49F8EB" w14:textId="4221119C" w:rsidR="00387C70" w:rsidRPr="003F23AC" w:rsidRDefault="00387C70" w:rsidP="003F23AC">
            <w:pPr>
              <w:spacing w:after="0" w:line="240" w:lineRule="auto"/>
              <w:jc w:val="both"/>
              <w:rPr>
                <w:rFonts w:ascii="Times New Roman" w:hAnsi="Times New Roman" w:cs="Times New Roman"/>
                <w:noProof/>
                <w:sz w:val="16"/>
                <w:lang w:val="sk-SK"/>
              </w:rPr>
            </w:pPr>
          </w:p>
          <w:p w14:paraId="6D678AF5" w14:textId="2B4BFD7D"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550 vozidiel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autonómnej oblasti Madeira zošrotuje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nahradí elektrickými vozidlami.</w:t>
            </w:r>
          </w:p>
        </w:tc>
      </w:tr>
      <w:tr w:rsidR="00387C70" w:rsidRPr="003F23AC" w14:paraId="7128FD55" w14:textId="77777777" w:rsidTr="00EC7FC8">
        <w:trPr>
          <w:trHeight w:val="430"/>
        </w:trPr>
        <w:tc>
          <w:tcPr>
            <w:tcW w:w="1135" w:type="dxa"/>
            <w:shd w:val="clear" w:color="auto" w:fill="C4EFCE"/>
            <w:tcMar>
              <w:left w:w="28" w:type="dxa"/>
              <w:right w:w="28" w:type="dxa"/>
            </w:tcMar>
            <w:vAlign w:val="center"/>
          </w:tcPr>
          <w:p w14:paraId="3D47AF57" w14:textId="7724070C"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21.38</w:t>
            </w:r>
          </w:p>
        </w:tc>
        <w:tc>
          <w:tcPr>
            <w:tcW w:w="1276" w:type="dxa"/>
            <w:shd w:val="clear" w:color="auto" w:fill="C4EFCE"/>
            <w:noWrap/>
            <w:tcMar>
              <w:left w:w="28" w:type="dxa"/>
              <w:right w:w="28" w:type="dxa"/>
            </w:tcMar>
            <w:vAlign w:val="center"/>
          </w:tcPr>
          <w:p w14:paraId="021E606B" w14:textId="01DE839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RP-C21-i14</w:t>
            </w:r>
          </w:p>
        </w:tc>
        <w:tc>
          <w:tcPr>
            <w:tcW w:w="1134" w:type="dxa"/>
            <w:shd w:val="clear" w:color="auto" w:fill="C4EFCE"/>
            <w:noWrap/>
            <w:tcMar>
              <w:left w:w="28" w:type="dxa"/>
              <w:right w:w="28" w:type="dxa"/>
            </w:tcMar>
            <w:vAlign w:val="center"/>
          </w:tcPr>
          <w:p w14:paraId="6265AB1B" w14:textId="2A28406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71621A87" w14:textId="46AE5EE8"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výstavbe dvoch liniek rýchleho tranzitu Bus</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Brage</w:t>
            </w:r>
          </w:p>
        </w:tc>
        <w:tc>
          <w:tcPr>
            <w:tcW w:w="1275" w:type="dxa"/>
            <w:shd w:val="clear" w:color="auto" w:fill="C4EFCE"/>
            <w:noWrap/>
            <w:tcMar>
              <w:left w:w="28" w:type="dxa"/>
              <w:right w:w="28" w:type="dxa"/>
            </w:tcMar>
            <w:vAlign w:val="center"/>
          </w:tcPr>
          <w:p w14:paraId="5BA09737"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3AD601A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3F0A5A5B"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0B39241D"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2A2B11DA" w14:textId="214DD996"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04" w:type="dxa"/>
            <w:shd w:val="clear" w:color="auto" w:fill="C4EFCE"/>
            <w:noWrap/>
            <w:tcMar>
              <w:left w:w="28" w:type="dxa"/>
              <w:right w:w="28" w:type="dxa"/>
            </w:tcMar>
            <w:vAlign w:val="center"/>
          </w:tcPr>
          <w:p w14:paraId="51589D34" w14:textId="129F25A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tcPr>
          <w:p w14:paraId="4F93B8E5" w14:textId="030EBA19"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realizácii projektu medzi verejnými orgánmi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dodávateľom vybraným prostredníctvom otvoreného výberového konania.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zmluve sa uvedie výstavba dvoch rýchlych tranzitných tratí Bus spájajúcich vlakovú stanicu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nemocnicou Avenida Robert Smith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Braga.</w:t>
            </w:r>
          </w:p>
        </w:tc>
      </w:tr>
      <w:tr w:rsidR="00387C70" w:rsidRPr="003F23AC" w14:paraId="1EF25195" w14:textId="77777777" w:rsidTr="00EC7FC8">
        <w:trPr>
          <w:trHeight w:val="430"/>
        </w:trPr>
        <w:tc>
          <w:tcPr>
            <w:tcW w:w="1135" w:type="dxa"/>
            <w:shd w:val="clear" w:color="auto" w:fill="C4EFCE"/>
            <w:tcMar>
              <w:left w:w="28" w:type="dxa"/>
              <w:right w:w="28" w:type="dxa"/>
            </w:tcMar>
            <w:vAlign w:val="center"/>
          </w:tcPr>
          <w:p w14:paraId="360DF924" w14:textId="1F7490F1"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21.39</w:t>
            </w:r>
          </w:p>
        </w:tc>
        <w:tc>
          <w:tcPr>
            <w:tcW w:w="1276" w:type="dxa"/>
            <w:shd w:val="clear" w:color="auto" w:fill="C4EFCE"/>
            <w:noWrap/>
            <w:tcMar>
              <w:left w:w="28" w:type="dxa"/>
              <w:right w:w="28" w:type="dxa"/>
            </w:tcMar>
            <w:vAlign w:val="center"/>
          </w:tcPr>
          <w:p w14:paraId="511BB843" w14:textId="506A72E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RP-C21-i14</w:t>
            </w:r>
          </w:p>
        </w:tc>
        <w:tc>
          <w:tcPr>
            <w:tcW w:w="1134" w:type="dxa"/>
            <w:shd w:val="clear" w:color="auto" w:fill="C4EFCE"/>
            <w:noWrap/>
            <w:tcMar>
              <w:left w:w="28" w:type="dxa"/>
              <w:right w:w="28" w:type="dxa"/>
            </w:tcMar>
            <w:vAlign w:val="center"/>
          </w:tcPr>
          <w:p w14:paraId="2F78C88B" w14:textId="006A851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47B24D0B" w14:textId="6AF155F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Výstavba dvoch liniek rýchlej prepravy autobusmi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Brage</w:t>
            </w:r>
          </w:p>
        </w:tc>
        <w:tc>
          <w:tcPr>
            <w:tcW w:w="1275" w:type="dxa"/>
            <w:shd w:val="clear" w:color="auto" w:fill="C4EFCE"/>
            <w:noWrap/>
            <w:tcMar>
              <w:left w:w="28" w:type="dxa"/>
              <w:right w:w="28" w:type="dxa"/>
            </w:tcMar>
            <w:vAlign w:val="center"/>
          </w:tcPr>
          <w:p w14:paraId="1E4282F4"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78A689F4" w14:textId="16AF760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Km</w:t>
            </w:r>
          </w:p>
        </w:tc>
        <w:tc>
          <w:tcPr>
            <w:tcW w:w="992" w:type="dxa"/>
            <w:shd w:val="clear" w:color="auto" w:fill="C4EFCE"/>
            <w:noWrap/>
            <w:tcMar>
              <w:left w:w="28" w:type="dxa"/>
              <w:right w:w="28" w:type="dxa"/>
            </w:tcMar>
            <w:vAlign w:val="center"/>
          </w:tcPr>
          <w:p w14:paraId="28074223"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39811327" w14:textId="644FF31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12.2</w:t>
            </w:r>
          </w:p>
        </w:tc>
        <w:tc>
          <w:tcPr>
            <w:tcW w:w="771" w:type="dxa"/>
            <w:shd w:val="clear" w:color="auto" w:fill="C4EFCE"/>
            <w:noWrap/>
            <w:tcMar>
              <w:left w:w="28" w:type="dxa"/>
              <w:right w:w="28" w:type="dxa"/>
            </w:tcMar>
            <w:vAlign w:val="center"/>
          </w:tcPr>
          <w:p w14:paraId="27C8A23A" w14:textId="53471879"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 štvrťrok</w:t>
            </w:r>
          </w:p>
        </w:tc>
        <w:tc>
          <w:tcPr>
            <w:tcW w:w="504" w:type="dxa"/>
            <w:shd w:val="clear" w:color="auto" w:fill="C4EFCE"/>
            <w:noWrap/>
            <w:tcMar>
              <w:left w:w="28" w:type="dxa"/>
              <w:right w:w="28" w:type="dxa"/>
            </w:tcMar>
            <w:vAlign w:val="center"/>
          </w:tcPr>
          <w:p w14:paraId="5704437E" w14:textId="000EFE9D"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tcPr>
          <w:p w14:paraId="599E09FF" w14:textId="1D710683"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Stavebné práce na dĺžke 12,2 km sa musia dokončiť na tratiach rýchleho tranzitu Bus</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Brage (žltá</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červená trať), ktoré spájajú vlakovú stanicu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nemocnicou Avenida Robert Smith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Braga. Systém musí fungovať najmä</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vyhradených jazdných pruhoch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len</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autobusmi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nulovými emisiami. Investícia zahŕňa aj nákup desiatich autobusov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nulovými emisiami vrátane nabíjacích staníc potrebných na prevádzku vedení. Trate musia byť pripravené na okamžitú prevádzku plánovaných dopravných služieb.</w:t>
            </w:r>
          </w:p>
        </w:tc>
      </w:tr>
      <w:tr w:rsidR="00387C70" w:rsidRPr="003F23AC" w14:paraId="39E29B98" w14:textId="77777777" w:rsidTr="00EC7FC8">
        <w:trPr>
          <w:trHeight w:val="430"/>
        </w:trPr>
        <w:tc>
          <w:tcPr>
            <w:tcW w:w="1135" w:type="dxa"/>
            <w:shd w:val="clear" w:color="auto" w:fill="C4EFCE"/>
            <w:tcMar>
              <w:left w:w="28" w:type="dxa"/>
              <w:right w:w="28" w:type="dxa"/>
            </w:tcMar>
            <w:vAlign w:val="center"/>
          </w:tcPr>
          <w:p w14:paraId="1E15D547" w14:textId="16041CD9"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21.40</w:t>
            </w:r>
          </w:p>
        </w:tc>
        <w:tc>
          <w:tcPr>
            <w:tcW w:w="1276" w:type="dxa"/>
            <w:shd w:val="clear" w:color="auto" w:fill="C4EFCE"/>
            <w:noWrap/>
            <w:tcMar>
              <w:left w:w="28" w:type="dxa"/>
              <w:right w:w="28" w:type="dxa"/>
            </w:tcMar>
            <w:vAlign w:val="center"/>
          </w:tcPr>
          <w:p w14:paraId="46A3C78E" w14:textId="1EC79D6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RP-C21-i15-RAA</w:t>
            </w:r>
          </w:p>
        </w:tc>
        <w:tc>
          <w:tcPr>
            <w:tcW w:w="1134" w:type="dxa"/>
            <w:shd w:val="clear" w:color="auto" w:fill="C4EFCE"/>
            <w:noWrap/>
            <w:tcMar>
              <w:left w:w="28" w:type="dxa"/>
              <w:right w:w="28" w:type="dxa"/>
            </w:tcMar>
            <w:vAlign w:val="center"/>
          </w:tcPr>
          <w:p w14:paraId="142B665C" w14:textId="29FC497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60028DBE" w14:textId="07F4EE7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kúpe dvoch elektrických trajektov na prepravu cestujúcich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vozidiel medzi ostrovmi Pico, Faial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São Jorge</w:t>
            </w:r>
          </w:p>
        </w:tc>
        <w:tc>
          <w:tcPr>
            <w:tcW w:w="1275" w:type="dxa"/>
            <w:shd w:val="clear" w:color="auto" w:fill="C4EFCE"/>
            <w:noWrap/>
            <w:tcMar>
              <w:left w:w="28" w:type="dxa"/>
              <w:right w:w="28" w:type="dxa"/>
            </w:tcMar>
          </w:tcPr>
          <w:p w14:paraId="5D04A650"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3" w:type="dxa"/>
            <w:shd w:val="clear" w:color="auto" w:fill="C4EFCE"/>
            <w:noWrap/>
            <w:tcMar>
              <w:left w:w="28" w:type="dxa"/>
              <w:right w:w="28" w:type="dxa"/>
            </w:tcMar>
            <w:vAlign w:val="center"/>
          </w:tcPr>
          <w:p w14:paraId="166D214F"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73A389CB"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63EA367E"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2B396275" w14:textId="2D4D7208"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04" w:type="dxa"/>
            <w:shd w:val="clear" w:color="auto" w:fill="C4EFCE"/>
            <w:noWrap/>
            <w:tcMar>
              <w:left w:w="28" w:type="dxa"/>
              <w:right w:w="28" w:type="dxa"/>
            </w:tcMar>
            <w:vAlign w:val="center"/>
          </w:tcPr>
          <w:p w14:paraId="5382DE72" w14:textId="0911A6D2"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tcPr>
          <w:p w14:paraId="5E9CA13D" w14:textId="44E2F313"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 medzi verejnými orgánmi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dodávateľom vybraným prostredníctvom verejnej súťaže na nákup dvoch elektrických trajektov na prepravu cestujúcich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vozidiel medzi ostrovmi Pico, Faial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São Jorge.</w:t>
            </w:r>
          </w:p>
        </w:tc>
      </w:tr>
      <w:tr w:rsidR="00387C70" w:rsidRPr="003F23AC" w14:paraId="532849A0" w14:textId="77777777" w:rsidTr="00EC7FC8">
        <w:trPr>
          <w:trHeight w:val="430"/>
        </w:trPr>
        <w:tc>
          <w:tcPr>
            <w:tcW w:w="1135" w:type="dxa"/>
            <w:shd w:val="clear" w:color="auto" w:fill="C4EFCE"/>
            <w:tcMar>
              <w:left w:w="28" w:type="dxa"/>
              <w:right w:w="28" w:type="dxa"/>
            </w:tcMar>
            <w:vAlign w:val="center"/>
          </w:tcPr>
          <w:p w14:paraId="55C6CC28" w14:textId="1C4AEDF6"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21.41</w:t>
            </w:r>
          </w:p>
        </w:tc>
        <w:tc>
          <w:tcPr>
            <w:tcW w:w="1276" w:type="dxa"/>
            <w:shd w:val="clear" w:color="auto" w:fill="C4EFCE"/>
            <w:noWrap/>
            <w:tcMar>
              <w:left w:w="28" w:type="dxa"/>
              <w:right w:w="28" w:type="dxa"/>
            </w:tcMar>
            <w:vAlign w:val="center"/>
          </w:tcPr>
          <w:p w14:paraId="4692FE69" w14:textId="6AED745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RP-C21-i15-RAA</w:t>
            </w:r>
          </w:p>
        </w:tc>
        <w:tc>
          <w:tcPr>
            <w:tcW w:w="1134" w:type="dxa"/>
            <w:shd w:val="clear" w:color="auto" w:fill="C4EFCE"/>
            <w:noWrap/>
            <w:tcMar>
              <w:left w:w="28" w:type="dxa"/>
              <w:right w:w="28" w:type="dxa"/>
            </w:tcMar>
            <w:vAlign w:val="center"/>
          </w:tcPr>
          <w:p w14:paraId="1036E0DB" w14:textId="709E2784"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245CFBD1" w14:textId="6135298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Uvedenie dvoch nových elektrických trajektov do prevádzky</w:t>
            </w:r>
          </w:p>
        </w:tc>
        <w:tc>
          <w:tcPr>
            <w:tcW w:w="1275" w:type="dxa"/>
            <w:shd w:val="clear" w:color="auto" w:fill="C4EFCE"/>
            <w:noWrap/>
            <w:tcMar>
              <w:left w:w="28" w:type="dxa"/>
              <w:right w:w="28" w:type="dxa"/>
            </w:tcMar>
          </w:tcPr>
          <w:p w14:paraId="1E3534A1" w14:textId="4F88212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 </w:t>
            </w:r>
          </w:p>
        </w:tc>
        <w:tc>
          <w:tcPr>
            <w:tcW w:w="993" w:type="dxa"/>
            <w:shd w:val="clear" w:color="auto" w:fill="C4EFCE"/>
            <w:noWrap/>
            <w:tcMar>
              <w:left w:w="28" w:type="dxa"/>
              <w:right w:w="28" w:type="dxa"/>
            </w:tcMar>
            <w:vAlign w:val="center"/>
          </w:tcPr>
          <w:p w14:paraId="7A30C4B3" w14:textId="346D871A"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Počet</w:t>
            </w:r>
          </w:p>
        </w:tc>
        <w:tc>
          <w:tcPr>
            <w:tcW w:w="992" w:type="dxa"/>
            <w:shd w:val="clear" w:color="auto" w:fill="C4EFCE"/>
            <w:noWrap/>
            <w:tcMar>
              <w:left w:w="28" w:type="dxa"/>
              <w:right w:w="28" w:type="dxa"/>
            </w:tcMar>
            <w:vAlign w:val="center"/>
          </w:tcPr>
          <w:p w14:paraId="3BF6FA6B"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0CF1AA39" w14:textId="68E4BC6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w:t>
            </w:r>
          </w:p>
        </w:tc>
        <w:tc>
          <w:tcPr>
            <w:tcW w:w="771" w:type="dxa"/>
            <w:shd w:val="clear" w:color="auto" w:fill="C4EFCE"/>
            <w:noWrap/>
            <w:tcMar>
              <w:left w:w="28" w:type="dxa"/>
              <w:right w:w="28" w:type="dxa"/>
            </w:tcMar>
            <w:vAlign w:val="center"/>
          </w:tcPr>
          <w:p w14:paraId="2E1C0DE5" w14:textId="579DDF85"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4. štvrťrok</w:t>
            </w:r>
          </w:p>
        </w:tc>
        <w:tc>
          <w:tcPr>
            <w:tcW w:w="504" w:type="dxa"/>
            <w:shd w:val="clear" w:color="auto" w:fill="C4EFCE"/>
            <w:noWrap/>
            <w:tcMar>
              <w:left w:w="28" w:type="dxa"/>
              <w:right w:w="28" w:type="dxa"/>
            </w:tcMar>
            <w:vAlign w:val="center"/>
          </w:tcPr>
          <w:p w14:paraId="054DE515" w14:textId="4363BF6B"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2025</w:t>
            </w:r>
          </w:p>
        </w:tc>
        <w:tc>
          <w:tcPr>
            <w:tcW w:w="3969" w:type="dxa"/>
            <w:shd w:val="clear" w:color="auto" w:fill="C4EFCE"/>
            <w:tcMar>
              <w:left w:w="28" w:type="dxa"/>
              <w:right w:w="28" w:type="dxa"/>
            </w:tcMar>
            <w:vAlign w:val="center"/>
          </w:tcPr>
          <w:p w14:paraId="185A16C5" w14:textId="0B7191A5"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Zakúpia sa dve nové elektrické trajekty, ktoré budú funkčné na prepravu cestujúcich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vozidiel medzi ostrovmi Pico, Faial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São Jorge. Prevozné lode majú minimálnu kapacitu 200</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100 cestujúcich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uvedenom poradí.</w:t>
            </w:r>
          </w:p>
        </w:tc>
      </w:tr>
      <w:tr w:rsidR="00387C70" w:rsidRPr="003F23AC" w14:paraId="1DF1176B" w14:textId="77777777" w:rsidTr="00EC7FC8">
        <w:trPr>
          <w:trHeight w:val="430"/>
        </w:trPr>
        <w:tc>
          <w:tcPr>
            <w:tcW w:w="1135" w:type="dxa"/>
            <w:shd w:val="clear" w:color="auto" w:fill="C4EFCE"/>
            <w:tcMar>
              <w:left w:w="28" w:type="dxa"/>
              <w:right w:w="28" w:type="dxa"/>
            </w:tcMar>
            <w:vAlign w:val="center"/>
          </w:tcPr>
          <w:p w14:paraId="3EF0FD70" w14:textId="48FA3140"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21.42</w:t>
            </w:r>
          </w:p>
        </w:tc>
        <w:tc>
          <w:tcPr>
            <w:tcW w:w="1276" w:type="dxa"/>
            <w:shd w:val="clear" w:color="auto" w:fill="C4EFCE"/>
            <w:noWrap/>
            <w:tcMar>
              <w:left w:w="28" w:type="dxa"/>
              <w:right w:w="28" w:type="dxa"/>
            </w:tcMar>
            <w:vAlign w:val="center"/>
          </w:tcPr>
          <w:p w14:paraId="3E37980A" w14:textId="32943EB6"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 – i16</w:t>
            </w:r>
          </w:p>
        </w:tc>
        <w:tc>
          <w:tcPr>
            <w:tcW w:w="1134" w:type="dxa"/>
            <w:shd w:val="clear" w:color="auto" w:fill="C4EFCE"/>
            <w:noWrap/>
            <w:tcMar>
              <w:left w:w="28" w:type="dxa"/>
              <w:right w:w="28" w:type="dxa"/>
            </w:tcMar>
            <w:vAlign w:val="center"/>
          </w:tcPr>
          <w:p w14:paraId="75D0961D" w14:textId="5C584069"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701" w:type="dxa"/>
            <w:shd w:val="clear" w:color="auto" w:fill="C4EFCE"/>
            <w:noWrap/>
            <w:tcMar>
              <w:left w:w="28" w:type="dxa"/>
              <w:right w:w="28" w:type="dxa"/>
            </w:tcMar>
            <w:vAlign w:val="center"/>
          </w:tcPr>
          <w:p w14:paraId="5E1BD89C" w14:textId="4B846964"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realizácii projektu</w:t>
            </w:r>
          </w:p>
        </w:tc>
        <w:tc>
          <w:tcPr>
            <w:tcW w:w="1275" w:type="dxa"/>
            <w:shd w:val="clear" w:color="auto" w:fill="C4EFCE"/>
            <w:noWrap/>
            <w:tcMar>
              <w:left w:w="28" w:type="dxa"/>
              <w:right w:w="28" w:type="dxa"/>
            </w:tcMar>
            <w:vAlign w:val="center"/>
          </w:tcPr>
          <w:p w14:paraId="6D51BF19" w14:textId="1E92AFD0"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Podpis zmluvy</w:t>
            </w:r>
          </w:p>
        </w:tc>
        <w:tc>
          <w:tcPr>
            <w:tcW w:w="993" w:type="dxa"/>
            <w:shd w:val="clear" w:color="auto" w:fill="C4EFCE"/>
            <w:noWrap/>
            <w:tcMar>
              <w:left w:w="28" w:type="dxa"/>
              <w:right w:w="28" w:type="dxa"/>
            </w:tcMar>
            <w:vAlign w:val="center"/>
          </w:tcPr>
          <w:p w14:paraId="741D078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18B6EA83"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3C4F720A"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4ED6CA4A" w14:textId="3785840C"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04" w:type="dxa"/>
            <w:shd w:val="clear" w:color="auto" w:fill="C4EFCE"/>
            <w:noWrap/>
            <w:tcMar>
              <w:left w:w="28" w:type="dxa"/>
              <w:right w:w="28" w:type="dxa"/>
            </w:tcMar>
            <w:vAlign w:val="center"/>
          </w:tcPr>
          <w:p w14:paraId="211B5EDD" w14:textId="5AF255BE"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2024</w:t>
            </w:r>
          </w:p>
        </w:tc>
        <w:tc>
          <w:tcPr>
            <w:tcW w:w="3969" w:type="dxa"/>
            <w:shd w:val="clear" w:color="auto" w:fill="C4EFCE"/>
            <w:tcMar>
              <w:left w:w="28" w:type="dxa"/>
              <w:right w:w="28" w:type="dxa"/>
            </w:tcMar>
            <w:vAlign w:val="center"/>
          </w:tcPr>
          <w:p w14:paraId="3212FFEE" w14:textId="09352B62" w:rsidR="00387C70" w:rsidRPr="003F23AC" w:rsidRDefault="000F5AA4"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realizácii projektu medzi verejnými orgánmi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dodávateľom vybraným prostredníctvom medzinárodného otvoreného výberového konania.</w:t>
            </w:r>
          </w:p>
        </w:tc>
      </w:tr>
      <w:tr w:rsidR="00387C70" w:rsidRPr="003F23AC" w14:paraId="529C25C3" w14:textId="77777777" w:rsidTr="00EC7FC8">
        <w:trPr>
          <w:trHeight w:val="430"/>
        </w:trPr>
        <w:tc>
          <w:tcPr>
            <w:tcW w:w="1135" w:type="dxa"/>
            <w:shd w:val="clear" w:color="auto" w:fill="C4EFCE"/>
            <w:tcMar>
              <w:left w:w="28" w:type="dxa"/>
              <w:right w:w="28" w:type="dxa"/>
            </w:tcMar>
            <w:vAlign w:val="center"/>
          </w:tcPr>
          <w:p w14:paraId="2ADCAD91" w14:textId="62A09313" w:rsidR="00387C70" w:rsidRPr="003F23AC" w:rsidRDefault="000F5AA4" w:rsidP="003F23AC">
            <w:pPr>
              <w:pStyle w:val="P68B1DB1-Normal11"/>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21.43</w:t>
            </w:r>
          </w:p>
        </w:tc>
        <w:tc>
          <w:tcPr>
            <w:tcW w:w="1276" w:type="dxa"/>
            <w:shd w:val="clear" w:color="auto" w:fill="C4EFCE"/>
            <w:noWrap/>
            <w:tcMar>
              <w:left w:w="28" w:type="dxa"/>
              <w:right w:w="28" w:type="dxa"/>
            </w:tcMar>
            <w:vAlign w:val="center"/>
          </w:tcPr>
          <w:p w14:paraId="6EFB5CCE" w14:textId="7C36AC8C"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RP-C21 – i16</w:t>
            </w:r>
          </w:p>
        </w:tc>
        <w:tc>
          <w:tcPr>
            <w:tcW w:w="1134" w:type="dxa"/>
            <w:shd w:val="clear" w:color="auto" w:fill="C4EFCE"/>
            <w:noWrap/>
            <w:tcMar>
              <w:left w:w="28" w:type="dxa"/>
              <w:right w:w="28" w:type="dxa"/>
            </w:tcMar>
            <w:vAlign w:val="center"/>
          </w:tcPr>
          <w:p w14:paraId="3C242F77" w14:textId="18811B4A" w:rsidR="00387C70" w:rsidRPr="003F23AC" w:rsidRDefault="00C32C63"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C</w:t>
            </w:r>
          </w:p>
        </w:tc>
        <w:tc>
          <w:tcPr>
            <w:tcW w:w="1701" w:type="dxa"/>
            <w:shd w:val="clear" w:color="auto" w:fill="C4EFCE"/>
            <w:noWrap/>
            <w:tcMar>
              <w:left w:w="28" w:type="dxa"/>
              <w:right w:w="28" w:type="dxa"/>
            </w:tcMar>
            <w:vAlign w:val="center"/>
          </w:tcPr>
          <w:p w14:paraId="533DBFF8" w14:textId="25708E5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Konštrukcia </w:t>
            </w:r>
            <w:r w:rsidR="00F218FC" w:rsidRPr="003F23AC">
              <w:rPr>
                <w:rFonts w:ascii="Times New Roman" w:hAnsi="Times New Roman" w:cs="Times New Roman"/>
                <w:noProof/>
                <w:lang w:val="sk-SK"/>
              </w:rPr>
              <w:t>lanovky</w:t>
            </w:r>
          </w:p>
        </w:tc>
        <w:tc>
          <w:tcPr>
            <w:tcW w:w="1275" w:type="dxa"/>
            <w:shd w:val="clear" w:color="auto" w:fill="C4EFCE"/>
            <w:noWrap/>
            <w:tcMar>
              <w:left w:w="28" w:type="dxa"/>
              <w:right w:w="28" w:type="dxa"/>
            </w:tcMar>
            <w:vAlign w:val="center"/>
          </w:tcPr>
          <w:p w14:paraId="02FA81D6" w14:textId="764DECD3"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Uvedenie do prevádzky</w:t>
            </w:r>
          </w:p>
        </w:tc>
        <w:tc>
          <w:tcPr>
            <w:tcW w:w="993" w:type="dxa"/>
            <w:shd w:val="clear" w:color="auto" w:fill="C4EFCE"/>
            <w:noWrap/>
            <w:tcMar>
              <w:left w:w="28" w:type="dxa"/>
              <w:right w:w="28" w:type="dxa"/>
            </w:tcMar>
            <w:vAlign w:val="center"/>
          </w:tcPr>
          <w:p w14:paraId="5F53A21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267D5047"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92" w:type="dxa"/>
            <w:shd w:val="clear" w:color="auto" w:fill="C4EFCE"/>
            <w:noWrap/>
            <w:tcMar>
              <w:left w:w="28" w:type="dxa"/>
              <w:right w:w="28" w:type="dxa"/>
            </w:tcMar>
            <w:vAlign w:val="center"/>
          </w:tcPr>
          <w:p w14:paraId="307D8611"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1" w:type="dxa"/>
            <w:shd w:val="clear" w:color="auto" w:fill="C4EFCE"/>
            <w:noWrap/>
            <w:tcMar>
              <w:left w:w="28" w:type="dxa"/>
              <w:right w:w="28" w:type="dxa"/>
            </w:tcMar>
            <w:vAlign w:val="center"/>
          </w:tcPr>
          <w:p w14:paraId="5A8CFE96" w14:textId="4ED113EA" w:rsidR="00387C70" w:rsidRPr="003F23AC" w:rsidRDefault="00FF0A91"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1. štvrťrok</w:t>
            </w:r>
          </w:p>
        </w:tc>
        <w:tc>
          <w:tcPr>
            <w:tcW w:w="504" w:type="dxa"/>
            <w:shd w:val="clear" w:color="auto" w:fill="C4EFCE"/>
            <w:noWrap/>
            <w:tcMar>
              <w:left w:w="28" w:type="dxa"/>
              <w:right w:w="28" w:type="dxa"/>
            </w:tcMar>
            <w:vAlign w:val="center"/>
          </w:tcPr>
          <w:p w14:paraId="6E0F941C" w14:textId="1527F901" w:rsidR="00387C70" w:rsidRPr="003F23AC" w:rsidRDefault="000F5AA4" w:rsidP="003F23AC">
            <w:pPr>
              <w:pStyle w:val="P68B1DB1-Normal12"/>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2026</w:t>
            </w:r>
          </w:p>
        </w:tc>
        <w:tc>
          <w:tcPr>
            <w:tcW w:w="3969" w:type="dxa"/>
            <w:shd w:val="clear" w:color="auto" w:fill="C4EFCE"/>
            <w:tcMar>
              <w:left w:w="28" w:type="dxa"/>
              <w:right w:w="28" w:type="dxa"/>
            </w:tcMar>
            <w:vAlign w:val="center"/>
          </w:tcPr>
          <w:p w14:paraId="66B1EB48" w14:textId="502A8A5D" w:rsidR="00387C70" w:rsidRPr="003F23AC" w:rsidRDefault="00F218FC" w:rsidP="003F23AC">
            <w:pPr>
              <w:pStyle w:val="P68B1DB1-Normal12"/>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Riešenie </w:t>
            </w:r>
            <w:r w:rsidR="000F5AA4" w:rsidRPr="003F23AC">
              <w:rPr>
                <w:rFonts w:ascii="Times New Roman" w:hAnsi="Times New Roman" w:cs="Times New Roman"/>
                <w:noProof/>
                <w:lang w:val="sk-SK"/>
              </w:rPr>
              <w:t>mechanickej prepravy (</w:t>
            </w:r>
            <w:r w:rsidRPr="003F23AC">
              <w:rPr>
                <w:rFonts w:ascii="Times New Roman" w:hAnsi="Times New Roman" w:cs="Times New Roman"/>
                <w:noProof/>
                <w:lang w:val="sk-SK"/>
              </w:rPr>
              <w:t>lanovka</w:t>
            </w:r>
            <w:r w:rsidR="000F5AA4" w:rsidRPr="003F23AC">
              <w:rPr>
                <w:rFonts w:ascii="Times New Roman" w:hAnsi="Times New Roman" w:cs="Times New Roman"/>
                <w:noProof/>
                <w:lang w:val="sk-SK"/>
              </w:rPr>
              <w:t>)</w:t>
            </w:r>
            <w:r w:rsidR="00A75B3C" w:rsidRPr="003F23AC">
              <w:rPr>
                <w:rFonts w:ascii="Times New Roman" w:hAnsi="Times New Roman" w:cs="Times New Roman"/>
                <w:noProof/>
                <w:lang w:val="sk-SK"/>
              </w:rPr>
              <w:t xml:space="preserve"> s </w:t>
            </w:r>
            <w:r w:rsidR="000F5AA4" w:rsidRPr="003F23AC">
              <w:rPr>
                <w:rFonts w:ascii="Times New Roman" w:hAnsi="Times New Roman" w:cs="Times New Roman"/>
                <w:noProof/>
                <w:lang w:val="sk-SK"/>
              </w:rPr>
              <w:t>dĺžkou približne 200 metrov musí byť pripravený na okamžitú prevádzku, ktorý spojí oblasť Pedreneira</w:t>
            </w:r>
            <w:r w:rsidR="00A75B3C" w:rsidRPr="003F23AC">
              <w:rPr>
                <w:rFonts w:ascii="Times New Roman" w:hAnsi="Times New Roman" w:cs="Times New Roman"/>
                <w:noProof/>
                <w:lang w:val="sk-SK"/>
              </w:rPr>
              <w:t xml:space="preserve"> s </w:t>
            </w:r>
            <w:r w:rsidR="000F5AA4" w:rsidRPr="003F23AC">
              <w:rPr>
                <w:rFonts w:ascii="Times New Roman" w:hAnsi="Times New Roman" w:cs="Times New Roman"/>
                <w:noProof/>
                <w:lang w:val="sk-SK"/>
              </w:rPr>
              <w:t>dolnou časťou obce Nazaré.</w:t>
            </w:r>
          </w:p>
        </w:tc>
      </w:tr>
    </w:tbl>
    <w:p w14:paraId="35ED878F" w14:textId="77777777" w:rsidR="00387C70" w:rsidRPr="003F23AC" w:rsidRDefault="00387C70" w:rsidP="003F23AC">
      <w:pPr>
        <w:spacing w:after="0"/>
        <w:jc w:val="both"/>
        <w:rPr>
          <w:rFonts w:ascii="Times New Roman" w:hAnsi="Times New Roman" w:cs="Times New Roman"/>
          <w:noProof/>
          <w:sz w:val="24"/>
          <w:lang w:val="sk-SK"/>
        </w:rPr>
        <w:sectPr w:rsidR="00387C70" w:rsidRPr="003F23AC" w:rsidSect="00587917">
          <w:headerReference w:type="even" r:id="rId374"/>
          <w:headerReference w:type="default" r:id="rId375"/>
          <w:footerReference w:type="even" r:id="rId376"/>
          <w:footerReference w:type="default" r:id="rId377"/>
          <w:headerReference w:type="first" r:id="rId378"/>
          <w:footerReference w:type="first" r:id="rId379"/>
          <w:pgSz w:w="16838" w:h="11906" w:orient="landscape"/>
          <w:pgMar w:top="1134" w:right="1134" w:bottom="1134" w:left="1134" w:header="567" w:footer="567" w:gutter="0"/>
          <w:cols w:space="708"/>
          <w:docGrid w:linePitch="360"/>
        </w:sectPr>
      </w:pPr>
    </w:p>
    <w:p w14:paraId="236D10E6" w14:textId="49965839" w:rsidR="00387C70" w:rsidRPr="003F23AC" w:rsidRDefault="000F5AA4" w:rsidP="003F23AC">
      <w:pPr>
        <w:pStyle w:val="P68B1DB1-Normal3"/>
        <w:spacing w:before="40" w:after="0" w:line="259" w:lineRule="auto"/>
        <w:ind w:left="130" w:firstLine="720"/>
        <w:jc w:val="both"/>
        <w:outlineLvl w:val="1"/>
        <w:rPr>
          <w:rFonts w:eastAsiaTheme="minorEastAsia" w:cs="Times New Roman"/>
          <w:noProof/>
          <w:lang w:val="sk-SK"/>
        </w:rPr>
      </w:pPr>
      <w:r w:rsidRPr="003F23AC">
        <w:rPr>
          <w:rFonts w:cs="Times New Roman"/>
          <w:noProof/>
          <w:lang w:val="sk-SK"/>
        </w:rPr>
        <w:t>V. KOMPONENT 22: Audit</w:t>
      </w:r>
      <w:r w:rsidR="00A75B3C" w:rsidRPr="003F23AC">
        <w:rPr>
          <w:rFonts w:cs="Times New Roman"/>
          <w:noProof/>
          <w:lang w:val="sk-SK"/>
        </w:rPr>
        <w:t xml:space="preserve"> a </w:t>
      </w:r>
      <w:r w:rsidRPr="003F23AC">
        <w:rPr>
          <w:rFonts w:cs="Times New Roman"/>
          <w:noProof/>
          <w:lang w:val="sk-SK"/>
        </w:rPr>
        <w:t>kontrola</w:t>
      </w:r>
    </w:p>
    <w:p w14:paraId="44234FA0"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pPr>
    </w:p>
    <w:p w14:paraId="12542E50" w14:textId="77777777"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V.1. Opis reformy</w:t>
      </w:r>
    </w:p>
    <w:p w14:paraId="4C7B8830" w14:textId="1826F334" w:rsidR="00387C70" w:rsidRPr="003F23AC" w:rsidRDefault="000F5AA4" w:rsidP="003F23AC">
      <w:pPr>
        <w:pStyle w:val="P68B1DB1-Normal5"/>
        <w:spacing w:before="240" w:after="0" w:line="259" w:lineRule="auto"/>
        <w:ind w:left="851"/>
        <w:jc w:val="both"/>
        <w:outlineLvl w:val="2"/>
        <w:rPr>
          <w:rFonts w:eastAsiaTheme="minorEastAsia" w:cs="Times New Roman"/>
          <w:noProof/>
          <w:lang w:val="sk-SK"/>
        </w:rPr>
      </w:pPr>
      <w:r w:rsidRPr="003F23AC">
        <w:rPr>
          <w:rFonts w:cs="Times New Roman"/>
          <w:noProof/>
          <w:lang w:val="sk-SK"/>
        </w:rPr>
        <w:t>Reforma RE-C22-r49: Opatrenia na monitorovanie</w:t>
      </w:r>
      <w:r w:rsidR="00A75B3C" w:rsidRPr="003F23AC">
        <w:rPr>
          <w:rFonts w:cs="Times New Roman"/>
          <w:noProof/>
          <w:lang w:val="sk-SK"/>
        </w:rPr>
        <w:t xml:space="preserve"> a </w:t>
      </w:r>
      <w:r w:rsidRPr="003F23AC">
        <w:rPr>
          <w:rFonts w:cs="Times New Roman"/>
          <w:noProof/>
          <w:lang w:val="sk-SK"/>
        </w:rPr>
        <w:t>vykonávanie plánu obnovy</w:t>
      </w:r>
      <w:r w:rsidR="00A75B3C" w:rsidRPr="003F23AC">
        <w:rPr>
          <w:rFonts w:cs="Times New Roman"/>
          <w:noProof/>
          <w:lang w:val="sk-SK"/>
        </w:rPr>
        <w:t xml:space="preserve"> a </w:t>
      </w:r>
      <w:r w:rsidRPr="003F23AC">
        <w:rPr>
          <w:rFonts w:cs="Times New Roman"/>
          <w:noProof/>
          <w:lang w:val="sk-SK"/>
        </w:rPr>
        <w:t>odolnosti</w:t>
      </w:r>
    </w:p>
    <w:p w14:paraId="180C4631" w14:textId="7C52D4CC" w:rsidR="00387C70" w:rsidRPr="003F23AC" w:rsidRDefault="000F5AA4" w:rsidP="003F23AC">
      <w:pPr>
        <w:pStyle w:val="P68B1DB1-Normal4"/>
        <w:spacing w:after="0" w:line="240" w:lineRule="auto"/>
        <w:jc w:val="both"/>
        <w:rPr>
          <w:rFonts w:cs="Times New Roman"/>
          <w:noProof/>
          <w:lang w:val="sk-SK"/>
        </w:rPr>
      </w:pPr>
      <w:r w:rsidRPr="003F23AC">
        <w:rPr>
          <w:rFonts w:cs="Times New Roman"/>
          <w:noProof/>
          <w:lang w:val="sk-SK"/>
        </w:rPr>
        <w:t>Cieľom opatrenia je zlepšiť monitorovanie</w:t>
      </w:r>
      <w:r w:rsidR="00A75B3C" w:rsidRPr="003F23AC">
        <w:rPr>
          <w:rFonts w:cs="Times New Roman"/>
          <w:noProof/>
          <w:lang w:val="sk-SK"/>
        </w:rPr>
        <w:t xml:space="preserve"> a </w:t>
      </w:r>
      <w:r w:rsidRPr="003F23AC">
        <w:rPr>
          <w:rFonts w:cs="Times New Roman"/>
          <w:noProof/>
          <w:lang w:val="sk-SK"/>
        </w:rPr>
        <w:t>vykonávanie plánu obnovy</w:t>
      </w:r>
      <w:r w:rsidR="00A75B3C" w:rsidRPr="003F23AC">
        <w:rPr>
          <w:rFonts w:cs="Times New Roman"/>
          <w:noProof/>
          <w:lang w:val="sk-SK"/>
        </w:rPr>
        <w:t xml:space="preserve"> a </w:t>
      </w:r>
      <w:r w:rsidRPr="003F23AC">
        <w:rPr>
          <w:rFonts w:cs="Times New Roman"/>
          <w:noProof/>
          <w:lang w:val="sk-SK"/>
        </w:rPr>
        <w:t>odolnosti.</w:t>
      </w:r>
      <w:r w:rsidR="00A75B3C" w:rsidRPr="003F23AC">
        <w:rPr>
          <w:rFonts w:cs="Times New Roman"/>
          <w:noProof/>
          <w:lang w:val="sk-SK"/>
        </w:rPr>
        <w:t xml:space="preserve"> S </w:t>
      </w:r>
      <w:r w:rsidRPr="003F23AC">
        <w:rPr>
          <w:rFonts w:cs="Times New Roman"/>
          <w:noProof/>
          <w:lang w:val="sk-SK"/>
        </w:rPr>
        <w:t>cieľom zabezpečiť účinné vykonávanie primeraných opatrení na boj proti podvodom</w:t>
      </w:r>
      <w:r w:rsidR="00A75B3C" w:rsidRPr="003F23AC">
        <w:rPr>
          <w:rFonts w:cs="Times New Roman"/>
          <w:noProof/>
          <w:lang w:val="sk-SK"/>
        </w:rPr>
        <w:t xml:space="preserve"> a </w:t>
      </w:r>
      <w:r w:rsidRPr="003F23AC">
        <w:rPr>
          <w:rFonts w:cs="Times New Roman"/>
          <w:noProof/>
          <w:lang w:val="sk-SK"/>
        </w:rPr>
        <w:t>korupcii Portugalsko zmení zmluvy podpísané medzi koordinačným orgánom „EMRP“</w:t>
      </w:r>
      <w:r w:rsidR="00A75B3C" w:rsidRPr="003F23AC">
        <w:rPr>
          <w:rFonts w:cs="Times New Roman"/>
          <w:noProof/>
          <w:lang w:val="sk-SK"/>
        </w:rPr>
        <w:t xml:space="preserve"> a </w:t>
      </w:r>
      <w:r w:rsidRPr="003F23AC">
        <w:rPr>
          <w:rFonts w:cs="Times New Roman"/>
          <w:noProof/>
          <w:lang w:val="sk-SK"/>
        </w:rPr>
        <w:t>všetkými orgánmi zodpovednými za vykonávanie plánu obnovy</w:t>
      </w:r>
      <w:r w:rsidR="00A75B3C" w:rsidRPr="003F23AC">
        <w:rPr>
          <w:rFonts w:cs="Times New Roman"/>
          <w:noProof/>
          <w:lang w:val="sk-SK"/>
        </w:rPr>
        <w:t xml:space="preserve"> a </w:t>
      </w:r>
      <w:r w:rsidRPr="003F23AC">
        <w:rPr>
          <w:rFonts w:cs="Times New Roman"/>
          <w:noProof/>
          <w:lang w:val="sk-SK"/>
        </w:rPr>
        <w:t>odolnosti</w:t>
      </w:r>
      <w:r w:rsidR="00A75B3C" w:rsidRPr="003F23AC">
        <w:rPr>
          <w:rFonts w:cs="Times New Roman"/>
          <w:noProof/>
          <w:lang w:val="sk-SK"/>
        </w:rPr>
        <w:t xml:space="preserve"> s </w:t>
      </w:r>
      <w:r w:rsidRPr="003F23AC">
        <w:rPr>
          <w:rFonts w:cs="Times New Roman"/>
          <w:noProof/>
          <w:lang w:val="sk-SK"/>
        </w:rPr>
        <w:t>cieľom doplniť právnu povinnosť pre vykonávacie orgány vykonať posúdenie rizika podvodov do troch mesiacov od zmeny ich zmlúv</w:t>
      </w:r>
      <w:r w:rsidR="00A75B3C" w:rsidRPr="003F23AC">
        <w:rPr>
          <w:rFonts w:cs="Times New Roman"/>
          <w:noProof/>
          <w:lang w:val="sk-SK"/>
        </w:rPr>
        <w:t xml:space="preserve"> a v </w:t>
      </w:r>
      <w:r w:rsidRPr="003F23AC">
        <w:rPr>
          <w:rFonts w:cs="Times New Roman"/>
          <w:noProof/>
          <w:lang w:val="sk-SK"/>
        </w:rPr>
        <w:t>prípade, že sa</w:t>
      </w:r>
      <w:r w:rsidR="00A75B3C" w:rsidRPr="003F23AC">
        <w:rPr>
          <w:rFonts w:cs="Times New Roman"/>
          <w:noProof/>
          <w:lang w:val="sk-SK"/>
        </w:rPr>
        <w:t xml:space="preserve"> v </w:t>
      </w:r>
      <w:r w:rsidRPr="003F23AC">
        <w:rPr>
          <w:rFonts w:cs="Times New Roman"/>
          <w:noProof/>
          <w:lang w:val="sk-SK"/>
        </w:rPr>
        <w:t>posúdení rizika podvodov zistia riziká, ktoré nie sú predmetom existujúcich kontrol, vypracuje akčný plán obsahujúci dodatočné kontroly. Táto povinnosť sa zohľadní</w:t>
      </w:r>
      <w:r w:rsidR="00A75B3C" w:rsidRPr="003F23AC">
        <w:rPr>
          <w:rFonts w:cs="Times New Roman"/>
          <w:noProof/>
          <w:lang w:val="sk-SK"/>
        </w:rPr>
        <w:t xml:space="preserve"> v </w:t>
      </w:r>
      <w:r w:rsidRPr="003F23AC">
        <w:rPr>
          <w:rFonts w:cs="Times New Roman"/>
          <w:noProof/>
          <w:lang w:val="sk-SK"/>
        </w:rPr>
        <w:t>príručke postupov koordinačného orgánu. Koordinačný orgán takisto formálne oznámi všetkým vykonávacím orgánom technické usmernenie</w:t>
      </w:r>
      <w:r w:rsidR="00A75B3C" w:rsidRPr="003F23AC">
        <w:rPr>
          <w:rFonts w:cs="Times New Roman"/>
          <w:noProof/>
          <w:lang w:val="sk-SK"/>
        </w:rPr>
        <w:t xml:space="preserve"> s </w:t>
      </w:r>
      <w:r w:rsidRPr="003F23AC">
        <w:rPr>
          <w:rFonts w:cs="Times New Roman"/>
          <w:noProof/>
          <w:lang w:val="sk-SK"/>
        </w:rPr>
        <w:t>cieľom podporiť ich pri vykonávaní posúdenia rizika podvodu. Portugalsko okrem toho zlepší postupy na zníženie alebo zmiernenie rizika dvojitého financovania zavedením účinných systematických krížových kontrol žiadostí</w:t>
      </w:r>
      <w:r w:rsidR="00A75B3C" w:rsidRPr="003F23AC">
        <w:rPr>
          <w:rFonts w:cs="Times New Roman"/>
          <w:noProof/>
          <w:lang w:val="sk-SK"/>
        </w:rPr>
        <w:t xml:space="preserve"> o </w:t>
      </w:r>
      <w:r w:rsidRPr="003F23AC">
        <w:rPr>
          <w:rFonts w:cs="Times New Roman"/>
          <w:noProof/>
          <w:lang w:val="sk-SK"/>
        </w:rPr>
        <w:t>potenciálne financovanie</w:t>
      </w:r>
      <w:r w:rsidR="00A75B3C" w:rsidRPr="003F23AC">
        <w:rPr>
          <w:rFonts w:cs="Times New Roman"/>
          <w:noProof/>
          <w:lang w:val="sk-SK"/>
        </w:rPr>
        <w:t xml:space="preserve"> v </w:t>
      </w:r>
      <w:r w:rsidRPr="003F23AC">
        <w:rPr>
          <w:rFonts w:cs="Times New Roman"/>
          <w:noProof/>
          <w:lang w:val="sk-SK"/>
        </w:rPr>
        <w:t>rámci Mechanizmu na podporu obnovy</w:t>
      </w:r>
      <w:r w:rsidR="00A75B3C" w:rsidRPr="003F23AC">
        <w:rPr>
          <w:rFonts w:cs="Times New Roman"/>
          <w:noProof/>
          <w:lang w:val="sk-SK"/>
        </w:rPr>
        <w:t xml:space="preserve"> a </w:t>
      </w:r>
      <w:r w:rsidRPr="003F23AC">
        <w:rPr>
          <w:rFonts w:cs="Times New Roman"/>
          <w:noProof/>
          <w:lang w:val="sk-SK"/>
        </w:rPr>
        <w:t>odolnosti</w:t>
      </w:r>
      <w:r w:rsidR="00A75B3C" w:rsidRPr="003F23AC">
        <w:rPr>
          <w:rFonts w:cs="Times New Roman"/>
          <w:noProof/>
          <w:lang w:val="sk-SK"/>
        </w:rPr>
        <w:t xml:space="preserve"> a </w:t>
      </w:r>
      <w:r w:rsidRPr="003F23AC">
        <w:rPr>
          <w:rFonts w:cs="Times New Roman"/>
          <w:noProof/>
          <w:lang w:val="sk-SK"/>
        </w:rPr>
        <w:t>medzi Mechanizmom na podporu obnovy</w:t>
      </w:r>
      <w:r w:rsidR="00A75B3C" w:rsidRPr="003F23AC">
        <w:rPr>
          <w:rFonts w:cs="Times New Roman"/>
          <w:noProof/>
          <w:lang w:val="sk-SK"/>
        </w:rPr>
        <w:t xml:space="preserve"> a </w:t>
      </w:r>
      <w:r w:rsidRPr="003F23AC">
        <w:rPr>
          <w:rFonts w:cs="Times New Roman"/>
          <w:noProof/>
          <w:lang w:val="sk-SK"/>
        </w:rPr>
        <w:t>odolnosti</w:t>
      </w:r>
      <w:r w:rsidR="00A75B3C" w:rsidRPr="003F23AC">
        <w:rPr>
          <w:rFonts w:cs="Times New Roman"/>
          <w:noProof/>
          <w:lang w:val="sk-SK"/>
        </w:rPr>
        <w:t xml:space="preserve"> a </w:t>
      </w:r>
      <w:r w:rsidRPr="003F23AC">
        <w:rPr>
          <w:rFonts w:cs="Times New Roman"/>
          <w:noProof/>
          <w:lang w:val="sk-SK"/>
        </w:rPr>
        <w:t>inými programami Únie</w:t>
      </w:r>
      <w:r w:rsidR="00A75B3C" w:rsidRPr="003F23AC">
        <w:rPr>
          <w:rFonts w:cs="Times New Roman"/>
          <w:noProof/>
          <w:lang w:val="sk-SK"/>
        </w:rPr>
        <w:t xml:space="preserve"> v </w:t>
      </w:r>
      <w:r w:rsidRPr="003F23AC">
        <w:rPr>
          <w:rFonts w:cs="Times New Roman"/>
          <w:noProof/>
          <w:lang w:val="sk-SK"/>
        </w:rPr>
        <w:t>súlade so zásadou správneho finančného riadenia. Koordinačný orgán predloží dokument opisujúci navrhované podrobné krížové kontroly dvojitého financovania</w:t>
      </w:r>
      <w:r w:rsidR="00A75B3C" w:rsidRPr="003F23AC">
        <w:rPr>
          <w:rFonts w:cs="Times New Roman"/>
          <w:noProof/>
          <w:lang w:val="sk-SK"/>
        </w:rPr>
        <w:t xml:space="preserve"> s </w:t>
      </w:r>
      <w:r w:rsidRPr="003F23AC">
        <w:rPr>
          <w:rFonts w:cs="Times New Roman"/>
          <w:noProof/>
          <w:lang w:val="sk-SK"/>
        </w:rPr>
        <w:t>cieľom potvrdiť, že sú zavedené primerané postupy na zabránenie dvojitému financovaniu.</w:t>
      </w:r>
    </w:p>
    <w:p w14:paraId="74765BC7" w14:textId="77777777" w:rsidR="00387C70" w:rsidRPr="003F23AC" w:rsidRDefault="00387C70" w:rsidP="003F23AC">
      <w:pPr>
        <w:spacing w:before="40" w:after="0" w:line="259" w:lineRule="auto"/>
        <w:jc w:val="both"/>
        <w:rPr>
          <w:rFonts w:ascii="Times New Roman" w:hAnsi="Times New Roman" w:cs="Times New Roman"/>
          <w:noProof/>
          <w:sz w:val="24"/>
          <w:lang w:val="sk-SK"/>
        </w:rPr>
        <w:sectPr w:rsidR="00387C70" w:rsidRPr="003F23AC" w:rsidSect="00737670">
          <w:headerReference w:type="even" r:id="rId380"/>
          <w:headerReference w:type="default" r:id="rId381"/>
          <w:footerReference w:type="even" r:id="rId382"/>
          <w:footerReference w:type="default" r:id="rId383"/>
          <w:headerReference w:type="first" r:id="rId384"/>
          <w:footerReference w:type="first" r:id="rId385"/>
          <w:pgSz w:w="11906" w:h="16838"/>
          <w:pgMar w:top="1134" w:right="1134" w:bottom="1134" w:left="1134" w:header="567" w:footer="567" w:gutter="0"/>
          <w:cols w:space="708"/>
          <w:docGrid w:linePitch="360"/>
        </w:sectPr>
      </w:pPr>
    </w:p>
    <w:p w14:paraId="3636EC65" w14:textId="77777777" w:rsidR="00387C70" w:rsidRPr="003F23AC" w:rsidRDefault="00387C70" w:rsidP="003F23AC">
      <w:pPr>
        <w:spacing w:before="40" w:after="0" w:line="259" w:lineRule="auto"/>
        <w:jc w:val="both"/>
        <w:rPr>
          <w:rFonts w:ascii="Times New Roman" w:hAnsi="Times New Roman" w:cs="Times New Roman"/>
          <w:noProof/>
          <w:sz w:val="24"/>
          <w:lang w:val="sk-SK"/>
        </w:rPr>
      </w:pPr>
    </w:p>
    <w:p w14:paraId="2CBAD660" w14:textId="2B4A7197" w:rsidR="00387C70" w:rsidRPr="003F23AC" w:rsidRDefault="000F5AA4" w:rsidP="003F23AC">
      <w:pPr>
        <w:pStyle w:val="P68B1DB1-Normal3"/>
        <w:spacing w:before="40" w:after="0" w:line="259" w:lineRule="auto"/>
        <w:ind w:left="130" w:firstLine="720"/>
        <w:jc w:val="both"/>
        <w:outlineLvl w:val="2"/>
        <w:rPr>
          <w:rFonts w:eastAsiaTheme="minorEastAsia" w:cs="Times New Roman"/>
          <w:noProof/>
          <w:lang w:val="sk-SK"/>
        </w:rPr>
      </w:pPr>
      <w:r w:rsidRPr="003F23AC">
        <w:rPr>
          <w:rFonts w:cs="Times New Roman"/>
          <w:noProof/>
          <w:lang w:val="sk-SK"/>
        </w:rPr>
        <w:t>V.2. Čiastkové ciele, cieľové hodnoty, ukazovatele</w:t>
      </w:r>
      <w:r w:rsidR="00A75B3C" w:rsidRPr="003F23AC">
        <w:rPr>
          <w:rFonts w:cs="Times New Roman"/>
          <w:noProof/>
          <w:lang w:val="sk-SK"/>
        </w:rPr>
        <w:t xml:space="preserve"> a </w:t>
      </w:r>
      <w:r w:rsidRPr="003F23AC">
        <w:rPr>
          <w:rFonts w:cs="Times New Roman"/>
          <w:noProof/>
          <w:lang w:val="sk-SK"/>
        </w:rPr>
        <w:t>harmonogram monitorovania</w:t>
      </w:r>
      <w:r w:rsidR="00A75B3C" w:rsidRPr="003F23AC">
        <w:rPr>
          <w:rFonts w:cs="Times New Roman"/>
          <w:noProof/>
          <w:lang w:val="sk-SK"/>
        </w:rPr>
        <w:t xml:space="preserve"> a </w:t>
      </w:r>
      <w:r w:rsidRPr="003F23AC">
        <w:rPr>
          <w:rFonts w:cs="Times New Roman"/>
          <w:noProof/>
          <w:lang w:val="sk-SK"/>
        </w:rPr>
        <w:t>vykonávania</w:t>
      </w:r>
    </w:p>
    <w:p w14:paraId="68A62073" w14:textId="77777777"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6"/>
        <w:gridCol w:w="1134"/>
        <w:gridCol w:w="1984"/>
        <w:gridCol w:w="1134"/>
        <w:gridCol w:w="851"/>
        <w:gridCol w:w="912"/>
        <w:gridCol w:w="789"/>
        <w:gridCol w:w="770"/>
        <w:gridCol w:w="505"/>
        <w:gridCol w:w="4395"/>
      </w:tblGrid>
      <w:tr w:rsidR="00387C70" w:rsidRPr="003F23AC" w14:paraId="7A27D3D1" w14:textId="77777777" w:rsidTr="00FA6988">
        <w:trPr>
          <w:trHeight w:val="300"/>
          <w:tblHeader/>
        </w:trPr>
        <w:tc>
          <w:tcPr>
            <w:tcW w:w="1135" w:type="dxa"/>
            <w:vMerge w:val="restart"/>
            <w:shd w:val="clear" w:color="auto" w:fill="BDD6EE"/>
            <w:tcMar>
              <w:left w:w="28" w:type="dxa"/>
              <w:right w:w="28" w:type="dxa"/>
            </w:tcMar>
            <w:vAlign w:val="center"/>
            <w:hideMark/>
          </w:tcPr>
          <w:p w14:paraId="5CC94774"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276" w:type="dxa"/>
            <w:vMerge w:val="restart"/>
            <w:shd w:val="clear" w:color="auto" w:fill="BDD6EE"/>
            <w:noWrap/>
            <w:tcMar>
              <w:left w:w="28" w:type="dxa"/>
              <w:right w:w="28" w:type="dxa"/>
            </w:tcMar>
            <w:vAlign w:val="center"/>
            <w:hideMark/>
          </w:tcPr>
          <w:p w14:paraId="30C71F68"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Opatrenie (reforma alebo investícia)</w:t>
            </w:r>
          </w:p>
        </w:tc>
        <w:tc>
          <w:tcPr>
            <w:tcW w:w="1134" w:type="dxa"/>
            <w:vMerge w:val="restart"/>
            <w:shd w:val="clear" w:color="auto" w:fill="BDD6EE"/>
            <w:noWrap/>
            <w:tcMar>
              <w:left w:w="28" w:type="dxa"/>
              <w:right w:w="28" w:type="dxa"/>
            </w:tcMar>
            <w:vAlign w:val="center"/>
            <w:hideMark/>
          </w:tcPr>
          <w:p w14:paraId="620CB2B2"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1984" w:type="dxa"/>
            <w:vMerge w:val="restart"/>
            <w:shd w:val="clear" w:color="auto" w:fill="BDD6EE"/>
            <w:noWrap/>
            <w:tcMar>
              <w:left w:w="28" w:type="dxa"/>
              <w:right w:w="28" w:type="dxa"/>
            </w:tcMar>
            <w:vAlign w:val="center"/>
            <w:hideMark/>
          </w:tcPr>
          <w:p w14:paraId="1C302F4F"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1134" w:type="dxa"/>
            <w:vMerge w:val="restart"/>
            <w:shd w:val="clear" w:color="auto" w:fill="BDD6EE"/>
            <w:noWrap/>
            <w:tcMar>
              <w:left w:w="28" w:type="dxa"/>
              <w:right w:w="28" w:type="dxa"/>
            </w:tcMar>
            <w:vAlign w:val="center"/>
            <w:hideMark/>
          </w:tcPr>
          <w:p w14:paraId="7F93989A"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Kvalitatívne ukazovatele (pre míľniky)</w:t>
            </w:r>
          </w:p>
        </w:tc>
        <w:tc>
          <w:tcPr>
            <w:tcW w:w="2552" w:type="dxa"/>
            <w:gridSpan w:val="3"/>
            <w:shd w:val="clear" w:color="auto" w:fill="BDD6EE"/>
            <w:noWrap/>
            <w:tcMar>
              <w:left w:w="28" w:type="dxa"/>
              <w:right w:w="28" w:type="dxa"/>
            </w:tcMar>
            <w:vAlign w:val="center"/>
            <w:hideMark/>
          </w:tcPr>
          <w:p w14:paraId="5C5240E8"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Kvantitatívne ukazovatele (pre ciele)</w:t>
            </w:r>
          </w:p>
        </w:tc>
        <w:tc>
          <w:tcPr>
            <w:tcW w:w="1275" w:type="dxa"/>
            <w:gridSpan w:val="2"/>
            <w:shd w:val="clear" w:color="auto" w:fill="BDD6EE"/>
            <w:noWrap/>
            <w:tcMar>
              <w:left w:w="28" w:type="dxa"/>
              <w:right w:w="28" w:type="dxa"/>
            </w:tcMar>
            <w:vAlign w:val="center"/>
            <w:hideMark/>
          </w:tcPr>
          <w:p w14:paraId="5A90F2F3"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Harmonogram dokončenia</w:t>
            </w:r>
          </w:p>
        </w:tc>
        <w:tc>
          <w:tcPr>
            <w:tcW w:w="4395" w:type="dxa"/>
            <w:vMerge w:val="restart"/>
            <w:shd w:val="clear" w:color="auto" w:fill="BDD6EE"/>
            <w:tcMar>
              <w:left w:w="28" w:type="dxa"/>
              <w:right w:w="28" w:type="dxa"/>
            </w:tcMar>
            <w:vAlign w:val="center"/>
            <w:hideMark/>
          </w:tcPr>
          <w:p w14:paraId="05C538FC" w14:textId="604119B0"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Opis</w:t>
            </w:r>
            <w:r w:rsidR="00A75B3C" w:rsidRPr="003F23AC">
              <w:rPr>
                <w:rFonts w:cs="Times New Roman"/>
                <w:noProof/>
                <w:lang w:val="sk-SK"/>
              </w:rPr>
              <w:t xml:space="preserve"> a </w:t>
            </w:r>
            <w:r w:rsidRPr="003F23AC">
              <w:rPr>
                <w:rFonts w:cs="Times New Roman"/>
                <w:noProof/>
                <w:lang w:val="sk-SK"/>
              </w:rPr>
              <w:t>jasné vymedzenie jednotlivých míľnikov</w:t>
            </w:r>
            <w:r w:rsidR="00A75B3C" w:rsidRPr="003F23AC">
              <w:rPr>
                <w:rFonts w:cs="Times New Roman"/>
                <w:noProof/>
                <w:lang w:val="sk-SK"/>
              </w:rPr>
              <w:t xml:space="preserve"> a </w:t>
            </w:r>
            <w:r w:rsidRPr="003F23AC">
              <w:rPr>
                <w:rFonts w:cs="Times New Roman"/>
                <w:noProof/>
                <w:lang w:val="sk-SK"/>
              </w:rPr>
              <w:t>cieľov</w:t>
            </w:r>
          </w:p>
        </w:tc>
      </w:tr>
      <w:tr w:rsidR="00387C70" w:rsidRPr="003F23AC" w14:paraId="791474D6" w14:textId="77777777" w:rsidTr="00FA6988">
        <w:trPr>
          <w:trHeight w:val="300"/>
          <w:tblHeader/>
        </w:trPr>
        <w:tc>
          <w:tcPr>
            <w:tcW w:w="1135" w:type="dxa"/>
            <w:vMerge/>
            <w:tcMar>
              <w:left w:w="28" w:type="dxa"/>
              <w:right w:w="28" w:type="dxa"/>
            </w:tcMar>
            <w:vAlign w:val="center"/>
            <w:hideMark/>
          </w:tcPr>
          <w:p w14:paraId="64F5E293"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276" w:type="dxa"/>
            <w:vMerge/>
            <w:tcMar>
              <w:left w:w="28" w:type="dxa"/>
              <w:right w:w="28" w:type="dxa"/>
            </w:tcMar>
            <w:vAlign w:val="center"/>
            <w:hideMark/>
          </w:tcPr>
          <w:p w14:paraId="4801FFBD"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34" w:type="dxa"/>
            <w:vMerge/>
            <w:noWrap/>
            <w:tcMar>
              <w:left w:w="28" w:type="dxa"/>
              <w:right w:w="28" w:type="dxa"/>
            </w:tcMar>
            <w:vAlign w:val="center"/>
            <w:hideMark/>
          </w:tcPr>
          <w:p w14:paraId="0FBCC370" w14:textId="77777777" w:rsidR="00387C70" w:rsidRPr="003F23AC" w:rsidRDefault="00387C70" w:rsidP="003F23AC">
            <w:pPr>
              <w:spacing w:after="0" w:line="240" w:lineRule="auto"/>
              <w:jc w:val="center"/>
              <w:rPr>
                <w:rFonts w:ascii="Times New Roman" w:eastAsia="Times New Roman" w:hAnsi="Times New Roman" w:cs="Times New Roman"/>
                <w:b/>
                <w:noProof/>
                <w:sz w:val="18"/>
                <w:lang w:val="sk-SK"/>
              </w:rPr>
            </w:pPr>
          </w:p>
        </w:tc>
        <w:tc>
          <w:tcPr>
            <w:tcW w:w="1984" w:type="dxa"/>
            <w:vMerge/>
            <w:tcMar>
              <w:left w:w="28" w:type="dxa"/>
              <w:right w:w="28" w:type="dxa"/>
            </w:tcMar>
            <w:vAlign w:val="center"/>
            <w:hideMark/>
          </w:tcPr>
          <w:p w14:paraId="57A267FE"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1134" w:type="dxa"/>
            <w:vMerge/>
            <w:tcMar>
              <w:left w:w="28" w:type="dxa"/>
              <w:right w:w="28" w:type="dxa"/>
            </w:tcMar>
            <w:vAlign w:val="center"/>
            <w:hideMark/>
          </w:tcPr>
          <w:p w14:paraId="0C7C5FFB"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c>
          <w:tcPr>
            <w:tcW w:w="851" w:type="dxa"/>
            <w:shd w:val="clear" w:color="auto" w:fill="BDD6EE"/>
            <w:noWrap/>
            <w:tcMar>
              <w:left w:w="28" w:type="dxa"/>
              <w:right w:w="28" w:type="dxa"/>
            </w:tcMar>
            <w:vAlign w:val="center"/>
            <w:hideMark/>
          </w:tcPr>
          <w:p w14:paraId="1A7AD875"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Merná jednotka</w:t>
            </w:r>
          </w:p>
        </w:tc>
        <w:tc>
          <w:tcPr>
            <w:tcW w:w="912" w:type="dxa"/>
            <w:shd w:val="clear" w:color="auto" w:fill="BDD6EE"/>
            <w:noWrap/>
            <w:tcMar>
              <w:left w:w="28" w:type="dxa"/>
              <w:right w:w="28" w:type="dxa"/>
            </w:tcMar>
            <w:vAlign w:val="center"/>
            <w:hideMark/>
          </w:tcPr>
          <w:p w14:paraId="75CEC3C9" w14:textId="367F6910"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Východisková hodnota</w:t>
            </w:r>
          </w:p>
        </w:tc>
        <w:tc>
          <w:tcPr>
            <w:tcW w:w="789" w:type="dxa"/>
            <w:shd w:val="clear" w:color="auto" w:fill="BDD6EE"/>
            <w:noWrap/>
            <w:tcMar>
              <w:left w:w="28" w:type="dxa"/>
              <w:right w:w="28" w:type="dxa"/>
            </w:tcMar>
            <w:vAlign w:val="center"/>
            <w:hideMark/>
          </w:tcPr>
          <w:p w14:paraId="1839FA92" w14:textId="02A7E78B"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Cieľová hodnota</w:t>
            </w:r>
          </w:p>
        </w:tc>
        <w:tc>
          <w:tcPr>
            <w:tcW w:w="770" w:type="dxa"/>
            <w:shd w:val="clear" w:color="auto" w:fill="BDD6EE"/>
            <w:noWrap/>
            <w:tcMar>
              <w:left w:w="28" w:type="dxa"/>
              <w:right w:w="28" w:type="dxa"/>
            </w:tcMar>
            <w:vAlign w:val="center"/>
            <w:hideMark/>
          </w:tcPr>
          <w:p w14:paraId="034E72F5" w14:textId="388C74A1" w:rsidR="00387C70" w:rsidRPr="003F23AC" w:rsidRDefault="00680FF6" w:rsidP="003F23AC">
            <w:pPr>
              <w:pStyle w:val="P68B1DB1-Normal6"/>
              <w:spacing w:after="0" w:line="240" w:lineRule="auto"/>
              <w:jc w:val="center"/>
              <w:rPr>
                <w:rFonts w:eastAsia="Times New Roman" w:cs="Times New Roman"/>
                <w:noProof/>
                <w:lang w:val="sk-SK"/>
              </w:rPr>
            </w:pPr>
            <w:r w:rsidRPr="003F23AC">
              <w:rPr>
                <w:rFonts w:cs="Times New Roman"/>
                <w:noProof/>
                <w:lang w:val="sk-SK"/>
              </w:rPr>
              <w:t>Štvrťrok</w:t>
            </w:r>
          </w:p>
        </w:tc>
        <w:tc>
          <w:tcPr>
            <w:tcW w:w="505" w:type="dxa"/>
            <w:shd w:val="clear" w:color="auto" w:fill="BDD6EE"/>
            <w:noWrap/>
            <w:tcMar>
              <w:left w:w="28" w:type="dxa"/>
              <w:right w:w="28" w:type="dxa"/>
            </w:tcMar>
            <w:vAlign w:val="center"/>
            <w:hideMark/>
          </w:tcPr>
          <w:p w14:paraId="739CD227"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Rok</w:t>
            </w:r>
          </w:p>
        </w:tc>
        <w:tc>
          <w:tcPr>
            <w:tcW w:w="4395" w:type="dxa"/>
            <w:vMerge/>
            <w:tcMar>
              <w:left w:w="28" w:type="dxa"/>
              <w:right w:w="28" w:type="dxa"/>
            </w:tcMar>
            <w:vAlign w:val="center"/>
            <w:hideMark/>
          </w:tcPr>
          <w:p w14:paraId="6237285D" w14:textId="77777777" w:rsidR="00387C70" w:rsidRPr="003F23AC" w:rsidRDefault="00387C70" w:rsidP="003F23AC">
            <w:pPr>
              <w:spacing w:after="0" w:line="240" w:lineRule="auto"/>
              <w:rPr>
                <w:rFonts w:ascii="Times New Roman" w:eastAsia="Times New Roman" w:hAnsi="Times New Roman" w:cs="Times New Roman"/>
                <w:b/>
                <w:noProof/>
                <w:sz w:val="18"/>
                <w:lang w:val="sk-SK"/>
              </w:rPr>
            </w:pPr>
          </w:p>
        </w:tc>
      </w:tr>
      <w:tr w:rsidR="00387C70" w:rsidRPr="003F23AC" w14:paraId="6842EF63" w14:textId="77777777" w:rsidTr="00FA6988">
        <w:trPr>
          <w:trHeight w:val="1260"/>
          <w:tblHeader/>
        </w:trPr>
        <w:tc>
          <w:tcPr>
            <w:tcW w:w="1135" w:type="dxa"/>
            <w:shd w:val="clear" w:color="auto" w:fill="C4EFCE"/>
            <w:noWrap/>
            <w:tcMar>
              <w:left w:w="28" w:type="dxa"/>
              <w:right w:w="28" w:type="dxa"/>
            </w:tcMar>
            <w:vAlign w:val="center"/>
          </w:tcPr>
          <w:p w14:paraId="20D33C04" w14:textId="3BE29466"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22.1</w:t>
            </w:r>
          </w:p>
        </w:tc>
        <w:tc>
          <w:tcPr>
            <w:tcW w:w="1276" w:type="dxa"/>
            <w:shd w:val="clear" w:color="auto" w:fill="C4EFCE"/>
            <w:noWrap/>
            <w:tcMar>
              <w:left w:w="28" w:type="dxa"/>
              <w:right w:w="28" w:type="dxa"/>
            </w:tcMar>
            <w:vAlign w:val="center"/>
          </w:tcPr>
          <w:p w14:paraId="62B22C1C" w14:textId="5E4D145C"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C22-r49</w:t>
            </w:r>
          </w:p>
        </w:tc>
        <w:tc>
          <w:tcPr>
            <w:tcW w:w="1134" w:type="dxa"/>
            <w:shd w:val="clear" w:color="auto" w:fill="C4EFCE"/>
            <w:noWrap/>
            <w:tcMar>
              <w:left w:w="28" w:type="dxa"/>
              <w:right w:w="28" w:type="dxa"/>
            </w:tcMar>
            <w:vAlign w:val="center"/>
          </w:tcPr>
          <w:p w14:paraId="68531306" w14:textId="7F47F2D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984" w:type="dxa"/>
            <w:shd w:val="clear" w:color="auto" w:fill="C4EFCE"/>
            <w:noWrap/>
            <w:tcMar>
              <w:left w:w="28" w:type="dxa"/>
              <w:right w:w="28" w:type="dxa"/>
            </w:tcMar>
            <w:vAlign w:val="center"/>
          </w:tcPr>
          <w:p w14:paraId="560DB9C0" w14:textId="16C4FF3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Zmena zmlúv</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financovaní medzi EMRP</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vykonávacími orgánmi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zahrnúť povinnosť vykonať posúdenie rizika podvodu</w:t>
            </w:r>
          </w:p>
        </w:tc>
        <w:tc>
          <w:tcPr>
            <w:tcW w:w="1134" w:type="dxa"/>
            <w:shd w:val="clear" w:color="auto" w:fill="C4EFCE"/>
            <w:noWrap/>
            <w:tcMar>
              <w:left w:w="28" w:type="dxa"/>
              <w:right w:w="28" w:type="dxa"/>
            </w:tcMar>
            <w:vAlign w:val="center"/>
          </w:tcPr>
          <w:p w14:paraId="205B0F66" w14:textId="77777777" w:rsidR="00387C70" w:rsidRPr="003F23AC" w:rsidRDefault="00387C70" w:rsidP="003F23AC">
            <w:pPr>
              <w:spacing w:after="0" w:line="240" w:lineRule="auto"/>
              <w:rPr>
                <w:rFonts w:ascii="Times New Roman" w:hAnsi="Times New Roman" w:cs="Times New Roman"/>
                <w:noProof/>
                <w:sz w:val="16"/>
                <w:lang w:val="sk-SK"/>
              </w:rPr>
            </w:pPr>
          </w:p>
          <w:p w14:paraId="679BDC28" w14:textId="07031777" w:rsidR="00387C70" w:rsidRPr="003F23AC" w:rsidRDefault="000F5AA4" w:rsidP="003F23AC">
            <w:pPr>
              <w:pStyle w:val="P68B1DB1-Normal8"/>
              <w:jc w:val="center"/>
              <w:rPr>
                <w:rFonts w:ascii="Times New Roman" w:hAnsi="Times New Roman" w:cs="Times New Roman"/>
                <w:noProof/>
                <w:lang w:val="sk-SK"/>
              </w:rPr>
            </w:pPr>
            <w:r w:rsidRPr="003F23AC">
              <w:rPr>
                <w:rFonts w:ascii="Times New Roman" w:hAnsi="Times New Roman" w:cs="Times New Roman"/>
                <w:noProof/>
                <w:lang w:val="sk-SK"/>
              </w:rPr>
              <w:t>Zmenené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doplnené zmluvy</w:t>
            </w:r>
          </w:p>
        </w:tc>
        <w:tc>
          <w:tcPr>
            <w:tcW w:w="851" w:type="dxa"/>
            <w:shd w:val="clear" w:color="auto" w:fill="C4EFCE"/>
            <w:noWrap/>
            <w:tcMar>
              <w:left w:w="28" w:type="dxa"/>
              <w:right w:w="28" w:type="dxa"/>
            </w:tcMar>
            <w:vAlign w:val="center"/>
          </w:tcPr>
          <w:p w14:paraId="6159C977"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12" w:type="dxa"/>
            <w:shd w:val="clear" w:color="auto" w:fill="C4EFCE"/>
            <w:noWrap/>
            <w:tcMar>
              <w:left w:w="28" w:type="dxa"/>
              <w:right w:w="28" w:type="dxa"/>
            </w:tcMar>
            <w:vAlign w:val="center"/>
          </w:tcPr>
          <w:p w14:paraId="4C92B964"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89" w:type="dxa"/>
            <w:shd w:val="clear" w:color="auto" w:fill="C4EFCE"/>
            <w:noWrap/>
            <w:tcMar>
              <w:left w:w="28" w:type="dxa"/>
              <w:right w:w="28" w:type="dxa"/>
            </w:tcMar>
            <w:vAlign w:val="center"/>
          </w:tcPr>
          <w:p w14:paraId="33DEFF08"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0" w:type="dxa"/>
            <w:shd w:val="clear" w:color="auto" w:fill="C4EFCE"/>
            <w:noWrap/>
            <w:tcMar>
              <w:left w:w="28" w:type="dxa"/>
              <w:right w:w="28" w:type="dxa"/>
            </w:tcMar>
            <w:vAlign w:val="center"/>
          </w:tcPr>
          <w:p w14:paraId="0CEA973F" w14:textId="43E2F63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05" w:type="dxa"/>
            <w:shd w:val="clear" w:color="auto" w:fill="C4EFCE"/>
            <w:noWrap/>
            <w:tcMar>
              <w:left w:w="28" w:type="dxa"/>
              <w:right w:w="28" w:type="dxa"/>
            </w:tcMar>
            <w:vAlign w:val="center"/>
          </w:tcPr>
          <w:p w14:paraId="1EB90E5A" w14:textId="798D8660"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395" w:type="dxa"/>
            <w:shd w:val="clear" w:color="auto" w:fill="C4EFCE"/>
            <w:tcMar>
              <w:left w:w="28" w:type="dxa"/>
              <w:right w:w="28" w:type="dxa"/>
            </w:tcMar>
          </w:tcPr>
          <w:p w14:paraId="23E3766D" w14:textId="4A31DFD0"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Koordinačný orgán „EMRP“ zmení zmluvy podpísané so všetkými orgánmi zodpovednými za vykonávanie plánu obnovy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odolnosti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doplniť právnu povinnosť vykonávacích orgánov vykonať posúdenie rizika podvodu do troch mesiacov od zmeny ich zmlúv</w:t>
            </w:r>
            <w:r w:rsidR="00A75B3C" w:rsidRPr="003F23AC">
              <w:rPr>
                <w:rFonts w:ascii="Times New Roman" w:hAnsi="Times New Roman" w:cs="Times New Roman"/>
                <w:noProof/>
                <w:lang w:val="sk-SK"/>
              </w:rPr>
              <w:t xml:space="preserve"> a v </w:t>
            </w:r>
            <w:r w:rsidRPr="003F23AC">
              <w:rPr>
                <w:rFonts w:ascii="Times New Roman" w:hAnsi="Times New Roman" w:cs="Times New Roman"/>
                <w:noProof/>
                <w:lang w:val="sk-SK"/>
              </w:rPr>
              <w:t>prípade, že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posúdení rizika podvodu zistia riziká, ktoré nie sú predmetom existujúcich kontrol, vypracovať akčný plán obsahujúci dodatočné kontroly. Táto povinnosť sa zohľadní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príručke postupov koordinačného orgánu. Koordinačný orgán takisto formálne oznámi všetkým vykonávacím orgánom technické usmernenie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podporiť ich pri vykonávaní posúdenia rizika podvodu.</w:t>
            </w:r>
          </w:p>
        </w:tc>
      </w:tr>
      <w:tr w:rsidR="00387C70" w:rsidRPr="003F23AC" w14:paraId="4F83E9D0" w14:textId="77777777" w:rsidTr="00FA6988">
        <w:trPr>
          <w:trHeight w:val="1050"/>
          <w:tblHeader/>
        </w:trPr>
        <w:tc>
          <w:tcPr>
            <w:tcW w:w="1135" w:type="dxa"/>
            <w:shd w:val="clear" w:color="auto" w:fill="C4EFCE"/>
            <w:noWrap/>
            <w:tcMar>
              <w:left w:w="28" w:type="dxa"/>
              <w:right w:w="28" w:type="dxa"/>
            </w:tcMar>
            <w:vAlign w:val="center"/>
          </w:tcPr>
          <w:p w14:paraId="6AE6A737" w14:textId="1AC80AEF" w:rsidR="00387C70" w:rsidRPr="003F23AC" w:rsidRDefault="000F5AA4" w:rsidP="003F23AC">
            <w:pPr>
              <w:pStyle w:val="P68B1DB1-Normal7"/>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22.2</w:t>
            </w:r>
          </w:p>
        </w:tc>
        <w:tc>
          <w:tcPr>
            <w:tcW w:w="1276" w:type="dxa"/>
            <w:shd w:val="clear" w:color="auto" w:fill="C4EFCE"/>
            <w:noWrap/>
            <w:tcMar>
              <w:left w:w="28" w:type="dxa"/>
              <w:right w:w="28" w:type="dxa"/>
            </w:tcMar>
            <w:vAlign w:val="center"/>
          </w:tcPr>
          <w:p w14:paraId="2DA9EBA8" w14:textId="4974E206" w:rsidR="00387C70" w:rsidRPr="003F23AC" w:rsidRDefault="00F218FC"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C22-r49</w:t>
            </w:r>
          </w:p>
        </w:tc>
        <w:tc>
          <w:tcPr>
            <w:tcW w:w="1134" w:type="dxa"/>
            <w:shd w:val="clear" w:color="auto" w:fill="C4EFCE"/>
            <w:noWrap/>
            <w:tcMar>
              <w:left w:w="28" w:type="dxa"/>
              <w:right w:w="28" w:type="dxa"/>
            </w:tcMar>
            <w:vAlign w:val="center"/>
          </w:tcPr>
          <w:p w14:paraId="6AC25D7A" w14:textId="40D4B45C"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1984" w:type="dxa"/>
            <w:shd w:val="clear" w:color="auto" w:fill="C4EFCE"/>
            <w:noWrap/>
            <w:tcMar>
              <w:left w:w="28" w:type="dxa"/>
              <w:right w:w="28" w:type="dxa"/>
            </w:tcMar>
            <w:vAlign w:val="center"/>
          </w:tcPr>
          <w:p w14:paraId="3D88FC2B" w14:textId="5245F9E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Zavedenie krížových kontrol dvojitého financovania</w:t>
            </w:r>
          </w:p>
        </w:tc>
        <w:tc>
          <w:tcPr>
            <w:tcW w:w="1134" w:type="dxa"/>
            <w:shd w:val="clear" w:color="auto" w:fill="C4EFCE"/>
            <w:noWrap/>
            <w:tcMar>
              <w:left w:w="28" w:type="dxa"/>
              <w:right w:w="28" w:type="dxa"/>
            </w:tcMar>
            <w:vAlign w:val="center"/>
          </w:tcPr>
          <w:p w14:paraId="4B3ED836" w14:textId="6F92F713"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Vykonávanie primeraných postupov </w:t>
            </w:r>
          </w:p>
        </w:tc>
        <w:tc>
          <w:tcPr>
            <w:tcW w:w="851" w:type="dxa"/>
            <w:shd w:val="clear" w:color="auto" w:fill="C4EFCE"/>
            <w:noWrap/>
            <w:tcMar>
              <w:left w:w="28" w:type="dxa"/>
              <w:right w:w="28" w:type="dxa"/>
            </w:tcMar>
            <w:vAlign w:val="center"/>
          </w:tcPr>
          <w:p w14:paraId="44F95A3F"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912" w:type="dxa"/>
            <w:shd w:val="clear" w:color="auto" w:fill="C4EFCE"/>
            <w:noWrap/>
            <w:tcMar>
              <w:left w:w="28" w:type="dxa"/>
              <w:right w:w="28" w:type="dxa"/>
            </w:tcMar>
            <w:vAlign w:val="center"/>
          </w:tcPr>
          <w:p w14:paraId="2D07F96E"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89" w:type="dxa"/>
            <w:shd w:val="clear" w:color="auto" w:fill="C4EFCE"/>
            <w:noWrap/>
            <w:tcMar>
              <w:left w:w="28" w:type="dxa"/>
              <w:right w:w="28" w:type="dxa"/>
            </w:tcMar>
            <w:vAlign w:val="center"/>
          </w:tcPr>
          <w:p w14:paraId="25F8C2EF"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770" w:type="dxa"/>
            <w:shd w:val="clear" w:color="auto" w:fill="C4EFCE"/>
            <w:noWrap/>
            <w:tcMar>
              <w:left w:w="28" w:type="dxa"/>
              <w:right w:w="28" w:type="dxa"/>
            </w:tcMar>
            <w:vAlign w:val="center"/>
          </w:tcPr>
          <w:p w14:paraId="535B19B9" w14:textId="05E3A2C9" w:rsidR="00387C70" w:rsidRPr="003F23AC" w:rsidRDefault="00FF0A91"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3. štvrťrok</w:t>
            </w:r>
          </w:p>
        </w:tc>
        <w:tc>
          <w:tcPr>
            <w:tcW w:w="505" w:type="dxa"/>
            <w:shd w:val="clear" w:color="auto" w:fill="C4EFCE"/>
            <w:noWrap/>
            <w:tcMar>
              <w:left w:w="28" w:type="dxa"/>
              <w:right w:w="28" w:type="dxa"/>
            </w:tcMar>
            <w:vAlign w:val="center"/>
          </w:tcPr>
          <w:p w14:paraId="68F6B24F" w14:textId="4C019A52"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2023</w:t>
            </w:r>
          </w:p>
        </w:tc>
        <w:tc>
          <w:tcPr>
            <w:tcW w:w="4395" w:type="dxa"/>
            <w:shd w:val="clear" w:color="auto" w:fill="C4EFCE"/>
            <w:tcMar>
              <w:left w:w="28" w:type="dxa"/>
              <w:right w:w="28" w:type="dxa"/>
            </w:tcMar>
          </w:tcPr>
          <w:p w14:paraId="02C4B5ED" w14:textId="7E0AD3C4" w:rsidR="00387C70" w:rsidRPr="003F23AC" w:rsidRDefault="000F5AA4" w:rsidP="003F23AC">
            <w:pPr>
              <w:pStyle w:val="P68B1DB1-Normal8"/>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Portugalské orgány zlepšia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zavedú primerané postupy na zníženie alebo zmiernenie rizika dvojitého financovania zavedením účinných systematických krížových kontrol žiadostí</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potenciálne financovanie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Mechanizmu na podporu obnovy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odolnosti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medzi Mechanizmom na podporu obnovy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odolnosti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inými programami Únie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 so zásadou správneho finančného riadenia.</w:t>
            </w:r>
          </w:p>
        </w:tc>
      </w:tr>
    </w:tbl>
    <w:p w14:paraId="43BA5E3A" w14:textId="40FA9800" w:rsidR="00387C70" w:rsidRPr="003F23AC" w:rsidRDefault="00387C70" w:rsidP="003F23AC">
      <w:pPr>
        <w:spacing w:before="40" w:after="0" w:line="259" w:lineRule="auto"/>
        <w:ind w:left="130" w:firstLine="720"/>
        <w:jc w:val="both"/>
        <w:outlineLvl w:val="1"/>
        <w:rPr>
          <w:rFonts w:ascii="Times New Roman" w:eastAsiaTheme="minorEastAsia" w:hAnsi="Times New Roman" w:cs="Times New Roman"/>
          <w:b/>
          <w:noProof/>
          <w:sz w:val="24"/>
          <w:u w:val="single"/>
          <w:lang w:val="sk-SK"/>
        </w:rPr>
        <w:sectPr w:rsidR="00387C70" w:rsidRPr="003F23AC" w:rsidSect="00587917">
          <w:headerReference w:type="even" r:id="rId386"/>
          <w:headerReference w:type="default" r:id="rId387"/>
          <w:footerReference w:type="even" r:id="rId388"/>
          <w:footerReference w:type="default" r:id="rId389"/>
          <w:headerReference w:type="first" r:id="rId390"/>
          <w:footerReference w:type="first" r:id="rId391"/>
          <w:pgSz w:w="16838" w:h="11906" w:orient="landscape"/>
          <w:pgMar w:top="1134" w:right="1134" w:bottom="1134" w:left="1134" w:header="567" w:footer="567" w:gutter="0"/>
          <w:cols w:space="708"/>
          <w:docGrid w:linePitch="360"/>
        </w:sectPr>
      </w:pPr>
    </w:p>
    <w:p w14:paraId="38339004" w14:textId="4450786D" w:rsidR="00387C70" w:rsidRPr="003F23AC" w:rsidRDefault="000F5AA4" w:rsidP="003F23AC">
      <w:pPr>
        <w:pStyle w:val="P68B1DB1-Normal3"/>
        <w:spacing w:before="40" w:after="0" w:line="259" w:lineRule="auto"/>
        <w:ind w:left="130" w:firstLine="720"/>
        <w:jc w:val="both"/>
        <w:outlineLvl w:val="1"/>
        <w:rPr>
          <w:rFonts w:eastAsiaTheme="majorEastAsia" w:cs="Times New Roman"/>
          <w:noProof/>
          <w:lang w:val="sk-SK"/>
        </w:rPr>
      </w:pPr>
      <w:r w:rsidRPr="003F23AC">
        <w:rPr>
          <w:rFonts w:cs="Times New Roman"/>
          <w:noProof/>
          <w:lang w:val="sk-SK"/>
        </w:rPr>
        <w:t>2. Odhadované celkové náklady na plán podpory obnovy</w:t>
      </w:r>
      <w:r w:rsidR="00A75B3C" w:rsidRPr="003F23AC">
        <w:rPr>
          <w:rFonts w:cs="Times New Roman"/>
          <w:noProof/>
          <w:lang w:val="sk-SK"/>
        </w:rPr>
        <w:t xml:space="preserve"> a </w:t>
      </w:r>
      <w:r w:rsidRPr="003F23AC">
        <w:rPr>
          <w:rFonts w:cs="Times New Roman"/>
          <w:noProof/>
          <w:lang w:val="sk-SK"/>
        </w:rPr>
        <w:t>odolnosti</w:t>
      </w:r>
    </w:p>
    <w:p w14:paraId="7A12B998" w14:textId="77777777" w:rsidR="00387C70" w:rsidRPr="003F23AC" w:rsidRDefault="00387C70" w:rsidP="003F23AC">
      <w:pPr>
        <w:jc w:val="both"/>
        <w:rPr>
          <w:rFonts w:ascii="Times New Roman" w:eastAsia="Calibri" w:hAnsi="Times New Roman" w:cs="Times New Roman"/>
          <w:noProof/>
          <w:sz w:val="24"/>
          <w:lang w:val="sk-SK"/>
        </w:rPr>
      </w:pPr>
    </w:p>
    <w:p w14:paraId="2D28C8C3" w14:textId="5CD9CC79" w:rsidR="00387C70" w:rsidRPr="003F23AC" w:rsidRDefault="000F5AA4" w:rsidP="003F23AC">
      <w:pPr>
        <w:pStyle w:val="P68B1DB1-Normal4"/>
        <w:spacing w:before="40" w:after="0" w:line="259" w:lineRule="auto"/>
        <w:jc w:val="both"/>
        <w:rPr>
          <w:rFonts w:eastAsia="Calibri" w:cs="Times New Roman"/>
          <w:noProof/>
          <w:lang w:val="sk-SK"/>
        </w:rPr>
      </w:pPr>
      <w:r w:rsidRPr="003F23AC">
        <w:rPr>
          <w:rFonts w:cs="Times New Roman"/>
          <w:noProof/>
          <w:lang w:val="sk-SK"/>
        </w:rPr>
        <w:t>Odhadované celkové náklady na plán obnovy</w:t>
      </w:r>
      <w:r w:rsidR="00A75B3C" w:rsidRPr="003F23AC">
        <w:rPr>
          <w:rFonts w:cs="Times New Roman"/>
          <w:noProof/>
          <w:lang w:val="sk-SK"/>
        </w:rPr>
        <w:t xml:space="preserve"> a </w:t>
      </w:r>
      <w:r w:rsidRPr="003F23AC">
        <w:rPr>
          <w:rFonts w:cs="Times New Roman"/>
          <w:noProof/>
          <w:lang w:val="sk-SK"/>
        </w:rPr>
        <w:t>odolnosti Portugalska predstavujú 22 215 870 313 EUR.</w:t>
      </w:r>
    </w:p>
    <w:p w14:paraId="10AABC7B" w14:textId="06AAFC1C" w:rsidR="00387C70" w:rsidRPr="003F23AC" w:rsidRDefault="000F5AA4" w:rsidP="003F23AC">
      <w:pPr>
        <w:pStyle w:val="P68B1DB1-Normal4"/>
        <w:spacing w:before="40" w:after="0" w:line="259" w:lineRule="auto"/>
        <w:jc w:val="both"/>
        <w:rPr>
          <w:rFonts w:eastAsia="Calibri" w:cs="Times New Roman"/>
          <w:noProof/>
          <w:lang w:val="sk-SK"/>
        </w:rPr>
      </w:pPr>
      <w:r w:rsidRPr="003F23AC">
        <w:rPr>
          <w:rFonts w:cs="Times New Roman"/>
          <w:noProof/>
          <w:lang w:val="sk-SK"/>
        </w:rPr>
        <w:t>Odhadované celkové náklady na kapitolu REPowerEU predstavujú 855 400 000 EUR. Konkrétne odhadované celkové náklady na opatrenia uvedené</w:t>
      </w:r>
      <w:r w:rsidR="00A75B3C" w:rsidRPr="003F23AC">
        <w:rPr>
          <w:rFonts w:cs="Times New Roman"/>
          <w:noProof/>
          <w:lang w:val="sk-SK"/>
        </w:rPr>
        <w:t xml:space="preserve"> v </w:t>
      </w:r>
      <w:r w:rsidRPr="003F23AC">
        <w:rPr>
          <w:rFonts w:cs="Times New Roman"/>
          <w:noProof/>
          <w:lang w:val="sk-SK"/>
        </w:rPr>
        <w:t>článku 21c ods. 3 písm. a) nariadenia (EÚ) 2023/435 predstavujú 0 EUR, zatiaľ čo náklady na iné opatrenia</w:t>
      </w:r>
      <w:r w:rsidR="00A75B3C" w:rsidRPr="003F23AC">
        <w:rPr>
          <w:rFonts w:cs="Times New Roman"/>
          <w:noProof/>
          <w:lang w:val="sk-SK"/>
        </w:rPr>
        <w:t xml:space="preserve"> v </w:t>
      </w:r>
      <w:r w:rsidRPr="003F23AC">
        <w:rPr>
          <w:rFonts w:cs="Times New Roman"/>
          <w:noProof/>
          <w:lang w:val="sk-SK"/>
        </w:rPr>
        <w:t>kapitole REPowerEU predstavujú 855 400 000 EUR.</w:t>
      </w:r>
    </w:p>
    <w:p w14:paraId="1303DF5E" w14:textId="77777777" w:rsidR="00387C70" w:rsidRPr="003F23AC" w:rsidRDefault="00387C70" w:rsidP="003F23AC">
      <w:pPr>
        <w:spacing w:before="40" w:after="0" w:line="259" w:lineRule="auto"/>
        <w:jc w:val="both"/>
        <w:outlineLvl w:val="1"/>
        <w:rPr>
          <w:rFonts w:ascii="Times New Roman" w:hAnsi="Times New Roman" w:cs="Times New Roman"/>
          <w:noProof/>
          <w:lang w:val="sk-SK"/>
        </w:rPr>
      </w:pPr>
    </w:p>
    <w:p w14:paraId="574E5CC7" w14:textId="77777777" w:rsidR="00A75B3C" w:rsidRPr="003F23AC" w:rsidRDefault="000F5AA4" w:rsidP="003F23AC">
      <w:pPr>
        <w:tabs>
          <w:tab w:val="num" w:pos="850"/>
        </w:tabs>
        <w:spacing w:before="360" w:after="0" w:line="259" w:lineRule="auto"/>
        <w:ind w:left="850" w:hanging="850"/>
        <w:jc w:val="both"/>
        <w:outlineLvl w:val="0"/>
        <w:rPr>
          <w:rFonts w:ascii="Times New Roman" w:hAnsi="Times New Roman" w:cs="Times New Roman"/>
          <w:b/>
          <w:smallCaps/>
          <w:noProof/>
          <w:sz w:val="24"/>
          <w:lang w:val="sk-SK"/>
        </w:rPr>
      </w:pPr>
      <w:r w:rsidRPr="003F23AC">
        <w:rPr>
          <w:rFonts w:ascii="Times New Roman" w:hAnsi="Times New Roman" w:cs="Times New Roman"/>
          <w:noProof/>
          <w:lang w:val="sk-SK"/>
        </w:rPr>
        <w:br w:type="page"/>
      </w:r>
      <w:r w:rsidRPr="003F23AC">
        <w:rPr>
          <w:rFonts w:ascii="Times New Roman" w:hAnsi="Times New Roman" w:cs="Times New Roman"/>
          <w:b/>
          <w:smallCaps/>
          <w:noProof/>
          <w:sz w:val="24"/>
          <w:lang w:val="sk-SK"/>
        </w:rPr>
        <w:t>ODDIEL 2: FINANČNÁ PODPORA</w:t>
      </w:r>
    </w:p>
    <w:p w14:paraId="59A0C11E" w14:textId="77777777" w:rsidR="00A75B3C" w:rsidRPr="003F23AC" w:rsidRDefault="000F5AA4" w:rsidP="003F23AC">
      <w:pPr>
        <w:pStyle w:val="P68B1DB1-Normal3"/>
        <w:numPr>
          <w:ilvl w:val="1"/>
          <w:numId w:val="46"/>
        </w:numPr>
        <w:spacing w:before="40" w:after="0" w:line="259" w:lineRule="auto"/>
        <w:jc w:val="both"/>
        <w:outlineLvl w:val="1"/>
        <w:rPr>
          <w:rFonts w:cs="Times New Roman"/>
          <w:noProof/>
          <w:lang w:val="sk-SK"/>
        </w:rPr>
      </w:pPr>
      <w:r w:rsidRPr="003F23AC">
        <w:rPr>
          <w:rFonts w:cs="Times New Roman"/>
          <w:noProof/>
          <w:lang w:val="sk-SK"/>
        </w:rPr>
        <w:t>Finančného príspevku</w:t>
      </w:r>
    </w:p>
    <w:p w14:paraId="2AEF47AF" w14:textId="744A18A7"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p w14:paraId="389DCB62" w14:textId="6FA3D2B0" w:rsidR="00387C70" w:rsidRPr="003F23AC" w:rsidRDefault="000F5AA4" w:rsidP="003F23AC">
      <w:pPr>
        <w:pStyle w:val="P68B1DB1-Normal4"/>
        <w:spacing w:before="40" w:after="160" w:line="259" w:lineRule="auto"/>
        <w:contextualSpacing/>
        <w:jc w:val="both"/>
        <w:rPr>
          <w:rFonts w:eastAsiaTheme="minorEastAsia" w:cs="Times New Roman"/>
          <w:noProof/>
          <w:lang w:val="sk-SK"/>
        </w:rPr>
      </w:pPr>
      <w:r w:rsidRPr="003F23AC">
        <w:rPr>
          <w:rFonts w:cs="Times New Roman"/>
          <w:noProof/>
          <w:lang w:val="sk-SK"/>
        </w:rPr>
        <w:t>Splátky uvedené</w:t>
      </w:r>
      <w:r w:rsidR="00A75B3C" w:rsidRPr="003F23AC">
        <w:rPr>
          <w:rFonts w:cs="Times New Roman"/>
          <w:noProof/>
          <w:lang w:val="sk-SK"/>
        </w:rPr>
        <w:t xml:space="preserve"> v </w:t>
      </w:r>
      <w:r w:rsidRPr="003F23AC">
        <w:rPr>
          <w:rFonts w:cs="Times New Roman"/>
          <w:noProof/>
          <w:lang w:val="sk-SK"/>
        </w:rPr>
        <w:t>článku 2 ods. 2 sú štruktúrované takto:</w:t>
      </w:r>
    </w:p>
    <w:p w14:paraId="18903B08" w14:textId="77777777"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p w14:paraId="28B75860" w14:textId="7A8C6D65" w:rsidR="00A75B3C" w:rsidRPr="003F23AC" w:rsidRDefault="000F5AA4" w:rsidP="003F23AC">
      <w:pPr>
        <w:pStyle w:val="P68B1DB1-Normal4"/>
        <w:numPr>
          <w:ilvl w:val="1"/>
          <w:numId w:val="19"/>
        </w:numPr>
        <w:spacing w:before="40" w:after="160" w:line="259" w:lineRule="auto"/>
        <w:contextualSpacing/>
        <w:jc w:val="both"/>
        <w:rPr>
          <w:rFonts w:cs="Times New Roman"/>
          <w:noProof/>
          <w:lang w:val="sk-SK"/>
        </w:rPr>
      </w:pPr>
      <w:r w:rsidRPr="003F23AC">
        <w:rPr>
          <w:rFonts w:cs="Times New Roman"/>
          <w:noProof/>
          <w:lang w:val="sk-SK"/>
        </w:rPr>
        <w:t xml:space="preserve"> Prvá žiadosť</w:t>
      </w:r>
      <w:r w:rsidR="00A75B3C" w:rsidRPr="003F23AC">
        <w:rPr>
          <w:rFonts w:cs="Times New Roman"/>
          <w:noProof/>
          <w:lang w:val="sk-SK"/>
        </w:rPr>
        <w:t xml:space="preserve"> o </w:t>
      </w:r>
      <w:r w:rsidRPr="003F23AC">
        <w:rPr>
          <w:rFonts w:cs="Times New Roman"/>
          <w:noProof/>
          <w:lang w:val="sk-SK"/>
        </w:rPr>
        <w:t>platbu (nenávratná podpora)</w:t>
      </w:r>
      <w:r w:rsidR="00A75B3C" w:rsidRPr="003F23AC">
        <w:rPr>
          <w:rFonts w:cs="Times New Roman"/>
          <w:noProof/>
          <w:lang w:val="sk-SK"/>
        </w:rPr>
        <w:t>:</w:t>
      </w:r>
    </w:p>
    <w:p w14:paraId="4AABD02B" w14:textId="78E29D3E"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tbl>
      <w:tblPr>
        <w:tblW w:w="95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760"/>
        <w:gridCol w:w="1520"/>
        <w:gridCol w:w="5060"/>
      </w:tblGrid>
      <w:tr w:rsidR="00387C70" w:rsidRPr="003F23AC" w14:paraId="46EFA30C" w14:textId="77777777">
        <w:trPr>
          <w:trHeight w:val="509"/>
          <w:tblHeader/>
        </w:trPr>
        <w:tc>
          <w:tcPr>
            <w:tcW w:w="1200" w:type="dxa"/>
            <w:vMerge w:val="restart"/>
            <w:shd w:val="clear" w:color="auto" w:fill="BDD7EE"/>
            <w:vAlign w:val="center"/>
            <w:hideMark/>
          </w:tcPr>
          <w:p w14:paraId="3C5DD9AA"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vMerge w:val="restart"/>
            <w:shd w:val="clear" w:color="auto" w:fill="BDD7EE"/>
            <w:vAlign w:val="center"/>
            <w:hideMark/>
          </w:tcPr>
          <w:p w14:paraId="777412A4"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vMerge w:val="restart"/>
            <w:shd w:val="clear" w:color="auto" w:fill="BDD7EE"/>
            <w:vAlign w:val="center"/>
            <w:hideMark/>
          </w:tcPr>
          <w:p w14:paraId="3AFC0D26"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vMerge w:val="restart"/>
            <w:shd w:val="clear" w:color="auto" w:fill="BDD7EE"/>
            <w:vAlign w:val="center"/>
            <w:hideMark/>
          </w:tcPr>
          <w:p w14:paraId="7291301C"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29D8F5D2" w14:textId="77777777">
        <w:trPr>
          <w:trHeight w:val="509"/>
          <w:tblHeader/>
        </w:trPr>
        <w:tc>
          <w:tcPr>
            <w:tcW w:w="1200" w:type="dxa"/>
            <w:vMerge/>
            <w:vAlign w:val="center"/>
            <w:hideMark/>
          </w:tcPr>
          <w:p w14:paraId="724EED61"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1760" w:type="dxa"/>
            <w:vMerge/>
            <w:vAlign w:val="center"/>
            <w:hideMark/>
          </w:tcPr>
          <w:p w14:paraId="58F5A343"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1520" w:type="dxa"/>
            <w:vMerge/>
            <w:vAlign w:val="center"/>
            <w:hideMark/>
          </w:tcPr>
          <w:p w14:paraId="62853973"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5060" w:type="dxa"/>
            <w:vMerge/>
            <w:vAlign w:val="center"/>
            <w:hideMark/>
          </w:tcPr>
          <w:p w14:paraId="2BF9D123"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r>
      <w:tr w:rsidR="00387C70" w:rsidRPr="003F23AC" w14:paraId="6BFB7F1C" w14:textId="77777777">
        <w:trPr>
          <w:trHeight w:val="440"/>
        </w:trPr>
        <w:tc>
          <w:tcPr>
            <w:tcW w:w="1200" w:type="dxa"/>
            <w:shd w:val="clear" w:color="auto" w:fill="C4EFCE"/>
            <w:vAlign w:val="center"/>
            <w:hideMark/>
          </w:tcPr>
          <w:p w14:paraId="035B456C"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1.29</w:t>
            </w:r>
          </w:p>
        </w:tc>
        <w:tc>
          <w:tcPr>
            <w:tcW w:w="1760" w:type="dxa"/>
            <w:shd w:val="clear" w:color="auto" w:fill="C4EFCE"/>
            <w:vAlign w:val="center"/>
            <w:hideMark/>
          </w:tcPr>
          <w:p w14:paraId="5F82E253" w14:textId="1B7A0147"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C01-i05-RAM </w:t>
            </w:r>
          </w:p>
        </w:tc>
        <w:tc>
          <w:tcPr>
            <w:tcW w:w="1520" w:type="dxa"/>
            <w:shd w:val="clear" w:color="auto" w:fill="C4EFCE"/>
            <w:vAlign w:val="center"/>
            <w:hideMark/>
          </w:tcPr>
          <w:p w14:paraId="3B317CCB"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748D4E23" w14:textId="74B365A2"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Zavedenie klasifikačného systému, funkčného profilu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referenčného systému používateľov pre regionálny model služieb integrovanej nepretržitej starostlivosti na Madeire</w:t>
            </w:r>
          </w:p>
        </w:tc>
      </w:tr>
      <w:tr w:rsidR="00387C70" w:rsidRPr="003F23AC" w14:paraId="3069A8FF" w14:textId="77777777">
        <w:trPr>
          <w:trHeight w:val="440"/>
        </w:trPr>
        <w:tc>
          <w:tcPr>
            <w:tcW w:w="1200" w:type="dxa"/>
            <w:shd w:val="clear" w:color="auto" w:fill="C4EFCE"/>
            <w:vAlign w:val="center"/>
            <w:hideMark/>
          </w:tcPr>
          <w:p w14:paraId="2A4852AE"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1.4</w:t>
            </w:r>
          </w:p>
        </w:tc>
        <w:tc>
          <w:tcPr>
            <w:tcW w:w="1760" w:type="dxa"/>
            <w:shd w:val="clear" w:color="auto" w:fill="C4EFCE"/>
            <w:vAlign w:val="center"/>
            <w:hideMark/>
          </w:tcPr>
          <w:p w14:paraId="33989A47" w14:textId="4EDE02E9"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C01-r02 </w:t>
            </w:r>
          </w:p>
        </w:tc>
        <w:tc>
          <w:tcPr>
            <w:tcW w:w="1520" w:type="dxa"/>
            <w:shd w:val="clear" w:color="auto" w:fill="C4EFCE"/>
            <w:vAlign w:val="center"/>
            <w:hideMark/>
          </w:tcPr>
          <w:p w14:paraId="0063710F"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01F50912" w14:textId="170AE71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nového zákonného dekrétu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duševnom zdraví,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ktorom sa stanovia zásady organizácie služieb starostlivosti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duševné zdravie</w:t>
            </w:r>
          </w:p>
        </w:tc>
      </w:tr>
      <w:tr w:rsidR="00387C70" w:rsidRPr="003F23AC" w14:paraId="2344BBFE" w14:textId="77777777">
        <w:trPr>
          <w:trHeight w:val="440"/>
        </w:trPr>
        <w:tc>
          <w:tcPr>
            <w:tcW w:w="1200" w:type="dxa"/>
            <w:shd w:val="clear" w:color="auto" w:fill="C4EFCE"/>
            <w:vAlign w:val="center"/>
            <w:hideMark/>
          </w:tcPr>
          <w:p w14:paraId="6084FBFD"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2.13</w:t>
            </w:r>
          </w:p>
        </w:tc>
        <w:tc>
          <w:tcPr>
            <w:tcW w:w="1760" w:type="dxa"/>
            <w:shd w:val="clear" w:color="auto" w:fill="C4EFCE"/>
            <w:vAlign w:val="center"/>
            <w:hideMark/>
          </w:tcPr>
          <w:p w14:paraId="68C41028" w14:textId="6358785B"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C02-i04-RAA </w:t>
            </w:r>
          </w:p>
        </w:tc>
        <w:tc>
          <w:tcPr>
            <w:tcW w:w="1520" w:type="dxa"/>
            <w:shd w:val="clear" w:color="auto" w:fill="C4EFCE"/>
            <w:vAlign w:val="center"/>
            <w:hideMark/>
          </w:tcPr>
          <w:p w14:paraId="44ACBEA0" w14:textId="2DCEB2AF"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3219CFC6" w14:textId="6EE2C7A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Zásahy do bytového fondu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autonómnej oblasti Azory</w:t>
            </w:r>
          </w:p>
        </w:tc>
      </w:tr>
      <w:tr w:rsidR="00387C70" w:rsidRPr="003F23AC" w14:paraId="3FC1CC3B" w14:textId="77777777">
        <w:trPr>
          <w:trHeight w:val="440"/>
        </w:trPr>
        <w:tc>
          <w:tcPr>
            <w:tcW w:w="1200" w:type="dxa"/>
            <w:shd w:val="clear" w:color="auto" w:fill="C4EFCE"/>
            <w:vAlign w:val="center"/>
            <w:hideMark/>
          </w:tcPr>
          <w:p w14:paraId="1EECC9AE"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2.14</w:t>
            </w:r>
          </w:p>
        </w:tc>
        <w:tc>
          <w:tcPr>
            <w:tcW w:w="1760" w:type="dxa"/>
            <w:shd w:val="clear" w:color="auto" w:fill="C4EFCE"/>
            <w:vAlign w:val="center"/>
            <w:hideMark/>
          </w:tcPr>
          <w:p w14:paraId="7D01D9D8" w14:textId="3F0A61C6"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C02-i04-RAA </w:t>
            </w:r>
          </w:p>
        </w:tc>
        <w:tc>
          <w:tcPr>
            <w:tcW w:w="1520" w:type="dxa"/>
            <w:shd w:val="clear" w:color="auto" w:fill="C4EFCE"/>
            <w:vAlign w:val="center"/>
            <w:hideMark/>
          </w:tcPr>
          <w:p w14:paraId="4B0F382B" w14:textId="1EDDD658"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21EA9779"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Zásahy do bytového fondu autonómneho regiónu Azory – renovácia</w:t>
            </w:r>
          </w:p>
        </w:tc>
      </w:tr>
      <w:tr w:rsidR="00387C70" w:rsidRPr="003F23AC" w14:paraId="27E2DD10" w14:textId="77777777">
        <w:trPr>
          <w:trHeight w:val="440"/>
        </w:trPr>
        <w:tc>
          <w:tcPr>
            <w:tcW w:w="1200" w:type="dxa"/>
            <w:shd w:val="clear" w:color="auto" w:fill="C4EFCE"/>
            <w:vAlign w:val="center"/>
            <w:hideMark/>
          </w:tcPr>
          <w:p w14:paraId="08C4D405"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2.19</w:t>
            </w:r>
          </w:p>
        </w:tc>
        <w:tc>
          <w:tcPr>
            <w:tcW w:w="1760" w:type="dxa"/>
            <w:shd w:val="clear" w:color="auto" w:fill="C4EFCE"/>
            <w:vAlign w:val="center"/>
            <w:hideMark/>
          </w:tcPr>
          <w:p w14:paraId="02067C77" w14:textId="50829839"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C02-r04 </w:t>
            </w:r>
          </w:p>
        </w:tc>
        <w:tc>
          <w:tcPr>
            <w:tcW w:w="1520" w:type="dxa"/>
            <w:shd w:val="clear" w:color="auto" w:fill="C4EFCE"/>
            <w:vAlign w:val="center"/>
            <w:hideMark/>
          </w:tcPr>
          <w:p w14:paraId="4DE1A0FE"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63EA2037" w14:textId="6BBA77D6"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zákonného dekrétu, ktorým sa schvaľuje právny rámec národného naliehavého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dočasného plánu bývania</w:t>
            </w:r>
          </w:p>
        </w:tc>
      </w:tr>
      <w:tr w:rsidR="00387C70" w:rsidRPr="003F23AC" w14:paraId="1A823EEC" w14:textId="77777777">
        <w:trPr>
          <w:trHeight w:val="440"/>
        </w:trPr>
        <w:tc>
          <w:tcPr>
            <w:tcW w:w="1200" w:type="dxa"/>
            <w:shd w:val="clear" w:color="auto" w:fill="C4EFCE"/>
            <w:vAlign w:val="center"/>
            <w:hideMark/>
          </w:tcPr>
          <w:p w14:paraId="454764B0"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3.17</w:t>
            </w:r>
          </w:p>
        </w:tc>
        <w:tc>
          <w:tcPr>
            <w:tcW w:w="1760" w:type="dxa"/>
            <w:shd w:val="clear" w:color="auto" w:fill="C4EFCE"/>
            <w:vAlign w:val="center"/>
            <w:hideMark/>
          </w:tcPr>
          <w:p w14:paraId="5EEE7E6A" w14:textId="264A0680"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C03-i05 </w:t>
            </w:r>
          </w:p>
        </w:tc>
        <w:tc>
          <w:tcPr>
            <w:tcW w:w="1520" w:type="dxa"/>
            <w:shd w:val="clear" w:color="auto" w:fill="C4EFCE"/>
            <w:vAlign w:val="center"/>
            <w:hideMark/>
          </w:tcPr>
          <w:p w14:paraId="7E749779"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59E3FD88"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Uverejnenie ponuky na „Budovanie digitálnej infraštruktúry pre prístupnosť 360°“</w:t>
            </w:r>
          </w:p>
        </w:tc>
      </w:tr>
      <w:tr w:rsidR="00387C70" w:rsidRPr="003F23AC" w14:paraId="4A7CD219" w14:textId="77777777">
        <w:trPr>
          <w:trHeight w:val="440"/>
        </w:trPr>
        <w:tc>
          <w:tcPr>
            <w:tcW w:w="1200" w:type="dxa"/>
            <w:shd w:val="clear" w:color="auto" w:fill="C4EFCE"/>
            <w:vAlign w:val="center"/>
            <w:hideMark/>
          </w:tcPr>
          <w:p w14:paraId="11B4A886"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3.20</w:t>
            </w:r>
          </w:p>
        </w:tc>
        <w:tc>
          <w:tcPr>
            <w:tcW w:w="1760" w:type="dxa"/>
            <w:shd w:val="clear" w:color="auto" w:fill="C4EFCE"/>
            <w:vAlign w:val="center"/>
            <w:hideMark/>
          </w:tcPr>
          <w:p w14:paraId="5AB1C66A" w14:textId="651DD46F"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C03-r08 </w:t>
            </w:r>
          </w:p>
        </w:tc>
        <w:tc>
          <w:tcPr>
            <w:tcW w:w="1520" w:type="dxa"/>
            <w:shd w:val="clear" w:color="auto" w:fill="C4EFCE"/>
            <w:vAlign w:val="center"/>
            <w:hideMark/>
          </w:tcPr>
          <w:p w14:paraId="7115B103"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6834BE7E"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Prijatie národnej stratégie boja proti chudobe</w:t>
            </w:r>
          </w:p>
        </w:tc>
      </w:tr>
      <w:tr w:rsidR="00387C70" w:rsidRPr="003F23AC" w14:paraId="1EA1FEC6" w14:textId="77777777">
        <w:trPr>
          <w:trHeight w:val="440"/>
        </w:trPr>
        <w:tc>
          <w:tcPr>
            <w:tcW w:w="1200" w:type="dxa"/>
            <w:shd w:val="clear" w:color="auto" w:fill="C4EFCE"/>
            <w:vAlign w:val="center"/>
            <w:hideMark/>
          </w:tcPr>
          <w:p w14:paraId="3194D942"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3.21</w:t>
            </w:r>
          </w:p>
        </w:tc>
        <w:tc>
          <w:tcPr>
            <w:tcW w:w="1760" w:type="dxa"/>
            <w:shd w:val="clear" w:color="auto" w:fill="C4EFCE"/>
            <w:vAlign w:val="center"/>
            <w:hideMark/>
          </w:tcPr>
          <w:p w14:paraId="365F7A17" w14:textId="6E45842E"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C03-r06 </w:t>
            </w:r>
          </w:p>
        </w:tc>
        <w:tc>
          <w:tcPr>
            <w:tcW w:w="1520" w:type="dxa"/>
            <w:shd w:val="clear" w:color="auto" w:fill="C4EFCE"/>
            <w:vAlign w:val="center"/>
            <w:hideMark/>
          </w:tcPr>
          <w:p w14:paraId="07DB9847"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0E6DA00E"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Prijatie národnej stratégie začleňovania osôb so zdravotným postihnutím na roky 2021 – 2025</w:t>
            </w:r>
          </w:p>
        </w:tc>
      </w:tr>
      <w:tr w:rsidR="00387C70" w:rsidRPr="003F23AC" w14:paraId="35F21874" w14:textId="77777777">
        <w:trPr>
          <w:trHeight w:val="440"/>
        </w:trPr>
        <w:tc>
          <w:tcPr>
            <w:tcW w:w="1200" w:type="dxa"/>
            <w:shd w:val="clear" w:color="auto" w:fill="C4EFCE"/>
            <w:vAlign w:val="center"/>
            <w:hideMark/>
          </w:tcPr>
          <w:p w14:paraId="47B7A28F"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3.22</w:t>
            </w:r>
          </w:p>
        </w:tc>
        <w:tc>
          <w:tcPr>
            <w:tcW w:w="1760" w:type="dxa"/>
            <w:shd w:val="clear" w:color="auto" w:fill="C4EFCE"/>
            <w:vAlign w:val="center"/>
            <w:hideMark/>
          </w:tcPr>
          <w:p w14:paraId="6AE41D5D" w14:textId="46928E9E"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C03-r05 </w:t>
            </w:r>
          </w:p>
        </w:tc>
        <w:tc>
          <w:tcPr>
            <w:tcW w:w="1520" w:type="dxa"/>
            <w:shd w:val="clear" w:color="auto" w:fill="C4EFCE"/>
            <w:vAlign w:val="center"/>
            <w:hideMark/>
          </w:tcPr>
          <w:p w14:paraId="4C477BAF"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6D60CF00"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zjednodušeného režimu inštalácií sociálneho vybavenia</w:t>
            </w:r>
          </w:p>
        </w:tc>
      </w:tr>
      <w:tr w:rsidR="00387C70" w:rsidRPr="003F23AC" w14:paraId="4430CD28" w14:textId="77777777">
        <w:trPr>
          <w:trHeight w:val="440"/>
        </w:trPr>
        <w:tc>
          <w:tcPr>
            <w:tcW w:w="1200" w:type="dxa"/>
            <w:shd w:val="clear" w:color="auto" w:fill="C4EFCE"/>
            <w:vAlign w:val="center"/>
            <w:hideMark/>
          </w:tcPr>
          <w:p w14:paraId="23A0F1E2"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3.23</w:t>
            </w:r>
          </w:p>
        </w:tc>
        <w:tc>
          <w:tcPr>
            <w:tcW w:w="1760" w:type="dxa"/>
            <w:shd w:val="clear" w:color="auto" w:fill="C4EFCE"/>
            <w:vAlign w:val="center"/>
            <w:hideMark/>
          </w:tcPr>
          <w:p w14:paraId="706C3979" w14:textId="70160CCC"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C03-r07 </w:t>
            </w:r>
          </w:p>
        </w:tc>
        <w:tc>
          <w:tcPr>
            <w:tcW w:w="1520" w:type="dxa"/>
            <w:shd w:val="clear" w:color="auto" w:fill="C4EFCE"/>
            <w:vAlign w:val="center"/>
            <w:hideMark/>
          </w:tcPr>
          <w:p w14:paraId="02E5D703"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467651E6" w14:textId="3075F2F9"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Schválenie akčných plánov pre znevýhodnené komunity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metropolitných oblastiach Lisabon</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Porto</w:t>
            </w:r>
          </w:p>
        </w:tc>
      </w:tr>
      <w:tr w:rsidR="00387C70" w:rsidRPr="003F23AC" w14:paraId="0188275D" w14:textId="77777777">
        <w:trPr>
          <w:trHeight w:val="440"/>
        </w:trPr>
        <w:tc>
          <w:tcPr>
            <w:tcW w:w="1200" w:type="dxa"/>
            <w:shd w:val="clear" w:color="auto" w:fill="C4EFCE"/>
            <w:vAlign w:val="center"/>
            <w:hideMark/>
          </w:tcPr>
          <w:p w14:paraId="1F3B57E4"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5.1</w:t>
            </w:r>
          </w:p>
        </w:tc>
        <w:tc>
          <w:tcPr>
            <w:tcW w:w="1760" w:type="dxa"/>
            <w:shd w:val="clear" w:color="auto" w:fill="C4EFCE"/>
            <w:vAlign w:val="center"/>
            <w:hideMark/>
          </w:tcPr>
          <w:p w14:paraId="42A78FEF" w14:textId="2B6E5FB6"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C05-r09 </w:t>
            </w:r>
          </w:p>
        </w:tc>
        <w:tc>
          <w:tcPr>
            <w:tcW w:w="1520" w:type="dxa"/>
            <w:shd w:val="clear" w:color="auto" w:fill="C4EFCE"/>
            <w:vAlign w:val="center"/>
            <w:hideMark/>
          </w:tcPr>
          <w:p w14:paraId="31498FF4"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6E244C18" w14:textId="1C98FBD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Aktualizácia usmernení</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stratégii pre technologické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podnikateľské inovácie pre Portugalsko do roku 2030</w:t>
            </w:r>
          </w:p>
        </w:tc>
      </w:tr>
      <w:tr w:rsidR="00387C70" w:rsidRPr="003F23AC" w14:paraId="78C3ED81" w14:textId="77777777">
        <w:trPr>
          <w:trHeight w:val="440"/>
        </w:trPr>
        <w:tc>
          <w:tcPr>
            <w:tcW w:w="1200" w:type="dxa"/>
            <w:shd w:val="clear" w:color="auto" w:fill="C4EFCE"/>
            <w:vAlign w:val="center"/>
            <w:hideMark/>
          </w:tcPr>
          <w:p w14:paraId="5F5ACAF6"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5.11</w:t>
            </w:r>
          </w:p>
        </w:tc>
        <w:tc>
          <w:tcPr>
            <w:tcW w:w="1760" w:type="dxa"/>
            <w:shd w:val="clear" w:color="auto" w:fill="C4EFCE"/>
            <w:vAlign w:val="center"/>
            <w:hideMark/>
          </w:tcPr>
          <w:p w14:paraId="392937B4" w14:textId="615EA2E0"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C05-i03 </w:t>
            </w:r>
          </w:p>
        </w:tc>
        <w:tc>
          <w:tcPr>
            <w:tcW w:w="1520" w:type="dxa"/>
            <w:shd w:val="clear" w:color="auto" w:fill="C4EFCE"/>
            <w:vAlign w:val="center"/>
            <w:hideMark/>
          </w:tcPr>
          <w:p w14:paraId="7D4ACEC0"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39EA9E33" w14:textId="7E89BD0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Postup verejného obstarávania na výskumné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inovačné projekty</w:t>
            </w:r>
          </w:p>
        </w:tc>
      </w:tr>
      <w:tr w:rsidR="00387C70" w:rsidRPr="003F23AC" w14:paraId="1D0B4AB1" w14:textId="77777777">
        <w:trPr>
          <w:trHeight w:val="440"/>
        </w:trPr>
        <w:tc>
          <w:tcPr>
            <w:tcW w:w="1200" w:type="dxa"/>
            <w:shd w:val="clear" w:color="auto" w:fill="C4EFCE"/>
            <w:vAlign w:val="center"/>
            <w:hideMark/>
          </w:tcPr>
          <w:p w14:paraId="0F7B6C0C"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5.15</w:t>
            </w:r>
          </w:p>
        </w:tc>
        <w:tc>
          <w:tcPr>
            <w:tcW w:w="1760" w:type="dxa"/>
            <w:shd w:val="clear" w:color="auto" w:fill="C4EFCE"/>
            <w:vAlign w:val="center"/>
            <w:hideMark/>
          </w:tcPr>
          <w:p w14:paraId="0CECB758" w14:textId="11F6CFE6"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C05-i04-RAA </w:t>
            </w:r>
          </w:p>
        </w:tc>
        <w:tc>
          <w:tcPr>
            <w:tcW w:w="1520" w:type="dxa"/>
            <w:shd w:val="clear" w:color="auto" w:fill="C4EFCE"/>
            <w:vAlign w:val="center"/>
            <w:hideMark/>
          </w:tcPr>
          <w:p w14:paraId="70425A2C"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3C8A3475" w14:textId="698BEA82"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Prijatie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nástroji rekapitalizácie podnikov na Azorských ostrovoch</w:t>
            </w:r>
          </w:p>
        </w:tc>
      </w:tr>
      <w:tr w:rsidR="00387C70" w:rsidRPr="003F23AC" w14:paraId="176FDD0D" w14:textId="77777777">
        <w:trPr>
          <w:trHeight w:val="440"/>
        </w:trPr>
        <w:tc>
          <w:tcPr>
            <w:tcW w:w="1200" w:type="dxa"/>
            <w:shd w:val="clear" w:color="auto" w:fill="C4EFCE"/>
            <w:vAlign w:val="center"/>
            <w:hideMark/>
          </w:tcPr>
          <w:p w14:paraId="553D2824"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5.16</w:t>
            </w:r>
          </w:p>
        </w:tc>
        <w:tc>
          <w:tcPr>
            <w:tcW w:w="1760" w:type="dxa"/>
            <w:shd w:val="clear" w:color="auto" w:fill="C4EFCE"/>
            <w:vAlign w:val="center"/>
            <w:hideMark/>
          </w:tcPr>
          <w:p w14:paraId="2639BDA1" w14:textId="40FFAA1E"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C05-i04-RAA </w:t>
            </w:r>
          </w:p>
        </w:tc>
        <w:tc>
          <w:tcPr>
            <w:tcW w:w="1520" w:type="dxa"/>
            <w:shd w:val="clear" w:color="auto" w:fill="C4EFCE"/>
            <w:vAlign w:val="center"/>
            <w:hideMark/>
          </w:tcPr>
          <w:p w14:paraId="102C8715"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1746EFF2"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Prijatie investičnej politiky pre nástroj rekapitalizácie podnikov na Azorských ostrovoch</w:t>
            </w:r>
          </w:p>
        </w:tc>
      </w:tr>
      <w:tr w:rsidR="00387C70" w:rsidRPr="003F23AC" w14:paraId="07EDB729" w14:textId="77777777">
        <w:trPr>
          <w:trHeight w:val="440"/>
        </w:trPr>
        <w:tc>
          <w:tcPr>
            <w:tcW w:w="1200" w:type="dxa"/>
            <w:shd w:val="clear" w:color="auto" w:fill="C4EFCE"/>
            <w:vAlign w:val="center"/>
            <w:hideMark/>
          </w:tcPr>
          <w:p w14:paraId="397FEFCC"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5.2</w:t>
            </w:r>
          </w:p>
        </w:tc>
        <w:tc>
          <w:tcPr>
            <w:tcW w:w="1760" w:type="dxa"/>
            <w:shd w:val="clear" w:color="auto" w:fill="C4EFCE"/>
            <w:vAlign w:val="center"/>
            <w:hideMark/>
          </w:tcPr>
          <w:p w14:paraId="7C1F4829" w14:textId="22E9F4A7"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C05-r11 </w:t>
            </w:r>
          </w:p>
        </w:tc>
        <w:tc>
          <w:tcPr>
            <w:tcW w:w="1520" w:type="dxa"/>
            <w:shd w:val="clear" w:color="auto" w:fill="C4EFCE"/>
            <w:vAlign w:val="center"/>
            <w:hideMark/>
          </w:tcPr>
          <w:p w14:paraId="5720520B" w14:textId="7B14450B"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0DF8414C"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Rozšírenie siete uznávaných kolaboratívnych laboratórií</w:t>
            </w:r>
          </w:p>
        </w:tc>
      </w:tr>
      <w:tr w:rsidR="00387C70" w:rsidRPr="003F23AC" w14:paraId="5A009809" w14:textId="77777777">
        <w:trPr>
          <w:trHeight w:val="440"/>
        </w:trPr>
        <w:tc>
          <w:tcPr>
            <w:tcW w:w="1200" w:type="dxa"/>
            <w:shd w:val="clear" w:color="auto" w:fill="C4EFCE"/>
            <w:vAlign w:val="center"/>
            <w:hideMark/>
          </w:tcPr>
          <w:p w14:paraId="45985C5D"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5.3</w:t>
            </w:r>
          </w:p>
        </w:tc>
        <w:tc>
          <w:tcPr>
            <w:tcW w:w="1760" w:type="dxa"/>
            <w:shd w:val="clear" w:color="auto" w:fill="C4EFCE"/>
            <w:vAlign w:val="center"/>
            <w:hideMark/>
          </w:tcPr>
          <w:p w14:paraId="011C25AB" w14:textId="439E7BED"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C05-r11 </w:t>
            </w:r>
          </w:p>
        </w:tc>
        <w:tc>
          <w:tcPr>
            <w:tcW w:w="1520" w:type="dxa"/>
            <w:shd w:val="clear" w:color="auto" w:fill="C4EFCE"/>
            <w:vAlign w:val="center"/>
            <w:hideMark/>
          </w:tcPr>
          <w:p w14:paraId="2FDDC858"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6A5BACC9" w14:textId="0FAC555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nového právneho režimu pre technologické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inovačné centrá</w:t>
            </w:r>
          </w:p>
        </w:tc>
      </w:tr>
      <w:tr w:rsidR="00387C70" w:rsidRPr="003F23AC" w14:paraId="19FDD4F0" w14:textId="77777777">
        <w:trPr>
          <w:trHeight w:val="440"/>
        </w:trPr>
        <w:tc>
          <w:tcPr>
            <w:tcW w:w="1200" w:type="dxa"/>
            <w:shd w:val="clear" w:color="auto" w:fill="C4EFCE"/>
            <w:vAlign w:val="center"/>
            <w:hideMark/>
          </w:tcPr>
          <w:p w14:paraId="63D580E9"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5.4</w:t>
            </w:r>
          </w:p>
        </w:tc>
        <w:tc>
          <w:tcPr>
            <w:tcW w:w="1760" w:type="dxa"/>
            <w:shd w:val="clear" w:color="auto" w:fill="C4EFCE"/>
            <w:vAlign w:val="center"/>
            <w:hideMark/>
          </w:tcPr>
          <w:p w14:paraId="10BF5D37" w14:textId="0954E7C4"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C05-r12 </w:t>
            </w:r>
          </w:p>
        </w:tc>
        <w:tc>
          <w:tcPr>
            <w:tcW w:w="1520" w:type="dxa"/>
            <w:shd w:val="clear" w:color="auto" w:fill="C4EFCE"/>
            <w:vAlign w:val="center"/>
            <w:hideMark/>
          </w:tcPr>
          <w:p w14:paraId="1867B00B"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5CD95E27"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Schválenie inovačného programu pre poľnohospodárstvo</w:t>
            </w:r>
          </w:p>
        </w:tc>
      </w:tr>
      <w:tr w:rsidR="00387C70" w:rsidRPr="003F23AC" w14:paraId="12F9AFB2" w14:textId="77777777">
        <w:trPr>
          <w:trHeight w:val="440"/>
        </w:trPr>
        <w:tc>
          <w:tcPr>
            <w:tcW w:w="1200" w:type="dxa"/>
            <w:shd w:val="clear" w:color="auto" w:fill="C4EFCE"/>
            <w:vAlign w:val="center"/>
            <w:hideMark/>
          </w:tcPr>
          <w:p w14:paraId="39DEBBB4"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6.13</w:t>
            </w:r>
          </w:p>
        </w:tc>
        <w:tc>
          <w:tcPr>
            <w:tcW w:w="1760" w:type="dxa"/>
            <w:shd w:val="clear" w:color="auto" w:fill="C4EFCE"/>
            <w:vAlign w:val="center"/>
            <w:hideMark/>
          </w:tcPr>
          <w:p w14:paraId="30D3AAEE" w14:textId="124479EA"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C06-r15 </w:t>
            </w:r>
          </w:p>
        </w:tc>
        <w:tc>
          <w:tcPr>
            <w:tcW w:w="1520" w:type="dxa"/>
            <w:shd w:val="clear" w:color="auto" w:fill="C4EFCE"/>
            <w:vAlign w:val="center"/>
            <w:hideMark/>
          </w:tcPr>
          <w:p w14:paraId="43512B53"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1BF7F834"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zákona, ktorým sa zriaďujú špeciálne výberové konania na prijatie na vysokoškolské vzdelávanie</w:t>
            </w:r>
          </w:p>
        </w:tc>
      </w:tr>
      <w:tr w:rsidR="00387C70" w:rsidRPr="003F23AC" w14:paraId="61C18867" w14:textId="77777777">
        <w:trPr>
          <w:trHeight w:val="440"/>
        </w:trPr>
        <w:tc>
          <w:tcPr>
            <w:tcW w:w="1200" w:type="dxa"/>
            <w:shd w:val="clear" w:color="auto" w:fill="C4EFCE"/>
            <w:vAlign w:val="center"/>
            <w:hideMark/>
          </w:tcPr>
          <w:p w14:paraId="0FD5FA1D"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6.14</w:t>
            </w:r>
          </w:p>
        </w:tc>
        <w:tc>
          <w:tcPr>
            <w:tcW w:w="1760" w:type="dxa"/>
            <w:shd w:val="clear" w:color="auto" w:fill="C4EFCE"/>
            <w:vAlign w:val="center"/>
            <w:hideMark/>
          </w:tcPr>
          <w:p w14:paraId="1EE8D1BA" w14:textId="3E89FD24"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C06-r15 </w:t>
            </w:r>
          </w:p>
        </w:tc>
        <w:tc>
          <w:tcPr>
            <w:tcW w:w="1520" w:type="dxa"/>
            <w:shd w:val="clear" w:color="auto" w:fill="C4EFCE"/>
            <w:vAlign w:val="center"/>
            <w:hideMark/>
          </w:tcPr>
          <w:p w14:paraId="64C27FF8"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14B43E2A" w14:textId="13853312"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nového právneho rámca, ktorým sa riadi spolupráca inštitúcií vysokoškolského vzdelávania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verejnou správou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podnikmi</w:t>
            </w:r>
          </w:p>
        </w:tc>
      </w:tr>
      <w:tr w:rsidR="00387C70" w:rsidRPr="003F23AC" w14:paraId="4A58B578" w14:textId="77777777">
        <w:trPr>
          <w:trHeight w:val="440"/>
        </w:trPr>
        <w:tc>
          <w:tcPr>
            <w:tcW w:w="1200" w:type="dxa"/>
            <w:shd w:val="clear" w:color="auto" w:fill="C4EFCE"/>
            <w:vAlign w:val="center"/>
            <w:hideMark/>
          </w:tcPr>
          <w:p w14:paraId="589ACBA1"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7.13</w:t>
            </w:r>
          </w:p>
        </w:tc>
        <w:tc>
          <w:tcPr>
            <w:tcW w:w="1760" w:type="dxa"/>
            <w:shd w:val="clear" w:color="auto" w:fill="C4EFCE"/>
            <w:vAlign w:val="center"/>
            <w:hideMark/>
          </w:tcPr>
          <w:p w14:paraId="4582D520" w14:textId="641F48CA"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C07-i05-RAA </w:t>
            </w:r>
          </w:p>
        </w:tc>
        <w:tc>
          <w:tcPr>
            <w:tcW w:w="1520" w:type="dxa"/>
            <w:shd w:val="clear" w:color="auto" w:fill="C4EFCE"/>
            <w:vAlign w:val="center"/>
            <w:hideMark/>
          </w:tcPr>
          <w:p w14:paraId="47370D35"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26028944" w14:textId="2CEDF0B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Zmluva podpísaná pre dva projekty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cestnej dopravy</w:t>
            </w:r>
          </w:p>
        </w:tc>
      </w:tr>
      <w:tr w:rsidR="00387C70" w:rsidRPr="003F23AC" w14:paraId="5A75393F" w14:textId="77777777">
        <w:trPr>
          <w:trHeight w:val="440"/>
        </w:trPr>
        <w:tc>
          <w:tcPr>
            <w:tcW w:w="1200" w:type="dxa"/>
            <w:shd w:val="clear" w:color="auto" w:fill="C4EFCE"/>
            <w:vAlign w:val="center"/>
            <w:hideMark/>
          </w:tcPr>
          <w:p w14:paraId="4836862C"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7.4</w:t>
            </w:r>
          </w:p>
        </w:tc>
        <w:tc>
          <w:tcPr>
            <w:tcW w:w="1760" w:type="dxa"/>
            <w:shd w:val="clear" w:color="auto" w:fill="C4EFCE"/>
            <w:vAlign w:val="center"/>
            <w:hideMark/>
          </w:tcPr>
          <w:p w14:paraId="6EC62E0F" w14:textId="50C2DCD4"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C07-i01 </w:t>
            </w:r>
          </w:p>
        </w:tc>
        <w:tc>
          <w:tcPr>
            <w:tcW w:w="1520" w:type="dxa"/>
            <w:shd w:val="clear" w:color="auto" w:fill="C4EFCE"/>
            <w:vAlign w:val="center"/>
            <w:hideMark/>
          </w:tcPr>
          <w:p w14:paraId="43E1DAC1"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4A91E7C4" w14:textId="73893BA5"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Výber obchodných prijímacích oblastí pre intervencie na zlepšenie environmentálnej udržateľnosti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digitalizácie</w:t>
            </w:r>
          </w:p>
        </w:tc>
      </w:tr>
      <w:tr w:rsidR="00387C70" w:rsidRPr="003F23AC" w14:paraId="75CC5DDC" w14:textId="77777777">
        <w:trPr>
          <w:trHeight w:val="440"/>
        </w:trPr>
        <w:tc>
          <w:tcPr>
            <w:tcW w:w="1200" w:type="dxa"/>
            <w:shd w:val="clear" w:color="auto" w:fill="C4EFCE"/>
            <w:vAlign w:val="center"/>
            <w:hideMark/>
          </w:tcPr>
          <w:p w14:paraId="5E220711"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7.6</w:t>
            </w:r>
          </w:p>
        </w:tc>
        <w:tc>
          <w:tcPr>
            <w:tcW w:w="1760" w:type="dxa"/>
            <w:shd w:val="clear" w:color="auto" w:fill="C4EFCE"/>
            <w:vAlign w:val="center"/>
            <w:hideMark/>
          </w:tcPr>
          <w:p w14:paraId="5A760791" w14:textId="06F93A6D"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C07-i02 </w:t>
            </w:r>
          </w:p>
        </w:tc>
        <w:tc>
          <w:tcPr>
            <w:tcW w:w="1520" w:type="dxa"/>
            <w:shd w:val="clear" w:color="auto" w:fill="C4EFCE"/>
            <w:vAlign w:val="center"/>
            <w:hideMark/>
          </w:tcPr>
          <w:p w14:paraId="7D0D3132"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7E253E1A"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Zmluva podpísaná pre 1 cestný projekt</w:t>
            </w:r>
          </w:p>
        </w:tc>
      </w:tr>
      <w:tr w:rsidR="00387C70" w:rsidRPr="003F23AC" w14:paraId="5BEA9678" w14:textId="77777777">
        <w:trPr>
          <w:trHeight w:val="440"/>
        </w:trPr>
        <w:tc>
          <w:tcPr>
            <w:tcW w:w="1200" w:type="dxa"/>
            <w:shd w:val="clear" w:color="auto" w:fill="C4EFCE"/>
            <w:vAlign w:val="center"/>
            <w:hideMark/>
          </w:tcPr>
          <w:p w14:paraId="3C39A8D9"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8.17</w:t>
            </w:r>
          </w:p>
        </w:tc>
        <w:tc>
          <w:tcPr>
            <w:tcW w:w="1760" w:type="dxa"/>
            <w:shd w:val="clear" w:color="auto" w:fill="C4EFCE"/>
            <w:vAlign w:val="center"/>
            <w:hideMark/>
          </w:tcPr>
          <w:p w14:paraId="0B0F6447" w14:textId="05EDBCFF"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C08-r19 </w:t>
            </w:r>
          </w:p>
        </w:tc>
        <w:tc>
          <w:tcPr>
            <w:tcW w:w="1520" w:type="dxa"/>
            <w:shd w:val="clear" w:color="auto" w:fill="C4EFCE"/>
            <w:vAlign w:val="center"/>
            <w:hideMark/>
          </w:tcPr>
          <w:p w14:paraId="6886AA4B"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113FE96C" w14:textId="51E3A3C6"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Právny rámec</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povinnom vlastníctve vidieckej pôdy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lesných oblastiach</w:t>
            </w:r>
          </w:p>
        </w:tc>
      </w:tr>
      <w:tr w:rsidR="00387C70" w:rsidRPr="003F23AC" w14:paraId="5B8ABD10" w14:textId="77777777">
        <w:trPr>
          <w:trHeight w:val="440"/>
        </w:trPr>
        <w:tc>
          <w:tcPr>
            <w:tcW w:w="1200" w:type="dxa"/>
            <w:shd w:val="clear" w:color="auto" w:fill="C4EFCE"/>
            <w:vAlign w:val="center"/>
            <w:hideMark/>
          </w:tcPr>
          <w:p w14:paraId="519B6950"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8.19</w:t>
            </w:r>
          </w:p>
        </w:tc>
        <w:tc>
          <w:tcPr>
            <w:tcW w:w="1760" w:type="dxa"/>
            <w:shd w:val="clear" w:color="auto" w:fill="C4EFCE"/>
            <w:vAlign w:val="center"/>
            <w:hideMark/>
          </w:tcPr>
          <w:p w14:paraId="5223F53B" w14:textId="7C2DD7C7"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C08-r21 </w:t>
            </w:r>
          </w:p>
        </w:tc>
        <w:tc>
          <w:tcPr>
            <w:tcW w:w="1520" w:type="dxa"/>
            <w:shd w:val="clear" w:color="auto" w:fill="C4EFCE"/>
            <w:vAlign w:val="center"/>
            <w:hideMark/>
          </w:tcPr>
          <w:p w14:paraId="4883CA1A"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02ED0FFB" w14:textId="3CFB1EA3"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Zákon</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vytvorení integrovaného systému riadenia požiarov na vidieku (SGIFR)</w:t>
            </w:r>
          </w:p>
        </w:tc>
      </w:tr>
      <w:tr w:rsidR="00387C70" w:rsidRPr="003F23AC" w14:paraId="7BBE62F1" w14:textId="77777777">
        <w:trPr>
          <w:trHeight w:val="440"/>
        </w:trPr>
        <w:tc>
          <w:tcPr>
            <w:tcW w:w="1200" w:type="dxa"/>
            <w:shd w:val="clear" w:color="auto" w:fill="C4EFCE"/>
            <w:vAlign w:val="center"/>
            <w:hideMark/>
          </w:tcPr>
          <w:p w14:paraId="74840772"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10.1</w:t>
            </w:r>
          </w:p>
        </w:tc>
        <w:tc>
          <w:tcPr>
            <w:tcW w:w="1760" w:type="dxa"/>
            <w:shd w:val="clear" w:color="auto" w:fill="C4EFCE"/>
            <w:vAlign w:val="center"/>
            <w:hideMark/>
          </w:tcPr>
          <w:p w14:paraId="081EA232"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TC-C10-r23 </w:t>
            </w:r>
          </w:p>
        </w:tc>
        <w:tc>
          <w:tcPr>
            <w:tcW w:w="1520" w:type="dxa"/>
            <w:shd w:val="clear" w:color="auto" w:fill="C4EFCE"/>
            <w:vAlign w:val="center"/>
            <w:hideMark/>
          </w:tcPr>
          <w:p w14:paraId="1A40FC5B"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4A1DFEA2" w14:textId="1A0DEC1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revízie aktov ministerstva mora týkajúcich sa posilnenia finančnej kapacity pre morské hospodárstvo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inovácie prostredníctvom modrého fondu</w:t>
            </w:r>
          </w:p>
        </w:tc>
      </w:tr>
      <w:tr w:rsidR="00387C70" w:rsidRPr="003F23AC" w14:paraId="595FF18B" w14:textId="77777777">
        <w:trPr>
          <w:trHeight w:val="440"/>
        </w:trPr>
        <w:tc>
          <w:tcPr>
            <w:tcW w:w="1200" w:type="dxa"/>
            <w:shd w:val="clear" w:color="auto" w:fill="C4EFCE"/>
            <w:vAlign w:val="center"/>
            <w:hideMark/>
          </w:tcPr>
          <w:p w14:paraId="51E6AC70"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11.1</w:t>
            </w:r>
          </w:p>
        </w:tc>
        <w:tc>
          <w:tcPr>
            <w:tcW w:w="1760" w:type="dxa"/>
            <w:shd w:val="clear" w:color="auto" w:fill="C4EFCE"/>
            <w:vAlign w:val="center"/>
            <w:hideMark/>
          </w:tcPr>
          <w:p w14:paraId="19722C51"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TC-C11-i01 </w:t>
            </w:r>
          </w:p>
        </w:tc>
        <w:tc>
          <w:tcPr>
            <w:tcW w:w="1520" w:type="dxa"/>
            <w:shd w:val="clear" w:color="auto" w:fill="C4EFCE"/>
            <w:vAlign w:val="center"/>
            <w:hideMark/>
          </w:tcPr>
          <w:p w14:paraId="4C1ADAEB"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3D4D4BC1"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Prvá výzva na predkladanie ponúk na projekty dekarbonizácie priemyslu</w:t>
            </w:r>
          </w:p>
        </w:tc>
      </w:tr>
      <w:tr w:rsidR="00387C70" w:rsidRPr="003F23AC" w14:paraId="31460A21" w14:textId="77777777">
        <w:trPr>
          <w:trHeight w:val="440"/>
        </w:trPr>
        <w:tc>
          <w:tcPr>
            <w:tcW w:w="1200" w:type="dxa"/>
            <w:shd w:val="clear" w:color="auto" w:fill="C4EFCE"/>
            <w:vAlign w:val="center"/>
            <w:hideMark/>
          </w:tcPr>
          <w:p w14:paraId="50C257CF"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12.1</w:t>
            </w:r>
          </w:p>
        </w:tc>
        <w:tc>
          <w:tcPr>
            <w:tcW w:w="1760" w:type="dxa"/>
            <w:shd w:val="clear" w:color="auto" w:fill="C4EFCE"/>
            <w:vAlign w:val="center"/>
            <w:hideMark/>
          </w:tcPr>
          <w:p w14:paraId="4AAF72C5"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TC-C12-i01 </w:t>
            </w:r>
          </w:p>
        </w:tc>
        <w:tc>
          <w:tcPr>
            <w:tcW w:w="1520" w:type="dxa"/>
            <w:shd w:val="clear" w:color="auto" w:fill="C4EFCE"/>
            <w:vAlign w:val="center"/>
            <w:hideMark/>
          </w:tcPr>
          <w:p w14:paraId="47D2CFD9"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7D7CA154" w14:textId="2948FA3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protokolu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programe „Resineiros Vigilantes“ na rok 2021</w:t>
            </w:r>
          </w:p>
        </w:tc>
      </w:tr>
      <w:tr w:rsidR="00387C70" w:rsidRPr="003F23AC" w14:paraId="64499990" w14:textId="77777777">
        <w:trPr>
          <w:trHeight w:val="440"/>
        </w:trPr>
        <w:tc>
          <w:tcPr>
            <w:tcW w:w="1200" w:type="dxa"/>
            <w:shd w:val="clear" w:color="auto" w:fill="C4EFCE"/>
            <w:vAlign w:val="center"/>
            <w:hideMark/>
          </w:tcPr>
          <w:p w14:paraId="66FF5C24"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12.5</w:t>
            </w:r>
          </w:p>
        </w:tc>
        <w:tc>
          <w:tcPr>
            <w:tcW w:w="1760" w:type="dxa"/>
            <w:shd w:val="clear" w:color="auto" w:fill="C4EFCE"/>
            <w:vAlign w:val="center"/>
            <w:hideMark/>
          </w:tcPr>
          <w:p w14:paraId="6D7ECE35"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TC-C12-r25 </w:t>
            </w:r>
          </w:p>
        </w:tc>
        <w:tc>
          <w:tcPr>
            <w:tcW w:w="1520" w:type="dxa"/>
            <w:shd w:val="clear" w:color="auto" w:fill="C4EFCE"/>
            <w:vAlign w:val="center"/>
            <w:hideMark/>
          </w:tcPr>
          <w:p w14:paraId="34B9AE22"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525A10F6" w14:textId="3C86A62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nového všeobecného režimu nakladania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odpadom</w:t>
            </w:r>
          </w:p>
        </w:tc>
      </w:tr>
      <w:tr w:rsidR="00387C70" w:rsidRPr="003F23AC" w14:paraId="3629E8EE" w14:textId="77777777">
        <w:trPr>
          <w:trHeight w:val="440"/>
        </w:trPr>
        <w:tc>
          <w:tcPr>
            <w:tcW w:w="1200" w:type="dxa"/>
            <w:shd w:val="clear" w:color="auto" w:fill="C4EFCE"/>
            <w:vAlign w:val="center"/>
            <w:hideMark/>
          </w:tcPr>
          <w:p w14:paraId="76950E3D"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14.1</w:t>
            </w:r>
          </w:p>
        </w:tc>
        <w:tc>
          <w:tcPr>
            <w:tcW w:w="1760" w:type="dxa"/>
            <w:shd w:val="clear" w:color="auto" w:fill="C4EFCE"/>
            <w:vAlign w:val="center"/>
            <w:hideMark/>
          </w:tcPr>
          <w:p w14:paraId="4F502DB3"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TC-C14-r29 </w:t>
            </w:r>
          </w:p>
        </w:tc>
        <w:tc>
          <w:tcPr>
            <w:tcW w:w="1520" w:type="dxa"/>
            <w:shd w:val="clear" w:color="auto" w:fill="C4EFCE"/>
            <w:vAlign w:val="center"/>
            <w:hideMark/>
          </w:tcPr>
          <w:p w14:paraId="51F60976"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66D5E11C" w14:textId="2B4FB96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národnej prepravnej sieti plynu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národnej distribučnej sieti plynu</w:t>
            </w:r>
          </w:p>
        </w:tc>
      </w:tr>
      <w:tr w:rsidR="00387C70" w:rsidRPr="003F23AC" w14:paraId="10966324" w14:textId="77777777">
        <w:trPr>
          <w:trHeight w:val="440"/>
        </w:trPr>
        <w:tc>
          <w:tcPr>
            <w:tcW w:w="1200" w:type="dxa"/>
            <w:shd w:val="clear" w:color="auto" w:fill="C4EFCE"/>
            <w:vAlign w:val="center"/>
            <w:hideMark/>
          </w:tcPr>
          <w:p w14:paraId="00D9D2AC"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14.2</w:t>
            </w:r>
          </w:p>
        </w:tc>
        <w:tc>
          <w:tcPr>
            <w:tcW w:w="1760" w:type="dxa"/>
            <w:shd w:val="clear" w:color="auto" w:fill="C4EFCE"/>
            <w:vAlign w:val="center"/>
            <w:hideMark/>
          </w:tcPr>
          <w:p w14:paraId="3F73CCA7"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TC-C14-i01 </w:t>
            </w:r>
          </w:p>
        </w:tc>
        <w:tc>
          <w:tcPr>
            <w:tcW w:w="1520" w:type="dxa"/>
            <w:shd w:val="clear" w:color="auto" w:fill="C4EFCE"/>
            <w:vAlign w:val="center"/>
            <w:hideMark/>
          </w:tcPr>
          <w:p w14:paraId="587EF70A"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19D80DCE" w14:textId="122113D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Prvá výzva na predkladanie ponúk na projekty výroby plynu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p>
        </w:tc>
      </w:tr>
      <w:tr w:rsidR="00387C70" w:rsidRPr="003F23AC" w14:paraId="757BF45A" w14:textId="77777777">
        <w:trPr>
          <w:trHeight w:val="440"/>
        </w:trPr>
        <w:tc>
          <w:tcPr>
            <w:tcW w:w="1200" w:type="dxa"/>
            <w:shd w:val="clear" w:color="auto" w:fill="C4EFCE"/>
            <w:vAlign w:val="center"/>
            <w:hideMark/>
          </w:tcPr>
          <w:p w14:paraId="7466249B"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16.13</w:t>
            </w:r>
          </w:p>
        </w:tc>
        <w:tc>
          <w:tcPr>
            <w:tcW w:w="1760" w:type="dxa"/>
            <w:shd w:val="clear" w:color="auto" w:fill="C4EFCE"/>
            <w:vAlign w:val="center"/>
            <w:hideMark/>
          </w:tcPr>
          <w:p w14:paraId="0D9747EC"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TD-C16-i03 </w:t>
            </w:r>
          </w:p>
        </w:tc>
        <w:tc>
          <w:tcPr>
            <w:tcW w:w="1520" w:type="dxa"/>
            <w:shd w:val="clear" w:color="auto" w:fill="C4EFCE"/>
            <w:vAlign w:val="center"/>
            <w:hideMark/>
          </w:tcPr>
          <w:p w14:paraId="7FAED4B7" w14:textId="3216A391"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71236238"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Centrá digitálnych inovácií</w:t>
            </w:r>
          </w:p>
        </w:tc>
      </w:tr>
      <w:tr w:rsidR="00387C70" w:rsidRPr="003F23AC" w14:paraId="52D708E9" w14:textId="77777777">
        <w:trPr>
          <w:trHeight w:val="440"/>
        </w:trPr>
        <w:tc>
          <w:tcPr>
            <w:tcW w:w="1200" w:type="dxa"/>
            <w:shd w:val="clear" w:color="auto" w:fill="C4EFCE"/>
            <w:vAlign w:val="center"/>
            <w:hideMark/>
          </w:tcPr>
          <w:p w14:paraId="2F5A2432"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17.6</w:t>
            </w:r>
          </w:p>
        </w:tc>
        <w:tc>
          <w:tcPr>
            <w:tcW w:w="1760" w:type="dxa"/>
            <w:shd w:val="clear" w:color="auto" w:fill="C4EFCE"/>
            <w:vAlign w:val="center"/>
            <w:hideMark/>
          </w:tcPr>
          <w:p w14:paraId="302B639D"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TD-C17-r32 </w:t>
            </w:r>
          </w:p>
        </w:tc>
        <w:tc>
          <w:tcPr>
            <w:tcW w:w="1520" w:type="dxa"/>
            <w:shd w:val="clear" w:color="auto" w:fill="C4EFCE"/>
            <w:vAlign w:val="center"/>
            <w:hideMark/>
          </w:tcPr>
          <w:p w14:paraId="0B994286"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1199C2E8" w14:textId="446660F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nového vzoru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výkone správy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nového systému stimulov/sankcií pre riadenie štátom vlastnených podnikov</w:t>
            </w:r>
          </w:p>
        </w:tc>
      </w:tr>
      <w:tr w:rsidR="00387C70" w:rsidRPr="003F23AC" w14:paraId="5F2EFFB2" w14:textId="77777777">
        <w:trPr>
          <w:trHeight w:val="440"/>
        </w:trPr>
        <w:tc>
          <w:tcPr>
            <w:tcW w:w="1200" w:type="dxa"/>
            <w:shd w:val="clear" w:color="auto" w:fill="C4EFCE"/>
            <w:vAlign w:val="center"/>
            <w:hideMark/>
          </w:tcPr>
          <w:p w14:paraId="1E7DA930"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19.22</w:t>
            </w:r>
          </w:p>
        </w:tc>
        <w:tc>
          <w:tcPr>
            <w:tcW w:w="1760" w:type="dxa"/>
            <w:shd w:val="clear" w:color="auto" w:fill="C4EFCE"/>
            <w:vAlign w:val="center"/>
            <w:hideMark/>
          </w:tcPr>
          <w:p w14:paraId="55D06868"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TD-C19-r34 </w:t>
            </w:r>
          </w:p>
        </w:tc>
        <w:tc>
          <w:tcPr>
            <w:tcW w:w="1520" w:type="dxa"/>
            <w:shd w:val="clear" w:color="auto" w:fill="C4EFCE"/>
            <w:vAlign w:val="center"/>
            <w:hideMark/>
          </w:tcPr>
          <w:p w14:paraId="3742530B"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0678B11B"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právneho rámca pre digitálnu transformáciu verejnej správy</w:t>
            </w:r>
          </w:p>
        </w:tc>
      </w:tr>
      <w:tr w:rsidR="00387C70" w:rsidRPr="003F23AC" w14:paraId="6872084D" w14:textId="77777777">
        <w:trPr>
          <w:trHeight w:val="440"/>
        </w:trPr>
        <w:tc>
          <w:tcPr>
            <w:tcW w:w="1200" w:type="dxa"/>
            <w:shd w:val="clear" w:color="auto" w:fill="C4EFCE"/>
            <w:vAlign w:val="center"/>
            <w:hideMark/>
          </w:tcPr>
          <w:p w14:paraId="291433EB"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19.24</w:t>
            </w:r>
          </w:p>
        </w:tc>
        <w:tc>
          <w:tcPr>
            <w:tcW w:w="1760" w:type="dxa"/>
            <w:shd w:val="clear" w:color="auto" w:fill="C4EFCE"/>
            <w:vAlign w:val="center"/>
            <w:hideMark/>
          </w:tcPr>
          <w:p w14:paraId="07189990"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TD-C19-r36 </w:t>
            </w:r>
          </w:p>
        </w:tc>
        <w:tc>
          <w:tcPr>
            <w:tcW w:w="1520" w:type="dxa"/>
            <w:shd w:val="clear" w:color="auto" w:fill="C4EFCE"/>
            <w:vAlign w:val="center"/>
            <w:hideMark/>
          </w:tcPr>
          <w:p w14:paraId="55C7DEF6"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6FC15F4D"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Zriadenie Národného správneho inštitútu, I.P.</w:t>
            </w:r>
          </w:p>
        </w:tc>
      </w:tr>
      <w:tr w:rsidR="00387C70" w:rsidRPr="003F23AC" w14:paraId="3A0CB96A" w14:textId="77777777">
        <w:trPr>
          <w:trHeight w:val="440"/>
        </w:trPr>
        <w:tc>
          <w:tcPr>
            <w:tcW w:w="1200" w:type="dxa"/>
            <w:shd w:val="clear" w:color="auto" w:fill="C4EFCE"/>
            <w:vAlign w:val="center"/>
            <w:hideMark/>
          </w:tcPr>
          <w:p w14:paraId="79B57193"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20.2</w:t>
            </w:r>
          </w:p>
        </w:tc>
        <w:tc>
          <w:tcPr>
            <w:tcW w:w="1760" w:type="dxa"/>
            <w:shd w:val="clear" w:color="auto" w:fill="C4EFCE"/>
            <w:vAlign w:val="center"/>
            <w:hideMark/>
          </w:tcPr>
          <w:p w14:paraId="40D2FB0E"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TD-C20-i01 </w:t>
            </w:r>
          </w:p>
        </w:tc>
        <w:tc>
          <w:tcPr>
            <w:tcW w:w="1520" w:type="dxa"/>
            <w:shd w:val="clear" w:color="auto" w:fill="C4EFCE"/>
            <w:vAlign w:val="center"/>
            <w:hideMark/>
          </w:tcPr>
          <w:p w14:paraId="78F61C3A"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14A5DC9A" w14:textId="75F9B22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Podpis zmlúv na nákup jednotlivých počítačov pre žiakov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učiteľov</w:t>
            </w:r>
          </w:p>
        </w:tc>
      </w:tr>
      <w:tr w:rsidR="00387C70" w:rsidRPr="003F23AC" w14:paraId="6E3E4880" w14:textId="77777777">
        <w:trPr>
          <w:trHeight w:val="440"/>
        </w:trPr>
        <w:tc>
          <w:tcPr>
            <w:tcW w:w="1200" w:type="dxa"/>
            <w:shd w:val="clear" w:color="auto" w:fill="C4EFCE"/>
            <w:vAlign w:val="center"/>
            <w:hideMark/>
          </w:tcPr>
          <w:p w14:paraId="1531FD9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760" w:type="dxa"/>
            <w:shd w:val="clear" w:color="auto" w:fill="C4EFCE"/>
            <w:vAlign w:val="center"/>
            <w:hideMark/>
          </w:tcPr>
          <w:p w14:paraId="39D93FED"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520" w:type="dxa"/>
            <w:shd w:val="clear" w:color="auto" w:fill="C4EFCE"/>
            <w:vAlign w:val="center"/>
            <w:hideMark/>
          </w:tcPr>
          <w:p w14:paraId="5E762CEE" w14:textId="77777777" w:rsidR="00387C70" w:rsidRPr="003F23AC" w:rsidRDefault="000F5AA4" w:rsidP="003F23AC">
            <w:pPr>
              <w:pStyle w:val="P68B1DB1-Normal24"/>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Suma splátky</w:t>
            </w:r>
          </w:p>
        </w:tc>
        <w:tc>
          <w:tcPr>
            <w:tcW w:w="5060" w:type="dxa"/>
            <w:shd w:val="clear" w:color="auto" w:fill="C4EFCE"/>
            <w:vAlign w:val="center"/>
            <w:hideMark/>
          </w:tcPr>
          <w:p w14:paraId="76A68B63" w14:textId="5A0CF4B2" w:rsidR="00387C70" w:rsidRPr="003F23AC" w:rsidRDefault="003A06C1" w:rsidP="003F23AC">
            <w:pPr>
              <w:pStyle w:val="P68B1DB1-Normal25"/>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EUR 636 139 080</w:t>
            </w:r>
          </w:p>
        </w:tc>
      </w:tr>
    </w:tbl>
    <w:p w14:paraId="66705A4C" w14:textId="77777777" w:rsidR="00387C70" w:rsidRPr="003F23AC" w:rsidRDefault="00387C70" w:rsidP="003F23AC">
      <w:pPr>
        <w:spacing w:after="160" w:line="259" w:lineRule="auto"/>
        <w:ind w:left="1571" w:hanging="360"/>
        <w:contextualSpacing/>
        <w:jc w:val="both"/>
        <w:rPr>
          <w:rFonts w:ascii="Times New Roman" w:eastAsiaTheme="minorEastAsia" w:hAnsi="Times New Roman" w:cs="Times New Roman"/>
          <w:noProof/>
          <w:sz w:val="24"/>
          <w:lang w:val="sk-SK"/>
        </w:rPr>
      </w:pPr>
    </w:p>
    <w:p w14:paraId="756C2100" w14:textId="266B4582" w:rsidR="00A75B3C" w:rsidRPr="003F23AC" w:rsidRDefault="000F5AA4" w:rsidP="003F23AC">
      <w:pPr>
        <w:pStyle w:val="P68B1DB1-Normal4"/>
        <w:numPr>
          <w:ilvl w:val="1"/>
          <w:numId w:val="19"/>
        </w:numPr>
        <w:spacing w:before="40" w:after="160" w:line="259" w:lineRule="auto"/>
        <w:contextualSpacing/>
        <w:jc w:val="both"/>
        <w:rPr>
          <w:rFonts w:cs="Times New Roman"/>
          <w:noProof/>
          <w:lang w:val="sk-SK"/>
        </w:rPr>
      </w:pPr>
      <w:r w:rsidRPr="003F23AC">
        <w:rPr>
          <w:rFonts w:cs="Times New Roman"/>
          <w:noProof/>
          <w:lang w:val="sk-SK"/>
        </w:rPr>
        <w:t xml:space="preserve"> Druhá žiadosť</w:t>
      </w:r>
      <w:r w:rsidR="00A75B3C" w:rsidRPr="003F23AC">
        <w:rPr>
          <w:rFonts w:cs="Times New Roman"/>
          <w:noProof/>
          <w:lang w:val="sk-SK"/>
        </w:rPr>
        <w:t xml:space="preserve"> o </w:t>
      </w:r>
      <w:r w:rsidRPr="003F23AC">
        <w:rPr>
          <w:rFonts w:cs="Times New Roman"/>
          <w:noProof/>
          <w:lang w:val="sk-SK"/>
        </w:rPr>
        <w:t>platbu (nenávratná podpora)</w:t>
      </w:r>
      <w:r w:rsidR="00A75B3C" w:rsidRPr="003F23AC">
        <w:rPr>
          <w:rFonts w:cs="Times New Roman"/>
          <w:noProof/>
          <w:lang w:val="sk-SK"/>
        </w:rPr>
        <w:t>:</w:t>
      </w:r>
    </w:p>
    <w:p w14:paraId="158E3ED4" w14:textId="1CC6104D"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tbl>
      <w:tblPr>
        <w:tblW w:w="95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760"/>
        <w:gridCol w:w="1520"/>
        <w:gridCol w:w="5060"/>
      </w:tblGrid>
      <w:tr w:rsidR="00387C70" w:rsidRPr="003F23AC" w14:paraId="352FB160" w14:textId="77777777">
        <w:trPr>
          <w:trHeight w:val="509"/>
          <w:tblHeader/>
        </w:trPr>
        <w:tc>
          <w:tcPr>
            <w:tcW w:w="1200" w:type="dxa"/>
            <w:vMerge w:val="restart"/>
            <w:shd w:val="clear" w:color="auto" w:fill="BDD7EE"/>
            <w:vAlign w:val="center"/>
            <w:hideMark/>
          </w:tcPr>
          <w:p w14:paraId="0D0D00E4"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vMerge w:val="restart"/>
            <w:shd w:val="clear" w:color="auto" w:fill="BDD7EE"/>
            <w:vAlign w:val="center"/>
            <w:hideMark/>
          </w:tcPr>
          <w:p w14:paraId="46E7F54F"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vMerge w:val="restart"/>
            <w:shd w:val="clear" w:color="auto" w:fill="BDD7EE"/>
            <w:vAlign w:val="center"/>
            <w:hideMark/>
          </w:tcPr>
          <w:p w14:paraId="4BBAA04E"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vMerge w:val="restart"/>
            <w:shd w:val="clear" w:color="auto" w:fill="BDD7EE"/>
            <w:vAlign w:val="center"/>
            <w:hideMark/>
          </w:tcPr>
          <w:p w14:paraId="51A4AA8D"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1F6741B5" w14:textId="77777777">
        <w:trPr>
          <w:trHeight w:val="509"/>
          <w:tblHeader/>
        </w:trPr>
        <w:tc>
          <w:tcPr>
            <w:tcW w:w="1200" w:type="dxa"/>
            <w:vMerge/>
            <w:vAlign w:val="center"/>
            <w:hideMark/>
          </w:tcPr>
          <w:p w14:paraId="01B474AA"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1760" w:type="dxa"/>
            <w:vMerge/>
            <w:vAlign w:val="center"/>
            <w:hideMark/>
          </w:tcPr>
          <w:p w14:paraId="02EC477F"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1520" w:type="dxa"/>
            <w:vMerge/>
            <w:vAlign w:val="center"/>
            <w:hideMark/>
          </w:tcPr>
          <w:p w14:paraId="3D7F8D49"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5060" w:type="dxa"/>
            <w:vMerge/>
            <w:vAlign w:val="center"/>
            <w:hideMark/>
          </w:tcPr>
          <w:p w14:paraId="615BF232"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r>
      <w:tr w:rsidR="00387C70" w:rsidRPr="003F23AC" w14:paraId="4081C04E" w14:textId="77777777">
        <w:trPr>
          <w:trHeight w:val="440"/>
        </w:trPr>
        <w:tc>
          <w:tcPr>
            <w:tcW w:w="1200" w:type="dxa"/>
            <w:shd w:val="clear" w:color="auto" w:fill="C4EFCE"/>
            <w:vAlign w:val="center"/>
            <w:hideMark/>
          </w:tcPr>
          <w:p w14:paraId="5750728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1.13</w:t>
            </w:r>
          </w:p>
        </w:tc>
        <w:tc>
          <w:tcPr>
            <w:tcW w:w="1760" w:type="dxa"/>
            <w:shd w:val="clear" w:color="auto" w:fill="C4EFCE"/>
            <w:vAlign w:val="center"/>
            <w:hideMark/>
          </w:tcPr>
          <w:p w14:paraId="44477519" w14:textId="178FBBEC"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C01-i02 </w:t>
            </w:r>
          </w:p>
        </w:tc>
        <w:tc>
          <w:tcPr>
            <w:tcW w:w="1520" w:type="dxa"/>
            <w:shd w:val="clear" w:color="auto" w:fill="C4EFCE"/>
            <w:vAlign w:val="center"/>
            <w:hideMark/>
          </w:tcPr>
          <w:p w14:paraId="04640CD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M </w:t>
            </w:r>
          </w:p>
        </w:tc>
        <w:tc>
          <w:tcPr>
            <w:tcW w:w="5060" w:type="dxa"/>
            <w:shd w:val="clear" w:color="auto" w:fill="C4EFCE"/>
            <w:vAlign w:val="center"/>
            <w:hideMark/>
          </w:tcPr>
          <w:p w14:paraId="0D4C3B0B"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podmienok určovania núdzových epizód preverovaných bielymi, modrými alebo zelenými nemocničnými pohotovostnými službami pre iné druhy služieb zdravotnej starostlivosti vrátane služieb primárnej zdravotnej starostlivosti</w:t>
            </w:r>
          </w:p>
        </w:tc>
      </w:tr>
      <w:tr w:rsidR="00387C70" w:rsidRPr="003F23AC" w14:paraId="0C6EEC60" w14:textId="77777777">
        <w:trPr>
          <w:trHeight w:val="440"/>
        </w:trPr>
        <w:tc>
          <w:tcPr>
            <w:tcW w:w="1200" w:type="dxa"/>
            <w:shd w:val="clear" w:color="auto" w:fill="C4EFCE"/>
            <w:vAlign w:val="center"/>
            <w:hideMark/>
          </w:tcPr>
          <w:p w14:paraId="4CBB49B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1.20</w:t>
            </w:r>
          </w:p>
        </w:tc>
        <w:tc>
          <w:tcPr>
            <w:tcW w:w="1760" w:type="dxa"/>
            <w:shd w:val="clear" w:color="auto" w:fill="C4EFCE"/>
            <w:vAlign w:val="center"/>
            <w:hideMark/>
          </w:tcPr>
          <w:p w14:paraId="480832CC" w14:textId="3FD48AF8"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C01-r03 </w:t>
            </w:r>
          </w:p>
        </w:tc>
        <w:tc>
          <w:tcPr>
            <w:tcW w:w="1520" w:type="dxa"/>
            <w:shd w:val="clear" w:color="auto" w:fill="C4EFCE"/>
            <w:vAlign w:val="center"/>
            <w:hideMark/>
          </w:tcPr>
          <w:p w14:paraId="7D9187D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M </w:t>
            </w:r>
          </w:p>
        </w:tc>
        <w:tc>
          <w:tcPr>
            <w:tcW w:w="5060" w:type="dxa"/>
            <w:shd w:val="clear" w:color="auto" w:fill="C4EFCE"/>
            <w:vAlign w:val="center"/>
            <w:hideMark/>
          </w:tcPr>
          <w:p w14:paraId="5315F543" w14:textId="156EDBB3"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prideľovaní finančnej podpory regionálnymi zdravotníckymi orgánmi</w:t>
            </w:r>
          </w:p>
        </w:tc>
      </w:tr>
      <w:tr w:rsidR="00387C70" w:rsidRPr="003F23AC" w14:paraId="69F0FF9C" w14:textId="77777777">
        <w:trPr>
          <w:trHeight w:val="440"/>
        </w:trPr>
        <w:tc>
          <w:tcPr>
            <w:tcW w:w="1200" w:type="dxa"/>
            <w:shd w:val="clear" w:color="auto" w:fill="C4EFCE"/>
            <w:vAlign w:val="center"/>
            <w:hideMark/>
          </w:tcPr>
          <w:p w14:paraId="166EDAF8" w14:textId="31004DB1"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w:t>
            </w:r>
          </w:p>
        </w:tc>
        <w:tc>
          <w:tcPr>
            <w:tcW w:w="1760" w:type="dxa"/>
            <w:shd w:val="clear" w:color="auto" w:fill="C4EFCE"/>
            <w:vAlign w:val="center"/>
            <w:hideMark/>
          </w:tcPr>
          <w:p w14:paraId="35D3297F" w14:textId="68C66867"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C01-i01 </w:t>
            </w:r>
          </w:p>
        </w:tc>
        <w:tc>
          <w:tcPr>
            <w:tcW w:w="1520" w:type="dxa"/>
            <w:shd w:val="clear" w:color="auto" w:fill="C4EFCE"/>
            <w:vAlign w:val="center"/>
            <w:hideMark/>
          </w:tcPr>
          <w:p w14:paraId="00EBB8F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M </w:t>
            </w:r>
          </w:p>
        </w:tc>
        <w:tc>
          <w:tcPr>
            <w:tcW w:w="5060" w:type="dxa"/>
            <w:shd w:val="clear" w:color="auto" w:fill="C4EFCE"/>
            <w:vAlign w:val="center"/>
            <w:hideMark/>
          </w:tcPr>
          <w:p w14:paraId="6E23AEAC" w14:textId="6B5196E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nového vzoru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výkone správy</w:t>
            </w:r>
          </w:p>
        </w:tc>
      </w:tr>
      <w:tr w:rsidR="00387C70" w:rsidRPr="003F23AC" w14:paraId="5EFCE41E" w14:textId="77777777">
        <w:trPr>
          <w:trHeight w:val="440"/>
        </w:trPr>
        <w:tc>
          <w:tcPr>
            <w:tcW w:w="1200" w:type="dxa"/>
            <w:shd w:val="clear" w:color="auto" w:fill="C4EFCE"/>
            <w:vAlign w:val="center"/>
            <w:hideMark/>
          </w:tcPr>
          <w:p w14:paraId="5D8AE41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3.24</w:t>
            </w:r>
          </w:p>
        </w:tc>
        <w:tc>
          <w:tcPr>
            <w:tcW w:w="1760" w:type="dxa"/>
            <w:shd w:val="clear" w:color="auto" w:fill="C4EFCE"/>
            <w:vAlign w:val="center"/>
            <w:hideMark/>
          </w:tcPr>
          <w:p w14:paraId="345DB0E2" w14:textId="01CAD439"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C03-i01 </w:t>
            </w:r>
          </w:p>
        </w:tc>
        <w:tc>
          <w:tcPr>
            <w:tcW w:w="1520" w:type="dxa"/>
            <w:shd w:val="clear" w:color="auto" w:fill="C4EFCE"/>
            <w:vAlign w:val="center"/>
            <w:hideMark/>
          </w:tcPr>
          <w:p w14:paraId="0957961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M </w:t>
            </w:r>
          </w:p>
        </w:tc>
        <w:tc>
          <w:tcPr>
            <w:tcW w:w="5060" w:type="dxa"/>
            <w:shd w:val="clear" w:color="auto" w:fill="C4EFCE"/>
            <w:vAlign w:val="center"/>
            <w:hideMark/>
          </w:tcPr>
          <w:p w14:paraId="00267902" w14:textId="71B4207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dohôd medzi mestami Lisabon/Porto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miestnymi technickými jednotkami,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ktorých sa vymedzuje rozsah opatrení, ktoré sa majú podporiť.</w:t>
            </w:r>
          </w:p>
        </w:tc>
      </w:tr>
      <w:tr w:rsidR="00387C70" w:rsidRPr="003F23AC" w14:paraId="6D1DB67B" w14:textId="77777777">
        <w:trPr>
          <w:trHeight w:val="440"/>
        </w:trPr>
        <w:tc>
          <w:tcPr>
            <w:tcW w:w="1200" w:type="dxa"/>
            <w:shd w:val="clear" w:color="auto" w:fill="C4EFCE"/>
            <w:vAlign w:val="center"/>
            <w:hideMark/>
          </w:tcPr>
          <w:p w14:paraId="26C83B0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3.3</w:t>
            </w:r>
          </w:p>
        </w:tc>
        <w:tc>
          <w:tcPr>
            <w:tcW w:w="1760" w:type="dxa"/>
            <w:shd w:val="clear" w:color="auto" w:fill="C4EFCE"/>
            <w:vAlign w:val="center"/>
            <w:hideMark/>
          </w:tcPr>
          <w:p w14:paraId="6A8E3604" w14:textId="6E339AAF"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C03-i06 </w:t>
            </w:r>
          </w:p>
        </w:tc>
        <w:tc>
          <w:tcPr>
            <w:tcW w:w="1520" w:type="dxa"/>
            <w:shd w:val="clear" w:color="auto" w:fill="C4EFCE"/>
            <w:vAlign w:val="center"/>
            <w:hideMark/>
          </w:tcPr>
          <w:p w14:paraId="6CBB1E8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M </w:t>
            </w:r>
          </w:p>
        </w:tc>
        <w:tc>
          <w:tcPr>
            <w:tcW w:w="5060" w:type="dxa"/>
            <w:shd w:val="clear" w:color="auto" w:fill="C4EFCE"/>
            <w:vAlign w:val="center"/>
            <w:hideMark/>
          </w:tcPr>
          <w:p w14:paraId="61900507" w14:textId="4C35967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Zadávanie zákaziek na podporu organizácií podporujúcich vytváranie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rozširovanie siete sociálnych zariadení/sociálnych reakcií.</w:t>
            </w:r>
          </w:p>
        </w:tc>
      </w:tr>
      <w:tr w:rsidR="00387C70" w:rsidRPr="003F23AC" w14:paraId="5CF43042" w14:textId="77777777">
        <w:trPr>
          <w:trHeight w:val="440"/>
        </w:trPr>
        <w:tc>
          <w:tcPr>
            <w:tcW w:w="1200" w:type="dxa"/>
            <w:shd w:val="clear" w:color="auto" w:fill="C4EFCE"/>
            <w:vAlign w:val="center"/>
            <w:hideMark/>
          </w:tcPr>
          <w:p w14:paraId="27EE7DD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4.1</w:t>
            </w:r>
          </w:p>
        </w:tc>
        <w:tc>
          <w:tcPr>
            <w:tcW w:w="1760" w:type="dxa"/>
            <w:shd w:val="clear" w:color="auto" w:fill="C4EFCE"/>
            <w:vAlign w:val="center"/>
            <w:hideMark/>
          </w:tcPr>
          <w:p w14:paraId="035DEC49" w14:textId="4BEEB2E4"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C04-i01 </w:t>
            </w:r>
          </w:p>
        </w:tc>
        <w:tc>
          <w:tcPr>
            <w:tcW w:w="1520" w:type="dxa"/>
            <w:shd w:val="clear" w:color="auto" w:fill="C4EFCE"/>
            <w:vAlign w:val="center"/>
            <w:hideMark/>
          </w:tcPr>
          <w:p w14:paraId="453E5DD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M </w:t>
            </w:r>
          </w:p>
        </w:tc>
        <w:tc>
          <w:tcPr>
            <w:tcW w:w="5060" w:type="dxa"/>
            <w:shd w:val="clear" w:color="auto" w:fill="C4EFCE"/>
            <w:vAlign w:val="center"/>
            <w:hideMark/>
          </w:tcPr>
          <w:p w14:paraId="04A22F10"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Technologické špecifikácie siete kultúrnych zariadení</w:t>
            </w:r>
          </w:p>
        </w:tc>
      </w:tr>
      <w:tr w:rsidR="00387C70" w:rsidRPr="003F23AC" w14:paraId="1D67278E" w14:textId="77777777">
        <w:trPr>
          <w:trHeight w:val="440"/>
        </w:trPr>
        <w:tc>
          <w:tcPr>
            <w:tcW w:w="1200" w:type="dxa"/>
            <w:shd w:val="clear" w:color="auto" w:fill="C4EFCE"/>
            <w:vAlign w:val="center"/>
            <w:hideMark/>
          </w:tcPr>
          <w:p w14:paraId="1EEC3DB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5.18</w:t>
            </w:r>
          </w:p>
        </w:tc>
        <w:tc>
          <w:tcPr>
            <w:tcW w:w="1760" w:type="dxa"/>
            <w:shd w:val="clear" w:color="auto" w:fill="C4EFCE"/>
            <w:vAlign w:val="center"/>
            <w:hideMark/>
          </w:tcPr>
          <w:p w14:paraId="6807E12E" w14:textId="1B2B0D5B"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C05-i05-RAA </w:t>
            </w:r>
          </w:p>
        </w:tc>
        <w:tc>
          <w:tcPr>
            <w:tcW w:w="1520" w:type="dxa"/>
            <w:shd w:val="clear" w:color="auto" w:fill="C4EFCE"/>
            <w:vAlign w:val="center"/>
            <w:hideMark/>
          </w:tcPr>
          <w:p w14:paraId="115683C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M </w:t>
            </w:r>
          </w:p>
        </w:tc>
        <w:tc>
          <w:tcPr>
            <w:tcW w:w="5060" w:type="dxa"/>
            <w:shd w:val="clear" w:color="auto" w:fill="C4EFCE"/>
            <w:vAlign w:val="center"/>
            <w:hideMark/>
          </w:tcPr>
          <w:p w14:paraId="3F0AD3AB" w14:textId="5B911A89"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Uverejnenie programu Azorských poľnohospodárskych inovácií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digitalizácie</w:t>
            </w:r>
          </w:p>
        </w:tc>
      </w:tr>
      <w:tr w:rsidR="00387C70" w:rsidRPr="003F23AC" w14:paraId="12652084" w14:textId="77777777">
        <w:trPr>
          <w:trHeight w:val="440"/>
        </w:trPr>
        <w:tc>
          <w:tcPr>
            <w:tcW w:w="1200" w:type="dxa"/>
            <w:shd w:val="clear" w:color="auto" w:fill="C4EFCE"/>
            <w:vAlign w:val="center"/>
            <w:hideMark/>
          </w:tcPr>
          <w:p w14:paraId="196543A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8.14</w:t>
            </w:r>
          </w:p>
        </w:tc>
        <w:tc>
          <w:tcPr>
            <w:tcW w:w="1760" w:type="dxa"/>
            <w:shd w:val="clear" w:color="auto" w:fill="C4EFCE"/>
            <w:vAlign w:val="center"/>
            <w:hideMark/>
          </w:tcPr>
          <w:p w14:paraId="5CE17266" w14:textId="305AC439"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C08-i02 </w:t>
            </w:r>
          </w:p>
        </w:tc>
        <w:tc>
          <w:tcPr>
            <w:tcW w:w="1520" w:type="dxa"/>
            <w:shd w:val="clear" w:color="auto" w:fill="C4EFCE"/>
            <w:vAlign w:val="center"/>
            <w:hideMark/>
          </w:tcPr>
          <w:p w14:paraId="4FEEA23F" w14:textId="3E8646F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r w:rsidR="000F5AA4" w:rsidRPr="003F23AC">
              <w:rPr>
                <w:rFonts w:ascii="Times New Roman" w:hAnsi="Times New Roman" w:cs="Times New Roman"/>
                <w:noProof/>
                <w:lang w:val="sk-SK"/>
              </w:rPr>
              <w:t xml:space="preserve"> </w:t>
            </w:r>
          </w:p>
        </w:tc>
        <w:tc>
          <w:tcPr>
            <w:tcW w:w="5060" w:type="dxa"/>
            <w:shd w:val="clear" w:color="auto" w:fill="C4EFCE"/>
            <w:vAlign w:val="center"/>
            <w:hideMark/>
          </w:tcPr>
          <w:p w14:paraId="10D33A02" w14:textId="4376504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Vytvorenie regionálnych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subregionálnych štruktúr Národného úradu pre núdzové situácie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civilnú ochranu (ANEPC)</w:t>
            </w:r>
          </w:p>
        </w:tc>
      </w:tr>
      <w:tr w:rsidR="00387C70" w:rsidRPr="003F23AC" w14:paraId="35EFEA47" w14:textId="77777777">
        <w:trPr>
          <w:trHeight w:val="440"/>
        </w:trPr>
        <w:tc>
          <w:tcPr>
            <w:tcW w:w="1200" w:type="dxa"/>
            <w:shd w:val="clear" w:color="auto" w:fill="C4EFCE"/>
            <w:vAlign w:val="center"/>
            <w:hideMark/>
          </w:tcPr>
          <w:p w14:paraId="4C9D2DD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8.15</w:t>
            </w:r>
          </w:p>
        </w:tc>
        <w:tc>
          <w:tcPr>
            <w:tcW w:w="1760" w:type="dxa"/>
            <w:shd w:val="clear" w:color="auto" w:fill="C4EFCE"/>
            <w:vAlign w:val="center"/>
            <w:hideMark/>
          </w:tcPr>
          <w:p w14:paraId="44F53CD2" w14:textId="524D0056"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C08-i03 </w:t>
            </w:r>
          </w:p>
        </w:tc>
        <w:tc>
          <w:tcPr>
            <w:tcW w:w="1520" w:type="dxa"/>
            <w:shd w:val="clear" w:color="auto" w:fill="C4EFCE"/>
            <w:vAlign w:val="center"/>
            <w:hideMark/>
          </w:tcPr>
          <w:p w14:paraId="0F2B0D5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M </w:t>
            </w:r>
          </w:p>
        </w:tc>
        <w:tc>
          <w:tcPr>
            <w:tcW w:w="5060" w:type="dxa"/>
            <w:shd w:val="clear" w:color="auto" w:fill="C4EFCE"/>
            <w:vAlign w:val="center"/>
            <w:hideMark/>
          </w:tcPr>
          <w:p w14:paraId="01ABC6A2" w14:textId="7876D235"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Uverejnenie úvodnej správy Inštitútu pre ochranu prírody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lesov, I.P.</w:t>
            </w:r>
          </w:p>
        </w:tc>
      </w:tr>
      <w:tr w:rsidR="00387C70" w:rsidRPr="003F23AC" w14:paraId="07159476" w14:textId="77777777">
        <w:trPr>
          <w:trHeight w:val="440"/>
        </w:trPr>
        <w:tc>
          <w:tcPr>
            <w:tcW w:w="1200" w:type="dxa"/>
            <w:shd w:val="clear" w:color="auto" w:fill="C4EFCE"/>
            <w:vAlign w:val="center"/>
            <w:hideMark/>
          </w:tcPr>
          <w:p w14:paraId="4FFB6CD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8.4</w:t>
            </w:r>
          </w:p>
        </w:tc>
        <w:tc>
          <w:tcPr>
            <w:tcW w:w="1760" w:type="dxa"/>
            <w:shd w:val="clear" w:color="auto" w:fill="C4EFCE"/>
            <w:vAlign w:val="center"/>
            <w:hideMark/>
          </w:tcPr>
          <w:p w14:paraId="7B8AD2FC" w14:textId="3D683ABD"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C08-i05 </w:t>
            </w:r>
          </w:p>
        </w:tc>
        <w:tc>
          <w:tcPr>
            <w:tcW w:w="1520" w:type="dxa"/>
            <w:shd w:val="clear" w:color="auto" w:fill="C4EFCE"/>
            <w:vAlign w:val="center"/>
            <w:hideMark/>
          </w:tcPr>
          <w:p w14:paraId="17CD02D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M </w:t>
            </w:r>
          </w:p>
        </w:tc>
        <w:tc>
          <w:tcPr>
            <w:tcW w:w="5060" w:type="dxa"/>
            <w:shd w:val="clear" w:color="auto" w:fill="C4EFCE"/>
            <w:vAlign w:val="center"/>
            <w:hideMark/>
          </w:tcPr>
          <w:p w14:paraId="2EF1A361"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Prechod na platformu BUPi 2.0</w:t>
            </w:r>
          </w:p>
        </w:tc>
      </w:tr>
      <w:tr w:rsidR="00387C70" w:rsidRPr="003F23AC" w14:paraId="6124AF89" w14:textId="77777777">
        <w:trPr>
          <w:trHeight w:val="440"/>
        </w:trPr>
        <w:tc>
          <w:tcPr>
            <w:tcW w:w="1200" w:type="dxa"/>
            <w:shd w:val="clear" w:color="auto" w:fill="C4EFCE"/>
            <w:vAlign w:val="center"/>
            <w:hideMark/>
          </w:tcPr>
          <w:p w14:paraId="61ED2CA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8.7</w:t>
            </w:r>
          </w:p>
        </w:tc>
        <w:tc>
          <w:tcPr>
            <w:tcW w:w="1760" w:type="dxa"/>
            <w:shd w:val="clear" w:color="auto" w:fill="C4EFCE"/>
            <w:vAlign w:val="center"/>
            <w:hideMark/>
          </w:tcPr>
          <w:p w14:paraId="62D644C7" w14:textId="0766AD9B"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C08-i05 </w:t>
            </w:r>
          </w:p>
        </w:tc>
        <w:tc>
          <w:tcPr>
            <w:tcW w:w="1520" w:type="dxa"/>
            <w:shd w:val="clear" w:color="auto" w:fill="C4EFCE"/>
            <w:vAlign w:val="center"/>
            <w:hideMark/>
          </w:tcPr>
          <w:p w14:paraId="51195EC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M </w:t>
            </w:r>
          </w:p>
        </w:tc>
        <w:tc>
          <w:tcPr>
            <w:tcW w:w="5060" w:type="dxa"/>
            <w:shd w:val="clear" w:color="auto" w:fill="C4EFCE"/>
            <w:vAlign w:val="center"/>
            <w:hideMark/>
          </w:tcPr>
          <w:p w14:paraId="55560C5A"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Uverejnenie zmluvy týkajúcej sa siete pre štruktúrovanie primárnych palív (RPFGC)</w:t>
            </w:r>
          </w:p>
        </w:tc>
      </w:tr>
      <w:tr w:rsidR="00387C70" w:rsidRPr="003F23AC" w14:paraId="119565A8" w14:textId="77777777">
        <w:trPr>
          <w:trHeight w:val="440"/>
        </w:trPr>
        <w:tc>
          <w:tcPr>
            <w:tcW w:w="1200" w:type="dxa"/>
            <w:shd w:val="clear" w:color="auto" w:fill="C4EFCE"/>
            <w:vAlign w:val="center"/>
            <w:hideMark/>
          </w:tcPr>
          <w:p w14:paraId="576F089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9.9</w:t>
            </w:r>
          </w:p>
        </w:tc>
        <w:tc>
          <w:tcPr>
            <w:tcW w:w="1760" w:type="dxa"/>
            <w:shd w:val="clear" w:color="auto" w:fill="C4EFCE"/>
            <w:vAlign w:val="center"/>
            <w:hideMark/>
          </w:tcPr>
          <w:p w14:paraId="59AA53D0" w14:textId="7A4FFA9F"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C09-i02 </w:t>
            </w:r>
          </w:p>
        </w:tc>
        <w:tc>
          <w:tcPr>
            <w:tcW w:w="1520" w:type="dxa"/>
            <w:shd w:val="clear" w:color="auto" w:fill="C4EFCE"/>
            <w:vAlign w:val="center"/>
            <w:hideMark/>
          </w:tcPr>
          <w:p w14:paraId="765E382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M </w:t>
            </w:r>
          </w:p>
        </w:tc>
        <w:tc>
          <w:tcPr>
            <w:tcW w:w="5060" w:type="dxa"/>
            <w:shd w:val="clear" w:color="auto" w:fill="C4EFCE"/>
            <w:vAlign w:val="center"/>
            <w:hideMark/>
          </w:tcPr>
          <w:p w14:paraId="179D88CA" w14:textId="08C9755B"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Uverejnenie plánovacej dokumentácie opatrenia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úplným zahrnutím všetkých výsledkov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podmienok vyplývajúcich</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posudzovania vplyvov na životné prostredie</w:t>
            </w:r>
          </w:p>
        </w:tc>
      </w:tr>
      <w:tr w:rsidR="00387C70" w:rsidRPr="003F23AC" w14:paraId="22E0EAB1" w14:textId="77777777">
        <w:trPr>
          <w:trHeight w:val="440"/>
        </w:trPr>
        <w:tc>
          <w:tcPr>
            <w:tcW w:w="1200" w:type="dxa"/>
            <w:shd w:val="clear" w:color="auto" w:fill="C4EFCE"/>
            <w:vAlign w:val="center"/>
            <w:hideMark/>
          </w:tcPr>
          <w:p w14:paraId="2B69A15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12.2</w:t>
            </w:r>
          </w:p>
        </w:tc>
        <w:tc>
          <w:tcPr>
            <w:tcW w:w="1760" w:type="dxa"/>
            <w:shd w:val="clear" w:color="auto" w:fill="C4EFCE"/>
            <w:vAlign w:val="center"/>
            <w:hideMark/>
          </w:tcPr>
          <w:p w14:paraId="0E5E7E9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TC-C12-i01 </w:t>
            </w:r>
          </w:p>
        </w:tc>
        <w:tc>
          <w:tcPr>
            <w:tcW w:w="1520" w:type="dxa"/>
            <w:shd w:val="clear" w:color="auto" w:fill="C4EFCE"/>
            <w:vAlign w:val="center"/>
            <w:hideMark/>
          </w:tcPr>
          <w:p w14:paraId="5A2C0CD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M </w:t>
            </w:r>
          </w:p>
        </w:tc>
        <w:tc>
          <w:tcPr>
            <w:tcW w:w="5060" w:type="dxa"/>
            <w:shd w:val="clear" w:color="auto" w:fill="C4EFCE"/>
            <w:vAlign w:val="center"/>
            <w:hideMark/>
          </w:tcPr>
          <w:p w14:paraId="66F6BDEC" w14:textId="7A5AC5BB"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Schválenie projektov, ktoré predložili konzorciá na vývoj nových biohospodárskych výrobkov, technológií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procesov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textilnom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odevnom odvetví, obuvi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prírodných živíc</w:t>
            </w:r>
          </w:p>
        </w:tc>
      </w:tr>
      <w:tr w:rsidR="00387C70" w:rsidRPr="003F23AC" w14:paraId="714F199C" w14:textId="77777777">
        <w:trPr>
          <w:trHeight w:val="440"/>
        </w:trPr>
        <w:tc>
          <w:tcPr>
            <w:tcW w:w="1200" w:type="dxa"/>
            <w:shd w:val="clear" w:color="auto" w:fill="C4EFCE"/>
            <w:vAlign w:val="center"/>
            <w:hideMark/>
          </w:tcPr>
          <w:p w14:paraId="2998479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15.10</w:t>
            </w:r>
          </w:p>
        </w:tc>
        <w:tc>
          <w:tcPr>
            <w:tcW w:w="1760" w:type="dxa"/>
            <w:shd w:val="clear" w:color="auto" w:fill="C4EFCE"/>
            <w:vAlign w:val="center"/>
            <w:hideMark/>
          </w:tcPr>
          <w:p w14:paraId="52003E8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TC-C15 – i04 </w:t>
            </w:r>
          </w:p>
        </w:tc>
        <w:tc>
          <w:tcPr>
            <w:tcW w:w="1520" w:type="dxa"/>
            <w:shd w:val="clear" w:color="auto" w:fill="C4EFCE"/>
            <w:vAlign w:val="center"/>
            <w:hideMark/>
          </w:tcPr>
          <w:p w14:paraId="6E6BC1D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M </w:t>
            </w:r>
          </w:p>
        </w:tc>
        <w:tc>
          <w:tcPr>
            <w:tcW w:w="5060" w:type="dxa"/>
            <w:shd w:val="clear" w:color="auto" w:fill="C4EFCE"/>
            <w:vAlign w:val="center"/>
            <w:hideMark/>
          </w:tcPr>
          <w:p w14:paraId="36F85E86" w14:textId="1F568E4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výstavbe rýchlej tranzitnej linky Bus medzi Praça do Império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Praça Albuquerque Mouzinho</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Porte</w:t>
            </w:r>
          </w:p>
        </w:tc>
      </w:tr>
      <w:tr w:rsidR="00387C70" w:rsidRPr="003F23AC" w14:paraId="533E7E79" w14:textId="77777777">
        <w:trPr>
          <w:trHeight w:val="440"/>
        </w:trPr>
        <w:tc>
          <w:tcPr>
            <w:tcW w:w="1200" w:type="dxa"/>
            <w:shd w:val="clear" w:color="auto" w:fill="C4EFCE"/>
            <w:vAlign w:val="center"/>
            <w:hideMark/>
          </w:tcPr>
          <w:p w14:paraId="02967B3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16.1</w:t>
            </w:r>
          </w:p>
        </w:tc>
        <w:tc>
          <w:tcPr>
            <w:tcW w:w="1760" w:type="dxa"/>
            <w:shd w:val="clear" w:color="auto" w:fill="C4EFCE"/>
            <w:vAlign w:val="center"/>
            <w:hideMark/>
          </w:tcPr>
          <w:p w14:paraId="6200FB0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TD-C16-r31 </w:t>
            </w:r>
          </w:p>
        </w:tc>
        <w:tc>
          <w:tcPr>
            <w:tcW w:w="1520" w:type="dxa"/>
            <w:shd w:val="clear" w:color="auto" w:fill="C4EFCE"/>
            <w:vAlign w:val="center"/>
            <w:hideMark/>
          </w:tcPr>
          <w:p w14:paraId="5AAA97B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M </w:t>
            </w:r>
          </w:p>
        </w:tc>
        <w:tc>
          <w:tcPr>
            <w:tcW w:w="5060" w:type="dxa"/>
            <w:shd w:val="clear" w:color="auto" w:fill="C4EFCE"/>
            <w:vAlign w:val="center"/>
            <w:hideMark/>
          </w:tcPr>
          <w:p w14:paraId="5D8BB228" w14:textId="5A6DC61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preskúmania obsahu odbornej prípravy zahrnutého do národného katalógu kvalifikácií, pokiaľ ide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moduly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digitálnych zručností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právne predpisy alebo nariadenia na vytváranie digitálnych podpisov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pečatí</w:t>
            </w:r>
          </w:p>
        </w:tc>
      </w:tr>
      <w:tr w:rsidR="00387C70" w:rsidRPr="003F23AC" w14:paraId="5CC4D3D1" w14:textId="77777777">
        <w:trPr>
          <w:trHeight w:val="440"/>
        </w:trPr>
        <w:tc>
          <w:tcPr>
            <w:tcW w:w="1200" w:type="dxa"/>
            <w:shd w:val="clear" w:color="auto" w:fill="C4EFCE"/>
            <w:vAlign w:val="center"/>
            <w:hideMark/>
          </w:tcPr>
          <w:p w14:paraId="1F86CEE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16.2</w:t>
            </w:r>
          </w:p>
        </w:tc>
        <w:tc>
          <w:tcPr>
            <w:tcW w:w="1760" w:type="dxa"/>
            <w:shd w:val="clear" w:color="auto" w:fill="C4EFCE"/>
            <w:vAlign w:val="center"/>
            <w:hideMark/>
          </w:tcPr>
          <w:p w14:paraId="11BC8A2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TD-C16-i01 </w:t>
            </w:r>
          </w:p>
        </w:tc>
        <w:tc>
          <w:tcPr>
            <w:tcW w:w="1520" w:type="dxa"/>
            <w:shd w:val="clear" w:color="auto" w:fill="C4EFCE"/>
            <w:vAlign w:val="center"/>
            <w:hideMark/>
          </w:tcPr>
          <w:p w14:paraId="090CB4E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M </w:t>
            </w:r>
          </w:p>
        </w:tc>
        <w:tc>
          <w:tcPr>
            <w:tcW w:w="5060" w:type="dxa"/>
            <w:shd w:val="clear" w:color="auto" w:fill="C4EFCE"/>
            <w:vAlign w:val="center"/>
            <w:hideMark/>
          </w:tcPr>
          <w:p w14:paraId="47853812" w14:textId="3DE0B133"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Začiatok programu Portugalská digitálna akadémia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programu Zamestnanosť + digitálne programy</w:t>
            </w:r>
          </w:p>
        </w:tc>
      </w:tr>
      <w:tr w:rsidR="00387C70" w:rsidRPr="003F23AC" w14:paraId="3200DC7C" w14:textId="77777777">
        <w:trPr>
          <w:trHeight w:val="440"/>
        </w:trPr>
        <w:tc>
          <w:tcPr>
            <w:tcW w:w="1200" w:type="dxa"/>
            <w:shd w:val="clear" w:color="auto" w:fill="C4EFCE"/>
            <w:vAlign w:val="center"/>
            <w:hideMark/>
          </w:tcPr>
          <w:p w14:paraId="05FEEB7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17.15</w:t>
            </w:r>
          </w:p>
        </w:tc>
        <w:tc>
          <w:tcPr>
            <w:tcW w:w="1760" w:type="dxa"/>
            <w:shd w:val="clear" w:color="auto" w:fill="C4EFCE"/>
            <w:vAlign w:val="center"/>
            <w:hideMark/>
          </w:tcPr>
          <w:p w14:paraId="1F9D103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TD-C17-i02 </w:t>
            </w:r>
          </w:p>
        </w:tc>
        <w:tc>
          <w:tcPr>
            <w:tcW w:w="1520" w:type="dxa"/>
            <w:shd w:val="clear" w:color="auto" w:fill="C4EFCE"/>
            <w:vAlign w:val="center"/>
            <w:hideMark/>
          </w:tcPr>
          <w:p w14:paraId="67833CA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M </w:t>
            </w:r>
          </w:p>
        </w:tc>
        <w:tc>
          <w:tcPr>
            <w:tcW w:w="5060" w:type="dxa"/>
            <w:shd w:val="clear" w:color="auto" w:fill="C4EFCE"/>
            <w:vAlign w:val="center"/>
            <w:hideMark/>
          </w:tcPr>
          <w:p w14:paraId="30BBDC58" w14:textId="0577EE62"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Dokončiť predbežné vyplnenie vyhlásenia vo vzore 1 komunálnej dane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nehnuteľností (IMI) na základe údajov dostupných daňovému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colnému úradu</w:t>
            </w:r>
          </w:p>
        </w:tc>
      </w:tr>
      <w:tr w:rsidR="00387C70" w:rsidRPr="003F23AC" w14:paraId="67713344" w14:textId="77777777">
        <w:trPr>
          <w:trHeight w:val="440"/>
        </w:trPr>
        <w:tc>
          <w:tcPr>
            <w:tcW w:w="1200" w:type="dxa"/>
            <w:shd w:val="clear" w:color="auto" w:fill="C4EFCE"/>
            <w:vAlign w:val="center"/>
            <w:hideMark/>
          </w:tcPr>
          <w:p w14:paraId="6617439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19.11</w:t>
            </w:r>
          </w:p>
        </w:tc>
        <w:tc>
          <w:tcPr>
            <w:tcW w:w="1760" w:type="dxa"/>
            <w:shd w:val="clear" w:color="auto" w:fill="C4EFCE"/>
            <w:vAlign w:val="center"/>
            <w:hideMark/>
          </w:tcPr>
          <w:p w14:paraId="2588905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TD-C19 – i04 </w:t>
            </w:r>
          </w:p>
        </w:tc>
        <w:tc>
          <w:tcPr>
            <w:tcW w:w="1520" w:type="dxa"/>
            <w:shd w:val="clear" w:color="auto" w:fill="C4EFCE"/>
            <w:vAlign w:val="center"/>
            <w:hideMark/>
          </w:tcPr>
          <w:p w14:paraId="0316DC1D" w14:textId="6CA68EA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r w:rsidR="000F5AA4" w:rsidRPr="003F23AC">
              <w:rPr>
                <w:rFonts w:ascii="Times New Roman" w:hAnsi="Times New Roman" w:cs="Times New Roman"/>
                <w:noProof/>
                <w:lang w:val="sk-SK"/>
              </w:rPr>
              <w:t xml:space="preserve"> </w:t>
            </w:r>
          </w:p>
        </w:tc>
        <w:tc>
          <w:tcPr>
            <w:tcW w:w="5060" w:type="dxa"/>
            <w:shd w:val="clear" w:color="auto" w:fill="C4EFCE"/>
            <w:vAlign w:val="center"/>
            <w:hideMark/>
          </w:tcPr>
          <w:p w14:paraId="1F06EAFA"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Bezpečný mobilný komunikačný systém pre štátnych zamestnancov</w:t>
            </w:r>
          </w:p>
        </w:tc>
      </w:tr>
      <w:tr w:rsidR="00387C70" w:rsidRPr="003F23AC" w14:paraId="53A0C5D6" w14:textId="77777777">
        <w:trPr>
          <w:trHeight w:val="440"/>
        </w:trPr>
        <w:tc>
          <w:tcPr>
            <w:tcW w:w="1200" w:type="dxa"/>
            <w:shd w:val="clear" w:color="auto" w:fill="C4EFCE"/>
            <w:vAlign w:val="center"/>
            <w:hideMark/>
          </w:tcPr>
          <w:p w14:paraId="7CC89C41"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760" w:type="dxa"/>
            <w:shd w:val="clear" w:color="auto" w:fill="C4EFCE"/>
            <w:vAlign w:val="center"/>
            <w:hideMark/>
          </w:tcPr>
          <w:p w14:paraId="371F60AD"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520" w:type="dxa"/>
            <w:shd w:val="clear" w:color="auto" w:fill="C4EFCE"/>
            <w:vAlign w:val="center"/>
            <w:hideMark/>
          </w:tcPr>
          <w:p w14:paraId="49CC9873" w14:textId="77777777" w:rsidR="00387C70" w:rsidRPr="003F23AC" w:rsidRDefault="000F5AA4" w:rsidP="003F23AC">
            <w:pPr>
              <w:pStyle w:val="P68B1DB1-Normal24"/>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Suma splátky</w:t>
            </w:r>
          </w:p>
        </w:tc>
        <w:tc>
          <w:tcPr>
            <w:tcW w:w="5060" w:type="dxa"/>
            <w:shd w:val="clear" w:color="auto" w:fill="C4EFCE"/>
            <w:vAlign w:val="center"/>
            <w:hideMark/>
          </w:tcPr>
          <w:p w14:paraId="4901582E" w14:textId="07D8E321" w:rsidR="00387C70" w:rsidRPr="003F23AC" w:rsidRDefault="003A06C1" w:rsidP="003F23AC">
            <w:pPr>
              <w:pStyle w:val="P68B1DB1-Normal25"/>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EUR 1 967 365 517</w:t>
            </w:r>
          </w:p>
        </w:tc>
      </w:tr>
    </w:tbl>
    <w:p w14:paraId="59D27683"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032FF8B5" w14:textId="1C569272" w:rsidR="00A75B3C" w:rsidRPr="003F23AC" w:rsidRDefault="000F5AA4" w:rsidP="003F23AC">
      <w:pPr>
        <w:pStyle w:val="P68B1DB1-Normal4"/>
        <w:numPr>
          <w:ilvl w:val="1"/>
          <w:numId w:val="19"/>
        </w:numPr>
        <w:spacing w:before="40" w:after="160" w:line="259" w:lineRule="auto"/>
        <w:contextualSpacing/>
        <w:jc w:val="both"/>
        <w:rPr>
          <w:rFonts w:cs="Times New Roman"/>
          <w:noProof/>
          <w:lang w:val="sk-SK"/>
        </w:rPr>
      </w:pPr>
      <w:r w:rsidRPr="003F23AC">
        <w:rPr>
          <w:rFonts w:cs="Times New Roman"/>
          <w:noProof/>
          <w:lang w:val="sk-SK"/>
        </w:rPr>
        <w:t>Tretia žiadosť</w:t>
      </w:r>
      <w:r w:rsidR="00A75B3C" w:rsidRPr="003F23AC">
        <w:rPr>
          <w:rFonts w:cs="Times New Roman"/>
          <w:noProof/>
          <w:lang w:val="sk-SK"/>
        </w:rPr>
        <w:t xml:space="preserve"> o </w:t>
      </w:r>
      <w:r w:rsidRPr="003F23AC">
        <w:rPr>
          <w:rFonts w:cs="Times New Roman"/>
          <w:noProof/>
          <w:lang w:val="sk-SK"/>
        </w:rPr>
        <w:t>platbu (nenávratná podpora)</w:t>
      </w:r>
      <w:r w:rsidR="00A75B3C" w:rsidRPr="003F23AC">
        <w:rPr>
          <w:rFonts w:cs="Times New Roman"/>
          <w:noProof/>
          <w:lang w:val="sk-SK"/>
        </w:rPr>
        <w:t>:</w:t>
      </w:r>
    </w:p>
    <w:p w14:paraId="39F5DDB8" w14:textId="503B04B2"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tbl>
      <w:tblPr>
        <w:tblW w:w="95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760"/>
        <w:gridCol w:w="1520"/>
        <w:gridCol w:w="5060"/>
      </w:tblGrid>
      <w:tr w:rsidR="00387C70" w:rsidRPr="003F23AC" w14:paraId="1430A9DC" w14:textId="77777777">
        <w:trPr>
          <w:trHeight w:val="1018"/>
          <w:tblHeader/>
        </w:trPr>
        <w:tc>
          <w:tcPr>
            <w:tcW w:w="1200" w:type="dxa"/>
            <w:shd w:val="clear" w:color="auto" w:fill="BDD7EE"/>
            <w:vAlign w:val="center"/>
            <w:hideMark/>
          </w:tcPr>
          <w:p w14:paraId="2847B217"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shd w:val="clear" w:color="auto" w:fill="BDD7EE"/>
            <w:vAlign w:val="center"/>
            <w:hideMark/>
          </w:tcPr>
          <w:p w14:paraId="6187D274"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shd w:val="clear" w:color="auto" w:fill="BDD7EE"/>
            <w:vAlign w:val="center"/>
            <w:hideMark/>
          </w:tcPr>
          <w:p w14:paraId="32A18B87"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shd w:val="clear" w:color="auto" w:fill="BDD7EE"/>
            <w:vAlign w:val="center"/>
            <w:hideMark/>
          </w:tcPr>
          <w:p w14:paraId="7A727648"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433173AD" w14:textId="77777777">
        <w:trPr>
          <w:trHeight w:val="440"/>
        </w:trPr>
        <w:tc>
          <w:tcPr>
            <w:tcW w:w="1200" w:type="dxa"/>
            <w:shd w:val="clear" w:color="auto" w:fill="C4EFCE"/>
            <w:vAlign w:val="center"/>
            <w:hideMark/>
          </w:tcPr>
          <w:p w14:paraId="29F12095"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1.3</w:t>
            </w:r>
          </w:p>
        </w:tc>
        <w:tc>
          <w:tcPr>
            <w:tcW w:w="1760" w:type="dxa"/>
            <w:shd w:val="clear" w:color="auto" w:fill="C4EFCE"/>
            <w:vAlign w:val="center"/>
            <w:hideMark/>
          </w:tcPr>
          <w:p w14:paraId="227BCECB" w14:textId="0A5B79CF"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C01-r01 </w:t>
            </w:r>
          </w:p>
        </w:tc>
        <w:tc>
          <w:tcPr>
            <w:tcW w:w="1520" w:type="dxa"/>
            <w:shd w:val="clear" w:color="auto" w:fill="C4EFCE"/>
            <w:vAlign w:val="center"/>
            <w:hideMark/>
          </w:tcPr>
          <w:p w14:paraId="02B91359" w14:textId="6A774B97"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1127E965" w14:textId="53D37F29"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Ukončenie procesu decentralizácie zodpovedností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zdravia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obciach</w:t>
            </w:r>
          </w:p>
        </w:tc>
      </w:tr>
      <w:tr w:rsidR="00387C70" w:rsidRPr="003F23AC" w14:paraId="35C8B374" w14:textId="77777777">
        <w:trPr>
          <w:trHeight w:val="440"/>
        </w:trPr>
        <w:tc>
          <w:tcPr>
            <w:tcW w:w="1200" w:type="dxa"/>
            <w:shd w:val="clear" w:color="auto" w:fill="C4EFCE"/>
            <w:vAlign w:val="center"/>
            <w:hideMark/>
          </w:tcPr>
          <w:p w14:paraId="5B2F963A"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1.8</w:t>
            </w:r>
          </w:p>
        </w:tc>
        <w:tc>
          <w:tcPr>
            <w:tcW w:w="1760" w:type="dxa"/>
            <w:shd w:val="clear" w:color="auto" w:fill="C4EFCE"/>
            <w:vAlign w:val="center"/>
            <w:hideMark/>
          </w:tcPr>
          <w:p w14:paraId="4BA31BDE" w14:textId="66718F2F"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C01-r03 </w:t>
            </w:r>
          </w:p>
        </w:tc>
        <w:tc>
          <w:tcPr>
            <w:tcW w:w="1520" w:type="dxa"/>
            <w:shd w:val="clear" w:color="auto" w:fill="C4EFCE"/>
            <w:vAlign w:val="center"/>
            <w:hideMark/>
          </w:tcPr>
          <w:p w14:paraId="4B70E399" w14:textId="5E93A0C5"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44D83727" w14:textId="7D9FCC6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Zriadenie nových integrovaných centier zodpovednosti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nemocniciach Národnej zdravotnej služby</w:t>
            </w:r>
          </w:p>
        </w:tc>
      </w:tr>
      <w:tr w:rsidR="00387C70" w:rsidRPr="003F23AC" w14:paraId="612E7BD9" w14:textId="77777777">
        <w:trPr>
          <w:trHeight w:val="440"/>
        </w:trPr>
        <w:tc>
          <w:tcPr>
            <w:tcW w:w="1200" w:type="dxa"/>
            <w:shd w:val="clear" w:color="auto" w:fill="C4EFCE"/>
            <w:vAlign w:val="center"/>
            <w:hideMark/>
          </w:tcPr>
          <w:p w14:paraId="6F992C46"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1.24</w:t>
            </w:r>
          </w:p>
        </w:tc>
        <w:tc>
          <w:tcPr>
            <w:tcW w:w="1760" w:type="dxa"/>
            <w:shd w:val="clear" w:color="auto" w:fill="C4EFCE"/>
            <w:vAlign w:val="center"/>
            <w:hideMark/>
          </w:tcPr>
          <w:p w14:paraId="6244700A" w14:textId="5FB852BE"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C01-i03 </w:t>
            </w:r>
          </w:p>
        </w:tc>
        <w:tc>
          <w:tcPr>
            <w:tcW w:w="1520" w:type="dxa"/>
            <w:shd w:val="clear" w:color="auto" w:fill="C4EFCE"/>
            <w:vAlign w:val="center"/>
            <w:hideMark/>
          </w:tcPr>
          <w:p w14:paraId="768B1E2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521094EF" w14:textId="6AC8BAA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Rozvoj opatrení na zvyšovanie informovanosti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odbornej prípravy zameraných na „budovanie ciest pacientov“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súvislosti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demenciou</w:t>
            </w:r>
          </w:p>
        </w:tc>
      </w:tr>
      <w:tr w:rsidR="00387C70" w:rsidRPr="003F23AC" w14:paraId="16774000" w14:textId="77777777">
        <w:trPr>
          <w:trHeight w:val="440"/>
        </w:trPr>
        <w:tc>
          <w:tcPr>
            <w:tcW w:w="1200" w:type="dxa"/>
            <w:shd w:val="clear" w:color="auto" w:fill="C4EFCE"/>
            <w:vAlign w:val="center"/>
            <w:hideMark/>
          </w:tcPr>
          <w:p w14:paraId="4F522AAB"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1.32</w:t>
            </w:r>
          </w:p>
        </w:tc>
        <w:tc>
          <w:tcPr>
            <w:tcW w:w="1760" w:type="dxa"/>
            <w:shd w:val="clear" w:color="auto" w:fill="C4EFCE"/>
            <w:vAlign w:val="center"/>
            <w:hideMark/>
          </w:tcPr>
          <w:p w14:paraId="1E3BBF1C" w14:textId="077C467E"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C01-i06 </w:t>
            </w:r>
          </w:p>
        </w:tc>
        <w:tc>
          <w:tcPr>
            <w:tcW w:w="1520" w:type="dxa"/>
            <w:shd w:val="clear" w:color="auto" w:fill="C4EFCE"/>
            <w:vAlign w:val="center"/>
            <w:hideMark/>
          </w:tcPr>
          <w:p w14:paraId="751F589B" w14:textId="62924B3A"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4E971E6E"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Modernizácia miestnych sietí informačných technológií</w:t>
            </w:r>
          </w:p>
        </w:tc>
      </w:tr>
      <w:tr w:rsidR="00387C70" w:rsidRPr="003F23AC" w14:paraId="30A3EA71" w14:textId="77777777">
        <w:trPr>
          <w:trHeight w:val="440"/>
        </w:trPr>
        <w:tc>
          <w:tcPr>
            <w:tcW w:w="1200" w:type="dxa"/>
            <w:shd w:val="clear" w:color="auto" w:fill="C4EFCE"/>
            <w:vAlign w:val="center"/>
            <w:hideMark/>
          </w:tcPr>
          <w:p w14:paraId="77DEF1E6"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1.33</w:t>
            </w:r>
          </w:p>
        </w:tc>
        <w:tc>
          <w:tcPr>
            <w:tcW w:w="1760" w:type="dxa"/>
            <w:shd w:val="clear" w:color="auto" w:fill="C4EFCE"/>
            <w:vAlign w:val="center"/>
            <w:hideMark/>
          </w:tcPr>
          <w:p w14:paraId="3EF303B5" w14:textId="00D47594"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C01-i06 </w:t>
            </w:r>
          </w:p>
        </w:tc>
        <w:tc>
          <w:tcPr>
            <w:tcW w:w="1520" w:type="dxa"/>
            <w:shd w:val="clear" w:color="auto" w:fill="C4EFCE"/>
            <w:vAlign w:val="center"/>
            <w:hideMark/>
          </w:tcPr>
          <w:p w14:paraId="0BE21A0A" w14:textId="035E176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7C0D9898" w14:textId="4492F8A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Zavedenie funkcií pre telezdravotníctvo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telemonitorovanie</w:t>
            </w:r>
          </w:p>
        </w:tc>
      </w:tr>
      <w:tr w:rsidR="00387C70" w:rsidRPr="003F23AC" w14:paraId="32F2658E" w14:textId="77777777">
        <w:trPr>
          <w:trHeight w:val="440"/>
        </w:trPr>
        <w:tc>
          <w:tcPr>
            <w:tcW w:w="1200" w:type="dxa"/>
            <w:shd w:val="clear" w:color="auto" w:fill="C4EFCE"/>
            <w:vAlign w:val="center"/>
            <w:hideMark/>
          </w:tcPr>
          <w:p w14:paraId="1B65C832"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2.1</w:t>
            </w:r>
          </w:p>
        </w:tc>
        <w:tc>
          <w:tcPr>
            <w:tcW w:w="1760" w:type="dxa"/>
            <w:shd w:val="clear" w:color="auto" w:fill="C4EFCE"/>
            <w:vAlign w:val="center"/>
            <w:hideMark/>
          </w:tcPr>
          <w:p w14:paraId="2ABDE328" w14:textId="729D5C12"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C02-i01 </w:t>
            </w:r>
          </w:p>
        </w:tc>
        <w:tc>
          <w:tcPr>
            <w:tcW w:w="1520" w:type="dxa"/>
            <w:shd w:val="clear" w:color="auto" w:fill="C4EFCE"/>
            <w:vAlign w:val="center"/>
            <w:hideMark/>
          </w:tcPr>
          <w:p w14:paraId="51C049D3" w14:textId="7E5BB6D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58DD0AC1" w14:textId="51BAF69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Program podpory prístupu</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bývaniu – podpísané dohody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spolupráci alebo financovaní</w:t>
            </w:r>
          </w:p>
        </w:tc>
      </w:tr>
      <w:tr w:rsidR="00387C70" w:rsidRPr="003F23AC" w14:paraId="1B2D04E4" w14:textId="77777777">
        <w:trPr>
          <w:trHeight w:val="440"/>
        </w:trPr>
        <w:tc>
          <w:tcPr>
            <w:tcW w:w="1200" w:type="dxa"/>
            <w:shd w:val="clear" w:color="auto" w:fill="C4EFCE"/>
            <w:vAlign w:val="center"/>
            <w:hideMark/>
          </w:tcPr>
          <w:p w14:paraId="182ED174"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2.4</w:t>
            </w:r>
          </w:p>
        </w:tc>
        <w:tc>
          <w:tcPr>
            <w:tcW w:w="1760" w:type="dxa"/>
            <w:shd w:val="clear" w:color="auto" w:fill="C4EFCE"/>
            <w:vAlign w:val="center"/>
            <w:hideMark/>
          </w:tcPr>
          <w:p w14:paraId="572612F3" w14:textId="10668BEF"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C02-i02 </w:t>
            </w:r>
          </w:p>
        </w:tc>
        <w:tc>
          <w:tcPr>
            <w:tcW w:w="1520" w:type="dxa"/>
            <w:shd w:val="clear" w:color="auto" w:fill="C4EFCE"/>
            <w:vAlign w:val="center"/>
            <w:hideMark/>
          </w:tcPr>
          <w:p w14:paraId="6AB1DCE0" w14:textId="6B54AB79"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44736D18" w14:textId="40D3EBB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Národný grant na núdzové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dočasné ubytovanie – podpísanie dohôd</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financovaní núdzového ubytovania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prechodného ubytovania</w:t>
            </w:r>
          </w:p>
        </w:tc>
      </w:tr>
      <w:tr w:rsidR="00387C70" w:rsidRPr="003F23AC" w14:paraId="193180B9" w14:textId="77777777">
        <w:trPr>
          <w:trHeight w:val="440"/>
        </w:trPr>
        <w:tc>
          <w:tcPr>
            <w:tcW w:w="1200" w:type="dxa"/>
            <w:shd w:val="clear" w:color="auto" w:fill="C4EFCE"/>
            <w:vAlign w:val="center"/>
            <w:hideMark/>
          </w:tcPr>
          <w:p w14:paraId="29216A22"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3.11</w:t>
            </w:r>
          </w:p>
        </w:tc>
        <w:tc>
          <w:tcPr>
            <w:tcW w:w="1760" w:type="dxa"/>
            <w:shd w:val="clear" w:color="auto" w:fill="C4EFCE"/>
            <w:vAlign w:val="center"/>
            <w:hideMark/>
          </w:tcPr>
          <w:p w14:paraId="01F162E3" w14:textId="77E2E49E"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C03-i03-RAM </w:t>
            </w:r>
          </w:p>
        </w:tc>
        <w:tc>
          <w:tcPr>
            <w:tcW w:w="1520" w:type="dxa"/>
            <w:shd w:val="clear" w:color="auto" w:fill="C4EFCE"/>
            <w:vAlign w:val="center"/>
            <w:hideMark/>
          </w:tcPr>
          <w:p w14:paraId="246B4B59" w14:textId="6C78E9A5"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4336679B"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Plány života na integráciu bezdomovcov.</w:t>
            </w:r>
          </w:p>
        </w:tc>
      </w:tr>
      <w:tr w:rsidR="00387C70" w:rsidRPr="003F23AC" w14:paraId="0BC61039" w14:textId="77777777">
        <w:trPr>
          <w:trHeight w:val="440"/>
        </w:trPr>
        <w:tc>
          <w:tcPr>
            <w:tcW w:w="1200" w:type="dxa"/>
            <w:shd w:val="clear" w:color="auto" w:fill="C4EFCE"/>
            <w:vAlign w:val="center"/>
            <w:hideMark/>
          </w:tcPr>
          <w:p w14:paraId="1B2403C3"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4.6</w:t>
            </w:r>
          </w:p>
        </w:tc>
        <w:tc>
          <w:tcPr>
            <w:tcW w:w="1760" w:type="dxa"/>
            <w:shd w:val="clear" w:color="auto" w:fill="C4EFCE"/>
            <w:vAlign w:val="center"/>
            <w:hideMark/>
          </w:tcPr>
          <w:p w14:paraId="4FB11F6A" w14:textId="2827E812"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C04-i02 </w:t>
            </w:r>
          </w:p>
        </w:tc>
        <w:tc>
          <w:tcPr>
            <w:tcW w:w="1520" w:type="dxa"/>
            <w:shd w:val="clear" w:color="auto" w:fill="C4EFCE"/>
            <w:vAlign w:val="center"/>
            <w:hideMark/>
          </w:tcPr>
          <w:p w14:paraId="590EFB9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2ED71179"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Vytvorenie siete „Saber Fazer“</w:t>
            </w:r>
          </w:p>
        </w:tc>
      </w:tr>
      <w:tr w:rsidR="00387C70" w:rsidRPr="003F23AC" w14:paraId="0D67E78F" w14:textId="77777777">
        <w:trPr>
          <w:trHeight w:val="440"/>
        </w:trPr>
        <w:tc>
          <w:tcPr>
            <w:tcW w:w="1200" w:type="dxa"/>
            <w:shd w:val="clear" w:color="auto" w:fill="C4EFCE"/>
            <w:vAlign w:val="center"/>
            <w:hideMark/>
          </w:tcPr>
          <w:p w14:paraId="48691633"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5.5</w:t>
            </w:r>
          </w:p>
        </w:tc>
        <w:tc>
          <w:tcPr>
            <w:tcW w:w="1760" w:type="dxa"/>
            <w:shd w:val="clear" w:color="auto" w:fill="C4EFCE"/>
            <w:vAlign w:val="center"/>
            <w:hideMark/>
          </w:tcPr>
          <w:p w14:paraId="028584EA" w14:textId="52BF0F13"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C05-i01.01 </w:t>
            </w:r>
          </w:p>
        </w:tc>
        <w:tc>
          <w:tcPr>
            <w:tcW w:w="1520" w:type="dxa"/>
            <w:shd w:val="clear" w:color="auto" w:fill="C4EFCE"/>
            <w:vAlign w:val="center"/>
            <w:hideMark/>
          </w:tcPr>
          <w:p w14:paraId="5748A513" w14:textId="526EB8C7"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18F1C038" w14:textId="0753408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Uzatváranie zmlúv na vývoj nových produktov, procesov alebo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príslušných strategických oblastiach (inovačné programy).</w:t>
            </w:r>
          </w:p>
        </w:tc>
      </w:tr>
      <w:tr w:rsidR="00387C70" w:rsidRPr="003F23AC" w14:paraId="6F9BDCC5" w14:textId="77777777">
        <w:trPr>
          <w:trHeight w:val="440"/>
        </w:trPr>
        <w:tc>
          <w:tcPr>
            <w:tcW w:w="1200" w:type="dxa"/>
            <w:shd w:val="clear" w:color="auto" w:fill="C4EFCE"/>
            <w:vAlign w:val="center"/>
            <w:hideMark/>
          </w:tcPr>
          <w:p w14:paraId="662B09CD"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5.7</w:t>
            </w:r>
          </w:p>
        </w:tc>
        <w:tc>
          <w:tcPr>
            <w:tcW w:w="1760" w:type="dxa"/>
            <w:shd w:val="clear" w:color="auto" w:fill="C4EFCE"/>
            <w:vAlign w:val="center"/>
            <w:hideMark/>
          </w:tcPr>
          <w:p w14:paraId="1C23E7CC" w14:textId="7DC30025"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C05-i01.02 </w:t>
            </w:r>
          </w:p>
        </w:tc>
        <w:tc>
          <w:tcPr>
            <w:tcW w:w="1520" w:type="dxa"/>
            <w:shd w:val="clear" w:color="auto" w:fill="C4EFCE"/>
            <w:vAlign w:val="center"/>
            <w:hideMark/>
          </w:tcPr>
          <w:p w14:paraId="28804D49" w14:textId="0F95CA5F"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5D21AAA1" w14:textId="28FD278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Uzatváranie zmlúv na vývoj nových produktov, procesov alebo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strategických oblastiach relevantných pre nízkouhlíkové hospodárstvo, 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adaptáciu na zmenu klímy</w:t>
            </w:r>
          </w:p>
        </w:tc>
      </w:tr>
      <w:tr w:rsidR="00387C70" w:rsidRPr="003F23AC" w14:paraId="5C327989" w14:textId="77777777">
        <w:trPr>
          <w:trHeight w:val="440"/>
        </w:trPr>
        <w:tc>
          <w:tcPr>
            <w:tcW w:w="1200" w:type="dxa"/>
            <w:shd w:val="clear" w:color="auto" w:fill="C4EFCE"/>
            <w:vAlign w:val="center"/>
            <w:hideMark/>
          </w:tcPr>
          <w:p w14:paraId="49715C30"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5.9</w:t>
            </w:r>
          </w:p>
        </w:tc>
        <w:tc>
          <w:tcPr>
            <w:tcW w:w="1760" w:type="dxa"/>
            <w:shd w:val="clear" w:color="auto" w:fill="C4EFCE"/>
            <w:vAlign w:val="center"/>
            <w:hideMark/>
          </w:tcPr>
          <w:p w14:paraId="1CEA8990" w14:textId="673D23A6"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C05-i02 </w:t>
            </w:r>
          </w:p>
        </w:tc>
        <w:tc>
          <w:tcPr>
            <w:tcW w:w="1520" w:type="dxa"/>
            <w:shd w:val="clear" w:color="auto" w:fill="C4EFCE"/>
            <w:vAlign w:val="center"/>
            <w:hideMark/>
          </w:tcPr>
          <w:p w14:paraId="6CAC10E8" w14:textId="7A44BED3"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20118BF2" w14:textId="66E7F312"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Zmluvy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sprostredkovateľskými subjektmi vrátane kolaboratívnych laboratórií – Colabs, uzavreté</w:t>
            </w:r>
          </w:p>
        </w:tc>
      </w:tr>
      <w:tr w:rsidR="00387C70" w:rsidRPr="003F23AC" w14:paraId="03C3F9A8" w14:textId="77777777">
        <w:trPr>
          <w:trHeight w:val="440"/>
        </w:trPr>
        <w:tc>
          <w:tcPr>
            <w:tcW w:w="1200" w:type="dxa"/>
            <w:shd w:val="clear" w:color="auto" w:fill="C4EFCE"/>
            <w:vAlign w:val="center"/>
            <w:hideMark/>
          </w:tcPr>
          <w:p w14:paraId="176D6692"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6.15</w:t>
            </w:r>
          </w:p>
        </w:tc>
        <w:tc>
          <w:tcPr>
            <w:tcW w:w="1760" w:type="dxa"/>
            <w:shd w:val="clear" w:color="auto" w:fill="C4EFCE"/>
            <w:vAlign w:val="center"/>
            <w:hideMark/>
          </w:tcPr>
          <w:p w14:paraId="5B04B4CC" w14:textId="62C6ECC1"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C06-r16 </w:t>
            </w:r>
          </w:p>
        </w:tc>
        <w:tc>
          <w:tcPr>
            <w:tcW w:w="1520" w:type="dxa"/>
            <w:shd w:val="clear" w:color="auto" w:fill="C4EFCE"/>
            <w:vAlign w:val="center"/>
            <w:hideMark/>
          </w:tcPr>
          <w:p w14:paraId="5E98D41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280C87D7" w14:textId="384C20D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zákona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regulovaných povolaniach</w:t>
            </w:r>
          </w:p>
        </w:tc>
      </w:tr>
      <w:tr w:rsidR="00387C70" w:rsidRPr="003F23AC" w14:paraId="4983771D" w14:textId="77777777">
        <w:trPr>
          <w:trHeight w:val="440"/>
        </w:trPr>
        <w:tc>
          <w:tcPr>
            <w:tcW w:w="1200" w:type="dxa"/>
            <w:shd w:val="clear" w:color="auto" w:fill="C4EFCE"/>
            <w:vAlign w:val="center"/>
            <w:hideMark/>
          </w:tcPr>
          <w:p w14:paraId="104D5E80"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7.1</w:t>
            </w:r>
          </w:p>
        </w:tc>
        <w:tc>
          <w:tcPr>
            <w:tcW w:w="1760" w:type="dxa"/>
            <w:shd w:val="clear" w:color="auto" w:fill="C4EFCE"/>
            <w:vAlign w:val="center"/>
            <w:hideMark/>
          </w:tcPr>
          <w:p w14:paraId="032F1E62" w14:textId="2E7F775A"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C07-i00 </w:t>
            </w:r>
          </w:p>
        </w:tc>
        <w:tc>
          <w:tcPr>
            <w:tcW w:w="1520" w:type="dxa"/>
            <w:shd w:val="clear" w:color="auto" w:fill="C4EFCE"/>
            <w:vAlign w:val="center"/>
            <w:hideMark/>
          </w:tcPr>
          <w:p w14:paraId="41AD4CD3" w14:textId="1902A64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30690F7A" w14:textId="7B4FDF4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Verejne prístupné nabíjacie stanice pre elektrické vozidlá</w:t>
            </w:r>
          </w:p>
        </w:tc>
      </w:tr>
      <w:tr w:rsidR="00387C70" w:rsidRPr="003F23AC" w14:paraId="70665A7A" w14:textId="77777777">
        <w:trPr>
          <w:trHeight w:val="440"/>
        </w:trPr>
        <w:tc>
          <w:tcPr>
            <w:tcW w:w="1200" w:type="dxa"/>
            <w:shd w:val="clear" w:color="auto" w:fill="C4EFCE"/>
            <w:vAlign w:val="center"/>
            <w:hideMark/>
          </w:tcPr>
          <w:p w14:paraId="537D6B6D"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7.7</w:t>
            </w:r>
          </w:p>
        </w:tc>
        <w:tc>
          <w:tcPr>
            <w:tcW w:w="1760" w:type="dxa"/>
            <w:shd w:val="clear" w:color="auto" w:fill="C4EFCE"/>
            <w:vAlign w:val="center"/>
            <w:hideMark/>
          </w:tcPr>
          <w:p w14:paraId="0D8F10EA" w14:textId="41383405"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C07-i02 </w:t>
            </w:r>
          </w:p>
        </w:tc>
        <w:tc>
          <w:tcPr>
            <w:tcW w:w="1520" w:type="dxa"/>
            <w:shd w:val="clear" w:color="auto" w:fill="C4EFCE"/>
            <w:vAlign w:val="center"/>
            <w:hideMark/>
          </w:tcPr>
          <w:p w14:paraId="44888C1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45733934" w14:textId="5AB6558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Zmluva podpísaná pre dva projekty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cestnej dopravy</w:t>
            </w:r>
          </w:p>
        </w:tc>
      </w:tr>
      <w:tr w:rsidR="00387C70" w:rsidRPr="003F23AC" w14:paraId="621AF830" w14:textId="77777777">
        <w:trPr>
          <w:trHeight w:val="440"/>
        </w:trPr>
        <w:tc>
          <w:tcPr>
            <w:tcW w:w="1200" w:type="dxa"/>
            <w:shd w:val="clear" w:color="auto" w:fill="C4EFCE"/>
            <w:vAlign w:val="center"/>
            <w:hideMark/>
          </w:tcPr>
          <w:p w14:paraId="21A9EB50"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8.18</w:t>
            </w:r>
          </w:p>
        </w:tc>
        <w:tc>
          <w:tcPr>
            <w:tcW w:w="1760" w:type="dxa"/>
            <w:shd w:val="clear" w:color="auto" w:fill="C4EFCE"/>
            <w:vAlign w:val="center"/>
            <w:hideMark/>
          </w:tcPr>
          <w:p w14:paraId="0EB5329C" w14:textId="74DE15DA"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C08-r20 </w:t>
            </w:r>
          </w:p>
        </w:tc>
        <w:tc>
          <w:tcPr>
            <w:tcW w:w="1520" w:type="dxa"/>
            <w:shd w:val="clear" w:color="auto" w:fill="C4EFCE"/>
            <w:vAlign w:val="center"/>
            <w:hideMark/>
          </w:tcPr>
          <w:p w14:paraId="5863364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7126370E"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Systém monitorovania krajinnej pokrývky (SMOS)</w:t>
            </w:r>
          </w:p>
        </w:tc>
      </w:tr>
      <w:tr w:rsidR="00387C70" w:rsidRPr="003F23AC" w14:paraId="19D4139A" w14:textId="77777777">
        <w:trPr>
          <w:trHeight w:val="440"/>
        </w:trPr>
        <w:tc>
          <w:tcPr>
            <w:tcW w:w="1200" w:type="dxa"/>
            <w:shd w:val="clear" w:color="auto" w:fill="C4EFCE"/>
            <w:vAlign w:val="center"/>
            <w:hideMark/>
          </w:tcPr>
          <w:p w14:paraId="3FB03D0D"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12.6</w:t>
            </w:r>
          </w:p>
        </w:tc>
        <w:tc>
          <w:tcPr>
            <w:tcW w:w="1760" w:type="dxa"/>
            <w:shd w:val="clear" w:color="auto" w:fill="C4EFCE"/>
            <w:vAlign w:val="center"/>
            <w:hideMark/>
          </w:tcPr>
          <w:p w14:paraId="6722FFFA"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TC-C12-r25 </w:t>
            </w:r>
          </w:p>
        </w:tc>
        <w:tc>
          <w:tcPr>
            <w:tcW w:w="1520" w:type="dxa"/>
            <w:shd w:val="clear" w:color="auto" w:fill="C4EFCE"/>
            <w:vAlign w:val="center"/>
            <w:hideMark/>
          </w:tcPr>
          <w:p w14:paraId="44C2F50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063E29BE"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revidovanej národnej stratégie pre zelené verejné obstarávanie</w:t>
            </w:r>
          </w:p>
        </w:tc>
      </w:tr>
      <w:tr w:rsidR="00387C70" w:rsidRPr="003F23AC" w14:paraId="41FFE3C7" w14:textId="77777777">
        <w:trPr>
          <w:trHeight w:val="440"/>
        </w:trPr>
        <w:tc>
          <w:tcPr>
            <w:tcW w:w="1200" w:type="dxa"/>
            <w:shd w:val="clear" w:color="auto" w:fill="C4EFCE"/>
            <w:vAlign w:val="center"/>
            <w:hideMark/>
          </w:tcPr>
          <w:p w14:paraId="7800A98C"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15.12</w:t>
            </w:r>
          </w:p>
        </w:tc>
        <w:tc>
          <w:tcPr>
            <w:tcW w:w="1760" w:type="dxa"/>
            <w:shd w:val="clear" w:color="auto" w:fill="C4EFCE"/>
            <w:vAlign w:val="center"/>
            <w:hideMark/>
          </w:tcPr>
          <w:p w14:paraId="4C755F50"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TC-C15 – i05 </w:t>
            </w:r>
          </w:p>
        </w:tc>
        <w:tc>
          <w:tcPr>
            <w:tcW w:w="1520" w:type="dxa"/>
            <w:shd w:val="clear" w:color="auto" w:fill="C4EFCE"/>
            <w:vAlign w:val="center"/>
            <w:hideMark/>
          </w:tcPr>
          <w:p w14:paraId="4DD658D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331B8667" w14:textId="205F6D6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Zmluva podpísaná na nákup ekologických autobusov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dekarbonizácie verejnej dopravy</w:t>
            </w:r>
          </w:p>
        </w:tc>
      </w:tr>
      <w:tr w:rsidR="00387C70" w:rsidRPr="003F23AC" w14:paraId="39E8616F" w14:textId="77777777">
        <w:trPr>
          <w:trHeight w:val="440"/>
        </w:trPr>
        <w:tc>
          <w:tcPr>
            <w:tcW w:w="1200" w:type="dxa"/>
            <w:shd w:val="clear" w:color="auto" w:fill="C4EFCE"/>
            <w:vAlign w:val="center"/>
            <w:hideMark/>
          </w:tcPr>
          <w:p w14:paraId="10D21247"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16.7</w:t>
            </w:r>
          </w:p>
        </w:tc>
        <w:tc>
          <w:tcPr>
            <w:tcW w:w="1760" w:type="dxa"/>
            <w:shd w:val="clear" w:color="auto" w:fill="C4EFCE"/>
            <w:vAlign w:val="center"/>
            <w:hideMark/>
          </w:tcPr>
          <w:p w14:paraId="6613DE1F"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TD-C16-i02 </w:t>
            </w:r>
          </w:p>
        </w:tc>
        <w:tc>
          <w:tcPr>
            <w:tcW w:w="1520" w:type="dxa"/>
            <w:shd w:val="clear" w:color="auto" w:fill="C4EFCE"/>
            <w:vAlign w:val="center"/>
            <w:hideMark/>
          </w:tcPr>
          <w:p w14:paraId="233D2B2C" w14:textId="642DD15F"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7CADFDA3"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Testovacie Bedy vybrané pre národnú sieť testovacích staníc</w:t>
            </w:r>
          </w:p>
        </w:tc>
      </w:tr>
      <w:tr w:rsidR="00387C70" w:rsidRPr="003F23AC" w14:paraId="209EA40D" w14:textId="77777777">
        <w:trPr>
          <w:trHeight w:val="440"/>
        </w:trPr>
        <w:tc>
          <w:tcPr>
            <w:tcW w:w="1200" w:type="dxa"/>
            <w:shd w:val="clear" w:color="auto" w:fill="C4EFCE"/>
            <w:vAlign w:val="center"/>
            <w:hideMark/>
          </w:tcPr>
          <w:p w14:paraId="22EEA5AF"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17.1</w:t>
            </w:r>
          </w:p>
        </w:tc>
        <w:tc>
          <w:tcPr>
            <w:tcW w:w="1760" w:type="dxa"/>
            <w:shd w:val="clear" w:color="auto" w:fill="C4EFCE"/>
            <w:vAlign w:val="center"/>
            <w:hideMark/>
          </w:tcPr>
          <w:p w14:paraId="3856F38E"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TD-C17-r32 </w:t>
            </w:r>
          </w:p>
        </w:tc>
        <w:tc>
          <w:tcPr>
            <w:tcW w:w="1520" w:type="dxa"/>
            <w:shd w:val="clear" w:color="auto" w:fill="C4EFCE"/>
            <w:vAlign w:val="center"/>
            <w:hideMark/>
          </w:tcPr>
          <w:p w14:paraId="7ACA6546" w14:textId="65333194"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419C34B4" w14:textId="10EF824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Dokončiť návrh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vykonávanie nových modelov verejného obstarávania pre vnútroštátny centrálny systém verejného obstarávania, ako sa predpokladá</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strategickom pláne subjektu spoločných služieb verejnej správy na roky 2020 – 2023</w:t>
            </w:r>
          </w:p>
        </w:tc>
      </w:tr>
      <w:tr w:rsidR="00387C70" w:rsidRPr="003F23AC" w14:paraId="3F6B3ED7" w14:textId="77777777">
        <w:trPr>
          <w:trHeight w:val="440"/>
        </w:trPr>
        <w:tc>
          <w:tcPr>
            <w:tcW w:w="1200" w:type="dxa"/>
            <w:shd w:val="clear" w:color="auto" w:fill="C4EFCE"/>
            <w:vAlign w:val="center"/>
            <w:hideMark/>
          </w:tcPr>
          <w:p w14:paraId="01084538"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17.2</w:t>
            </w:r>
          </w:p>
        </w:tc>
        <w:tc>
          <w:tcPr>
            <w:tcW w:w="1760" w:type="dxa"/>
            <w:shd w:val="clear" w:color="auto" w:fill="C4EFCE"/>
            <w:vAlign w:val="center"/>
            <w:hideMark/>
          </w:tcPr>
          <w:p w14:paraId="35541530"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TD-C17-r32 </w:t>
            </w:r>
          </w:p>
        </w:tc>
        <w:tc>
          <w:tcPr>
            <w:tcW w:w="1520" w:type="dxa"/>
            <w:shd w:val="clear" w:color="auto" w:fill="C4EFCE"/>
            <w:vAlign w:val="center"/>
            <w:hideMark/>
          </w:tcPr>
          <w:p w14:paraId="75BDB3D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09A94FE8" w14:textId="2125E3B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právnych predpisov,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ktorých vychádza štátny účtovný subjekt</w:t>
            </w:r>
          </w:p>
        </w:tc>
      </w:tr>
      <w:tr w:rsidR="00387C70" w:rsidRPr="003F23AC" w14:paraId="63E30D88" w14:textId="77777777">
        <w:trPr>
          <w:trHeight w:val="440"/>
        </w:trPr>
        <w:tc>
          <w:tcPr>
            <w:tcW w:w="1200" w:type="dxa"/>
            <w:shd w:val="clear" w:color="auto" w:fill="C4EFCE"/>
            <w:vAlign w:val="center"/>
            <w:hideMark/>
          </w:tcPr>
          <w:p w14:paraId="1056837E"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17.3</w:t>
            </w:r>
          </w:p>
        </w:tc>
        <w:tc>
          <w:tcPr>
            <w:tcW w:w="1760" w:type="dxa"/>
            <w:shd w:val="clear" w:color="auto" w:fill="C4EFCE"/>
            <w:vAlign w:val="center"/>
            <w:hideMark/>
          </w:tcPr>
          <w:p w14:paraId="61FF33E4"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TD-C17-r32 </w:t>
            </w:r>
          </w:p>
        </w:tc>
        <w:tc>
          <w:tcPr>
            <w:tcW w:w="1520" w:type="dxa"/>
            <w:shd w:val="clear" w:color="auto" w:fill="C4EFCE"/>
            <w:vAlign w:val="center"/>
            <w:hideMark/>
          </w:tcPr>
          <w:p w14:paraId="167697B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5EA7BBF8" w14:textId="5B231325"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schválenie modelu monitorovania rozpočtového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finančného plnenia verejnej správy</w:t>
            </w:r>
          </w:p>
        </w:tc>
      </w:tr>
      <w:tr w:rsidR="00387C70" w:rsidRPr="003F23AC" w14:paraId="341F280E" w14:textId="77777777">
        <w:trPr>
          <w:trHeight w:val="440"/>
        </w:trPr>
        <w:tc>
          <w:tcPr>
            <w:tcW w:w="1200" w:type="dxa"/>
            <w:shd w:val="clear" w:color="auto" w:fill="C4EFCE"/>
            <w:vAlign w:val="center"/>
            <w:hideMark/>
          </w:tcPr>
          <w:p w14:paraId="188AFE97"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17.7</w:t>
            </w:r>
          </w:p>
        </w:tc>
        <w:tc>
          <w:tcPr>
            <w:tcW w:w="1760" w:type="dxa"/>
            <w:shd w:val="clear" w:color="auto" w:fill="C4EFCE"/>
            <w:vAlign w:val="center"/>
            <w:hideMark/>
          </w:tcPr>
          <w:p w14:paraId="275594B7"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TD-C17-r32 </w:t>
            </w:r>
          </w:p>
        </w:tc>
        <w:tc>
          <w:tcPr>
            <w:tcW w:w="1520" w:type="dxa"/>
            <w:shd w:val="clear" w:color="auto" w:fill="C4EFCE"/>
            <w:vAlign w:val="center"/>
            <w:hideMark/>
          </w:tcPr>
          <w:p w14:paraId="1936EA4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6AC574CF" w14:textId="3DB71C2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nového modelu analýzy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zverejňovania finančnej situácie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výkonnosti štátom vlastnených podnikov</w:t>
            </w:r>
          </w:p>
        </w:tc>
      </w:tr>
      <w:tr w:rsidR="00387C70" w:rsidRPr="003F23AC" w14:paraId="3B0F106A" w14:textId="77777777">
        <w:trPr>
          <w:trHeight w:val="440"/>
        </w:trPr>
        <w:tc>
          <w:tcPr>
            <w:tcW w:w="1200" w:type="dxa"/>
            <w:shd w:val="clear" w:color="auto" w:fill="C4EFCE"/>
            <w:vAlign w:val="center"/>
            <w:hideMark/>
          </w:tcPr>
          <w:p w14:paraId="2A50687F"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19.1</w:t>
            </w:r>
          </w:p>
        </w:tc>
        <w:tc>
          <w:tcPr>
            <w:tcW w:w="1760" w:type="dxa"/>
            <w:shd w:val="clear" w:color="auto" w:fill="C4EFCE"/>
            <w:vAlign w:val="center"/>
            <w:hideMark/>
          </w:tcPr>
          <w:p w14:paraId="69C58795"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TD-C19-i01 </w:t>
            </w:r>
          </w:p>
        </w:tc>
        <w:tc>
          <w:tcPr>
            <w:tcW w:w="1520" w:type="dxa"/>
            <w:shd w:val="clear" w:color="auto" w:fill="C4EFCE"/>
            <w:vAlign w:val="center"/>
            <w:hideMark/>
          </w:tcPr>
          <w:p w14:paraId="59EF48DA" w14:textId="7C738B6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4BCAB859" w14:textId="63F3A2E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Verejné služby dostupné zjednodušeným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koherentným spôsobom prostredníctvom rôznych kanálov</w:t>
            </w:r>
          </w:p>
        </w:tc>
      </w:tr>
      <w:tr w:rsidR="00387C70" w:rsidRPr="003F23AC" w14:paraId="6A1F9585" w14:textId="77777777">
        <w:trPr>
          <w:trHeight w:val="440"/>
        </w:trPr>
        <w:tc>
          <w:tcPr>
            <w:tcW w:w="1200" w:type="dxa"/>
            <w:shd w:val="clear" w:color="auto" w:fill="C4EFCE"/>
            <w:vAlign w:val="center"/>
            <w:hideMark/>
          </w:tcPr>
          <w:p w14:paraId="4BF5836E"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19.4</w:t>
            </w:r>
          </w:p>
        </w:tc>
        <w:tc>
          <w:tcPr>
            <w:tcW w:w="1760" w:type="dxa"/>
            <w:shd w:val="clear" w:color="auto" w:fill="C4EFCE"/>
            <w:vAlign w:val="center"/>
            <w:hideMark/>
          </w:tcPr>
          <w:p w14:paraId="24BFF365"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TD-C19-i02 </w:t>
            </w:r>
          </w:p>
        </w:tc>
        <w:tc>
          <w:tcPr>
            <w:tcW w:w="1520" w:type="dxa"/>
            <w:shd w:val="clear" w:color="auto" w:fill="C4EFCE"/>
            <w:vAlign w:val="center"/>
            <w:hideMark/>
          </w:tcPr>
          <w:p w14:paraId="72E93AC3" w14:textId="417003F5"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78803935" w14:textId="6AD59AEB"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Verejné služby bezpečne prístupné prostredníctvom elektronickej identity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rešpektujúce zásadu „jedenkrát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dosť“</w:t>
            </w:r>
          </w:p>
        </w:tc>
      </w:tr>
      <w:tr w:rsidR="00387C70" w:rsidRPr="003F23AC" w14:paraId="4FC6C1D5" w14:textId="77777777">
        <w:trPr>
          <w:trHeight w:val="440"/>
        </w:trPr>
        <w:tc>
          <w:tcPr>
            <w:tcW w:w="1200" w:type="dxa"/>
            <w:shd w:val="clear" w:color="auto" w:fill="C4EFCE"/>
            <w:vAlign w:val="center"/>
            <w:hideMark/>
          </w:tcPr>
          <w:p w14:paraId="58B8057A"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20.3</w:t>
            </w:r>
          </w:p>
        </w:tc>
        <w:tc>
          <w:tcPr>
            <w:tcW w:w="1760" w:type="dxa"/>
            <w:shd w:val="clear" w:color="auto" w:fill="C4EFCE"/>
            <w:vAlign w:val="center"/>
            <w:hideMark/>
          </w:tcPr>
          <w:p w14:paraId="26B70452"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TD-C20-i01 </w:t>
            </w:r>
          </w:p>
        </w:tc>
        <w:tc>
          <w:tcPr>
            <w:tcW w:w="1520" w:type="dxa"/>
            <w:shd w:val="clear" w:color="auto" w:fill="C4EFCE"/>
            <w:vAlign w:val="center"/>
            <w:hideMark/>
          </w:tcPr>
          <w:p w14:paraId="562D7FF3" w14:textId="262B2CFD"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2A927607" w14:textId="1E1EDF6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Počítače na individuálne použitie žiakov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učiteľov</w:t>
            </w:r>
          </w:p>
        </w:tc>
      </w:tr>
      <w:tr w:rsidR="00387C70" w:rsidRPr="003F23AC" w14:paraId="6F9EE469" w14:textId="77777777">
        <w:trPr>
          <w:trHeight w:val="440"/>
        </w:trPr>
        <w:tc>
          <w:tcPr>
            <w:tcW w:w="1200" w:type="dxa"/>
            <w:shd w:val="clear" w:color="auto" w:fill="C4EFCE"/>
            <w:vAlign w:val="center"/>
            <w:hideMark/>
          </w:tcPr>
          <w:p w14:paraId="1706F9AC"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20.10</w:t>
            </w:r>
          </w:p>
        </w:tc>
        <w:tc>
          <w:tcPr>
            <w:tcW w:w="1760" w:type="dxa"/>
            <w:shd w:val="clear" w:color="auto" w:fill="C4EFCE"/>
            <w:vAlign w:val="center"/>
            <w:hideMark/>
          </w:tcPr>
          <w:p w14:paraId="01A5078A"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TD-C20-i02-RAA </w:t>
            </w:r>
          </w:p>
        </w:tc>
        <w:tc>
          <w:tcPr>
            <w:tcW w:w="1520" w:type="dxa"/>
            <w:shd w:val="clear" w:color="auto" w:fill="C4EFCE"/>
            <w:vAlign w:val="center"/>
            <w:hideMark/>
          </w:tcPr>
          <w:p w14:paraId="331EFA9F" w14:textId="2FDA1257"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46817629" w14:textId="63E8E56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Hromadné otvorené online kurzy pre učiteľov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rodičov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ARA</w:t>
            </w:r>
          </w:p>
        </w:tc>
      </w:tr>
      <w:tr w:rsidR="00387C70" w:rsidRPr="003F23AC" w14:paraId="218A5DAF" w14:textId="77777777">
        <w:trPr>
          <w:trHeight w:val="440"/>
        </w:trPr>
        <w:tc>
          <w:tcPr>
            <w:tcW w:w="1200" w:type="dxa"/>
            <w:shd w:val="clear" w:color="auto" w:fill="C4EFCE"/>
            <w:vAlign w:val="center"/>
            <w:hideMark/>
          </w:tcPr>
          <w:p w14:paraId="3DAD8CAD"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20.14</w:t>
            </w:r>
          </w:p>
        </w:tc>
        <w:tc>
          <w:tcPr>
            <w:tcW w:w="1760" w:type="dxa"/>
            <w:shd w:val="clear" w:color="auto" w:fill="C4EFCE"/>
            <w:vAlign w:val="center"/>
            <w:hideMark/>
          </w:tcPr>
          <w:p w14:paraId="45FA9E7E"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TD-C20-i03-RAM </w:t>
            </w:r>
          </w:p>
        </w:tc>
        <w:tc>
          <w:tcPr>
            <w:tcW w:w="1520" w:type="dxa"/>
            <w:shd w:val="clear" w:color="auto" w:fill="C4EFCE"/>
            <w:vAlign w:val="center"/>
            <w:hideMark/>
          </w:tcPr>
          <w:p w14:paraId="3A9F12DA" w14:textId="48E4F52A"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03A30F30" w14:textId="11703F5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Digitálne príručky pre žiakov druhého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tretieho cyklu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študentov stredných škôl</w:t>
            </w:r>
          </w:p>
        </w:tc>
      </w:tr>
      <w:tr w:rsidR="00387C70" w:rsidRPr="003F23AC" w14:paraId="13FE7E31" w14:textId="77777777">
        <w:trPr>
          <w:trHeight w:val="440"/>
        </w:trPr>
        <w:tc>
          <w:tcPr>
            <w:tcW w:w="1200" w:type="dxa"/>
            <w:shd w:val="clear" w:color="auto" w:fill="C4EFCE"/>
            <w:vAlign w:val="center"/>
          </w:tcPr>
          <w:p w14:paraId="0B18E216" w14:textId="6C76CE3F"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22.1</w:t>
            </w:r>
          </w:p>
        </w:tc>
        <w:tc>
          <w:tcPr>
            <w:tcW w:w="1760" w:type="dxa"/>
            <w:shd w:val="clear" w:color="auto" w:fill="C4EFCE"/>
            <w:vAlign w:val="center"/>
          </w:tcPr>
          <w:p w14:paraId="54A61AAA" w14:textId="25E62BF1"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C22-r49</w:t>
            </w:r>
          </w:p>
        </w:tc>
        <w:tc>
          <w:tcPr>
            <w:tcW w:w="1520" w:type="dxa"/>
            <w:shd w:val="clear" w:color="auto" w:fill="C4EFCE"/>
            <w:vAlign w:val="center"/>
          </w:tcPr>
          <w:p w14:paraId="0359E033" w14:textId="53239CA4"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tcPr>
          <w:p w14:paraId="29FAC258" w14:textId="565594B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Zmena zmlúv</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financovaní medzi EMRP</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vykonávacími orgánmi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zahrnúť povinnosť vykonať posúdenie rizika podvodu</w:t>
            </w:r>
          </w:p>
        </w:tc>
      </w:tr>
      <w:tr w:rsidR="00387C70" w:rsidRPr="003F23AC" w14:paraId="1692F67E" w14:textId="77777777">
        <w:trPr>
          <w:trHeight w:val="440"/>
        </w:trPr>
        <w:tc>
          <w:tcPr>
            <w:tcW w:w="1200" w:type="dxa"/>
            <w:shd w:val="clear" w:color="auto" w:fill="C4EFCE"/>
            <w:vAlign w:val="center"/>
          </w:tcPr>
          <w:p w14:paraId="1B2C4316" w14:textId="01C57EEC"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22.2</w:t>
            </w:r>
          </w:p>
        </w:tc>
        <w:tc>
          <w:tcPr>
            <w:tcW w:w="1760" w:type="dxa"/>
            <w:shd w:val="clear" w:color="auto" w:fill="C4EFCE"/>
            <w:vAlign w:val="center"/>
          </w:tcPr>
          <w:p w14:paraId="0C165A5E" w14:textId="001E2485"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C22-r49</w:t>
            </w:r>
          </w:p>
        </w:tc>
        <w:tc>
          <w:tcPr>
            <w:tcW w:w="1520" w:type="dxa"/>
            <w:shd w:val="clear" w:color="auto" w:fill="C4EFCE"/>
            <w:vAlign w:val="center"/>
          </w:tcPr>
          <w:p w14:paraId="5095848A" w14:textId="060F218F"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tcPr>
          <w:p w14:paraId="130A8B69" w14:textId="638A066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Zavedenie krížových kontrol dvojitého financovania</w:t>
            </w:r>
          </w:p>
        </w:tc>
      </w:tr>
      <w:tr w:rsidR="00387C70" w:rsidRPr="003F23AC" w14:paraId="74CD506E" w14:textId="77777777">
        <w:trPr>
          <w:trHeight w:val="440"/>
        </w:trPr>
        <w:tc>
          <w:tcPr>
            <w:tcW w:w="1200" w:type="dxa"/>
            <w:shd w:val="clear" w:color="auto" w:fill="C4EFCE"/>
            <w:vAlign w:val="center"/>
            <w:hideMark/>
          </w:tcPr>
          <w:p w14:paraId="5438D3B8" w14:textId="77777777" w:rsidR="00387C70" w:rsidRPr="003F23AC" w:rsidRDefault="000F5AA4" w:rsidP="003F23AC">
            <w:pPr>
              <w:pStyle w:val="P68B1DB1-Normal8"/>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 </w:t>
            </w:r>
          </w:p>
        </w:tc>
        <w:tc>
          <w:tcPr>
            <w:tcW w:w="1760" w:type="dxa"/>
            <w:shd w:val="clear" w:color="auto" w:fill="C4EFCE"/>
            <w:vAlign w:val="center"/>
            <w:hideMark/>
          </w:tcPr>
          <w:p w14:paraId="231F2F2F" w14:textId="77777777" w:rsidR="00387C70" w:rsidRPr="003F23AC" w:rsidRDefault="000F5AA4" w:rsidP="003F23AC">
            <w:pPr>
              <w:pStyle w:val="P68B1DB1-Normal8"/>
              <w:spacing w:after="0"/>
              <w:rPr>
                <w:rFonts w:ascii="Times New Roman" w:hAnsi="Times New Roman" w:cs="Times New Roman"/>
                <w:noProof/>
                <w:lang w:val="sk-SK"/>
              </w:rPr>
            </w:pPr>
            <w:r w:rsidRPr="003F23AC">
              <w:rPr>
                <w:rFonts w:ascii="Times New Roman" w:hAnsi="Times New Roman" w:cs="Times New Roman"/>
                <w:noProof/>
                <w:lang w:val="sk-SK"/>
              </w:rPr>
              <w:t xml:space="preserve"> </w:t>
            </w:r>
          </w:p>
        </w:tc>
        <w:tc>
          <w:tcPr>
            <w:tcW w:w="1520" w:type="dxa"/>
            <w:shd w:val="clear" w:color="auto" w:fill="C4EFCE"/>
            <w:vAlign w:val="center"/>
            <w:hideMark/>
          </w:tcPr>
          <w:p w14:paraId="7E61E2C8" w14:textId="77777777" w:rsidR="00387C70" w:rsidRPr="003F23AC" w:rsidRDefault="000F5AA4" w:rsidP="003F23AC">
            <w:pPr>
              <w:pStyle w:val="P68B1DB1-Normal24"/>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Suma splátky </w:t>
            </w:r>
          </w:p>
        </w:tc>
        <w:tc>
          <w:tcPr>
            <w:tcW w:w="5060" w:type="dxa"/>
            <w:shd w:val="clear" w:color="auto" w:fill="C4EFCE"/>
            <w:vAlign w:val="center"/>
            <w:hideMark/>
          </w:tcPr>
          <w:p w14:paraId="0C460227" w14:textId="683A6826" w:rsidR="00387C70" w:rsidRPr="003F23AC" w:rsidRDefault="003A06C1" w:rsidP="003F23AC">
            <w:pPr>
              <w:pStyle w:val="P68B1DB1-Normal25"/>
              <w:spacing w:after="0"/>
              <w:jc w:val="center"/>
              <w:rPr>
                <w:rFonts w:ascii="Times New Roman" w:hAnsi="Times New Roman" w:cs="Times New Roman"/>
                <w:noProof/>
                <w:lang w:val="sk-SK"/>
              </w:rPr>
            </w:pPr>
            <w:r w:rsidRPr="003F23AC">
              <w:rPr>
                <w:rFonts w:ascii="Times New Roman" w:hAnsi="Times New Roman" w:cs="Times New Roman"/>
                <w:noProof/>
                <w:lang w:val="sk-SK"/>
              </w:rPr>
              <w:t>EUR 2 010 220 573</w:t>
            </w:r>
          </w:p>
        </w:tc>
      </w:tr>
    </w:tbl>
    <w:p w14:paraId="039389FF" w14:textId="77777777" w:rsidR="00387C70" w:rsidRPr="003F23AC" w:rsidRDefault="00387C70" w:rsidP="003F23AC">
      <w:pPr>
        <w:rPr>
          <w:rFonts w:ascii="Times New Roman" w:hAnsi="Times New Roman" w:cs="Times New Roman"/>
          <w:noProof/>
          <w:lang w:val="sk-SK"/>
        </w:rPr>
      </w:pPr>
    </w:p>
    <w:p w14:paraId="4E219CD4" w14:textId="77777777"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p w14:paraId="57168BC9" w14:textId="54AF4826" w:rsidR="00A75B3C" w:rsidRPr="003F23AC" w:rsidRDefault="000F5AA4" w:rsidP="003F23AC">
      <w:pPr>
        <w:pStyle w:val="P68B1DB1-Normal4"/>
        <w:numPr>
          <w:ilvl w:val="1"/>
          <w:numId w:val="19"/>
        </w:numPr>
        <w:spacing w:before="40" w:after="160" w:line="259" w:lineRule="auto"/>
        <w:contextualSpacing/>
        <w:jc w:val="both"/>
        <w:rPr>
          <w:rFonts w:cs="Times New Roman"/>
          <w:noProof/>
          <w:lang w:val="sk-SK"/>
        </w:rPr>
      </w:pPr>
      <w:r w:rsidRPr="003F23AC">
        <w:rPr>
          <w:rFonts w:cs="Times New Roman"/>
          <w:noProof/>
          <w:lang w:val="sk-SK"/>
        </w:rPr>
        <w:t>Štvrtá žiadosť</w:t>
      </w:r>
      <w:r w:rsidR="00A75B3C" w:rsidRPr="003F23AC">
        <w:rPr>
          <w:rFonts w:cs="Times New Roman"/>
          <w:noProof/>
          <w:lang w:val="sk-SK"/>
        </w:rPr>
        <w:t xml:space="preserve"> o </w:t>
      </w:r>
      <w:r w:rsidRPr="003F23AC">
        <w:rPr>
          <w:rFonts w:cs="Times New Roman"/>
          <w:noProof/>
          <w:lang w:val="sk-SK"/>
        </w:rPr>
        <w:t>platbu (nenávratná podpora)</w:t>
      </w:r>
      <w:r w:rsidR="00A75B3C" w:rsidRPr="003F23AC">
        <w:rPr>
          <w:rFonts w:cs="Times New Roman"/>
          <w:noProof/>
          <w:lang w:val="sk-SK"/>
        </w:rPr>
        <w:t>:</w:t>
      </w:r>
    </w:p>
    <w:p w14:paraId="29158653" w14:textId="6264FBA3"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tbl>
      <w:tblPr>
        <w:tblW w:w="9540" w:type="dxa"/>
        <w:tblInd w:w="113" w:type="dxa"/>
        <w:tblLook w:val="04A0" w:firstRow="1" w:lastRow="0" w:firstColumn="1" w:lastColumn="0" w:noHBand="0" w:noVBand="1"/>
      </w:tblPr>
      <w:tblGrid>
        <w:gridCol w:w="1200"/>
        <w:gridCol w:w="1760"/>
        <w:gridCol w:w="1520"/>
        <w:gridCol w:w="5060"/>
      </w:tblGrid>
      <w:tr w:rsidR="00387C70" w:rsidRPr="003F23AC" w14:paraId="56ED83EA" w14:textId="77777777">
        <w:trPr>
          <w:trHeight w:val="1018"/>
        </w:trPr>
        <w:tc>
          <w:tcPr>
            <w:tcW w:w="12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9CEDDC4"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01E8A35"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EA90392"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74FADC97"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7FF8649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0EA99F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1.1</w:t>
            </w:r>
          </w:p>
        </w:tc>
        <w:tc>
          <w:tcPr>
            <w:tcW w:w="1760" w:type="dxa"/>
            <w:tcBorders>
              <w:top w:val="nil"/>
              <w:left w:val="nil"/>
              <w:bottom w:val="single" w:sz="4" w:space="0" w:color="auto"/>
              <w:right w:val="single" w:sz="4" w:space="0" w:color="auto"/>
            </w:tcBorders>
            <w:shd w:val="clear" w:color="auto" w:fill="C4EFCE"/>
            <w:vAlign w:val="center"/>
            <w:hideMark/>
          </w:tcPr>
          <w:p w14:paraId="7321C9DC" w14:textId="2073C093"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C01-r01</w:t>
            </w:r>
            <w:r w:rsidR="00A75B3C" w:rsidRPr="003F23AC">
              <w:rPr>
                <w:rFonts w:ascii="Times New Roman" w:hAnsi="Times New Roman" w:cs="Times New Roman"/>
                <w:noProof/>
                <w:lang w:val="sk-SK"/>
              </w:rPr>
              <w:t xml:space="preserve"> </w:t>
            </w:r>
          </w:p>
        </w:tc>
        <w:tc>
          <w:tcPr>
            <w:tcW w:w="1520" w:type="dxa"/>
            <w:tcBorders>
              <w:top w:val="nil"/>
              <w:left w:val="nil"/>
              <w:bottom w:val="single" w:sz="4" w:space="0" w:color="auto"/>
              <w:right w:val="single" w:sz="4" w:space="0" w:color="auto"/>
            </w:tcBorders>
            <w:shd w:val="clear" w:color="auto" w:fill="C4EFCE"/>
            <w:vAlign w:val="center"/>
            <w:hideMark/>
          </w:tcPr>
          <w:p w14:paraId="7249E60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180B2E35" w14:textId="7D13A6F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právnych aktov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primárnej zdravotnej starostlivosti</w:t>
            </w:r>
          </w:p>
        </w:tc>
      </w:tr>
      <w:tr w:rsidR="00387C70" w:rsidRPr="003F23AC" w14:paraId="289CD213"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738F88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1.5</w:t>
            </w:r>
          </w:p>
        </w:tc>
        <w:tc>
          <w:tcPr>
            <w:tcW w:w="1760" w:type="dxa"/>
            <w:tcBorders>
              <w:top w:val="nil"/>
              <w:left w:val="nil"/>
              <w:bottom w:val="single" w:sz="4" w:space="0" w:color="auto"/>
              <w:right w:val="single" w:sz="4" w:space="0" w:color="auto"/>
            </w:tcBorders>
            <w:shd w:val="clear" w:color="auto" w:fill="C4EFCE"/>
            <w:vAlign w:val="center"/>
            <w:hideMark/>
          </w:tcPr>
          <w:p w14:paraId="5FA3726A" w14:textId="4ED3295C"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C01-r02</w:t>
            </w:r>
            <w:r w:rsidR="00A75B3C" w:rsidRPr="003F23AC">
              <w:rPr>
                <w:rFonts w:ascii="Times New Roman" w:hAnsi="Times New Roman" w:cs="Times New Roman"/>
                <w:noProof/>
                <w:lang w:val="sk-SK"/>
              </w:rPr>
              <w:t xml:space="preserve"> </w:t>
            </w:r>
          </w:p>
        </w:tc>
        <w:tc>
          <w:tcPr>
            <w:tcW w:w="1520" w:type="dxa"/>
            <w:tcBorders>
              <w:top w:val="nil"/>
              <w:left w:val="nil"/>
              <w:bottom w:val="single" w:sz="4" w:space="0" w:color="auto"/>
              <w:right w:val="single" w:sz="4" w:space="0" w:color="auto"/>
            </w:tcBorders>
            <w:shd w:val="clear" w:color="auto" w:fill="C4EFCE"/>
            <w:vAlign w:val="center"/>
            <w:hideMark/>
          </w:tcPr>
          <w:p w14:paraId="1C6933D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0AF65EBB" w14:textId="55A8081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nového zákona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duševnom zdraví, ktorý stanovuje zásady týkajúce sa práv osôb</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duševnou chorobou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upravuje povinnú hospitalizáciu alebo liečbu</w:t>
            </w:r>
          </w:p>
        </w:tc>
      </w:tr>
      <w:tr w:rsidR="00387C70" w:rsidRPr="003F23AC" w14:paraId="55EB5FF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333E7D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1.12</w:t>
            </w:r>
          </w:p>
        </w:tc>
        <w:tc>
          <w:tcPr>
            <w:tcW w:w="1760" w:type="dxa"/>
            <w:tcBorders>
              <w:top w:val="nil"/>
              <w:left w:val="nil"/>
              <w:bottom w:val="single" w:sz="4" w:space="0" w:color="auto"/>
              <w:right w:val="single" w:sz="4" w:space="0" w:color="auto"/>
            </w:tcBorders>
            <w:shd w:val="clear" w:color="auto" w:fill="C4EFCE"/>
            <w:vAlign w:val="center"/>
            <w:hideMark/>
          </w:tcPr>
          <w:p w14:paraId="1951DAC8" w14:textId="495C549F"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C01-r03</w:t>
            </w:r>
            <w:r w:rsidR="00A75B3C" w:rsidRPr="003F23AC">
              <w:rPr>
                <w:rFonts w:ascii="Times New Roman" w:hAnsi="Times New Roman" w:cs="Times New Roman"/>
                <w:noProof/>
                <w:lang w:val="sk-SK"/>
              </w:rPr>
              <w:t xml:space="preserve"> </w:t>
            </w:r>
          </w:p>
        </w:tc>
        <w:tc>
          <w:tcPr>
            <w:tcW w:w="1520" w:type="dxa"/>
            <w:tcBorders>
              <w:top w:val="nil"/>
              <w:left w:val="nil"/>
              <w:bottom w:val="single" w:sz="4" w:space="0" w:color="auto"/>
              <w:right w:val="single" w:sz="4" w:space="0" w:color="auto"/>
            </w:tcBorders>
            <w:shd w:val="clear" w:color="auto" w:fill="C4EFCE"/>
            <w:vAlign w:val="center"/>
            <w:hideMark/>
          </w:tcPr>
          <w:p w14:paraId="7442DC8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441432BD" w14:textId="56AC5876"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nového režimu plného vyčleňovania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Národnej zdravotnej službe</w:t>
            </w:r>
          </w:p>
        </w:tc>
      </w:tr>
      <w:tr w:rsidR="00387C70" w:rsidRPr="003F23AC" w14:paraId="2915F7B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1CC6DE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5.39</w:t>
            </w:r>
          </w:p>
        </w:tc>
        <w:tc>
          <w:tcPr>
            <w:tcW w:w="1760" w:type="dxa"/>
            <w:tcBorders>
              <w:top w:val="nil"/>
              <w:left w:val="nil"/>
              <w:bottom w:val="single" w:sz="4" w:space="0" w:color="auto"/>
              <w:right w:val="single" w:sz="4" w:space="0" w:color="auto"/>
            </w:tcBorders>
            <w:shd w:val="clear" w:color="auto" w:fill="C4EFCE"/>
            <w:vAlign w:val="center"/>
            <w:hideMark/>
          </w:tcPr>
          <w:p w14:paraId="5AA01599" w14:textId="59D48509"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C05-i09</w:t>
            </w:r>
            <w:r w:rsidR="00A75B3C" w:rsidRPr="003F23AC">
              <w:rPr>
                <w:rFonts w:ascii="Times New Roman" w:hAnsi="Times New Roman" w:cs="Times New Roman"/>
                <w:noProof/>
                <w:lang w:val="sk-SK"/>
              </w:rPr>
              <w:t xml:space="preserve"> </w:t>
            </w:r>
          </w:p>
        </w:tc>
        <w:tc>
          <w:tcPr>
            <w:tcW w:w="1520" w:type="dxa"/>
            <w:tcBorders>
              <w:top w:val="nil"/>
              <w:left w:val="nil"/>
              <w:bottom w:val="single" w:sz="4" w:space="0" w:color="auto"/>
              <w:right w:val="single" w:sz="4" w:space="0" w:color="auto"/>
            </w:tcBorders>
            <w:shd w:val="clear" w:color="auto" w:fill="C4EFCE"/>
            <w:vAlign w:val="center"/>
            <w:hideMark/>
          </w:tcPr>
          <w:p w14:paraId="4A6965A6" w14:textId="5B055DC6"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86D6DB1" w14:textId="72B50F06"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Uzatváranie zmlúv na vývoj nových produktov, procesov alebo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príslušných strategických oblastiach (inovačné programy).</w:t>
            </w:r>
          </w:p>
        </w:tc>
      </w:tr>
      <w:tr w:rsidR="00387C70" w:rsidRPr="003F23AC" w14:paraId="248B141D"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ACD0E3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5.41</w:t>
            </w:r>
          </w:p>
        </w:tc>
        <w:tc>
          <w:tcPr>
            <w:tcW w:w="1760" w:type="dxa"/>
            <w:tcBorders>
              <w:top w:val="nil"/>
              <w:left w:val="nil"/>
              <w:bottom w:val="single" w:sz="4" w:space="0" w:color="auto"/>
              <w:right w:val="single" w:sz="4" w:space="0" w:color="auto"/>
            </w:tcBorders>
            <w:shd w:val="clear" w:color="auto" w:fill="C4EFCE"/>
            <w:vAlign w:val="center"/>
            <w:hideMark/>
          </w:tcPr>
          <w:p w14:paraId="37A6E238" w14:textId="22961002"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C05-i10 </w:t>
            </w:r>
          </w:p>
        </w:tc>
        <w:tc>
          <w:tcPr>
            <w:tcW w:w="1520" w:type="dxa"/>
            <w:tcBorders>
              <w:top w:val="nil"/>
              <w:left w:val="nil"/>
              <w:bottom w:val="single" w:sz="4" w:space="0" w:color="auto"/>
              <w:right w:val="single" w:sz="4" w:space="0" w:color="auto"/>
            </w:tcBorders>
            <w:shd w:val="clear" w:color="auto" w:fill="C4EFCE"/>
            <w:vAlign w:val="center"/>
            <w:hideMark/>
          </w:tcPr>
          <w:p w14:paraId="18414574" w14:textId="1CA665CC"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B123515" w14:textId="7E74CE92"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Uzatváranie zmlúv na vývoj nových produktov, procesov alebo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strategických oblastiach relevantných pre nízkouhlíkové hospodárstvo, 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adaptáciu na zmenu klímy.</w:t>
            </w:r>
          </w:p>
        </w:tc>
      </w:tr>
      <w:tr w:rsidR="00387C70" w:rsidRPr="003F23AC" w14:paraId="52B40B8F"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68F59D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6.16</w:t>
            </w:r>
          </w:p>
        </w:tc>
        <w:tc>
          <w:tcPr>
            <w:tcW w:w="1760" w:type="dxa"/>
            <w:tcBorders>
              <w:top w:val="nil"/>
              <w:left w:val="nil"/>
              <w:bottom w:val="single" w:sz="4" w:space="0" w:color="auto"/>
              <w:right w:val="single" w:sz="4" w:space="0" w:color="auto"/>
            </w:tcBorders>
            <w:shd w:val="clear" w:color="auto" w:fill="C4EFCE"/>
            <w:vAlign w:val="center"/>
            <w:hideMark/>
          </w:tcPr>
          <w:p w14:paraId="4475E3D2" w14:textId="37EF48C5"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C06-r17</w:t>
            </w:r>
            <w:r w:rsidR="00A75B3C" w:rsidRPr="003F23AC">
              <w:rPr>
                <w:rFonts w:ascii="Times New Roman" w:hAnsi="Times New Roman" w:cs="Times New Roman"/>
                <w:noProof/>
                <w:lang w:val="sk-SK"/>
              </w:rPr>
              <w:t xml:space="preserve"> </w:t>
            </w:r>
          </w:p>
        </w:tc>
        <w:tc>
          <w:tcPr>
            <w:tcW w:w="1520" w:type="dxa"/>
            <w:tcBorders>
              <w:top w:val="nil"/>
              <w:left w:val="nil"/>
              <w:bottom w:val="single" w:sz="4" w:space="0" w:color="auto"/>
              <w:right w:val="single" w:sz="4" w:space="0" w:color="auto"/>
            </w:tcBorders>
            <w:shd w:val="clear" w:color="auto" w:fill="C4EFCE"/>
            <w:vAlign w:val="center"/>
            <w:hideMark/>
          </w:tcPr>
          <w:p w14:paraId="79B1C5E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34022E39"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zákona upravujúceho prácu pre platformy</w:t>
            </w:r>
          </w:p>
        </w:tc>
      </w:tr>
      <w:tr w:rsidR="00387C70" w:rsidRPr="003F23AC" w14:paraId="38DB135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02C586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8.10</w:t>
            </w:r>
          </w:p>
        </w:tc>
        <w:tc>
          <w:tcPr>
            <w:tcW w:w="1760" w:type="dxa"/>
            <w:tcBorders>
              <w:top w:val="nil"/>
              <w:left w:val="nil"/>
              <w:bottom w:val="single" w:sz="4" w:space="0" w:color="auto"/>
              <w:right w:val="single" w:sz="4" w:space="0" w:color="auto"/>
            </w:tcBorders>
            <w:shd w:val="clear" w:color="auto" w:fill="C4EFCE"/>
            <w:vAlign w:val="center"/>
            <w:hideMark/>
          </w:tcPr>
          <w:p w14:paraId="204806AA" w14:textId="0DFBB9F5"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C08-i04</w:t>
            </w:r>
            <w:r w:rsidR="00A75B3C" w:rsidRPr="003F23AC">
              <w:rPr>
                <w:rFonts w:ascii="Times New Roman" w:hAnsi="Times New Roman" w:cs="Times New Roman"/>
                <w:noProof/>
                <w:lang w:val="sk-SK"/>
              </w:rPr>
              <w:t xml:space="preserve"> </w:t>
            </w:r>
          </w:p>
        </w:tc>
        <w:tc>
          <w:tcPr>
            <w:tcW w:w="1520" w:type="dxa"/>
            <w:tcBorders>
              <w:top w:val="nil"/>
              <w:left w:val="nil"/>
              <w:bottom w:val="single" w:sz="4" w:space="0" w:color="auto"/>
              <w:right w:val="single" w:sz="4" w:space="0" w:color="auto"/>
            </w:tcBorders>
            <w:shd w:val="clear" w:color="auto" w:fill="C4EFCE"/>
            <w:vAlign w:val="center"/>
            <w:hideMark/>
          </w:tcPr>
          <w:p w14:paraId="063477C9" w14:textId="199D1B2A"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5E40D33" w14:textId="5CDF4CA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Dodávka vozidiel, strojov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zariadení</w:t>
            </w:r>
          </w:p>
        </w:tc>
      </w:tr>
      <w:tr w:rsidR="00387C70" w:rsidRPr="003F23AC" w14:paraId="74B7890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781410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17.22</w:t>
            </w:r>
          </w:p>
        </w:tc>
        <w:tc>
          <w:tcPr>
            <w:tcW w:w="1760" w:type="dxa"/>
            <w:tcBorders>
              <w:top w:val="nil"/>
              <w:left w:val="nil"/>
              <w:bottom w:val="single" w:sz="4" w:space="0" w:color="auto"/>
              <w:right w:val="single" w:sz="4" w:space="0" w:color="auto"/>
            </w:tcBorders>
            <w:shd w:val="clear" w:color="auto" w:fill="C4EFCE"/>
            <w:vAlign w:val="center"/>
            <w:hideMark/>
          </w:tcPr>
          <w:p w14:paraId="44A87645" w14:textId="1EE980F9"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TD-C17-r40</w:t>
            </w:r>
          </w:p>
        </w:tc>
        <w:tc>
          <w:tcPr>
            <w:tcW w:w="1520" w:type="dxa"/>
            <w:tcBorders>
              <w:top w:val="nil"/>
              <w:left w:val="nil"/>
              <w:bottom w:val="single" w:sz="4" w:space="0" w:color="auto"/>
              <w:right w:val="single" w:sz="4" w:space="0" w:color="auto"/>
            </w:tcBorders>
            <w:shd w:val="clear" w:color="auto" w:fill="C4EFCE"/>
            <w:vAlign w:val="center"/>
            <w:hideMark/>
          </w:tcPr>
          <w:p w14:paraId="0DCE0EE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351EABF4"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právneho aktu, ktorým sa mení právny rámec vybraných daňových výhod</w:t>
            </w:r>
          </w:p>
        </w:tc>
      </w:tr>
      <w:tr w:rsidR="00387C70" w:rsidRPr="003F23AC" w14:paraId="2E70FE7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010C62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18.1</w:t>
            </w:r>
          </w:p>
        </w:tc>
        <w:tc>
          <w:tcPr>
            <w:tcW w:w="1760" w:type="dxa"/>
            <w:tcBorders>
              <w:top w:val="nil"/>
              <w:left w:val="nil"/>
              <w:bottom w:val="single" w:sz="4" w:space="0" w:color="auto"/>
              <w:right w:val="single" w:sz="4" w:space="0" w:color="auto"/>
            </w:tcBorders>
            <w:shd w:val="clear" w:color="auto" w:fill="C4EFCE"/>
            <w:vAlign w:val="center"/>
            <w:hideMark/>
          </w:tcPr>
          <w:p w14:paraId="5E8DD21A" w14:textId="2C49F4DF"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TD-C18-r33</w:t>
            </w:r>
            <w:r w:rsidR="00A75B3C" w:rsidRPr="003F23AC">
              <w:rPr>
                <w:rFonts w:ascii="Times New Roman" w:hAnsi="Times New Roman" w:cs="Times New Roman"/>
                <w:noProof/>
                <w:lang w:val="sk-SK"/>
              </w:rPr>
              <w:t xml:space="preserve"> </w:t>
            </w:r>
          </w:p>
        </w:tc>
        <w:tc>
          <w:tcPr>
            <w:tcW w:w="1520" w:type="dxa"/>
            <w:tcBorders>
              <w:top w:val="nil"/>
              <w:left w:val="nil"/>
              <w:bottom w:val="single" w:sz="4" w:space="0" w:color="auto"/>
              <w:right w:val="single" w:sz="4" w:space="0" w:color="auto"/>
            </w:tcBorders>
            <w:shd w:val="clear" w:color="auto" w:fill="C4EFCE"/>
            <w:vAlign w:val="center"/>
            <w:hideMark/>
          </w:tcPr>
          <w:p w14:paraId="01C221C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0F96FCE8" w14:textId="24E45A55"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Vytvorenie špecializovaných komôr na správnych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daňových vyšších súdoch</w:t>
            </w:r>
          </w:p>
        </w:tc>
      </w:tr>
      <w:tr w:rsidR="00387C70" w:rsidRPr="003F23AC" w14:paraId="09209F8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FDDFB5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18.2</w:t>
            </w:r>
          </w:p>
        </w:tc>
        <w:tc>
          <w:tcPr>
            <w:tcW w:w="1760" w:type="dxa"/>
            <w:tcBorders>
              <w:top w:val="nil"/>
              <w:left w:val="nil"/>
              <w:bottom w:val="single" w:sz="4" w:space="0" w:color="auto"/>
              <w:right w:val="single" w:sz="4" w:space="0" w:color="auto"/>
            </w:tcBorders>
            <w:shd w:val="clear" w:color="auto" w:fill="C4EFCE"/>
            <w:vAlign w:val="center"/>
            <w:hideMark/>
          </w:tcPr>
          <w:p w14:paraId="41FFD441" w14:textId="440987B6"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TD-C18-r33</w:t>
            </w:r>
            <w:r w:rsidR="00A75B3C" w:rsidRPr="003F23AC">
              <w:rPr>
                <w:rFonts w:ascii="Times New Roman" w:hAnsi="Times New Roman" w:cs="Times New Roman"/>
                <w:noProof/>
                <w:lang w:val="sk-SK"/>
              </w:rPr>
              <w:t xml:space="preserve"> </w:t>
            </w:r>
          </w:p>
        </w:tc>
        <w:tc>
          <w:tcPr>
            <w:tcW w:w="1520" w:type="dxa"/>
            <w:tcBorders>
              <w:top w:val="nil"/>
              <w:left w:val="nil"/>
              <w:bottom w:val="single" w:sz="4" w:space="0" w:color="auto"/>
              <w:right w:val="single" w:sz="4" w:space="0" w:color="auto"/>
            </w:tcBorders>
            <w:shd w:val="clear" w:color="auto" w:fill="C4EFCE"/>
            <w:vAlign w:val="center"/>
            <w:hideMark/>
          </w:tcPr>
          <w:p w14:paraId="0E7E9C6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2A43E122" w14:textId="6E6146F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právneho režimu na podporu mimosúdneho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mimosúdneho vyrovnania</w:t>
            </w:r>
          </w:p>
        </w:tc>
      </w:tr>
      <w:tr w:rsidR="00387C70" w:rsidRPr="003F23AC" w14:paraId="3A1781EC"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394F780" w14:textId="1C8A3366" w:rsidR="00387C70" w:rsidRPr="003F23AC" w:rsidRDefault="00A75B3C" w:rsidP="003F23AC">
            <w:pPr>
              <w:pStyle w:val="P68B1DB1-Normal8"/>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 </w:t>
            </w:r>
          </w:p>
        </w:tc>
        <w:tc>
          <w:tcPr>
            <w:tcW w:w="1760" w:type="dxa"/>
            <w:tcBorders>
              <w:top w:val="nil"/>
              <w:left w:val="nil"/>
              <w:bottom w:val="single" w:sz="4" w:space="0" w:color="auto"/>
              <w:right w:val="single" w:sz="4" w:space="0" w:color="auto"/>
            </w:tcBorders>
            <w:shd w:val="clear" w:color="auto" w:fill="C4EFCE"/>
            <w:vAlign w:val="center"/>
            <w:hideMark/>
          </w:tcPr>
          <w:p w14:paraId="44E7D433" w14:textId="1C9CDEE3" w:rsidR="00387C70" w:rsidRPr="003F23AC" w:rsidRDefault="00A75B3C" w:rsidP="003F23AC">
            <w:pPr>
              <w:pStyle w:val="P68B1DB1-Normal8"/>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 </w:t>
            </w:r>
          </w:p>
        </w:tc>
        <w:tc>
          <w:tcPr>
            <w:tcW w:w="1520" w:type="dxa"/>
            <w:tcBorders>
              <w:top w:val="nil"/>
              <w:left w:val="nil"/>
              <w:bottom w:val="single" w:sz="4" w:space="0" w:color="auto"/>
              <w:right w:val="single" w:sz="4" w:space="0" w:color="auto"/>
            </w:tcBorders>
            <w:shd w:val="clear" w:color="auto" w:fill="C4EFCE"/>
            <w:vAlign w:val="center"/>
            <w:hideMark/>
          </w:tcPr>
          <w:p w14:paraId="0CC4752F" w14:textId="77777777" w:rsidR="00387C70" w:rsidRPr="003F23AC" w:rsidRDefault="000F5AA4" w:rsidP="003F23AC">
            <w:pPr>
              <w:pStyle w:val="P68B1DB1-Normal24"/>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Suma splátky </w:t>
            </w:r>
          </w:p>
        </w:tc>
        <w:tc>
          <w:tcPr>
            <w:tcW w:w="5060" w:type="dxa"/>
            <w:tcBorders>
              <w:top w:val="nil"/>
              <w:left w:val="nil"/>
              <w:bottom w:val="single" w:sz="4" w:space="0" w:color="auto"/>
              <w:right w:val="single" w:sz="4" w:space="0" w:color="auto"/>
            </w:tcBorders>
            <w:shd w:val="clear" w:color="auto" w:fill="C4EFCE"/>
            <w:vAlign w:val="center"/>
            <w:hideMark/>
          </w:tcPr>
          <w:p w14:paraId="67D03894" w14:textId="20EA3D04" w:rsidR="00387C70" w:rsidRPr="003F23AC" w:rsidRDefault="003A06C1" w:rsidP="003F23AC">
            <w:pPr>
              <w:pStyle w:val="P68B1DB1-Normal25"/>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EUR 937 165 319</w:t>
            </w:r>
          </w:p>
        </w:tc>
      </w:tr>
    </w:tbl>
    <w:p w14:paraId="32E013C0" w14:textId="77777777" w:rsidR="00387C70" w:rsidRPr="003F23AC" w:rsidRDefault="00387C70" w:rsidP="003F23AC">
      <w:pPr>
        <w:rPr>
          <w:rFonts w:ascii="Times New Roman" w:hAnsi="Times New Roman" w:cs="Times New Roman"/>
          <w:noProof/>
          <w:lang w:val="sk-SK"/>
        </w:rPr>
      </w:pPr>
    </w:p>
    <w:p w14:paraId="59627E7F" w14:textId="77777777"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p w14:paraId="15480075" w14:textId="6E5E2EC3" w:rsidR="00A75B3C" w:rsidRPr="003F23AC" w:rsidRDefault="000F5AA4" w:rsidP="003F23AC">
      <w:pPr>
        <w:pStyle w:val="P68B1DB1-Normal4"/>
        <w:numPr>
          <w:ilvl w:val="1"/>
          <w:numId w:val="19"/>
        </w:numPr>
        <w:spacing w:before="40" w:after="160" w:line="259" w:lineRule="auto"/>
        <w:contextualSpacing/>
        <w:jc w:val="both"/>
        <w:rPr>
          <w:rFonts w:cs="Times New Roman"/>
          <w:noProof/>
          <w:lang w:val="sk-SK"/>
        </w:rPr>
      </w:pPr>
      <w:r w:rsidRPr="003F23AC">
        <w:rPr>
          <w:rFonts w:cs="Times New Roman"/>
          <w:noProof/>
          <w:lang w:val="sk-SK"/>
        </w:rPr>
        <w:t>Piata žiadosť</w:t>
      </w:r>
      <w:r w:rsidR="00A75B3C" w:rsidRPr="003F23AC">
        <w:rPr>
          <w:rFonts w:cs="Times New Roman"/>
          <w:noProof/>
          <w:lang w:val="sk-SK"/>
        </w:rPr>
        <w:t xml:space="preserve"> o </w:t>
      </w:r>
      <w:r w:rsidRPr="003F23AC">
        <w:rPr>
          <w:rFonts w:cs="Times New Roman"/>
          <w:noProof/>
          <w:lang w:val="sk-SK"/>
        </w:rPr>
        <w:t>platbu (nenávratná podpora)</w:t>
      </w:r>
      <w:r w:rsidR="00A75B3C" w:rsidRPr="003F23AC">
        <w:rPr>
          <w:rFonts w:cs="Times New Roman"/>
          <w:noProof/>
          <w:lang w:val="sk-SK"/>
        </w:rPr>
        <w:t>:</w:t>
      </w:r>
    </w:p>
    <w:p w14:paraId="1982083E" w14:textId="16FD7A42"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tbl>
      <w:tblPr>
        <w:tblW w:w="9540" w:type="dxa"/>
        <w:tblInd w:w="113" w:type="dxa"/>
        <w:tblLook w:val="04A0" w:firstRow="1" w:lastRow="0" w:firstColumn="1" w:lastColumn="0" w:noHBand="0" w:noVBand="1"/>
      </w:tblPr>
      <w:tblGrid>
        <w:gridCol w:w="1200"/>
        <w:gridCol w:w="1760"/>
        <w:gridCol w:w="1520"/>
        <w:gridCol w:w="5060"/>
      </w:tblGrid>
      <w:tr w:rsidR="00387C70" w:rsidRPr="003F23AC" w14:paraId="6670DD18" w14:textId="77777777">
        <w:trPr>
          <w:trHeight w:val="1018"/>
          <w:tblHeader/>
        </w:trPr>
        <w:tc>
          <w:tcPr>
            <w:tcW w:w="12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2C82FEA7"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8701520"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3EE738E7"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77ECC4F"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1A126B1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2DEDF3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1.2</w:t>
            </w:r>
          </w:p>
        </w:tc>
        <w:tc>
          <w:tcPr>
            <w:tcW w:w="1760" w:type="dxa"/>
            <w:tcBorders>
              <w:top w:val="nil"/>
              <w:left w:val="nil"/>
              <w:bottom w:val="single" w:sz="4" w:space="0" w:color="auto"/>
              <w:right w:val="single" w:sz="4" w:space="0" w:color="auto"/>
            </w:tcBorders>
            <w:shd w:val="clear" w:color="auto" w:fill="C4EFCE"/>
            <w:vAlign w:val="center"/>
            <w:hideMark/>
          </w:tcPr>
          <w:p w14:paraId="0B267111" w14:textId="5404B0FB"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C01-i01</w:t>
            </w:r>
            <w:r w:rsidR="00A75B3C" w:rsidRPr="003F23AC">
              <w:rPr>
                <w:rFonts w:ascii="Times New Roman" w:hAnsi="Times New Roman" w:cs="Times New Roman"/>
                <w:noProof/>
                <w:lang w:val="sk-SK"/>
              </w:rPr>
              <w:t xml:space="preserve"> </w:t>
            </w:r>
          </w:p>
        </w:tc>
        <w:tc>
          <w:tcPr>
            <w:tcW w:w="1520" w:type="dxa"/>
            <w:tcBorders>
              <w:top w:val="nil"/>
              <w:left w:val="nil"/>
              <w:bottom w:val="single" w:sz="4" w:space="0" w:color="auto"/>
              <w:right w:val="single" w:sz="4" w:space="0" w:color="auto"/>
            </w:tcBorders>
            <w:shd w:val="clear" w:color="auto" w:fill="C4EFCE"/>
            <w:vAlign w:val="center"/>
            <w:hideMark/>
          </w:tcPr>
          <w:p w14:paraId="5CCC471B" w14:textId="0414940E"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3D0BDE9" w14:textId="58226BD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Poskytovanie prístupu</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nástroju na stratifikáciu rizík na podporu klinického riadenia vo funkčných jednotkách skupín zdravotníckych stredísk</w:t>
            </w:r>
          </w:p>
        </w:tc>
      </w:tr>
      <w:tr w:rsidR="00387C70" w:rsidRPr="003F23AC" w14:paraId="625203CB"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FA303D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1.40</w:t>
            </w:r>
          </w:p>
        </w:tc>
        <w:tc>
          <w:tcPr>
            <w:tcW w:w="1760" w:type="dxa"/>
            <w:tcBorders>
              <w:top w:val="nil"/>
              <w:left w:val="nil"/>
              <w:bottom w:val="single" w:sz="4" w:space="0" w:color="auto"/>
              <w:right w:val="single" w:sz="4" w:space="0" w:color="auto"/>
            </w:tcBorders>
            <w:shd w:val="clear" w:color="auto" w:fill="C4EFCE"/>
            <w:vAlign w:val="center"/>
            <w:hideMark/>
          </w:tcPr>
          <w:p w14:paraId="3BD7D2BC" w14:textId="5CE4A4F6"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C01-i04</w:t>
            </w:r>
          </w:p>
        </w:tc>
        <w:tc>
          <w:tcPr>
            <w:tcW w:w="1520" w:type="dxa"/>
            <w:tcBorders>
              <w:top w:val="nil"/>
              <w:left w:val="nil"/>
              <w:bottom w:val="single" w:sz="4" w:space="0" w:color="auto"/>
              <w:right w:val="single" w:sz="4" w:space="0" w:color="auto"/>
            </w:tcBorders>
            <w:shd w:val="clear" w:color="auto" w:fill="C4EFCE"/>
            <w:vAlign w:val="center"/>
            <w:hideMark/>
          </w:tcPr>
          <w:p w14:paraId="61BC388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0CD1A921" w14:textId="3BFA966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výkone správy výstavby nemocnice vo východnej Lisabone</w:t>
            </w:r>
          </w:p>
        </w:tc>
      </w:tr>
      <w:tr w:rsidR="00387C70" w:rsidRPr="003F23AC" w14:paraId="4B53C68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F68746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1.41</w:t>
            </w:r>
          </w:p>
        </w:tc>
        <w:tc>
          <w:tcPr>
            <w:tcW w:w="1760" w:type="dxa"/>
            <w:tcBorders>
              <w:top w:val="nil"/>
              <w:left w:val="nil"/>
              <w:bottom w:val="single" w:sz="4" w:space="0" w:color="auto"/>
              <w:right w:val="single" w:sz="4" w:space="0" w:color="auto"/>
            </w:tcBorders>
            <w:shd w:val="clear" w:color="auto" w:fill="C4EFCE"/>
            <w:vAlign w:val="center"/>
            <w:hideMark/>
          </w:tcPr>
          <w:p w14:paraId="6546CF09" w14:textId="75A20507"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C01-i10</w:t>
            </w:r>
          </w:p>
        </w:tc>
        <w:tc>
          <w:tcPr>
            <w:tcW w:w="1520" w:type="dxa"/>
            <w:tcBorders>
              <w:top w:val="nil"/>
              <w:left w:val="nil"/>
              <w:bottom w:val="single" w:sz="4" w:space="0" w:color="auto"/>
              <w:right w:val="single" w:sz="4" w:space="0" w:color="auto"/>
            </w:tcBorders>
            <w:shd w:val="clear" w:color="auto" w:fill="C4EFCE"/>
            <w:vAlign w:val="center"/>
            <w:hideMark/>
          </w:tcPr>
          <w:p w14:paraId="688185E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4BF9DB02" w14:textId="60B1FC09"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Schválenie správy,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ktorej sa identifikujú potreby NHS</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súvislosti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ťažkým zdravotníckym vybavením</w:t>
            </w:r>
          </w:p>
        </w:tc>
      </w:tr>
      <w:tr w:rsidR="00387C70" w:rsidRPr="003F23AC" w14:paraId="370C58D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7F2F01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2.2</w:t>
            </w:r>
          </w:p>
        </w:tc>
        <w:tc>
          <w:tcPr>
            <w:tcW w:w="1760" w:type="dxa"/>
            <w:tcBorders>
              <w:top w:val="nil"/>
              <w:left w:val="nil"/>
              <w:bottom w:val="single" w:sz="4" w:space="0" w:color="auto"/>
              <w:right w:val="single" w:sz="4" w:space="0" w:color="auto"/>
            </w:tcBorders>
            <w:shd w:val="clear" w:color="auto" w:fill="C4EFCE"/>
            <w:vAlign w:val="center"/>
            <w:hideMark/>
          </w:tcPr>
          <w:p w14:paraId="6DF2A402" w14:textId="377496D8"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C01-i10</w:t>
            </w:r>
          </w:p>
        </w:tc>
        <w:tc>
          <w:tcPr>
            <w:tcW w:w="1520" w:type="dxa"/>
            <w:tcBorders>
              <w:top w:val="nil"/>
              <w:left w:val="nil"/>
              <w:bottom w:val="single" w:sz="4" w:space="0" w:color="auto"/>
              <w:right w:val="single" w:sz="4" w:space="0" w:color="auto"/>
            </w:tcBorders>
            <w:shd w:val="clear" w:color="auto" w:fill="C4EFCE"/>
            <w:vAlign w:val="center"/>
            <w:hideMark/>
          </w:tcPr>
          <w:p w14:paraId="108ADD43" w14:textId="731FB704"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A57029F" w14:textId="0C23BD7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Program na podporu prístupu</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bývaniu – kúpené, postavené (vysoká energetická efektívnosť) alebo renovované (so zlepšenou energetickou hospodárnosťou) byty poskytované domácnostiam</w:t>
            </w:r>
          </w:p>
        </w:tc>
      </w:tr>
      <w:tr w:rsidR="00387C70" w:rsidRPr="003F23AC" w14:paraId="3DE77A0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FB90A1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2.6</w:t>
            </w:r>
          </w:p>
        </w:tc>
        <w:tc>
          <w:tcPr>
            <w:tcW w:w="1760" w:type="dxa"/>
            <w:tcBorders>
              <w:top w:val="nil"/>
              <w:left w:val="nil"/>
              <w:bottom w:val="single" w:sz="4" w:space="0" w:color="auto"/>
              <w:right w:val="single" w:sz="4" w:space="0" w:color="auto"/>
            </w:tcBorders>
            <w:shd w:val="clear" w:color="auto" w:fill="C4EFCE"/>
            <w:vAlign w:val="center"/>
            <w:hideMark/>
          </w:tcPr>
          <w:p w14:paraId="28C51A54" w14:textId="3782E4AA"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C02-i01</w:t>
            </w:r>
            <w:r w:rsidR="00A75B3C" w:rsidRPr="003F23AC">
              <w:rPr>
                <w:rFonts w:ascii="Times New Roman" w:hAnsi="Times New Roman" w:cs="Times New Roman"/>
                <w:noProof/>
                <w:lang w:val="sk-SK"/>
              </w:rPr>
              <w:t xml:space="preserve"> </w:t>
            </w:r>
          </w:p>
        </w:tc>
        <w:tc>
          <w:tcPr>
            <w:tcW w:w="1520" w:type="dxa"/>
            <w:tcBorders>
              <w:top w:val="nil"/>
              <w:left w:val="nil"/>
              <w:bottom w:val="single" w:sz="4" w:space="0" w:color="auto"/>
              <w:right w:val="single" w:sz="4" w:space="0" w:color="auto"/>
            </w:tcBorders>
            <w:shd w:val="clear" w:color="auto" w:fill="C4EFCE"/>
            <w:vAlign w:val="center"/>
            <w:hideMark/>
          </w:tcPr>
          <w:p w14:paraId="2C8FD9AA" w14:textId="49EE0CDD"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59E1DBC" w14:textId="66F0AF8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Národný núdzový</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dočasný grant na ubytovanie – Začaté alebo zakúpené stavebné práce pre núdzové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prechodné ubytovanie (ktoré sa majú postaviť alebo kúpiť podľa normy energetickej efektívnosti alebo sanovať so zlepšenou energetickou hospodárnosťou) vo výstavbe</w:t>
            </w:r>
          </w:p>
        </w:tc>
      </w:tr>
      <w:tr w:rsidR="00387C70" w:rsidRPr="003F23AC" w14:paraId="1443E2D6"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44067D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2.16</w:t>
            </w:r>
          </w:p>
        </w:tc>
        <w:tc>
          <w:tcPr>
            <w:tcW w:w="1760" w:type="dxa"/>
            <w:tcBorders>
              <w:top w:val="nil"/>
              <w:left w:val="nil"/>
              <w:bottom w:val="single" w:sz="4" w:space="0" w:color="auto"/>
              <w:right w:val="single" w:sz="4" w:space="0" w:color="auto"/>
            </w:tcBorders>
            <w:shd w:val="clear" w:color="auto" w:fill="C4EFCE"/>
            <w:vAlign w:val="center"/>
            <w:hideMark/>
          </w:tcPr>
          <w:p w14:paraId="65DD212F" w14:textId="798F8BE0"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C02-i04-RAA</w:t>
            </w:r>
            <w:r w:rsidR="00A75B3C" w:rsidRPr="003F23AC">
              <w:rPr>
                <w:rFonts w:ascii="Times New Roman" w:hAnsi="Times New Roman" w:cs="Times New Roman"/>
                <w:noProof/>
                <w:lang w:val="sk-SK"/>
              </w:rPr>
              <w:t xml:space="preserve"> </w:t>
            </w:r>
          </w:p>
        </w:tc>
        <w:tc>
          <w:tcPr>
            <w:tcW w:w="1520" w:type="dxa"/>
            <w:tcBorders>
              <w:top w:val="nil"/>
              <w:left w:val="nil"/>
              <w:bottom w:val="single" w:sz="4" w:space="0" w:color="auto"/>
              <w:right w:val="single" w:sz="4" w:space="0" w:color="auto"/>
            </w:tcBorders>
            <w:shd w:val="clear" w:color="auto" w:fill="C4EFCE"/>
            <w:vAlign w:val="center"/>
            <w:hideMark/>
          </w:tcPr>
          <w:p w14:paraId="6F4F062D" w14:textId="0F7FDCF6"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5ACE116"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Zásahy do bytového fondu autonómneho regiónu Azory – renovácia</w:t>
            </w:r>
          </w:p>
        </w:tc>
      </w:tr>
      <w:tr w:rsidR="00387C70" w:rsidRPr="003F23AC" w14:paraId="3C8F603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0B61D70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4.7</w:t>
            </w:r>
          </w:p>
        </w:tc>
        <w:tc>
          <w:tcPr>
            <w:tcW w:w="1760" w:type="dxa"/>
            <w:tcBorders>
              <w:top w:val="nil"/>
              <w:left w:val="nil"/>
              <w:bottom w:val="single" w:sz="4" w:space="0" w:color="auto"/>
              <w:right w:val="single" w:sz="4" w:space="0" w:color="auto"/>
            </w:tcBorders>
            <w:shd w:val="clear" w:color="auto" w:fill="C4EFCE"/>
            <w:vAlign w:val="center"/>
          </w:tcPr>
          <w:p w14:paraId="4383E71D" w14:textId="2E201A4D"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C04-i02</w:t>
            </w:r>
          </w:p>
        </w:tc>
        <w:tc>
          <w:tcPr>
            <w:tcW w:w="1520" w:type="dxa"/>
            <w:tcBorders>
              <w:top w:val="nil"/>
              <w:left w:val="nil"/>
              <w:bottom w:val="single" w:sz="4" w:space="0" w:color="auto"/>
              <w:right w:val="single" w:sz="4" w:space="0" w:color="auto"/>
            </w:tcBorders>
            <w:shd w:val="clear" w:color="auto" w:fill="C4EFCE"/>
            <w:vAlign w:val="center"/>
          </w:tcPr>
          <w:p w14:paraId="364611C3" w14:textId="0B3BE935"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tcPr>
          <w:p w14:paraId="39243198" w14:textId="1518CFCB"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Podpísané zmluvy na obnovu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zachovanie budov kultúrneho dedičstva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národných divadiel</w:t>
            </w:r>
          </w:p>
        </w:tc>
      </w:tr>
      <w:tr w:rsidR="00387C70" w:rsidRPr="003F23AC" w14:paraId="0E466313"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36A3F0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4.9</w:t>
            </w:r>
          </w:p>
        </w:tc>
        <w:tc>
          <w:tcPr>
            <w:tcW w:w="1760" w:type="dxa"/>
            <w:tcBorders>
              <w:top w:val="nil"/>
              <w:left w:val="nil"/>
              <w:bottom w:val="single" w:sz="4" w:space="0" w:color="auto"/>
              <w:right w:val="single" w:sz="4" w:space="0" w:color="auto"/>
            </w:tcBorders>
            <w:shd w:val="clear" w:color="auto" w:fill="C4EFCE"/>
            <w:vAlign w:val="center"/>
            <w:hideMark/>
          </w:tcPr>
          <w:p w14:paraId="7E0183E0" w14:textId="046E14F3"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C04-i01</w:t>
            </w:r>
            <w:r w:rsidR="00A75B3C" w:rsidRPr="003F23AC">
              <w:rPr>
                <w:rFonts w:ascii="Times New Roman" w:hAnsi="Times New Roman" w:cs="Times New Roman"/>
                <w:noProof/>
                <w:lang w:val="sk-SK"/>
              </w:rPr>
              <w:t xml:space="preserve"> </w:t>
            </w:r>
          </w:p>
        </w:tc>
        <w:tc>
          <w:tcPr>
            <w:tcW w:w="1520" w:type="dxa"/>
            <w:tcBorders>
              <w:top w:val="nil"/>
              <w:left w:val="nil"/>
              <w:bottom w:val="single" w:sz="4" w:space="0" w:color="auto"/>
              <w:right w:val="single" w:sz="4" w:space="0" w:color="auto"/>
            </w:tcBorders>
            <w:shd w:val="clear" w:color="auto" w:fill="C4EFCE"/>
            <w:vAlign w:val="center"/>
            <w:hideMark/>
          </w:tcPr>
          <w:p w14:paraId="1B2D246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2DD98EC2"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Technologická modernizácia ANIM – národného archívu pohyblivých obrazov</w:t>
            </w:r>
          </w:p>
        </w:tc>
      </w:tr>
      <w:tr w:rsidR="00387C70" w:rsidRPr="003F23AC" w14:paraId="11D11A03"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D53850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6.3</w:t>
            </w:r>
          </w:p>
        </w:tc>
        <w:tc>
          <w:tcPr>
            <w:tcW w:w="1760" w:type="dxa"/>
            <w:tcBorders>
              <w:top w:val="nil"/>
              <w:left w:val="nil"/>
              <w:bottom w:val="single" w:sz="4" w:space="0" w:color="auto"/>
              <w:right w:val="single" w:sz="4" w:space="0" w:color="auto"/>
            </w:tcBorders>
            <w:shd w:val="clear" w:color="auto" w:fill="C4EFCE"/>
            <w:vAlign w:val="center"/>
            <w:hideMark/>
          </w:tcPr>
          <w:p w14:paraId="48232F11" w14:textId="46347187"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C06-i01</w:t>
            </w:r>
          </w:p>
        </w:tc>
        <w:tc>
          <w:tcPr>
            <w:tcW w:w="1520" w:type="dxa"/>
            <w:tcBorders>
              <w:top w:val="nil"/>
              <w:left w:val="nil"/>
              <w:bottom w:val="single" w:sz="4" w:space="0" w:color="auto"/>
              <w:right w:val="single" w:sz="4" w:space="0" w:color="auto"/>
            </w:tcBorders>
            <w:shd w:val="clear" w:color="auto" w:fill="C4EFCE"/>
            <w:vAlign w:val="center"/>
            <w:hideMark/>
          </w:tcPr>
          <w:p w14:paraId="08D16AA2" w14:textId="6520C756"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4F478F4"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Modernizované školiace stanice</w:t>
            </w:r>
          </w:p>
        </w:tc>
      </w:tr>
      <w:tr w:rsidR="00387C70" w:rsidRPr="003F23AC" w14:paraId="11B5A58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DDF91C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7.14</w:t>
            </w:r>
          </w:p>
        </w:tc>
        <w:tc>
          <w:tcPr>
            <w:tcW w:w="1760" w:type="dxa"/>
            <w:tcBorders>
              <w:top w:val="nil"/>
              <w:left w:val="nil"/>
              <w:bottom w:val="single" w:sz="4" w:space="0" w:color="auto"/>
              <w:right w:val="single" w:sz="4" w:space="0" w:color="auto"/>
            </w:tcBorders>
            <w:shd w:val="clear" w:color="auto" w:fill="C4EFCE"/>
            <w:vAlign w:val="center"/>
            <w:hideMark/>
          </w:tcPr>
          <w:p w14:paraId="24E7301E" w14:textId="06CA1580"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C07-i05-RAA</w:t>
            </w:r>
          </w:p>
        </w:tc>
        <w:tc>
          <w:tcPr>
            <w:tcW w:w="1520" w:type="dxa"/>
            <w:tcBorders>
              <w:top w:val="nil"/>
              <w:left w:val="nil"/>
              <w:bottom w:val="single" w:sz="4" w:space="0" w:color="auto"/>
              <w:right w:val="single" w:sz="4" w:space="0" w:color="auto"/>
            </w:tcBorders>
            <w:shd w:val="clear" w:color="auto" w:fill="C4EFCE"/>
            <w:vAlign w:val="center"/>
            <w:hideMark/>
          </w:tcPr>
          <w:p w14:paraId="542DBFA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7A1EFBFA" w14:textId="66B52BD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Zmluva podpísaná pre 8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cestnej dopravy</w:t>
            </w:r>
          </w:p>
        </w:tc>
      </w:tr>
      <w:tr w:rsidR="00387C70" w:rsidRPr="003F23AC" w14:paraId="0D73086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09AE6C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8.5</w:t>
            </w:r>
          </w:p>
        </w:tc>
        <w:tc>
          <w:tcPr>
            <w:tcW w:w="1760" w:type="dxa"/>
            <w:tcBorders>
              <w:top w:val="nil"/>
              <w:left w:val="nil"/>
              <w:bottom w:val="single" w:sz="4" w:space="0" w:color="auto"/>
              <w:right w:val="single" w:sz="4" w:space="0" w:color="auto"/>
            </w:tcBorders>
            <w:shd w:val="clear" w:color="auto" w:fill="C4EFCE"/>
            <w:vAlign w:val="center"/>
            <w:hideMark/>
          </w:tcPr>
          <w:p w14:paraId="51937059" w14:textId="6058D983"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C08-i02</w:t>
            </w:r>
          </w:p>
        </w:tc>
        <w:tc>
          <w:tcPr>
            <w:tcW w:w="1520" w:type="dxa"/>
            <w:tcBorders>
              <w:top w:val="nil"/>
              <w:left w:val="nil"/>
              <w:bottom w:val="single" w:sz="4" w:space="0" w:color="auto"/>
              <w:right w:val="single" w:sz="4" w:space="0" w:color="auto"/>
            </w:tcBorders>
            <w:shd w:val="clear" w:color="auto" w:fill="C4EFCE"/>
            <w:vAlign w:val="center"/>
            <w:hideMark/>
          </w:tcPr>
          <w:p w14:paraId="2049F84D" w14:textId="5D51C36C"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50C76B7A" w14:textId="5317B39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Odborná príprava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BUPi</w:t>
            </w:r>
          </w:p>
        </w:tc>
      </w:tr>
      <w:tr w:rsidR="00387C70" w:rsidRPr="003F23AC" w14:paraId="674B7DE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117270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8.12</w:t>
            </w:r>
          </w:p>
        </w:tc>
        <w:tc>
          <w:tcPr>
            <w:tcW w:w="1760" w:type="dxa"/>
            <w:tcBorders>
              <w:top w:val="nil"/>
              <w:left w:val="nil"/>
              <w:bottom w:val="single" w:sz="4" w:space="0" w:color="auto"/>
              <w:right w:val="single" w:sz="4" w:space="0" w:color="auto"/>
            </w:tcBorders>
            <w:shd w:val="clear" w:color="auto" w:fill="C4EFCE"/>
            <w:vAlign w:val="center"/>
            <w:hideMark/>
          </w:tcPr>
          <w:p w14:paraId="4040DA76" w14:textId="6DC45663"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C08-i04</w:t>
            </w:r>
          </w:p>
        </w:tc>
        <w:tc>
          <w:tcPr>
            <w:tcW w:w="1520" w:type="dxa"/>
            <w:tcBorders>
              <w:top w:val="nil"/>
              <w:left w:val="nil"/>
              <w:bottom w:val="single" w:sz="4" w:space="0" w:color="auto"/>
              <w:right w:val="single" w:sz="4" w:space="0" w:color="auto"/>
            </w:tcBorders>
            <w:shd w:val="clear" w:color="auto" w:fill="C4EFCE"/>
            <w:vAlign w:val="center"/>
            <w:hideMark/>
          </w:tcPr>
          <w:p w14:paraId="1309AD13" w14:textId="648DD9E4"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5415AF6"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Inštalácia duálnych polarizačných radarov</w:t>
            </w:r>
          </w:p>
        </w:tc>
      </w:tr>
      <w:tr w:rsidR="00387C70" w:rsidRPr="003F23AC" w14:paraId="6B56409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629444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10.8</w:t>
            </w:r>
          </w:p>
        </w:tc>
        <w:tc>
          <w:tcPr>
            <w:tcW w:w="1760" w:type="dxa"/>
            <w:tcBorders>
              <w:top w:val="nil"/>
              <w:left w:val="nil"/>
              <w:bottom w:val="single" w:sz="4" w:space="0" w:color="auto"/>
              <w:right w:val="single" w:sz="4" w:space="0" w:color="auto"/>
            </w:tcBorders>
            <w:shd w:val="clear" w:color="auto" w:fill="C4EFCE"/>
            <w:vAlign w:val="center"/>
            <w:hideMark/>
          </w:tcPr>
          <w:p w14:paraId="082E522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TC-C10 – i04-RAA</w:t>
            </w:r>
          </w:p>
        </w:tc>
        <w:tc>
          <w:tcPr>
            <w:tcW w:w="1520" w:type="dxa"/>
            <w:tcBorders>
              <w:top w:val="nil"/>
              <w:left w:val="nil"/>
              <w:bottom w:val="single" w:sz="4" w:space="0" w:color="auto"/>
              <w:right w:val="single" w:sz="4" w:space="0" w:color="auto"/>
            </w:tcBorders>
            <w:shd w:val="clear" w:color="auto" w:fill="C4EFCE"/>
            <w:vAlign w:val="center"/>
            <w:hideMark/>
          </w:tcPr>
          <w:p w14:paraId="7413937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2E0E0804" w14:textId="271EBE4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Začiatok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verejných prácach pre technické centrum MARTEC</w:t>
            </w:r>
          </w:p>
        </w:tc>
      </w:tr>
      <w:tr w:rsidR="00387C70" w:rsidRPr="003F23AC" w14:paraId="17B7232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6F9CBF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11.2</w:t>
            </w:r>
          </w:p>
        </w:tc>
        <w:tc>
          <w:tcPr>
            <w:tcW w:w="1760" w:type="dxa"/>
            <w:tcBorders>
              <w:top w:val="nil"/>
              <w:left w:val="nil"/>
              <w:bottom w:val="single" w:sz="4" w:space="0" w:color="auto"/>
              <w:right w:val="single" w:sz="4" w:space="0" w:color="auto"/>
            </w:tcBorders>
            <w:shd w:val="clear" w:color="auto" w:fill="C4EFCE"/>
            <w:vAlign w:val="center"/>
            <w:hideMark/>
          </w:tcPr>
          <w:p w14:paraId="181258D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TC-C11-i01</w:t>
            </w:r>
          </w:p>
        </w:tc>
        <w:tc>
          <w:tcPr>
            <w:tcW w:w="1520" w:type="dxa"/>
            <w:tcBorders>
              <w:top w:val="nil"/>
              <w:left w:val="nil"/>
              <w:bottom w:val="single" w:sz="4" w:space="0" w:color="auto"/>
              <w:right w:val="single" w:sz="4" w:space="0" w:color="auto"/>
            </w:tcBorders>
            <w:shd w:val="clear" w:color="auto" w:fill="C4EFCE"/>
            <w:vAlign w:val="center"/>
            <w:hideMark/>
          </w:tcPr>
          <w:p w14:paraId="12E6D3A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3C515859" w14:textId="0706F176"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Podpis zmlúv</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udelení finančnej podpory</w:t>
            </w:r>
          </w:p>
        </w:tc>
      </w:tr>
      <w:tr w:rsidR="00387C70" w:rsidRPr="003F23AC" w14:paraId="5A90F30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7CC5A5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12.7</w:t>
            </w:r>
          </w:p>
        </w:tc>
        <w:tc>
          <w:tcPr>
            <w:tcW w:w="1760" w:type="dxa"/>
            <w:tcBorders>
              <w:top w:val="nil"/>
              <w:left w:val="nil"/>
              <w:bottom w:val="single" w:sz="4" w:space="0" w:color="auto"/>
              <w:right w:val="single" w:sz="4" w:space="0" w:color="auto"/>
            </w:tcBorders>
            <w:shd w:val="clear" w:color="auto" w:fill="C4EFCE"/>
            <w:vAlign w:val="center"/>
            <w:hideMark/>
          </w:tcPr>
          <w:p w14:paraId="25B1DCC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TC-C12-r39</w:t>
            </w:r>
          </w:p>
        </w:tc>
        <w:tc>
          <w:tcPr>
            <w:tcW w:w="1520" w:type="dxa"/>
            <w:tcBorders>
              <w:top w:val="nil"/>
              <w:left w:val="nil"/>
              <w:bottom w:val="single" w:sz="4" w:space="0" w:color="auto"/>
              <w:right w:val="single" w:sz="4" w:space="0" w:color="auto"/>
            </w:tcBorders>
            <w:shd w:val="clear" w:color="auto" w:fill="C4EFCE"/>
            <w:vAlign w:val="center"/>
            <w:hideMark/>
          </w:tcPr>
          <w:p w14:paraId="336E66E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2D6D70E6"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harmonizovanej definície kritérií pre eko- moduláciu</w:t>
            </w:r>
          </w:p>
        </w:tc>
      </w:tr>
      <w:tr w:rsidR="00387C70" w:rsidRPr="003F23AC" w14:paraId="7D943D7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5C76A3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12.8</w:t>
            </w:r>
          </w:p>
        </w:tc>
        <w:tc>
          <w:tcPr>
            <w:tcW w:w="1760" w:type="dxa"/>
            <w:tcBorders>
              <w:top w:val="nil"/>
              <w:left w:val="nil"/>
              <w:bottom w:val="single" w:sz="4" w:space="0" w:color="auto"/>
              <w:right w:val="single" w:sz="4" w:space="0" w:color="auto"/>
            </w:tcBorders>
            <w:shd w:val="clear" w:color="auto" w:fill="C4EFCE"/>
            <w:vAlign w:val="center"/>
            <w:hideMark/>
          </w:tcPr>
          <w:p w14:paraId="4E41CB2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TC-C12-r39</w:t>
            </w:r>
          </w:p>
        </w:tc>
        <w:tc>
          <w:tcPr>
            <w:tcW w:w="1520" w:type="dxa"/>
            <w:tcBorders>
              <w:top w:val="nil"/>
              <w:left w:val="nil"/>
              <w:bottom w:val="single" w:sz="4" w:space="0" w:color="auto"/>
              <w:right w:val="single" w:sz="4" w:space="0" w:color="auto"/>
            </w:tcBorders>
            <w:shd w:val="clear" w:color="auto" w:fill="C4EFCE"/>
            <w:vAlign w:val="center"/>
            <w:hideMark/>
          </w:tcPr>
          <w:p w14:paraId="4D1C03A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46C48E4F" w14:textId="104C4F0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Systém stimulov na zhodnocovanie (systém ukladania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náhrad) pre jednorazové plastové fľaše, železné kovy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hliník</w:t>
            </w:r>
          </w:p>
        </w:tc>
      </w:tr>
      <w:tr w:rsidR="00387C70" w:rsidRPr="003F23AC" w14:paraId="4A314B4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B071D7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15.1</w:t>
            </w:r>
          </w:p>
        </w:tc>
        <w:tc>
          <w:tcPr>
            <w:tcW w:w="1760" w:type="dxa"/>
            <w:tcBorders>
              <w:top w:val="nil"/>
              <w:left w:val="nil"/>
              <w:bottom w:val="single" w:sz="4" w:space="0" w:color="auto"/>
              <w:right w:val="single" w:sz="4" w:space="0" w:color="auto"/>
            </w:tcBorders>
            <w:shd w:val="clear" w:color="auto" w:fill="C4EFCE"/>
            <w:vAlign w:val="center"/>
            <w:hideMark/>
          </w:tcPr>
          <w:p w14:paraId="1B01C48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TC-C15-i01</w:t>
            </w:r>
          </w:p>
        </w:tc>
        <w:tc>
          <w:tcPr>
            <w:tcW w:w="1520" w:type="dxa"/>
            <w:tcBorders>
              <w:top w:val="nil"/>
              <w:left w:val="nil"/>
              <w:bottom w:val="single" w:sz="4" w:space="0" w:color="auto"/>
              <w:right w:val="single" w:sz="4" w:space="0" w:color="auto"/>
            </w:tcBorders>
            <w:shd w:val="clear" w:color="auto" w:fill="C4EFCE"/>
            <w:vAlign w:val="center"/>
            <w:hideMark/>
          </w:tcPr>
          <w:p w14:paraId="2DDD63A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2144099B" w14:textId="69130B8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rozšírení lisabonskej siete Metro</w:t>
            </w:r>
          </w:p>
        </w:tc>
      </w:tr>
      <w:tr w:rsidR="00387C70" w:rsidRPr="003F23AC" w14:paraId="36710B7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022106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15.4</w:t>
            </w:r>
          </w:p>
        </w:tc>
        <w:tc>
          <w:tcPr>
            <w:tcW w:w="1760" w:type="dxa"/>
            <w:tcBorders>
              <w:top w:val="nil"/>
              <w:left w:val="nil"/>
              <w:bottom w:val="single" w:sz="4" w:space="0" w:color="auto"/>
              <w:right w:val="single" w:sz="4" w:space="0" w:color="auto"/>
            </w:tcBorders>
            <w:shd w:val="clear" w:color="auto" w:fill="C4EFCE"/>
            <w:vAlign w:val="center"/>
            <w:hideMark/>
          </w:tcPr>
          <w:p w14:paraId="15DC13F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TC-C15-i02</w:t>
            </w:r>
          </w:p>
        </w:tc>
        <w:tc>
          <w:tcPr>
            <w:tcW w:w="1520" w:type="dxa"/>
            <w:tcBorders>
              <w:top w:val="nil"/>
              <w:left w:val="nil"/>
              <w:bottom w:val="single" w:sz="4" w:space="0" w:color="auto"/>
              <w:right w:val="single" w:sz="4" w:space="0" w:color="auto"/>
            </w:tcBorders>
            <w:shd w:val="clear" w:color="auto" w:fill="C4EFCE"/>
            <w:vAlign w:val="center"/>
            <w:hideMark/>
          </w:tcPr>
          <w:p w14:paraId="36F5B3D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0B00BD76" w14:textId="2900346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rozšírení siete Porto Metro</w:t>
            </w:r>
          </w:p>
        </w:tc>
      </w:tr>
      <w:tr w:rsidR="00387C70" w:rsidRPr="003F23AC" w14:paraId="66F49B4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9D2C06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15.13</w:t>
            </w:r>
          </w:p>
        </w:tc>
        <w:tc>
          <w:tcPr>
            <w:tcW w:w="1760" w:type="dxa"/>
            <w:tcBorders>
              <w:top w:val="nil"/>
              <w:left w:val="nil"/>
              <w:bottom w:val="single" w:sz="4" w:space="0" w:color="auto"/>
              <w:right w:val="single" w:sz="4" w:space="0" w:color="auto"/>
            </w:tcBorders>
            <w:shd w:val="clear" w:color="auto" w:fill="C4EFCE"/>
            <w:vAlign w:val="center"/>
            <w:hideMark/>
          </w:tcPr>
          <w:p w14:paraId="152B40C0" w14:textId="6FAC6FDD"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TC-C15 – i05</w:t>
            </w:r>
            <w:r w:rsidR="00A75B3C" w:rsidRPr="003F23AC">
              <w:rPr>
                <w:rFonts w:ascii="Times New Roman" w:hAnsi="Times New Roman" w:cs="Times New Roman"/>
                <w:noProof/>
                <w:lang w:val="sk-SK"/>
              </w:rPr>
              <w:t xml:space="preserve"> </w:t>
            </w:r>
          </w:p>
        </w:tc>
        <w:tc>
          <w:tcPr>
            <w:tcW w:w="1520" w:type="dxa"/>
            <w:tcBorders>
              <w:top w:val="nil"/>
              <w:left w:val="nil"/>
              <w:bottom w:val="single" w:sz="4" w:space="0" w:color="auto"/>
              <w:right w:val="single" w:sz="4" w:space="0" w:color="auto"/>
            </w:tcBorders>
            <w:shd w:val="clear" w:color="auto" w:fill="C4EFCE"/>
            <w:vAlign w:val="center"/>
            <w:hideMark/>
          </w:tcPr>
          <w:p w14:paraId="375FD4BA" w14:textId="0A27DE22"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270A847" w14:textId="2FA5E0D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Nákup nových autobusov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nulovými emisiami (elektrických alebo vodíkových) používaných vo verejnej doprave</w:t>
            </w:r>
          </w:p>
        </w:tc>
      </w:tr>
      <w:tr w:rsidR="00387C70" w:rsidRPr="003F23AC" w14:paraId="716C2BF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0F6242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15.14</w:t>
            </w:r>
          </w:p>
        </w:tc>
        <w:tc>
          <w:tcPr>
            <w:tcW w:w="1760" w:type="dxa"/>
            <w:tcBorders>
              <w:top w:val="nil"/>
              <w:left w:val="nil"/>
              <w:bottom w:val="single" w:sz="4" w:space="0" w:color="auto"/>
              <w:right w:val="single" w:sz="4" w:space="0" w:color="auto"/>
            </w:tcBorders>
            <w:shd w:val="clear" w:color="auto" w:fill="C4EFCE"/>
            <w:vAlign w:val="center"/>
            <w:hideMark/>
          </w:tcPr>
          <w:p w14:paraId="0DD59D79" w14:textId="1DC7DB79"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TC-C15-r30</w:t>
            </w:r>
            <w:r w:rsidR="00A75B3C" w:rsidRPr="003F23AC">
              <w:rPr>
                <w:rFonts w:ascii="Times New Roman" w:hAnsi="Times New Roman" w:cs="Times New Roman"/>
                <w:noProof/>
                <w:lang w:val="sk-SK"/>
              </w:rPr>
              <w:t xml:space="preserve"> </w:t>
            </w:r>
          </w:p>
        </w:tc>
        <w:tc>
          <w:tcPr>
            <w:tcW w:w="1520" w:type="dxa"/>
            <w:tcBorders>
              <w:top w:val="nil"/>
              <w:left w:val="nil"/>
              <w:bottom w:val="single" w:sz="4" w:space="0" w:color="auto"/>
              <w:right w:val="single" w:sz="4" w:space="0" w:color="auto"/>
            </w:tcBorders>
            <w:shd w:val="clear" w:color="auto" w:fill="C4EFCE"/>
            <w:vAlign w:val="center"/>
            <w:hideMark/>
          </w:tcPr>
          <w:p w14:paraId="5706F25D" w14:textId="1DC51187"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08CB798" w14:textId="2BCCB34B"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Podpísané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službách vo verejnom záujme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osobnej doprave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metropolitných oblastiach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medziobecných spoločenstvách</w:t>
            </w:r>
          </w:p>
        </w:tc>
      </w:tr>
      <w:tr w:rsidR="00387C70" w:rsidRPr="003F23AC" w14:paraId="1F86FB7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1200" w:type="dxa"/>
            <w:shd w:val="clear" w:color="auto" w:fill="C4EFCE"/>
            <w:vAlign w:val="center"/>
            <w:hideMark/>
          </w:tcPr>
          <w:p w14:paraId="5DDEA1B4"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16.14</w:t>
            </w:r>
          </w:p>
        </w:tc>
        <w:tc>
          <w:tcPr>
            <w:tcW w:w="1760" w:type="dxa"/>
            <w:shd w:val="clear" w:color="auto" w:fill="C4EFCE"/>
            <w:vAlign w:val="center"/>
            <w:hideMark/>
          </w:tcPr>
          <w:p w14:paraId="40EE589F"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TD-C16-i03 </w:t>
            </w:r>
          </w:p>
        </w:tc>
        <w:tc>
          <w:tcPr>
            <w:tcW w:w="1520" w:type="dxa"/>
            <w:shd w:val="clear" w:color="auto" w:fill="C4EFCE"/>
            <w:vAlign w:val="center"/>
            <w:hideMark/>
          </w:tcPr>
          <w:p w14:paraId="12CAAAA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04006DF5" w14:textId="0C71F83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Zriadenie služieb na zasielanie digitálnych faktúr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certifikácie kybernetickej bezpečnosti, súkromia, použiteľnosti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udržateľnosti</w:t>
            </w:r>
          </w:p>
        </w:tc>
      </w:tr>
      <w:tr w:rsidR="00387C70" w:rsidRPr="003F23AC" w14:paraId="09C48AE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869C53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16.16</w:t>
            </w:r>
          </w:p>
        </w:tc>
        <w:tc>
          <w:tcPr>
            <w:tcW w:w="1760" w:type="dxa"/>
            <w:tcBorders>
              <w:top w:val="nil"/>
              <w:left w:val="nil"/>
              <w:bottom w:val="single" w:sz="4" w:space="0" w:color="auto"/>
              <w:right w:val="single" w:sz="4" w:space="0" w:color="auto"/>
            </w:tcBorders>
            <w:shd w:val="clear" w:color="auto" w:fill="C4EFCE"/>
            <w:vAlign w:val="center"/>
            <w:hideMark/>
          </w:tcPr>
          <w:p w14:paraId="2CBED52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TD-C16 – i04</w:t>
            </w:r>
          </w:p>
        </w:tc>
        <w:tc>
          <w:tcPr>
            <w:tcW w:w="1520" w:type="dxa"/>
            <w:tcBorders>
              <w:top w:val="nil"/>
              <w:left w:val="nil"/>
              <w:bottom w:val="single" w:sz="4" w:space="0" w:color="auto"/>
              <w:right w:val="single" w:sz="4" w:space="0" w:color="auto"/>
            </w:tcBorders>
            <w:shd w:val="clear" w:color="auto" w:fill="C4EFCE"/>
            <w:vAlign w:val="center"/>
            <w:hideMark/>
          </w:tcPr>
          <w:p w14:paraId="3003DF4F" w14:textId="68788F0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F9A9EA3"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Výber projektov Priemysel 4.0</w:t>
            </w:r>
          </w:p>
        </w:tc>
      </w:tr>
      <w:tr w:rsidR="00387C70" w:rsidRPr="003F23AC" w14:paraId="0EE345A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410FEB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17.21</w:t>
            </w:r>
          </w:p>
        </w:tc>
        <w:tc>
          <w:tcPr>
            <w:tcW w:w="1760" w:type="dxa"/>
            <w:tcBorders>
              <w:top w:val="nil"/>
              <w:left w:val="nil"/>
              <w:bottom w:val="single" w:sz="4" w:space="0" w:color="auto"/>
              <w:right w:val="single" w:sz="4" w:space="0" w:color="auto"/>
            </w:tcBorders>
            <w:shd w:val="clear" w:color="auto" w:fill="C4EFCE"/>
            <w:vAlign w:val="center"/>
            <w:hideMark/>
          </w:tcPr>
          <w:p w14:paraId="2B0924B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TD-C17-i02</w:t>
            </w:r>
          </w:p>
        </w:tc>
        <w:tc>
          <w:tcPr>
            <w:tcW w:w="1520" w:type="dxa"/>
            <w:tcBorders>
              <w:top w:val="nil"/>
              <w:left w:val="nil"/>
              <w:bottom w:val="single" w:sz="4" w:space="0" w:color="auto"/>
              <w:right w:val="single" w:sz="4" w:space="0" w:color="auto"/>
            </w:tcBorders>
            <w:shd w:val="clear" w:color="auto" w:fill="C4EFCE"/>
            <w:vAlign w:val="center"/>
            <w:hideMark/>
          </w:tcPr>
          <w:p w14:paraId="18D2B06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65C698DD"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Dokončiť vykonávanie predbežného plnenia konkrétnej transakcie podliehajúcej kolkovej dani</w:t>
            </w:r>
          </w:p>
        </w:tc>
      </w:tr>
      <w:tr w:rsidR="00387C70" w:rsidRPr="003F23AC" w14:paraId="7D6C04ED"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FF3082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17.23</w:t>
            </w:r>
          </w:p>
        </w:tc>
        <w:tc>
          <w:tcPr>
            <w:tcW w:w="1760" w:type="dxa"/>
            <w:tcBorders>
              <w:top w:val="nil"/>
              <w:left w:val="nil"/>
              <w:bottom w:val="single" w:sz="4" w:space="0" w:color="auto"/>
              <w:right w:val="single" w:sz="4" w:space="0" w:color="auto"/>
            </w:tcBorders>
            <w:shd w:val="clear" w:color="auto" w:fill="C4EFCE"/>
            <w:vAlign w:val="center"/>
            <w:hideMark/>
          </w:tcPr>
          <w:p w14:paraId="698DAC9E" w14:textId="665ACA7C"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TD-C17-r40</w:t>
            </w:r>
          </w:p>
        </w:tc>
        <w:tc>
          <w:tcPr>
            <w:tcW w:w="1520" w:type="dxa"/>
            <w:tcBorders>
              <w:top w:val="nil"/>
              <w:left w:val="nil"/>
              <w:bottom w:val="single" w:sz="4" w:space="0" w:color="auto"/>
              <w:right w:val="single" w:sz="4" w:space="0" w:color="auto"/>
            </w:tcBorders>
            <w:shd w:val="clear" w:color="auto" w:fill="C4EFCE"/>
            <w:vAlign w:val="center"/>
            <w:hideMark/>
          </w:tcPr>
          <w:p w14:paraId="7B24166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327CEBBA"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právneho aktu, ktorým sa zriaďuje stála technická daňová jednotka Unidade Técnica de Avaliação Tributária e Aduaneira (U-TAX)</w:t>
            </w:r>
          </w:p>
        </w:tc>
      </w:tr>
      <w:tr w:rsidR="00387C70" w:rsidRPr="003F23AC" w14:paraId="1B76570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405E77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18.5</w:t>
            </w:r>
          </w:p>
        </w:tc>
        <w:tc>
          <w:tcPr>
            <w:tcW w:w="1760" w:type="dxa"/>
            <w:tcBorders>
              <w:top w:val="nil"/>
              <w:left w:val="nil"/>
              <w:bottom w:val="single" w:sz="4" w:space="0" w:color="auto"/>
              <w:right w:val="single" w:sz="4" w:space="0" w:color="auto"/>
            </w:tcBorders>
            <w:shd w:val="clear" w:color="auto" w:fill="C4EFCE"/>
            <w:vAlign w:val="center"/>
            <w:hideMark/>
          </w:tcPr>
          <w:p w14:paraId="618CB0E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TD-C18-i01</w:t>
            </w:r>
          </w:p>
        </w:tc>
        <w:tc>
          <w:tcPr>
            <w:tcW w:w="1520" w:type="dxa"/>
            <w:tcBorders>
              <w:top w:val="nil"/>
              <w:left w:val="nil"/>
              <w:bottom w:val="single" w:sz="4" w:space="0" w:color="auto"/>
              <w:right w:val="single" w:sz="4" w:space="0" w:color="auto"/>
            </w:tcBorders>
            <w:shd w:val="clear" w:color="auto" w:fill="C4EFCE"/>
            <w:vAlign w:val="center"/>
            <w:hideMark/>
          </w:tcPr>
          <w:p w14:paraId="6D6B08A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3E389343"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Modernizovaný informačný systém na vyšetrovanie trestných činov</w:t>
            </w:r>
          </w:p>
        </w:tc>
      </w:tr>
      <w:tr w:rsidR="00387C70" w:rsidRPr="003F23AC" w14:paraId="1F76A1E3"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5F520F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19.12</w:t>
            </w:r>
          </w:p>
        </w:tc>
        <w:tc>
          <w:tcPr>
            <w:tcW w:w="1760" w:type="dxa"/>
            <w:tcBorders>
              <w:top w:val="nil"/>
              <w:left w:val="nil"/>
              <w:bottom w:val="single" w:sz="4" w:space="0" w:color="auto"/>
              <w:right w:val="single" w:sz="4" w:space="0" w:color="auto"/>
            </w:tcBorders>
            <w:shd w:val="clear" w:color="auto" w:fill="C4EFCE"/>
            <w:vAlign w:val="center"/>
            <w:hideMark/>
          </w:tcPr>
          <w:p w14:paraId="47FDE4B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 – i04</w:t>
            </w:r>
          </w:p>
        </w:tc>
        <w:tc>
          <w:tcPr>
            <w:tcW w:w="1520" w:type="dxa"/>
            <w:tcBorders>
              <w:top w:val="nil"/>
              <w:left w:val="nil"/>
              <w:bottom w:val="single" w:sz="4" w:space="0" w:color="auto"/>
              <w:right w:val="single" w:sz="4" w:space="0" w:color="auto"/>
            </w:tcBorders>
            <w:shd w:val="clear" w:color="auto" w:fill="C4EFCE"/>
            <w:vAlign w:val="center"/>
            <w:hideMark/>
          </w:tcPr>
          <w:p w14:paraId="723C238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082C1D8F"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modernizácie kritických digitálnych infraštruktúr</w:t>
            </w:r>
          </w:p>
        </w:tc>
      </w:tr>
      <w:tr w:rsidR="00387C70" w:rsidRPr="003F23AC" w14:paraId="68EBFC9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52D380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19.19</w:t>
            </w:r>
          </w:p>
        </w:tc>
        <w:tc>
          <w:tcPr>
            <w:tcW w:w="1760" w:type="dxa"/>
            <w:tcBorders>
              <w:top w:val="nil"/>
              <w:left w:val="nil"/>
              <w:bottom w:val="single" w:sz="4" w:space="0" w:color="auto"/>
              <w:right w:val="single" w:sz="4" w:space="0" w:color="auto"/>
            </w:tcBorders>
            <w:shd w:val="clear" w:color="auto" w:fill="C4EFCE"/>
            <w:vAlign w:val="center"/>
            <w:hideMark/>
          </w:tcPr>
          <w:p w14:paraId="52CAADE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TD-C19-i07</w:t>
            </w:r>
          </w:p>
        </w:tc>
        <w:tc>
          <w:tcPr>
            <w:tcW w:w="1520" w:type="dxa"/>
            <w:tcBorders>
              <w:top w:val="nil"/>
              <w:left w:val="nil"/>
              <w:bottom w:val="single" w:sz="4" w:space="0" w:color="auto"/>
              <w:right w:val="single" w:sz="4" w:space="0" w:color="auto"/>
            </w:tcBorders>
            <w:shd w:val="clear" w:color="auto" w:fill="C4EFCE"/>
            <w:vAlign w:val="center"/>
            <w:hideMark/>
          </w:tcPr>
          <w:p w14:paraId="447F009D" w14:textId="52240F4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5747649F"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Program stáží pre absolventov</w:t>
            </w:r>
          </w:p>
        </w:tc>
      </w:tr>
      <w:tr w:rsidR="00387C70" w:rsidRPr="003F23AC" w14:paraId="0EEF05D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045AB4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19.20</w:t>
            </w:r>
          </w:p>
        </w:tc>
        <w:tc>
          <w:tcPr>
            <w:tcW w:w="1760" w:type="dxa"/>
            <w:tcBorders>
              <w:top w:val="nil"/>
              <w:left w:val="nil"/>
              <w:bottom w:val="single" w:sz="4" w:space="0" w:color="auto"/>
              <w:right w:val="single" w:sz="4" w:space="0" w:color="auto"/>
            </w:tcBorders>
            <w:shd w:val="clear" w:color="auto" w:fill="C4EFCE"/>
            <w:vAlign w:val="center"/>
            <w:hideMark/>
          </w:tcPr>
          <w:p w14:paraId="4BC8CA1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TD-C19-i07</w:t>
            </w:r>
          </w:p>
        </w:tc>
        <w:tc>
          <w:tcPr>
            <w:tcW w:w="1520" w:type="dxa"/>
            <w:tcBorders>
              <w:top w:val="nil"/>
              <w:left w:val="nil"/>
              <w:bottom w:val="single" w:sz="4" w:space="0" w:color="auto"/>
              <w:right w:val="single" w:sz="4" w:space="0" w:color="auto"/>
            </w:tcBorders>
            <w:shd w:val="clear" w:color="auto" w:fill="C4EFCE"/>
            <w:vAlign w:val="center"/>
            <w:hideMark/>
          </w:tcPr>
          <w:p w14:paraId="70FE9605" w14:textId="432488E5"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1CE35B3"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Zamestnanci verejnej služby pracujúci na diaľku</w:t>
            </w:r>
          </w:p>
        </w:tc>
      </w:tr>
      <w:tr w:rsidR="00387C70" w:rsidRPr="003F23AC" w14:paraId="3C08254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2C0060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19.23</w:t>
            </w:r>
          </w:p>
        </w:tc>
        <w:tc>
          <w:tcPr>
            <w:tcW w:w="1760" w:type="dxa"/>
            <w:tcBorders>
              <w:top w:val="nil"/>
              <w:left w:val="nil"/>
              <w:bottom w:val="single" w:sz="4" w:space="0" w:color="auto"/>
              <w:right w:val="single" w:sz="4" w:space="0" w:color="auto"/>
            </w:tcBorders>
            <w:shd w:val="clear" w:color="auto" w:fill="C4EFCE"/>
            <w:vAlign w:val="center"/>
            <w:hideMark/>
          </w:tcPr>
          <w:p w14:paraId="1BB3731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TD-C19-r35</w:t>
            </w:r>
          </w:p>
        </w:tc>
        <w:tc>
          <w:tcPr>
            <w:tcW w:w="1520" w:type="dxa"/>
            <w:tcBorders>
              <w:top w:val="nil"/>
              <w:left w:val="nil"/>
              <w:bottom w:val="single" w:sz="4" w:space="0" w:color="auto"/>
              <w:right w:val="single" w:sz="4" w:space="0" w:color="auto"/>
            </w:tcBorders>
            <w:shd w:val="clear" w:color="auto" w:fill="C4EFCE"/>
            <w:vAlign w:val="center"/>
            <w:hideMark/>
          </w:tcPr>
          <w:p w14:paraId="4E51FBB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3A32703A"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legislatívneho balíka na reorganizáciu verejnej správy</w:t>
            </w:r>
          </w:p>
        </w:tc>
      </w:tr>
      <w:tr w:rsidR="00387C70" w:rsidRPr="003F23AC" w14:paraId="742A12BF"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F8A13B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21.7</w:t>
            </w:r>
          </w:p>
        </w:tc>
        <w:tc>
          <w:tcPr>
            <w:tcW w:w="1760" w:type="dxa"/>
            <w:tcBorders>
              <w:top w:val="nil"/>
              <w:left w:val="nil"/>
              <w:bottom w:val="single" w:sz="4" w:space="0" w:color="auto"/>
              <w:right w:val="single" w:sz="4" w:space="0" w:color="auto"/>
            </w:tcBorders>
            <w:shd w:val="clear" w:color="auto" w:fill="C4EFCE"/>
            <w:vAlign w:val="center"/>
            <w:hideMark/>
          </w:tcPr>
          <w:p w14:paraId="0F22486B" w14:textId="690F2EF9"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RP-C21-r43</w:t>
            </w:r>
          </w:p>
        </w:tc>
        <w:tc>
          <w:tcPr>
            <w:tcW w:w="1520" w:type="dxa"/>
            <w:tcBorders>
              <w:top w:val="nil"/>
              <w:left w:val="nil"/>
              <w:bottom w:val="single" w:sz="4" w:space="0" w:color="auto"/>
              <w:right w:val="single" w:sz="4" w:space="0" w:color="auto"/>
            </w:tcBorders>
            <w:shd w:val="clear" w:color="auto" w:fill="C4EFCE"/>
            <w:vAlign w:val="center"/>
            <w:hideMark/>
          </w:tcPr>
          <w:p w14:paraId="3140DF8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20CD0448"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právnych predpisov, ktorými sa zriaďuje Národné stredisko pre monitorovanie energetickej chudoby</w:t>
            </w:r>
          </w:p>
        </w:tc>
      </w:tr>
      <w:tr w:rsidR="00387C70" w:rsidRPr="003F23AC" w14:paraId="144F24A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D1E2C5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21.9</w:t>
            </w:r>
          </w:p>
        </w:tc>
        <w:tc>
          <w:tcPr>
            <w:tcW w:w="1760" w:type="dxa"/>
            <w:tcBorders>
              <w:top w:val="nil"/>
              <w:left w:val="nil"/>
              <w:bottom w:val="single" w:sz="4" w:space="0" w:color="auto"/>
              <w:right w:val="single" w:sz="4" w:space="0" w:color="auto"/>
            </w:tcBorders>
            <w:shd w:val="clear" w:color="auto" w:fill="C4EFCE"/>
            <w:vAlign w:val="center"/>
            <w:hideMark/>
          </w:tcPr>
          <w:p w14:paraId="5998B2BE" w14:textId="7C8A24E2"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RP-C21-r44</w:t>
            </w:r>
          </w:p>
        </w:tc>
        <w:tc>
          <w:tcPr>
            <w:tcW w:w="1520" w:type="dxa"/>
            <w:tcBorders>
              <w:top w:val="nil"/>
              <w:left w:val="nil"/>
              <w:bottom w:val="single" w:sz="4" w:space="0" w:color="auto"/>
              <w:right w:val="single" w:sz="4" w:space="0" w:color="auto"/>
            </w:tcBorders>
            <w:shd w:val="clear" w:color="auto" w:fill="C4EFCE"/>
            <w:vAlign w:val="center"/>
            <w:hideMark/>
          </w:tcPr>
          <w:p w14:paraId="520DFD6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7DBE9B0C" w14:textId="61A6683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protokolu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spolupráci</w:t>
            </w:r>
          </w:p>
        </w:tc>
      </w:tr>
      <w:tr w:rsidR="00387C70" w:rsidRPr="003F23AC" w14:paraId="470BD8FF"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B3D055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21.16</w:t>
            </w:r>
          </w:p>
        </w:tc>
        <w:tc>
          <w:tcPr>
            <w:tcW w:w="1760" w:type="dxa"/>
            <w:tcBorders>
              <w:top w:val="nil"/>
              <w:left w:val="nil"/>
              <w:bottom w:val="single" w:sz="4" w:space="0" w:color="auto"/>
              <w:right w:val="single" w:sz="4" w:space="0" w:color="auto"/>
            </w:tcBorders>
            <w:shd w:val="clear" w:color="auto" w:fill="C4EFCE"/>
            <w:vAlign w:val="center"/>
            <w:hideMark/>
          </w:tcPr>
          <w:p w14:paraId="2F028DB5" w14:textId="57F1A9AD"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 – r46</w:t>
            </w:r>
          </w:p>
        </w:tc>
        <w:tc>
          <w:tcPr>
            <w:tcW w:w="1520" w:type="dxa"/>
            <w:tcBorders>
              <w:top w:val="nil"/>
              <w:left w:val="nil"/>
              <w:bottom w:val="single" w:sz="4" w:space="0" w:color="auto"/>
              <w:right w:val="single" w:sz="4" w:space="0" w:color="auto"/>
            </w:tcBorders>
            <w:shd w:val="clear" w:color="auto" w:fill="C4EFCE"/>
            <w:vAlign w:val="center"/>
            <w:hideMark/>
          </w:tcPr>
          <w:p w14:paraId="10032DF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65068AE8" w14:textId="4FC4127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vládneho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obnoviteľnom vodíku</w:t>
            </w:r>
          </w:p>
        </w:tc>
      </w:tr>
      <w:tr w:rsidR="00387C70" w:rsidRPr="003F23AC" w14:paraId="1D045AB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C908C0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21.18</w:t>
            </w:r>
          </w:p>
        </w:tc>
        <w:tc>
          <w:tcPr>
            <w:tcW w:w="1760" w:type="dxa"/>
            <w:tcBorders>
              <w:top w:val="nil"/>
              <w:left w:val="nil"/>
              <w:bottom w:val="single" w:sz="4" w:space="0" w:color="auto"/>
              <w:right w:val="single" w:sz="4" w:space="0" w:color="auto"/>
            </w:tcBorders>
            <w:shd w:val="clear" w:color="auto" w:fill="C4EFCE"/>
            <w:vAlign w:val="center"/>
            <w:hideMark/>
          </w:tcPr>
          <w:p w14:paraId="40579BEA" w14:textId="1D5A61F1"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RP-C21-r47</w:t>
            </w:r>
          </w:p>
        </w:tc>
        <w:tc>
          <w:tcPr>
            <w:tcW w:w="1520" w:type="dxa"/>
            <w:tcBorders>
              <w:top w:val="nil"/>
              <w:left w:val="nil"/>
              <w:bottom w:val="single" w:sz="4" w:space="0" w:color="auto"/>
              <w:right w:val="single" w:sz="4" w:space="0" w:color="auto"/>
            </w:tcBorders>
            <w:shd w:val="clear" w:color="auto" w:fill="C4EFCE"/>
            <w:vAlign w:val="center"/>
            <w:hideMark/>
          </w:tcPr>
          <w:p w14:paraId="7C05378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6F2FEF83"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Začatie prvej aukcie centralizovaného nákupu udržateľného biometánu</w:t>
            </w:r>
          </w:p>
        </w:tc>
      </w:tr>
      <w:tr w:rsidR="00387C70" w:rsidRPr="003F23AC" w14:paraId="08D90CDF"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B190E7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21.20</w:t>
            </w:r>
          </w:p>
        </w:tc>
        <w:tc>
          <w:tcPr>
            <w:tcW w:w="1760" w:type="dxa"/>
            <w:tcBorders>
              <w:top w:val="nil"/>
              <w:left w:val="nil"/>
              <w:bottom w:val="single" w:sz="4" w:space="0" w:color="auto"/>
              <w:right w:val="single" w:sz="4" w:space="0" w:color="auto"/>
            </w:tcBorders>
            <w:shd w:val="clear" w:color="auto" w:fill="C4EFCE"/>
            <w:vAlign w:val="center"/>
            <w:hideMark/>
          </w:tcPr>
          <w:p w14:paraId="1B4E0D2F" w14:textId="42ABC8CD"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RP-C21-r48</w:t>
            </w:r>
          </w:p>
        </w:tc>
        <w:tc>
          <w:tcPr>
            <w:tcW w:w="1520" w:type="dxa"/>
            <w:tcBorders>
              <w:top w:val="nil"/>
              <w:left w:val="nil"/>
              <w:bottom w:val="single" w:sz="4" w:space="0" w:color="auto"/>
              <w:right w:val="single" w:sz="4" w:space="0" w:color="auto"/>
            </w:tcBorders>
            <w:shd w:val="clear" w:color="auto" w:fill="C4EFCE"/>
            <w:vAlign w:val="center"/>
            <w:hideMark/>
          </w:tcPr>
          <w:p w14:paraId="1C5C7EE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237CE139"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Vytvorenie náteru do roku 2030</w:t>
            </w:r>
          </w:p>
        </w:tc>
      </w:tr>
      <w:tr w:rsidR="00387C70" w:rsidRPr="003F23AC" w14:paraId="4DEAB17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9CF6D3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21.21</w:t>
            </w:r>
          </w:p>
        </w:tc>
        <w:tc>
          <w:tcPr>
            <w:tcW w:w="1760" w:type="dxa"/>
            <w:tcBorders>
              <w:top w:val="nil"/>
              <w:left w:val="nil"/>
              <w:bottom w:val="single" w:sz="4" w:space="0" w:color="auto"/>
              <w:right w:val="single" w:sz="4" w:space="0" w:color="auto"/>
            </w:tcBorders>
            <w:shd w:val="clear" w:color="auto" w:fill="C4EFCE"/>
            <w:vAlign w:val="center"/>
            <w:hideMark/>
          </w:tcPr>
          <w:p w14:paraId="759E15F8" w14:textId="0BC1ACC6"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RP-C21-r48</w:t>
            </w:r>
          </w:p>
        </w:tc>
        <w:tc>
          <w:tcPr>
            <w:tcW w:w="1520" w:type="dxa"/>
            <w:tcBorders>
              <w:top w:val="nil"/>
              <w:left w:val="nil"/>
              <w:bottom w:val="single" w:sz="4" w:space="0" w:color="auto"/>
              <w:right w:val="single" w:sz="4" w:space="0" w:color="auto"/>
            </w:tcBorders>
            <w:shd w:val="clear" w:color="auto" w:fill="C4EFCE"/>
            <w:vAlign w:val="center"/>
            <w:hideMark/>
          </w:tcPr>
          <w:p w14:paraId="4CBDCB5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282FD427" w14:textId="1097D56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udeľovaní licencií obciam na projekty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uskladňovania energie</w:t>
            </w:r>
          </w:p>
        </w:tc>
      </w:tr>
      <w:tr w:rsidR="00387C70" w:rsidRPr="003F23AC" w14:paraId="544DFB9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FA5E44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21.24</w:t>
            </w:r>
          </w:p>
        </w:tc>
        <w:tc>
          <w:tcPr>
            <w:tcW w:w="1760" w:type="dxa"/>
            <w:tcBorders>
              <w:top w:val="nil"/>
              <w:left w:val="nil"/>
              <w:bottom w:val="single" w:sz="4" w:space="0" w:color="auto"/>
              <w:right w:val="single" w:sz="4" w:space="0" w:color="auto"/>
            </w:tcBorders>
            <w:shd w:val="clear" w:color="auto" w:fill="C4EFCE"/>
            <w:vAlign w:val="center"/>
            <w:hideMark/>
          </w:tcPr>
          <w:p w14:paraId="5A33B31D" w14:textId="1FC01E9E"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 – i06</w:t>
            </w:r>
          </w:p>
        </w:tc>
        <w:tc>
          <w:tcPr>
            <w:tcW w:w="1520" w:type="dxa"/>
            <w:tcBorders>
              <w:top w:val="nil"/>
              <w:left w:val="nil"/>
              <w:bottom w:val="single" w:sz="4" w:space="0" w:color="auto"/>
              <w:right w:val="single" w:sz="4" w:space="0" w:color="auto"/>
            </w:tcBorders>
            <w:shd w:val="clear" w:color="auto" w:fill="C4EFCE"/>
            <w:vAlign w:val="center"/>
            <w:hideMark/>
          </w:tcPr>
          <w:p w14:paraId="0C6B3D4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091A62D3" w14:textId="46EF2AA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Výzva na predkladanie ponúk na projekty výroby plynu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p>
        </w:tc>
      </w:tr>
      <w:tr w:rsidR="00387C70" w:rsidRPr="003F23AC" w14:paraId="449FA24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EB8A50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 </w:t>
            </w:r>
          </w:p>
        </w:tc>
        <w:tc>
          <w:tcPr>
            <w:tcW w:w="1760" w:type="dxa"/>
            <w:tcBorders>
              <w:top w:val="nil"/>
              <w:left w:val="nil"/>
              <w:bottom w:val="single" w:sz="4" w:space="0" w:color="auto"/>
              <w:right w:val="single" w:sz="4" w:space="0" w:color="auto"/>
            </w:tcBorders>
            <w:shd w:val="clear" w:color="auto" w:fill="C4EFCE"/>
            <w:vAlign w:val="center"/>
            <w:hideMark/>
          </w:tcPr>
          <w:p w14:paraId="1C9F8543" w14:textId="5C4C6AB6" w:rsidR="00387C70" w:rsidRPr="003F23AC" w:rsidRDefault="00A75B3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 </w:t>
            </w:r>
          </w:p>
        </w:tc>
        <w:tc>
          <w:tcPr>
            <w:tcW w:w="1520" w:type="dxa"/>
            <w:tcBorders>
              <w:top w:val="nil"/>
              <w:left w:val="nil"/>
              <w:bottom w:val="single" w:sz="4" w:space="0" w:color="auto"/>
              <w:right w:val="single" w:sz="4" w:space="0" w:color="auto"/>
            </w:tcBorders>
            <w:shd w:val="clear" w:color="auto" w:fill="C4EFCE"/>
            <w:vAlign w:val="center"/>
            <w:hideMark/>
          </w:tcPr>
          <w:p w14:paraId="2EC82A0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Suma splátky </w:t>
            </w:r>
          </w:p>
        </w:tc>
        <w:tc>
          <w:tcPr>
            <w:tcW w:w="5060" w:type="dxa"/>
            <w:tcBorders>
              <w:top w:val="nil"/>
              <w:left w:val="nil"/>
              <w:bottom w:val="single" w:sz="4" w:space="0" w:color="auto"/>
              <w:right w:val="single" w:sz="4" w:space="0" w:color="auto"/>
            </w:tcBorders>
            <w:shd w:val="clear" w:color="auto" w:fill="C4EFCE"/>
            <w:vAlign w:val="center"/>
            <w:hideMark/>
          </w:tcPr>
          <w:p w14:paraId="5000AAA7" w14:textId="204DDC6D" w:rsidR="00387C70" w:rsidRPr="003F23AC" w:rsidRDefault="003A06C1" w:rsidP="003F23AC">
            <w:pPr>
              <w:pStyle w:val="P68B1DB1-Normal25"/>
              <w:spacing w:after="0"/>
              <w:jc w:val="center"/>
              <w:rPr>
                <w:rFonts w:ascii="Times New Roman" w:eastAsia="Calibri" w:hAnsi="Times New Roman" w:cs="Times New Roman"/>
                <w:noProof/>
                <w:sz w:val="18"/>
                <w:lang w:val="sk-SK"/>
              </w:rPr>
            </w:pPr>
            <w:r w:rsidRPr="003F23AC">
              <w:rPr>
                <w:rFonts w:ascii="Times New Roman" w:hAnsi="Times New Roman" w:cs="Times New Roman"/>
                <w:noProof/>
                <w:lang w:val="sk-SK"/>
              </w:rPr>
              <w:t>EUR 1 877 616 715</w:t>
            </w:r>
          </w:p>
        </w:tc>
      </w:tr>
    </w:tbl>
    <w:p w14:paraId="3B218749" w14:textId="77777777" w:rsidR="00387C70" w:rsidRPr="003F23AC" w:rsidRDefault="00387C70" w:rsidP="003F23AC">
      <w:pPr>
        <w:rPr>
          <w:rFonts w:ascii="Times New Roman" w:hAnsi="Times New Roman" w:cs="Times New Roman"/>
          <w:noProof/>
          <w:sz w:val="18"/>
          <w:lang w:val="sk-SK"/>
        </w:rPr>
      </w:pPr>
    </w:p>
    <w:p w14:paraId="52A27962" w14:textId="5C038CC6" w:rsidR="00A75B3C" w:rsidRPr="003F23AC" w:rsidRDefault="000F5AA4" w:rsidP="003F23AC">
      <w:pPr>
        <w:pStyle w:val="P68B1DB1-Normal4"/>
        <w:numPr>
          <w:ilvl w:val="1"/>
          <w:numId w:val="19"/>
        </w:numPr>
        <w:spacing w:before="40" w:after="160" w:line="259" w:lineRule="auto"/>
        <w:contextualSpacing/>
        <w:jc w:val="both"/>
        <w:rPr>
          <w:rFonts w:cs="Times New Roman"/>
          <w:noProof/>
          <w:lang w:val="sk-SK"/>
        </w:rPr>
      </w:pPr>
      <w:r w:rsidRPr="003F23AC">
        <w:rPr>
          <w:rFonts w:cs="Times New Roman"/>
          <w:noProof/>
          <w:lang w:val="sk-SK"/>
        </w:rPr>
        <w:t>Šiesta žiadosť</w:t>
      </w:r>
      <w:r w:rsidR="00A75B3C" w:rsidRPr="003F23AC">
        <w:rPr>
          <w:rFonts w:cs="Times New Roman"/>
          <w:noProof/>
          <w:lang w:val="sk-SK"/>
        </w:rPr>
        <w:t xml:space="preserve"> o </w:t>
      </w:r>
      <w:r w:rsidRPr="003F23AC">
        <w:rPr>
          <w:rFonts w:cs="Times New Roman"/>
          <w:noProof/>
          <w:lang w:val="sk-SK"/>
        </w:rPr>
        <w:t>platbu (nenávratná podpora)</w:t>
      </w:r>
      <w:r w:rsidR="00A75B3C" w:rsidRPr="003F23AC">
        <w:rPr>
          <w:rFonts w:cs="Times New Roman"/>
          <w:noProof/>
          <w:lang w:val="sk-SK"/>
        </w:rPr>
        <w:t>:</w:t>
      </w:r>
    </w:p>
    <w:p w14:paraId="63820787" w14:textId="0646511D"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18"/>
          <w:lang w:val="sk-SK"/>
        </w:rPr>
      </w:pPr>
    </w:p>
    <w:tbl>
      <w:tblPr>
        <w:tblW w:w="9540" w:type="dxa"/>
        <w:tblInd w:w="113" w:type="dxa"/>
        <w:tblLook w:val="04A0" w:firstRow="1" w:lastRow="0" w:firstColumn="1" w:lastColumn="0" w:noHBand="0" w:noVBand="1"/>
      </w:tblPr>
      <w:tblGrid>
        <w:gridCol w:w="1177"/>
        <w:gridCol w:w="1731"/>
        <w:gridCol w:w="1491"/>
        <w:gridCol w:w="4919"/>
        <w:gridCol w:w="222"/>
      </w:tblGrid>
      <w:tr w:rsidR="00387C70" w:rsidRPr="003F23AC" w14:paraId="5C1078BA" w14:textId="77777777">
        <w:trPr>
          <w:trHeight w:val="1065"/>
          <w:tblHeader/>
        </w:trPr>
        <w:tc>
          <w:tcPr>
            <w:tcW w:w="1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7EE"/>
            <w:vAlign w:val="center"/>
            <w:hideMark/>
          </w:tcPr>
          <w:p w14:paraId="0E67C2BA"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Poradové číslo</w:t>
            </w:r>
          </w:p>
        </w:tc>
        <w:tc>
          <w:tcPr>
            <w:tcW w:w="17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7EE"/>
            <w:vAlign w:val="center"/>
            <w:hideMark/>
          </w:tcPr>
          <w:p w14:paraId="3DA616A3"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7EE"/>
            <w:vAlign w:val="center"/>
            <w:hideMark/>
          </w:tcPr>
          <w:p w14:paraId="27BF467B"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Míľnik/cieľ</w:t>
            </w:r>
          </w:p>
        </w:tc>
        <w:tc>
          <w:tcPr>
            <w:tcW w:w="49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7EE"/>
            <w:vAlign w:val="center"/>
            <w:hideMark/>
          </w:tcPr>
          <w:p w14:paraId="6FFF994C" w14:textId="77777777" w:rsidR="00387C70" w:rsidRPr="003F23AC" w:rsidRDefault="000F5AA4" w:rsidP="003F23AC">
            <w:pPr>
              <w:pStyle w:val="P68B1DB1-Normal6"/>
              <w:spacing w:after="0" w:line="240" w:lineRule="auto"/>
              <w:jc w:val="center"/>
              <w:rPr>
                <w:rFonts w:eastAsia="Times New Roman" w:cs="Times New Roman"/>
                <w:noProof/>
                <w:lang w:val="sk-SK"/>
              </w:rPr>
            </w:pPr>
            <w:r w:rsidRPr="003F23AC">
              <w:rPr>
                <w:rFonts w:cs="Times New Roman"/>
                <w:noProof/>
                <w:lang w:val="sk-SK"/>
              </w:rPr>
              <w:t>Názov</w:t>
            </w:r>
          </w:p>
        </w:tc>
        <w:tc>
          <w:tcPr>
            <w:tcW w:w="0" w:type="auto"/>
          </w:tcPr>
          <w:p w14:paraId="3BA8F6CA" w14:textId="77777777" w:rsidR="00387C70" w:rsidRPr="003F23AC" w:rsidRDefault="00387C70" w:rsidP="003F23AC">
            <w:pPr>
              <w:spacing w:after="0" w:line="240" w:lineRule="auto"/>
              <w:rPr>
                <w:rFonts w:ascii="Times New Roman" w:hAnsi="Times New Roman" w:cs="Times New Roman"/>
                <w:noProof/>
                <w:sz w:val="18"/>
                <w:lang w:val="sk-SK"/>
              </w:rPr>
            </w:pPr>
          </w:p>
        </w:tc>
      </w:tr>
      <w:tr w:rsidR="00387C70" w:rsidRPr="003F23AC" w14:paraId="40A55A26" w14:textId="77777777">
        <w:trPr>
          <w:gridAfter w:val="1"/>
          <w:trHeight w:val="440"/>
        </w:trPr>
        <w:tc>
          <w:tcPr>
            <w:tcW w:w="1177" w:type="dxa"/>
            <w:tcBorders>
              <w:top w:val="nil"/>
              <w:left w:val="single" w:sz="4" w:space="0" w:color="000000" w:themeColor="text1"/>
              <w:bottom w:val="single" w:sz="4" w:space="0" w:color="000000" w:themeColor="text1"/>
              <w:right w:val="single" w:sz="4" w:space="0" w:color="000000" w:themeColor="text1"/>
            </w:tcBorders>
            <w:shd w:val="clear" w:color="auto" w:fill="C4EFCE"/>
            <w:vAlign w:val="center"/>
            <w:hideMark/>
          </w:tcPr>
          <w:p w14:paraId="7EF44D2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w:t>
            </w:r>
          </w:p>
        </w:tc>
        <w:tc>
          <w:tcPr>
            <w:tcW w:w="1731" w:type="dxa"/>
            <w:tcBorders>
              <w:top w:val="nil"/>
              <w:left w:val="nil"/>
              <w:bottom w:val="single" w:sz="4" w:space="0" w:color="000000" w:themeColor="text1"/>
              <w:right w:val="single" w:sz="4" w:space="0" w:color="000000" w:themeColor="text1"/>
            </w:tcBorders>
            <w:shd w:val="clear" w:color="auto" w:fill="C4EFCE"/>
            <w:vAlign w:val="center"/>
            <w:hideMark/>
          </w:tcPr>
          <w:p w14:paraId="7D40222F" w14:textId="67075582"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C01-r03</w:t>
            </w:r>
            <w:r w:rsidR="00A75B3C" w:rsidRPr="003F23AC">
              <w:rPr>
                <w:rFonts w:ascii="Times New Roman" w:hAnsi="Times New Roman" w:cs="Times New Roman"/>
                <w:noProof/>
                <w:lang w:val="sk-SK"/>
              </w:rPr>
              <w:t xml:space="preserve"> </w:t>
            </w:r>
          </w:p>
        </w:tc>
        <w:tc>
          <w:tcPr>
            <w:tcW w:w="1491" w:type="dxa"/>
            <w:tcBorders>
              <w:top w:val="nil"/>
              <w:left w:val="nil"/>
              <w:bottom w:val="single" w:sz="4" w:space="0" w:color="000000" w:themeColor="text1"/>
              <w:right w:val="single" w:sz="4" w:space="0" w:color="000000" w:themeColor="text1"/>
            </w:tcBorders>
            <w:shd w:val="clear" w:color="auto" w:fill="C4EFCE"/>
            <w:vAlign w:val="center"/>
            <w:hideMark/>
          </w:tcPr>
          <w:p w14:paraId="206C69A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000000" w:themeColor="text1"/>
              <w:right w:val="single" w:sz="4" w:space="0" w:color="000000" w:themeColor="text1"/>
            </w:tcBorders>
            <w:shd w:val="clear" w:color="auto" w:fill="C4EFCE"/>
            <w:vAlign w:val="center"/>
            <w:hideMark/>
          </w:tcPr>
          <w:p w14:paraId="7A1CDF09"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nového plánu účtovania riadenia Národnej zdravotnej služby</w:t>
            </w:r>
          </w:p>
        </w:tc>
      </w:tr>
      <w:tr w:rsidR="00387C70" w:rsidRPr="003F23AC" w14:paraId="66751B46" w14:textId="77777777">
        <w:trPr>
          <w:trHeight w:val="440"/>
        </w:trPr>
        <w:tc>
          <w:tcPr>
            <w:tcW w:w="1177" w:type="dxa"/>
            <w:tcBorders>
              <w:top w:val="nil"/>
              <w:left w:val="single" w:sz="4" w:space="0" w:color="000000" w:themeColor="text1"/>
              <w:bottom w:val="single" w:sz="4" w:space="0" w:color="000000" w:themeColor="text1"/>
              <w:right w:val="single" w:sz="4" w:space="0" w:color="000000" w:themeColor="text1"/>
            </w:tcBorders>
            <w:shd w:val="clear" w:color="auto" w:fill="C4EFCE"/>
            <w:vAlign w:val="center"/>
            <w:hideMark/>
          </w:tcPr>
          <w:p w14:paraId="228043A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1.11</w:t>
            </w:r>
          </w:p>
        </w:tc>
        <w:tc>
          <w:tcPr>
            <w:tcW w:w="1731" w:type="dxa"/>
            <w:tcBorders>
              <w:top w:val="nil"/>
              <w:left w:val="nil"/>
              <w:bottom w:val="single" w:sz="4" w:space="0" w:color="000000" w:themeColor="text1"/>
              <w:right w:val="single" w:sz="4" w:space="0" w:color="000000" w:themeColor="text1"/>
            </w:tcBorders>
            <w:shd w:val="clear" w:color="auto" w:fill="C4EFCE"/>
            <w:vAlign w:val="center"/>
            <w:hideMark/>
          </w:tcPr>
          <w:p w14:paraId="2DAFAA45" w14:textId="7F2AD699"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C01-r03</w:t>
            </w:r>
            <w:r w:rsidR="00A75B3C" w:rsidRPr="003F23AC">
              <w:rPr>
                <w:rFonts w:ascii="Times New Roman" w:hAnsi="Times New Roman" w:cs="Times New Roman"/>
                <w:noProof/>
                <w:lang w:val="sk-SK"/>
              </w:rPr>
              <w:t xml:space="preserve"> </w:t>
            </w:r>
          </w:p>
        </w:tc>
        <w:tc>
          <w:tcPr>
            <w:tcW w:w="1491" w:type="dxa"/>
            <w:tcBorders>
              <w:top w:val="nil"/>
              <w:left w:val="nil"/>
              <w:bottom w:val="single" w:sz="4" w:space="0" w:color="000000" w:themeColor="text1"/>
              <w:right w:val="single" w:sz="4" w:space="0" w:color="000000" w:themeColor="text1"/>
            </w:tcBorders>
            <w:shd w:val="clear" w:color="auto" w:fill="C4EFCE"/>
            <w:vAlign w:val="center"/>
            <w:hideMark/>
          </w:tcPr>
          <w:p w14:paraId="4723DBA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000000" w:themeColor="text1"/>
              <w:right w:val="single" w:sz="4" w:space="0" w:color="000000" w:themeColor="text1"/>
            </w:tcBorders>
            <w:shd w:val="clear" w:color="auto" w:fill="C4EFCE"/>
            <w:vAlign w:val="center"/>
            <w:hideMark/>
          </w:tcPr>
          <w:p w14:paraId="45AF680B"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akčného plánu na posilnenie centralizovaných mechanizmov nákupu liekov</w:t>
            </w:r>
          </w:p>
        </w:tc>
        <w:tc>
          <w:tcPr>
            <w:tcW w:w="0" w:type="auto"/>
          </w:tcPr>
          <w:p w14:paraId="753752EC" w14:textId="77777777" w:rsidR="00387C70" w:rsidRPr="003F23AC" w:rsidRDefault="00387C70" w:rsidP="003F23AC">
            <w:pPr>
              <w:spacing w:after="0" w:line="240" w:lineRule="auto"/>
              <w:rPr>
                <w:rFonts w:ascii="Times New Roman" w:hAnsi="Times New Roman" w:cs="Times New Roman"/>
                <w:noProof/>
                <w:sz w:val="18"/>
                <w:lang w:val="sk-SK"/>
              </w:rPr>
            </w:pPr>
          </w:p>
        </w:tc>
      </w:tr>
      <w:tr w:rsidR="00387C70" w:rsidRPr="003F23AC" w14:paraId="1808919D" w14:textId="77777777">
        <w:trPr>
          <w:gridAfter w:val="1"/>
          <w:trHeight w:val="440"/>
        </w:trPr>
        <w:tc>
          <w:tcPr>
            <w:tcW w:w="1177" w:type="dxa"/>
            <w:tcBorders>
              <w:top w:val="nil"/>
              <w:left w:val="single" w:sz="4" w:space="0" w:color="000000" w:themeColor="text1"/>
              <w:bottom w:val="single" w:sz="4" w:space="0" w:color="000000" w:themeColor="text1"/>
              <w:right w:val="single" w:sz="4" w:space="0" w:color="000000" w:themeColor="text1"/>
            </w:tcBorders>
            <w:shd w:val="clear" w:color="auto" w:fill="C4EFCE"/>
            <w:vAlign w:val="center"/>
            <w:hideMark/>
          </w:tcPr>
          <w:p w14:paraId="35A429D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1.22</w:t>
            </w:r>
          </w:p>
        </w:tc>
        <w:tc>
          <w:tcPr>
            <w:tcW w:w="1731" w:type="dxa"/>
            <w:tcBorders>
              <w:top w:val="nil"/>
              <w:left w:val="nil"/>
              <w:bottom w:val="single" w:sz="4" w:space="0" w:color="000000" w:themeColor="text1"/>
              <w:right w:val="single" w:sz="4" w:space="0" w:color="000000" w:themeColor="text1"/>
            </w:tcBorders>
            <w:shd w:val="clear" w:color="auto" w:fill="C4EFCE"/>
            <w:vAlign w:val="center"/>
            <w:hideMark/>
          </w:tcPr>
          <w:p w14:paraId="75E6F087" w14:textId="60B8637E"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C01-i02</w:t>
            </w:r>
          </w:p>
        </w:tc>
        <w:tc>
          <w:tcPr>
            <w:tcW w:w="1491" w:type="dxa"/>
            <w:tcBorders>
              <w:top w:val="nil"/>
              <w:left w:val="nil"/>
              <w:bottom w:val="single" w:sz="4" w:space="0" w:color="000000" w:themeColor="text1"/>
              <w:right w:val="single" w:sz="4" w:space="0" w:color="000000" w:themeColor="text1"/>
            </w:tcBorders>
            <w:shd w:val="clear" w:color="auto" w:fill="C4EFCE"/>
            <w:vAlign w:val="center"/>
            <w:hideMark/>
          </w:tcPr>
          <w:p w14:paraId="37A664CD" w14:textId="2472A287"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4919" w:type="dxa"/>
            <w:tcBorders>
              <w:top w:val="nil"/>
              <w:left w:val="nil"/>
              <w:bottom w:val="single" w:sz="4" w:space="0" w:color="000000" w:themeColor="text1"/>
              <w:right w:val="single" w:sz="4" w:space="0" w:color="000000" w:themeColor="text1"/>
            </w:tcBorders>
            <w:shd w:val="clear" w:color="auto" w:fill="C4EFCE"/>
            <w:vAlign w:val="center"/>
            <w:hideMark/>
          </w:tcPr>
          <w:p w14:paraId="0575ECC2" w14:textId="56848F33"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Posilnenie schopnosti vnútroštátnych sietí integrovaných služieb nepretržitej starostlivosti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paliatívnej starostlivosti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domácej starostlivosti</w:t>
            </w:r>
          </w:p>
        </w:tc>
      </w:tr>
      <w:tr w:rsidR="00387C70" w:rsidRPr="003F23AC" w14:paraId="40001357" w14:textId="77777777">
        <w:trPr>
          <w:gridAfter w:val="1"/>
          <w:trHeight w:val="440"/>
        </w:trPr>
        <w:tc>
          <w:tcPr>
            <w:tcW w:w="1177" w:type="dxa"/>
            <w:tcBorders>
              <w:top w:val="nil"/>
              <w:left w:val="single" w:sz="4" w:space="0" w:color="000000" w:themeColor="text1"/>
              <w:bottom w:val="single" w:sz="4" w:space="0" w:color="000000" w:themeColor="text1"/>
              <w:right w:val="single" w:sz="4" w:space="0" w:color="000000" w:themeColor="text1"/>
            </w:tcBorders>
            <w:shd w:val="clear" w:color="auto" w:fill="C4EFCE"/>
            <w:vAlign w:val="center"/>
            <w:hideMark/>
          </w:tcPr>
          <w:p w14:paraId="1BC7044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3.6</w:t>
            </w:r>
          </w:p>
        </w:tc>
        <w:tc>
          <w:tcPr>
            <w:tcW w:w="1731" w:type="dxa"/>
            <w:tcBorders>
              <w:top w:val="nil"/>
              <w:left w:val="nil"/>
              <w:bottom w:val="single" w:sz="4" w:space="0" w:color="000000" w:themeColor="text1"/>
              <w:right w:val="single" w:sz="4" w:space="0" w:color="000000" w:themeColor="text1"/>
            </w:tcBorders>
            <w:shd w:val="clear" w:color="auto" w:fill="C4EFCE"/>
            <w:vAlign w:val="center"/>
            <w:hideMark/>
          </w:tcPr>
          <w:p w14:paraId="3CFC2C9A" w14:textId="6F50CC67"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C01-i02</w:t>
            </w:r>
            <w:r w:rsidR="00A75B3C" w:rsidRPr="003F23AC">
              <w:rPr>
                <w:rFonts w:ascii="Times New Roman" w:hAnsi="Times New Roman" w:cs="Times New Roman"/>
                <w:noProof/>
                <w:lang w:val="sk-SK"/>
              </w:rPr>
              <w:t xml:space="preserve"> </w:t>
            </w:r>
          </w:p>
        </w:tc>
        <w:tc>
          <w:tcPr>
            <w:tcW w:w="1491" w:type="dxa"/>
            <w:tcBorders>
              <w:top w:val="nil"/>
              <w:left w:val="nil"/>
              <w:bottom w:val="single" w:sz="4" w:space="0" w:color="000000" w:themeColor="text1"/>
              <w:right w:val="single" w:sz="4" w:space="0" w:color="000000" w:themeColor="text1"/>
            </w:tcBorders>
            <w:shd w:val="clear" w:color="auto" w:fill="C4EFCE"/>
            <w:vAlign w:val="center"/>
            <w:hideMark/>
          </w:tcPr>
          <w:p w14:paraId="3147DFBF" w14:textId="79B848F2"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4919" w:type="dxa"/>
            <w:tcBorders>
              <w:top w:val="nil"/>
              <w:left w:val="nil"/>
              <w:bottom w:val="single" w:sz="4" w:space="0" w:color="000000" w:themeColor="text1"/>
              <w:right w:val="single" w:sz="4" w:space="0" w:color="000000" w:themeColor="text1"/>
            </w:tcBorders>
            <w:shd w:val="clear" w:color="auto" w:fill="C4EFCE"/>
            <w:vAlign w:val="center"/>
            <w:hideMark/>
          </w:tcPr>
          <w:p w14:paraId="2D5F6706"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Obytné jednotky so zlepšenou prístupnosťou pre osoby so zníženou pohyblivosťou</w:t>
            </w:r>
          </w:p>
        </w:tc>
      </w:tr>
      <w:tr w:rsidR="00387C70" w:rsidRPr="003F23AC" w14:paraId="6146DE32" w14:textId="77777777">
        <w:trPr>
          <w:gridAfter w:val="1"/>
          <w:trHeight w:val="440"/>
        </w:trPr>
        <w:tc>
          <w:tcPr>
            <w:tcW w:w="1177" w:type="dxa"/>
            <w:tcBorders>
              <w:top w:val="nil"/>
              <w:left w:val="single" w:sz="4" w:space="0" w:color="000000" w:themeColor="text1"/>
              <w:bottom w:val="single" w:sz="4" w:space="0" w:color="000000" w:themeColor="text1"/>
              <w:right w:val="single" w:sz="4" w:space="0" w:color="000000" w:themeColor="text1"/>
            </w:tcBorders>
            <w:shd w:val="clear" w:color="auto" w:fill="C4EFCE"/>
            <w:vAlign w:val="center"/>
            <w:hideMark/>
          </w:tcPr>
          <w:p w14:paraId="5DF2D95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3.25</w:t>
            </w:r>
          </w:p>
        </w:tc>
        <w:tc>
          <w:tcPr>
            <w:tcW w:w="1731" w:type="dxa"/>
            <w:tcBorders>
              <w:top w:val="nil"/>
              <w:left w:val="nil"/>
              <w:bottom w:val="single" w:sz="4" w:space="0" w:color="000000" w:themeColor="text1"/>
              <w:right w:val="single" w:sz="4" w:space="0" w:color="000000" w:themeColor="text1"/>
            </w:tcBorders>
            <w:shd w:val="clear" w:color="auto" w:fill="C4EFCE"/>
            <w:vAlign w:val="center"/>
            <w:hideMark/>
          </w:tcPr>
          <w:p w14:paraId="48894F5A" w14:textId="6E796CD0"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C01-i06</w:t>
            </w:r>
          </w:p>
        </w:tc>
        <w:tc>
          <w:tcPr>
            <w:tcW w:w="1491" w:type="dxa"/>
            <w:tcBorders>
              <w:top w:val="nil"/>
              <w:left w:val="nil"/>
              <w:bottom w:val="single" w:sz="4" w:space="0" w:color="000000" w:themeColor="text1"/>
              <w:right w:val="single" w:sz="4" w:space="0" w:color="000000" w:themeColor="text1"/>
            </w:tcBorders>
            <w:shd w:val="clear" w:color="auto" w:fill="C4EFCE"/>
            <w:vAlign w:val="center"/>
            <w:hideMark/>
          </w:tcPr>
          <w:p w14:paraId="56B5FA9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000000" w:themeColor="text1"/>
              <w:right w:val="single" w:sz="4" w:space="0" w:color="000000" w:themeColor="text1"/>
            </w:tcBorders>
            <w:shd w:val="clear" w:color="auto" w:fill="C4EFCE"/>
            <w:vAlign w:val="center"/>
            <w:hideMark/>
          </w:tcPr>
          <w:p w14:paraId="1E5C982E" w14:textId="7B60585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Uverejnenie monitorovacej správy metropolitných oblastí Porto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Lisabon</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opatreniach prijatých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každej</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12 oblastí intervencie.</w:t>
            </w:r>
          </w:p>
        </w:tc>
      </w:tr>
      <w:tr w:rsidR="00387C70" w:rsidRPr="003F23AC" w14:paraId="0020D0F3" w14:textId="77777777">
        <w:trPr>
          <w:gridAfter w:val="1"/>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76C71AE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5.33</w:t>
            </w:r>
          </w:p>
        </w:tc>
        <w:tc>
          <w:tcPr>
            <w:tcW w:w="1731" w:type="dxa"/>
            <w:tcBorders>
              <w:top w:val="nil"/>
              <w:left w:val="nil"/>
              <w:bottom w:val="single" w:sz="4" w:space="0" w:color="auto"/>
              <w:right w:val="single" w:sz="4" w:space="0" w:color="auto"/>
            </w:tcBorders>
            <w:shd w:val="clear" w:color="auto" w:fill="C4EFCE"/>
            <w:vAlign w:val="center"/>
            <w:hideMark/>
          </w:tcPr>
          <w:p w14:paraId="4F60CC1D" w14:textId="7B178512"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C05-i07-RAM </w:t>
            </w:r>
          </w:p>
        </w:tc>
        <w:tc>
          <w:tcPr>
            <w:tcW w:w="1491" w:type="dxa"/>
            <w:tcBorders>
              <w:top w:val="nil"/>
              <w:left w:val="nil"/>
              <w:bottom w:val="single" w:sz="4" w:space="0" w:color="auto"/>
              <w:right w:val="single" w:sz="4" w:space="0" w:color="auto"/>
            </w:tcBorders>
            <w:shd w:val="clear" w:color="auto" w:fill="C4EFCE"/>
            <w:vAlign w:val="center"/>
            <w:hideMark/>
          </w:tcPr>
          <w:p w14:paraId="4F83627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auto"/>
              <w:right w:val="single" w:sz="4" w:space="0" w:color="auto"/>
            </w:tcBorders>
            <w:shd w:val="clear" w:color="auto" w:fill="C4EFCE"/>
            <w:vAlign w:val="center"/>
            <w:hideMark/>
          </w:tcPr>
          <w:p w14:paraId="7E64E7E2" w14:textId="1D1DCF1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vykonávacej dohody (protokol) medzi Banco Português de Fomento, Instituto de Desenvolvimento Empresarial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vybranými finančnými sprostredkovateľmi</w:t>
            </w:r>
          </w:p>
        </w:tc>
      </w:tr>
      <w:tr w:rsidR="00387C70" w:rsidRPr="003F23AC" w14:paraId="30129324" w14:textId="77777777">
        <w:trPr>
          <w:gridAfter w:val="1"/>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05FCB9E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8.21</w:t>
            </w:r>
          </w:p>
        </w:tc>
        <w:tc>
          <w:tcPr>
            <w:tcW w:w="1731" w:type="dxa"/>
            <w:tcBorders>
              <w:top w:val="nil"/>
              <w:left w:val="nil"/>
              <w:bottom w:val="single" w:sz="4" w:space="0" w:color="auto"/>
              <w:right w:val="single" w:sz="4" w:space="0" w:color="auto"/>
            </w:tcBorders>
            <w:shd w:val="clear" w:color="auto" w:fill="C4EFCE"/>
            <w:vAlign w:val="center"/>
            <w:hideMark/>
          </w:tcPr>
          <w:p w14:paraId="4B7441D6" w14:textId="03D72BD8"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C08-i05</w:t>
            </w:r>
          </w:p>
        </w:tc>
        <w:tc>
          <w:tcPr>
            <w:tcW w:w="1491" w:type="dxa"/>
            <w:tcBorders>
              <w:top w:val="nil"/>
              <w:left w:val="nil"/>
              <w:bottom w:val="single" w:sz="4" w:space="0" w:color="auto"/>
              <w:right w:val="single" w:sz="4" w:space="0" w:color="auto"/>
            </w:tcBorders>
            <w:shd w:val="clear" w:color="auto" w:fill="C4EFCE"/>
            <w:vAlign w:val="center"/>
            <w:hideMark/>
          </w:tcPr>
          <w:p w14:paraId="460E871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auto"/>
              <w:right w:val="single" w:sz="4" w:space="0" w:color="auto"/>
            </w:tcBorders>
            <w:shd w:val="clear" w:color="auto" w:fill="C4EFCE"/>
            <w:vAlign w:val="center"/>
            <w:hideMark/>
          </w:tcPr>
          <w:p w14:paraId="36608672" w14:textId="07F8529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Rozvoj kampane na zvyšovanie informovanosti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predchádzať riskantnému správaniu</w:t>
            </w:r>
          </w:p>
        </w:tc>
      </w:tr>
      <w:tr w:rsidR="00387C70" w:rsidRPr="003F23AC" w14:paraId="143CDEBF" w14:textId="77777777">
        <w:trPr>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53A389B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10.13</w:t>
            </w:r>
          </w:p>
        </w:tc>
        <w:tc>
          <w:tcPr>
            <w:tcW w:w="1731" w:type="dxa"/>
            <w:tcBorders>
              <w:top w:val="nil"/>
              <w:left w:val="nil"/>
              <w:bottom w:val="single" w:sz="4" w:space="0" w:color="auto"/>
              <w:right w:val="single" w:sz="4" w:space="0" w:color="auto"/>
            </w:tcBorders>
            <w:shd w:val="clear" w:color="auto" w:fill="C4EFCE"/>
            <w:vAlign w:val="center"/>
            <w:hideMark/>
          </w:tcPr>
          <w:p w14:paraId="43E82AAB" w14:textId="5D3C7004"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TC-C10 – i06-RAM </w:t>
            </w:r>
          </w:p>
        </w:tc>
        <w:tc>
          <w:tcPr>
            <w:tcW w:w="1491" w:type="dxa"/>
            <w:tcBorders>
              <w:top w:val="nil"/>
              <w:left w:val="nil"/>
              <w:bottom w:val="single" w:sz="4" w:space="0" w:color="auto"/>
              <w:right w:val="single" w:sz="4" w:space="0" w:color="auto"/>
            </w:tcBorders>
            <w:shd w:val="clear" w:color="auto" w:fill="C4EFCE"/>
            <w:vAlign w:val="center"/>
            <w:hideMark/>
          </w:tcPr>
          <w:p w14:paraId="3CB9CA7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auto"/>
              <w:right w:val="single" w:sz="4" w:space="0" w:color="auto"/>
            </w:tcBorders>
            <w:shd w:val="clear" w:color="auto" w:fill="C4EFCE"/>
            <w:vAlign w:val="center"/>
            <w:hideMark/>
          </w:tcPr>
          <w:p w14:paraId="3E9A44F3"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zmluvy na viacúčelové výskumné plavidlo</w:t>
            </w:r>
          </w:p>
        </w:tc>
        <w:tc>
          <w:tcPr>
            <w:tcW w:w="0" w:type="auto"/>
          </w:tcPr>
          <w:p w14:paraId="3F53FDD0" w14:textId="77777777" w:rsidR="00387C70" w:rsidRPr="003F23AC" w:rsidRDefault="00387C70" w:rsidP="003F23AC">
            <w:pPr>
              <w:spacing w:after="0" w:line="240" w:lineRule="auto"/>
              <w:rPr>
                <w:rFonts w:ascii="Times New Roman" w:hAnsi="Times New Roman" w:cs="Times New Roman"/>
                <w:noProof/>
                <w:sz w:val="18"/>
                <w:lang w:val="sk-SK"/>
              </w:rPr>
            </w:pPr>
          </w:p>
        </w:tc>
      </w:tr>
      <w:tr w:rsidR="00387C70" w:rsidRPr="003F23AC" w14:paraId="1B11DFC4" w14:textId="77777777">
        <w:trPr>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7E39F21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13.1</w:t>
            </w:r>
          </w:p>
        </w:tc>
        <w:tc>
          <w:tcPr>
            <w:tcW w:w="1731" w:type="dxa"/>
            <w:tcBorders>
              <w:top w:val="nil"/>
              <w:left w:val="nil"/>
              <w:bottom w:val="single" w:sz="4" w:space="0" w:color="auto"/>
              <w:right w:val="single" w:sz="4" w:space="0" w:color="auto"/>
            </w:tcBorders>
            <w:shd w:val="clear" w:color="auto" w:fill="C4EFCE"/>
            <w:vAlign w:val="center"/>
            <w:hideMark/>
          </w:tcPr>
          <w:p w14:paraId="100A5399" w14:textId="6A6A2DB0"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TC-C13-i01</w:t>
            </w:r>
            <w:r w:rsidR="00A75B3C" w:rsidRPr="003F23AC">
              <w:rPr>
                <w:rFonts w:ascii="Times New Roman" w:hAnsi="Times New Roman" w:cs="Times New Roman"/>
                <w:noProof/>
                <w:lang w:val="sk-SK"/>
              </w:rPr>
              <w:t xml:space="preserve"> </w:t>
            </w:r>
          </w:p>
        </w:tc>
        <w:tc>
          <w:tcPr>
            <w:tcW w:w="1491" w:type="dxa"/>
            <w:tcBorders>
              <w:top w:val="nil"/>
              <w:left w:val="nil"/>
              <w:bottom w:val="single" w:sz="4" w:space="0" w:color="auto"/>
              <w:right w:val="single" w:sz="4" w:space="0" w:color="auto"/>
            </w:tcBorders>
            <w:shd w:val="clear" w:color="auto" w:fill="C4EFCE"/>
            <w:vAlign w:val="center"/>
            <w:hideMark/>
          </w:tcPr>
          <w:p w14:paraId="7735E13B" w14:textId="24183EF0"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4919" w:type="dxa"/>
            <w:tcBorders>
              <w:top w:val="nil"/>
              <w:left w:val="nil"/>
              <w:bottom w:val="single" w:sz="4" w:space="0" w:color="auto"/>
              <w:right w:val="single" w:sz="4" w:space="0" w:color="auto"/>
            </w:tcBorders>
            <w:shd w:val="clear" w:color="auto" w:fill="C4EFCE"/>
            <w:vAlign w:val="center"/>
            <w:hideMark/>
          </w:tcPr>
          <w:p w14:paraId="690E8DAA" w14:textId="367971C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Obnova súkromných bytových budov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hľadiska energetickej efektívnosti</w:t>
            </w:r>
          </w:p>
        </w:tc>
        <w:tc>
          <w:tcPr>
            <w:tcW w:w="0" w:type="auto"/>
          </w:tcPr>
          <w:p w14:paraId="6E5DAF10" w14:textId="77777777" w:rsidR="00387C70" w:rsidRPr="003F23AC" w:rsidRDefault="00387C70" w:rsidP="003F23AC">
            <w:pPr>
              <w:spacing w:after="0" w:line="240" w:lineRule="auto"/>
              <w:rPr>
                <w:rFonts w:ascii="Times New Roman" w:hAnsi="Times New Roman" w:cs="Times New Roman"/>
                <w:noProof/>
                <w:sz w:val="18"/>
                <w:lang w:val="sk-SK"/>
              </w:rPr>
            </w:pPr>
          </w:p>
        </w:tc>
      </w:tr>
      <w:tr w:rsidR="00387C70" w:rsidRPr="003F23AC" w14:paraId="04772B67" w14:textId="77777777">
        <w:trPr>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17C22BD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14.12</w:t>
            </w:r>
          </w:p>
        </w:tc>
        <w:tc>
          <w:tcPr>
            <w:tcW w:w="1731" w:type="dxa"/>
            <w:tcBorders>
              <w:top w:val="nil"/>
              <w:left w:val="nil"/>
              <w:bottom w:val="single" w:sz="4" w:space="0" w:color="auto"/>
              <w:right w:val="single" w:sz="4" w:space="0" w:color="auto"/>
            </w:tcBorders>
            <w:shd w:val="clear" w:color="auto" w:fill="C4EFCE"/>
            <w:vAlign w:val="center"/>
            <w:hideMark/>
          </w:tcPr>
          <w:p w14:paraId="0F195F9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TC-C14 – i03-RAA</w:t>
            </w:r>
          </w:p>
        </w:tc>
        <w:tc>
          <w:tcPr>
            <w:tcW w:w="1491" w:type="dxa"/>
            <w:tcBorders>
              <w:top w:val="nil"/>
              <w:left w:val="nil"/>
              <w:bottom w:val="single" w:sz="4" w:space="0" w:color="auto"/>
              <w:right w:val="single" w:sz="4" w:space="0" w:color="auto"/>
            </w:tcBorders>
            <w:shd w:val="clear" w:color="auto" w:fill="C4EFCE"/>
            <w:vAlign w:val="center"/>
            <w:hideMark/>
          </w:tcPr>
          <w:p w14:paraId="5B757820" w14:textId="385F6792"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4919" w:type="dxa"/>
            <w:tcBorders>
              <w:top w:val="nil"/>
              <w:left w:val="nil"/>
              <w:bottom w:val="single" w:sz="4" w:space="0" w:color="auto"/>
              <w:right w:val="single" w:sz="4" w:space="0" w:color="auto"/>
            </w:tcBorders>
            <w:shd w:val="clear" w:color="auto" w:fill="C4EFCE"/>
            <w:vAlign w:val="center"/>
            <w:hideMark/>
          </w:tcPr>
          <w:p w14:paraId="448E5404" w14:textId="2BD02F39"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Dodatočná výroba elektrickej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Corvo</w:t>
            </w:r>
          </w:p>
        </w:tc>
        <w:tc>
          <w:tcPr>
            <w:tcW w:w="0" w:type="auto"/>
          </w:tcPr>
          <w:p w14:paraId="233A08FA" w14:textId="77777777" w:rsidR="00387C70" w:rsidRPr="003F23AC" w:rsidRDefault="00387C70" w:rsidP="003F23AC">
            <w:pPr>
              <w:spacing w:after="0" w:line="240" w:lineRule="auto"/>
              <w:rPr>
                <w:rFonts w:ascii="Times New Roman" w:hAnsi="Times New Roman" w:cs="Times New Roman"/>
                <w:noProof/>
                <w:sz w:val="18"/>
                <w:lang w:val="sk-SK"/>
              </w:rPr>
            </w:pPr>
          </w:p>
        </w:tc>
      </w:tr>
      <w:tr w:rsidR="00387C70" w:rsidRPr="003F23AC" w14:paraId="7BF50568" w14:textId="77777777">
        <w:trPr>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6AC8B3F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14.5</w:t>
            </w:r>
          </w:p>
        </w:tc>
        <w:tc>
          <w:tcPr>
            <w:tcW w:w="1731" w:type="dxa"/>
            <w:tcBorders>
              <w:top w:val="nil"/>
              <w:left w:val="nil"/>
              <w:bottom w:val="single" w:sz="4" w:space="0" w:color="auto"/>
              <w:right w:val="single" w:sz="4" w:space="0" w:color="auto"/>
            </w:tcBorders>
            <w:shd w:val="clear" w:color="auto" w:fill="C4EFCE"/>
            <w:vAlign w:val="center"/>
            <w:hideMark/>
          </w:tcPr>
          <w:p w14:paraId="30AC97E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 xml:space="preserve">TC-C14-Ci02-RAM </w:t>
            </w:r>
          </w:p>
        </w:tc>
        <w:tc>
          <w:tcPr>
            <w:tcW w:w="1491" w:type="dxa"/>
            <w:tcBorders>
              <w:top w:val="nil"/>
              <w:left w:val="nil"/>
              <w:bottom w:val="single" w:sz="4" w:space="0" w:color="auto"/>
              <w:right w:val="single" w:sz="4" w:space="0" w:color="auto"/>
            </w:tcBorders>
            <w:shd w:val="clear" w:color="auto" w:fill="C4EFCE"/>
            <w:vAlign w:val="center"/>
            <w:hideMark/>
          </w:tcPr>
          <w:p w14:paraId="684CEB02" w14:textId="28D9A03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4919" w:type="dxa"/>
            <w:tcBorders>
              <w:top w:val="nil"/>
              <w:left w:val="nil"/>
              <w:bottom w:val="single" w:sz="4" w:space="0" w:color="auto"/>
              <w:right w:val="single" w:sz="4" w:space="0" w:color="auto"/>
            </w:tcBorders>
            <w:shd w:val="clear" w:color="auto" w:fill="C4EFCE"/>
            <w:vAlign w:val="center"/>
            <w:hideMark/>
          </w:tcPr>
          <w:p w14:paraId="69E0A75B"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Dodatočná inštalovaná výrobná kapacita vodnej energie</w:t>
            </w:r>
          </w:p>
        </w:tc>
        <w:tc>
          <w:tcPr>
            <w:tcW w:w="0" w:type="auto"/>
          </w:tcPr>
          <w:p w14:paraId="6A814305" w14:textId="77777777" w:rsidR="00387C70" w:rsidRPr="003F23AC" w:rsidRDefault="00387C70" w:rsidP="003F23AC">
            <w:pPr>
              <w:spacing w:after="0" w:line="240" w:lineRule="auto"/>
              <w:rPr>
                <w:rFonts w:ascii="Times New Roman" w:hAnsi="Times New Roman" w:cs="Times New Roman"/>
                <w:noProof/>
                <w:sz w:val="18"/>
                <w:lang w:val="sk-SK"/>
              </w:rPr>
            </w:pPr>
          </w:p>
        </w:tc>
      </w:tr>
      <w:tr w:rsidR="00387C70" w:rsidRPr="003F23AC" w14:paraId="2414C73E" w14:textId="77777777">
        <w:trPr>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01DD6AE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15.2</w:t>
            </w:r>
          </w:p>
        </w:tc>
        <w:tc>
          <w:tcPr>
            <w:tcW w:w="1731" w:type="dxa"/>
            <w:tcBorders>
              <w:top w:val="nil"/>
              <w:left w:val="nil"/>
              <w:bottom w:val="single" w:sz="4" w:space="0" w:color="auto"/>
              <w:right w:val="single" w:sz="4" w:space="0" w:color="auto"/>
            </w:tcBorders>
            <w:shd w:val="clear" w:color="auto" w:fill="C4EFCE"/>
            <w:vAlign w:val="center"/>
            <w:hideMark/>
          </w:tcPr>
          <w:p w14:paraId="265A1C9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TC-C15-i01</w:t>
            </w:r>
          </w:p>
        </w:tc>
        <w:tc>
          <w:tcPr>
            <w:tcW w:w="1491" w:type="dxa"/>
            <w:tcBorders>
              <w:top w:val="nil"/>
              <w:left w:val="nil"/>
              <w:bottom w:val="single" w:sz="4" w:space="0" w:color="auto"/>
              <w:right w:val="single" w:sz="4" w:space="0" w:color="auto"/>
            </w:tcBorders>
            <w:shd w:val="clear" w:color="auto" w:fill="C4EFCE"/>
            <w:vAlign w:val="center"/>
            <w:hideMark/>
          </w:tcPr>
          <w:p w14:paraId="6A06D6E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auto"/>
              <w:right w:val="single" w:sz="4" w:space="0" w:color="auto"/>
            </w:tcBorders>
            <w:shd w:val="clear" w:color="auto" w:fill="C4EFCE"/>
            <w:vAlign w:val="center"/>
            <w:hideMark/>
          </w:tcPr>
          <w:p w14:paraId="236FE9F6" w14:textId="0ABB4A1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pokroku pri rozširovaní lisabonskej siete metra</w:t>
            </w:r>
          </w:p>
        </w:tc>
        <w:tc>
          <w:tcPr>
            <w:tcW w:w="0" w:type="auto"/>
          </w:tcPr>
          <w:p w14:paraId="176F4E1F" w14:textId="77777777" w:rsidR="00387C70" w:rsidRPr="003F23AC" w:rsidRDefault="00387C70" w:rsidP="003F23AC">
            <w:pPr>
              <w:spacing w:after="0" w:line="240" w:lineRule="auto"/>
              <w:rPr>
                <w:rFonts w:ascii="Times New Roman" w:hAnsi="Times New Roman" w:cs="Times New Roman"/>
                <w:noProof/>
                <w:sz w:val="18"/>
                <w:lang w:val="sk-SK"/>
              </w:rPr>
            </w:pPr>
          </w:p>
        </w:tc>
      </w:tr>
      <w:tr w:rsidR="00387C70" w:rsidRPr="003F23AC" w14:paraId="1B841B36" w14:textId="77777777">
        <w:trPr>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4C2C500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16.6</w:t>
            </w:r>
          </w:p>
        </w:tc>
        <w:tc>
          <w:tcPr>
            <w:tcW w:w="1731" w:type="dxa"/>
            <w:tcBorders>
              <w:top w:val="nil"/>
              <w:left w:val="nil"/>
              <w:bottom w:val="single" w:sz="4" w:space="0" w:color="auto"/>
              <w:right w:val="single" w:sz="4" w:space="0" w:color="auto"/>
            </w:tcBorders>
            <w:shd w:val="clear" w:color="auto" w:fill="C4EFCE"/>
            <w:vAlign w:val="center"/>
            <w:hideMark/>
          </w:tcPr>
          <w:p w14:paraId="5B078A8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TD-C16-i02</w:t>
            </w:r>
          </w:p>
        </w:tc>
        <w:tc>
          <w:tcPr>
            <w:tcW w:w="1491" w:type="dxa"/>
            <w:tcBorders>
              <w:top w:val="nil"/>
              <w:left w:val="nil"/>
              <w:bottom w:val="single" w:sz="4" w:space="0" w:color="auto"/>
              <w:right w:val="single" w:sz="4" w:space="0" w:color="auto"/>
            </w:tcBorders>
            <w:shd w:val="clear" w:color="auto" w:fill="C4EFCE"/>
            <w:vAlign w:val="center"/>
            <w:hideMark/>
          </w:tcPr>
          <w:p w14:paraId="4B59BF99" w14:textId="4737A7DF"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4919" w:type="dxa"/>
            <w:tcBorders>
              <w:top w:val="nil"/>
              <w:left w:val="nil"/>
              <w:bottom w:val="single" w:sz="4" w:space="0" w:color="auto"/>
              <w:right w:val="single" w:sz="4" w:space="0" w:color="auto"/>
            </w:tcBorders>
            <w:shd w:val="clear" w:color="auto" w:fill="C4EFCE"/>
            <w:vAlign w:val="center"/>
            <w:hideMark/>
          </w:tcPr>
          <w:p w14:paraId="4D181BA9" w14:textId="564FDA56"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Vyvinuté pilotné produkty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služby vnútroštátnej siete testovacích Beds</w:t>
            </w:r>
          </w:p>
        </w:tc>
        <w:tc>
          <w:tcPr>
            <w:tcW w:w="0" w:type="auto"/>
          </w:tcPr>
          <w:p w14:paraId="30E9FC62" w14:textId="77777777" w:rsidR="00387C70" w:rsidRPr="003F23AC" w:rsidRDefault="00387C70" w:rsidP="003F23AC">
            <w:pPr>
              <w:spacing w:after="0" w:line="240" w:lineRule="auto"/>
              <w:rPr>
                <w:rFonts w:ascii="Times New Roman" w:hAnsi="Times New Roman" w:cs="Times New Roman"/>
                <w:noProof/>
                <w:sz w:val="18"/>
                <w:lang w:val="sk-SK"/>
              </w:rPr>
            </w:pPr>
          </w:p>
        </w:tc>
      </w:tr>
      <w:tr w:rsidR="00387C70" w:rsidRPr="003F23AC" w14:paraId="60F2EA6A" w14:textId="77777777">
        <w:trPr>
          <w:gridAfter w:val="1"/>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3614B7C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17.9</w:t>
            </w:r>
          </w:p>
        </w:tc>
        <w:tc>
          <w:tcPr>
            <w:tcW w:w="1731" w:type="dxa"/>
            <w:tcBorders>
              <w:top w:val="nil"/>
              <w:left w:val="nil"/>
              <w:bottom w:val="single" w:sz="4" w:space="0" w:color="auto"/>
              <w:right w:val="single" w:sz="4" w:space="0" w:color="auto"/>
            </w:tcBorders>
            <w:shd w:val="clear" w:color="auto" w:fill="C4EFCE"/>
            <w:vAlign w:val="center"/>
            <w:hideMark/>
          </w:tcPr>
          <w:p w14:paraId="53DAA92D" w14:textId="4FEF3D06"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TD-C17-i01</w:t>
            </w:r>
            <w:r w:rsidR="00A75B3C" w:rsidRPr="003F23AC">
              <w:rPr>
                <w:rFonts w:ascii="Times New Roman" w:hAnsi="Times New Roman" w:cs="Times New Roman"/>
                <w:noProof/>
                <w:lang w:val="sk-SK"/>
              </w:rPr>
              <w:t xml:space="preserve"> </w:t>
            </w:r>
          </w:p>
        </w:tc>
        <w:tc>
          <w:tcPr>
            <w:tcW w:w="1491" w:type="dxa"/>
            <w:tcBorders>
              <w:top w:val="nil"/>
              <w:left w:val="nil"/>
              <w:bottom w:val="single" w:sz="4" w:space="0" w:color="auto"/>
              <w:right w:val="single" w:sz="4" w:space="0" w:color="auto"/>
            </w:tcBorders>
            <w:shd w:val="clear" w:color="auto" w:fill="C4EFCE"/>
            <w:vAlign w:val="center"/>
            <w:hideMark/>
          </w:tcPr>
          <w:p w14:paraId="06990E6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auto"/>
              <w:right w:val="single" w:sz="4" w:space="0" w:color="auto"/>
            </w:tcBorders>
            <w:shd w:val="clear" w:color="auto" w:fill="C4EFCE"/>
            <w:vAlign w:val="center"/>
            <w:hideMark/>
          </w:tcPr>
          <w:p w14:paraId="38CB0E5D"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implementácie štátneho účtovného subjektu</w:t>
            </w:r>
          </w:p>
        </w:tc>
      </w:tr>
      <w:tr w:rsidR="00387C70" w:rsidRPr="003F23AC" w14:paraId="52B41EA8" w14:textId="77777777">
        <w:trPr>
          <w:gridAfter w:val="1"/>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6217BC2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18.3</w:t>
            </w:r>
          </w:p>
        </w:tc>
        <w:tc>
          <w:tcPr>
            <w:tcW w:w="1731" w:type="dxa"/>
            <w:tcBorders>
              <w:top w:val="nil"/>
              <w:left w:val="nil"/>
              <w:bottom w:val="single" w:sz="4" w:space="0" w:color="auto"/>
              <w:right w:val="single" w:sz="4" w:space="0" w:color="auto"/>
            </w:tcBorders>
            <w:shd w:val="clear" w:color="auto" w:fill="C4EFCE"/>
            <w:vAlign w:val="center"/>
            <w:hideMark/>
          </w:tcPr>
          <w:p w14:paraId="439AD1C1" w14:textId="5EF09C0C"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TD-C18-r33</w:t>
            </w:r>
            <w:r w:rsidR="00A75B3C" w:rsidRPr="003F23AC">
              <w:rPr>
                <w:rFonts w:ascii="Times New Roman" w:hAnsi="Times New Roman" w:cs="Times New Roman"/>
                <w:noProof/>
                <w:lang w:val="sk-SK"/>
              </w:rPr>
              <w:t xml:space="preserve"> </w:t>
            </w:r>
          </w:p>
        </w:tc>
        <w:tc>
          <w:tcPr>
            <w:tcW w:w="1491" w:type="dxa"/>
            <w:tcBorders>
              <w:top w:val="nil"/>
              <w:left w:val="nil"/>
              <w:bottom w:val="single" w:sz="4" w:space="0" w:color="auto"/>
              <w:right w:val="single" w:sz="4" w:space="0" w:color="auto"/>
            </w:tcBorders>
            <w:shd w:val="clear" w:color="auto" w:fill="C4EFCE"/>
            <w:vAlign w:val="center"/>
            <w:hideMark/>
          </w:tcPr>
          <w:p w14:paraId="256DB6E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auto"/>
              <w:right w:val="single" w:sz="4" w:space="0" w:color="auto"/>
            </w:tcBorders>
            <w:shd w:val="clear" w:color="auto" w:fill="C4EFCE"/>
            <w:vAlign w:val="center"/>
            <w:hideMark/>
          </w:tcPr>
          <w:p w14:paraId="7D0F6574" w14:textId="23BCEE92"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revidovaného právneho rámca pre platobnú neschopnosť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vymáhanie</w:t>
            </w:r>
          </w:p>
        </w:tc>
      </w:tr>
      <w:tr w:rsidR="00387C70" w:rsidRPr="003F23AC" w14:paraId="6BA9A315" w14:textId="77777777">
        <w:trPr>
          <w:gridAfter w:val="1"/>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6308F54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18.6</w:t>
            </w:r>
          </w:p>
        </w:tc>
        <w:tc>
          <w:tcPr>
            <w:tcW w:w="1731" w:type="dxa"/>
            <w:tcBorders>
              <w:top w:val="nil"/>
              <w:left w:val="nil"/>
              <w:bottom w:val="single" w:sz="4" w:space="0" w:color="auto"/>
              <w:right w:val="single" w:sz="4" w:space="0" w:color="auto"/>
            </w:tcBorders>
            <w:shd w:val="clear" w:color="auto" w:fill="C4EFCE"/>
            <w:vAlign w:val="center"/>
            <w:hideMark/>
          </w:tcPr>
          <w:p w14:paraId="69B5EA32" w14:textId="319F37FB"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TD-C18-i01</w:t>
            </w:r>
            <w:r w:rsidR="00A75B3C" w:rsidRPr="003F23AC">
              <w:rPr>
                <w:rFonts w:ascii="Times New Roman" w:hAnsi="Times New Roman" w:cs="Times New Roman"/>
                <w:noProof/>
                <w:lang w:val="sk-SK"/>
              </w:rPr>
              <w:t xml:space="preserve"> </w:t>
            </w:r>
          </w:p>
        </w:tc>
        <w:tc>
          <w:tcPr>
            <w:tcW w:w="1491" w:type="dxa"/>
            <w:tcBorders>
              <w:top w:val="nil"/>
              <w:left w:val="nil"/>
              <w:bottom w:val="single" w:sz="4" w:space="0" w:color="auto"/>
              <w:right w:val="single" w:sz="4" w:space="0" w:color="auto"/>
            </w:tcBorders>
            <w:shd w:val="clear" w:color="auto" w:fill="C4EFCE"/>
            <w:vAlign w:val="center"/>
            <w:hideMark/>
          </w:tcPr>
          <w:p w14:paraId="02E67EB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auto"/>
              <w:right w:val="single" w:sz="4" w:space="0" w:color="auto"/>
            </w:tcBorders>
            <w:shd w:val="clear" w:color="auto" w:fill="C4EFCE"/>
            <w:vAlign w:val="center"/>
            <w:hideMark/>
          </w:tcPr>
          <w:p w14:paraId="5F982AAA"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Informačný systém „podnik 2.0“</w:t>
            </w:r>
          </w:p>
        </w:tc>
      </w:tr>
      <w:tr w:rsidR="00387C70" w:rsidRPr="003F23AC" w14:paraId="066A4BCE" w14:textId="77777777">
        <w:trPr>
          <w:gridAfter w:val="1"/>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68C5AC1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20.6</w:t>
            </w:r>
          </w:p>
        </w:tc>
        <w:tc>
          <w:tcPr>
            <w:tcW w:w="1731" w:type="dxa"/>
            <w:tcBorders>
              <w:top w:val="nil"/>
              <w:left w:val="nil"/>
              <w:bottom w:val="single" w:sz="4" w:space="0" w:color="auto"/>
              <w:right w:val="single" w:sz="4" w:space="0" w:color="auto"/>
            </w:tcBorders>
            <w:shd w:val="clear" w:color="auto" w:fill="C4EFCE"/>
            <w:vAlign w:val="center"/>
            <w:hideMark/>
          </w:tcPr>
          <w:p w14:paraId="02680F3B" w14:textId="02401DA9"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TD-C20-i01</w:t>
            </w:r>
            <w:r w:rsidR="00A75B3C" w:rsidRPr="003F23AC">
              <w:rPr>
                <w:rFonts w:ascii="Times New Roman" w:hAnsi="Times New Roman" w:cs="Times New Roman"/>
                <w:noProof/>
                <w:lang w:val="sk-SK"/>
              </w:rPr>
              <w:t xml:space="preserve"> </w:t>
            </w:r>
          </w:p>
        </w:tc>
        <w:tc>
          <w:tcPr>
            <w:tcW w:w="1491" w:type="dxa"/>
            <w:tcBorders>
              <w:top w:val="nil"/>
              <w:left w:val="nil"/>
              <w:bottom w:val="single" w:sz="4" w:space="0" w:color="auto"/>
              <w:right w:val="single" w:sz="4" w:space="0" w:color="auto"/>
            </w:tcBorders>
            <w:shd w:val="clear" w:color="auto" w:fill="C4EFCE"/>
            <w:vAlign w:val="center"/>
            <w:hideMark/>
          </w:tcPr>
          <w:p w14:paraId="6D1CFD3C" w14:textId="71B57F83"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4919" w:type="dxa"/>
            <w:tcBorders>
              <w:top w:val="nil"/>
              <w:left w:val="nil"/>
              <w:bottom w:val="single" w:sz="4" w:space="0" w:color="auto"/>
              <w:right w:val="single" w:sz="4" w:space="0" w:color="auto"/>
            </w:tcBorders>
            <w:shd w:val="clear" w:color="auto" w:fill="C4EFCE"/>
            <w:vAlign w:val="center"/>
            <w:hideMark/>
          </w:tcPr>
          <w:p w14:paraId="0C2BC67C" w14:textId="0110822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Triedy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novým projekčným vybavením</w:t>
            </w:r>
          </w:p>
        </w:tc>
      </w:tr>
      <w:tr w:rsidR="00387C70" w:rsidRPr="003F23AC" w14:paraId="3F226733" w14:textId="77777777">
        <w:trPr>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36EADFA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21.12</w:t>
            </w:r>
          </w:p>
        </w:tc>
        <w:tc>
          <w:tcPr>
            <w:tcW w:w="1731" w:type="dxa"/>
            <w:tcBorders>
              <w:top w:val="nil"/>
              <w:left w:val="nil"/>
              <w:bottom w:val="single" w:sz="4" w:space="0" w:color="auto"/>
              <w:right w:val="single" w:sz="4" w:space="0" w:color="auto"/>
            </w:tcBorders>
            <w:shd w:val="clear" w:color="auto" w:fill="C4EFCE"/>
            <w:vAlign w:val="center"/>
            <w:hideMark/>
          </w:tcPr>
          <w:p w14:paraId="6B91C30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RP-C21-i05</w:t>
            </w:r>
          </w:p>
        </w:tc>
        <w:tc>
          <w:tcPr>
            <w:tcW w:w="1491" w:type="dxa"/>
            <w:tcBorders>
              <w:top w:val="nil"/>
              <w:left w:val="nil"/>
              <w:bottom w:val="single" w:sz="4" w:space="0" w:color="auto"/>
              <w:right w:val="single" w:sz="4" w:space="0" w:color="auto"/>
            </w:tcBorders>
            <w:shd w:val="clear" w:color="auto" w:fill="C4EFCE"/>
            <w:vAlign w:val="center"/>
            <w:hideMark/>
          </w:tcPr>
          <w:p w14:paraId="51F3F5C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auto"/>
              <w:right w:val="single" w:sz="4" w:space="0" w:color="auto"/>
            </w:tcBorders>
            <w:shd w:val="clear" w:color="auto" w:fill="C4EFCE"/>
            <w:vAlign w:val="center"/>
            <w:hideMark/>
          </w:tcPr>
          <w:p w14:paraId="1729A8E5" w14:textId="556BCC6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Podpis podmienok súhlasu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realizáciou priemyselných projektov</w:t>
            </w:r>
          </w:p>
        </w:tc>
        <w:tc>
          <w:tcPr>
            <w:tcW w:w="0" w:type="auto"/>
          </w:tcPr>
          <w:p w14:paraId="3441107D" w14:textId="77777777" w:rsidR="00387C70" w:rsidRPr="003F23AC" w:rsidRDefault="00387C70" w:rsidP="003F23AC">
            <w:pPr>
              <w:spacing w:after="0" w:line="240" w:lineRule="auto"/>
              <w:rPr>
                <w:rFonts w:ascii="Times New Roman" w:hAnsi="Times New Roman" w:cs="Times New Roman"/>
                <w:noProof/>
                <w:sz w:val="18"/>
                <w:lang w:val="sk-SK"/>
              </w:rPr>
            </w:pPr>
          </w:p>
        </w:tc>
      </w:tr>
      <w:tr w:rsidR="00387C70" w:rsidRPr="003F23AC" w14:paraId="62CE6F82" w14:textId="77777777">
        <w:trPr>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25DDD69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21.17</w:t>
            </w:r>
          </w:p>
        </w:tc>
        <w:tc>
          <w:tcPr>
            <w:tcW w:w="1731" w:type="dxa"/>
            <w:tcBorders>
              <w:top w:val="nil"/>
              <w:left w:val="nil"/>
              <w:bottom w:val="single" w:sz="4" w:space="0" w:color="auto"/>
              <w:right w:val="single" w:sz="4" w:space="0" w:color="auto"/>
            </w:tcBorders>
            <w:shd w:val="clear" w:color="auto" w:fill="C4EFCE"/>
            <w:vAlign w:val="center"/>
            <w:hideMark/>
          </w:tcPr>
          <w:p w14:paraId="4A7D0D48" w14:textId="6D14D61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 – r46</w:t>
            </w:r>
          </w:p>
        </w:tc>
        <w:tc>
          <w:tcPr>
            <w:tcW w:w="1491" w:type="dxa"/>
            <w:tcBorders>
              <w:top w:val="nil"/>
              <w:left w:val="nil"/>
              <w:bottom w:val="single" w:sz="4" w:space="0" w:color="auto"/>
              <w:right w:val="single" w:sz="4" w:space="0" w:color="auto"/>
            </w:tcBorders>
            <w:shd w:val="clear" w:color="auto" w:fill="C4EFCE"/>
            <w:vAlign w:val="center"/>
            <w:hideMark/>
          </w:tcPr>
          <w:p w14:paraId="3A735B1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auto"/>
              <w:right w:val="single" w:sz="4" w:space="0" w:color="auto"/>
            </w:tcBorders>
            <w:shd w:val="clear" w:color="auto" w:fill="C4EFCE"/>
            <w:vAlign w:val="center"/>
            <w:hideMark/>
          </w:tcPr>
          <w:p w14:paraId="767B978A" w14:textId="38C5F852"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revidovaného 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národnej prepravnej sieti plynu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nariadenia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národnej distribučnej sieti plynu</w:t>
            </w:r>
          </w:p>
        </w:tc>
        <w:tc>
          <w:tcPr>
            <w:tcW w:w="0" w:type="auto"/>
          </w:tcPr>
          <w:p w14:paraId="7E717CD2" w14:textId="77777777" w:rsidR="00387C70" w:rsidRPr="003F23AC" w:rsidRDefault="00387C70" w:rsidP="003F23AC">
            <w:pPr>
              <w:spacing w:after="0" w:line="240" w:lineRule="auto"/>
              <w:rPr>
                <w:rFonts w:ascii="Times New Roman" w:hAnsi="Times New Roman" w:cs="Times New Roman"/>
                <w:noProof/>
                <w:sz w:val="18"/>
                <w:lang w:val="sk-SK"/>
              </w:rPr>
            </w:pPr>
          </w:p>
        </w:tc>
      </w:tr>
      <w:tr w:rsidR="00387C70" w:rsidRPr="003F23AC" w14:paraId="04CE7036" w14:textId="77777777">
        <w:trPr>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2498CBB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21.19</w:t>
            </w:r>
          </w:p>
        </w:tc>
        <w:tc>
          <w:tcPr>
            <w:tcW w:w="1731" w:type="dxa"/>
            <w:tcBorders>
              <w:top w:val="nil"/>
              <w:left w:val="nil"/>
              <w:bottom w:val="single" w:sz="4" w:space="0" w:color="auto"/>
              <w:right w:val="single" w:sz="4" w:space="0" w:color="auto"/>
            </w:tcBorders>
            <w:shd w:val="clear" w:color="auto" w:fill="C4EFCE"/>
            <w:vAlign w:val="center"/>
            <w:hideMark/>
          </w:tcPr>
          <w:p w14:paraId="14CCA84B" w14:textId="452A7EC5"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RP-C21-r47</w:t>
            </w:r>
          </w:p>
        </w:tc>
        <w:tc>
          <w:tcPr>
            <w:tcW w:w="1491" w:type="dxa"/>
            <w:tcBorders>
              <w:top w:val="nil"/>
              <w:left w:val="nil"/>
              <w:bottom w:val="single" w:sz="4" w:space="0" w:color="auto"/>
              <w:right w:val="single" w:sz="4" w:space="0" w:color="auto"/>
            </w:tcBorders>
            <w:shd w:val="clear" w:color="auto" w:fill="C4EFCE"/>
            <w:vAlign w:val="center"/>
            <w:hideMark/>
          </w:tcPr>
          <w:p w14:paraId="0A60F32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auto"/>
              <w:right w:val="single" w:sz="4" w:space="0" w:color="auto"/>
            </w:tcBorders>
            <w:shd w:val="clear" w:color="auto" w:fill="C4EFCE"/>
            <w:vAlign w:val="center"/>
            <w:hideMark/>
          </w:tcPr>
          <w:p w14:paraId="445DEC73"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Prijatie akčného plánu pre biometán</w:t>
            </w:r>
          </w:p>
        </w:tc>
        <w:tc>
          <w:tcPr>
            <w:tcW w:w="0" w:type="auto"/>
          </w:tcPr>
          <w:p w14:paraId="6244CF38" w14:textId="77777777" w:rsidR="00387C70" w:rsidRPr="003F23AC" w:rsidRDefault="00387C70" w:rsidP="003F23AC">
            <w:pPr>
              <w:spacing w:after="0" w:line="240" w:lineRule="auto"/>
              <w:rPr>
                <w:rFonts w:ascii="Times New Roman" w:hAnsi="Times New Roman" w:cs="Times New Roman"/>
                <w:noProof/>
                <w:sz w:val="18"/>
                <w:lang w:val="sk-SK"/>
              </w:rPr>
            </w:pPr>
          </w:p>
        </w:tc>
      </w:tr>
      <w:tr w:rsidR="00387C70" w:rsidRPr="003F23AC" w14:paraId="614F83E7" w14:textId="77777777">
        <w:trPr>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7EB38B6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21.22</w:t>
            </w:r>
          </w:p>
        </w:tc>
        <w:tc>
          <w:tcPr>
            <w:tcW w:w="1731" w:type="dxa"/>
            <w:tcBorders>
              <w:top w:val="nil"/>
              <w:left w:val="nil"/>
              <w:bottom w:val="single" w:sz="4" w:space="0" w:color="auto"/>
              <w:right w:val="single" w:sz="4" w:space="0" w:color="auto"/>
            </w:tcBorders>
            <w:shd w:val="clear" w:color="auto" w:fill="C4EFCE"/>
            <w:vAlign w:val="center"/>
            <w:hideMark/>
          </w:tcPr>
          <w:p w14:paraId="48F8BD33" w14:textId="5060F7CF"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RP-C21-r48</w:t>
            </w:r>
          </w:p>
        </w:tc>
        <w:tc>
          <w:tcPr>
            <w:tcW w:w="1491" w:type="dxa"/>
            <w:tcBorders>
              <w:top w:val="nil"/>
              <w:left w:val="nil"/>
              <w:bottom w:val="single" w:sz="4" w:space="0" w:color="auto"/>
              <w:right w:val="single" w:sz="4" w:space="0" w:color="auto"/>
            </w:tcBorders>
            <w:shd w:val="clear" w:color="auto" w:fill="C4EFCE"/>
            <w:vAlign w:val="center"/>
            <w:hideMark/>
          </w:tcPr>
          <w:p w14:paraId="097F16E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auto"/>
              <w:right w:val="single" w:sz="4" w:space="0" w:color="auto"/>
            </w:tcBorders>
            <w:shd w:val="clear" w:color="auto" w:fill="C4EFCE"/>
            <w:vAlign w:val="center"/>
            <w:hideMark/>
          </w:tcPr>
          <w:p w14:paraId="6B9DAF45" w14:textId="5EC1ED5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Odborná príprava zamestnancov zapojených do povoľovania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obnoviteľných zdrojov energie</w:t>
            </w:r>
          </w:p>
        </w:tc>
        <w:tc>
          <w:tcPr>
            <w:tcW w:w="0" w:type="auto"/>
          </w:tcPr>
          <w:p w14:paraId="1B59DBBC" w14:textId="77777777" w:rsidR="00387C70" w:rsidRPr="003F23AC" w:rsidRDefault="00387C70" w:rsidP="003F23AC">
            <w:pPr>
              <w:spacing w:after="0" w:line="240" w:lineRule="auto"/>
              <w:rPr>
                <w:rFonts w:ascii="Times New Roman" w:hAnsi="Times New Roman" w:cs="Times New Roman"/>
                <w:noProof/>
                <w:sz w:val="18"/>
                <w:lang w:val="sk-SK"/>
              </w:rPr>
            </w:pPr>
          </w:p>
        </w:tc>
      </w:tr>
      <w:tr w:rsidR="00387C70" w:rsidRPr="003F23AC" w14:paraId="1A789DEE" w14:textId="77777777">
        <w:trPr>
          <w:gridAfter w:val="1"/>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42840F2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21.23</w:t>
            </w:r>
          </w:p>
        </w:tc>
        <w:tc>
          <w:tcPr>
            <w:tcW w:w="1731" w:type="dxa"/>
            <w:tcBorders>
              <w:top w:val="nil"/>
              <w:left w:val="nil"/>
              <w:bottom w:val="single" w:sz="4" w:space="0" w:color="auto"/>
              <w:right w:val="single" w:sz="4" w:space="0" w:color="auto"/>
            </w:tcBorders>
            <w:shd w:val="clear" w:color="auto" w:fill="C4EFCE"/>
            <w:vAlign w:val="center"/>
            <w:hideMark/>
          </w:tcPr>
          <w:p w14:paraId="5F455980" w14:textId="7B09C91A"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RP-C21-r48</w:t>
            </w:r>
          </w:p>
        </w:tc>
        <w:tc>
          <w:tcPr>
            <w:tcW w:w="1491" w:type="dxa"/>
            <w:tcBorders>
              <w:top w:val="nil"/>
              <w:left w:val="nil"/>
              <w:bottom w:val="single" w:sz="4" w:space="0" w:color="auto"/>
              <w:right w:val="single" w:sz="4" w:space="0" w:color="auto"/>
            </w:tcBorders>
            <w:shd w:val="clear" w:color="auto" w:fill="C4EFCE"/>
            <w:vAlign w:val="center"/>
            <w:hideMark/>
          </w:tcPr>
          <w:p w14:paraId="02876EA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auto"/>
              <w:right w:val="single" w:sz="4" w:space="0" w:color="auto"/>
            </w:tcBorders>
            <w:shd w:val="clear" w:color="auto" w:fill="C4EFCE"/>
            <w:vAlign w:val="center"/>
            <w:hideMark/>
          </w:tcPr>
          <w:p w14:paraId="20ACA668" w14:textId="45F029A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Prijatie harmonogramu prideľovania nových kapacít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osobitným zameraním na geografické oblasti vyplývajúce zo sektorového programu „Obnoviteľné zdroje energie – oblasti“</w:t>
            </w:r>
          </w:p>
        </w:tc>
      </w:tr>
      <w:tr w:rsidR="00387C70" w:rsidRPr="003F23AC" w14:paraId="06A277B8" w14:textId="77777777">
        <w:trPr>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204F7C2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21.26</w:t>
            </w:r>
          </w:p>
        </w:tc>
        <w:tc>
          <w:tcPr>
            <w:tcW w:w="1731" w:type="dxa"/>
            <w:tcBorders>
              <w:top w:val="nil"/>
              <w:left w:val="nil"/>
              <w:bottom w:val="single" w:sz="4" w:space="0" w:color="auto"/>
              <w:right w:val="single" w:sz="4" w:space="0" w:color="auto"/>
            </w:tcBorders>
            <w:shd w:val="clear" w:color="auto" w:fill="C4EFCE"/>
            <w:vAlign w:val="center"/>
            <w:hideMark/>
          </w:tcPr>
          <w:p w14:paraId="245A5243" w14:textId="32E9BC0F"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RP-C21-i07</w:t>
            </w:r>
          </w:p>
        </w:tc>
        <w:tc>
          <w:tcPr>
            <w:tcW w:w="1491" w:type="dxa"/>
            <w:tcBorders>
              <w:top w:val="nil"/>
              <w:left w:val="nil"/>
              <w:bottom w:val="single" w:sz="4" w:space="0" w:color="auto"/>
              <w:right w:val="single" w:sz="4" w:space="0" w:color="auto"/>
            </w:tcBorders>
            <w:shd w:val="clear" w:color="auto" w:fill="C4EFCE"/>
            <w:vAlign w:val="center"/>
            <w:hideMark/>
          </w:tcPr>
          <w:p w14:paraId="38129E5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auto"/>
              <w:right w:val="single" w:sz="4" w:space="0" w:color="auto"/>
            </w:tcBorders>
            <w:shd w:val="clear" w:color="auto" w:fill="C4EFCE"/>
            <w:vAlign w:val="center"/>
            <w:hideMark/>
          </w:tcPr>
          <w:p w14:paraId="3D5267AC"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zmluvy (zmlúv) na technické štúdie na mori</w:t>
            </w:r>
          </w:p>
        </w:tc>
        <w:tc>
          <w:tcPr>
            <w:tcW w:w="0" w:type="auto"/>
          </w:tcPr>
          <w:p w14:paraId="1D5FFE10" w14:textId="77777777" w:rsidR="00387C70" w:rsidRPr="003F23AC" w:rsidRDefault="00387C70" w:rsidP="003F23AC">
            <w:pPr>
              <w:spacing w:after="0" w:line="240" w:lineRule="auto"/>
              <w:rPr>
                <w:rFonts w:ascii="Times New Roman" w:hAnsi="Times New Roman" w:cs="Times New Roman"/>
                <w:noProof/>
                <w:sz w:val="18"/>
                <w:lang w:val="sk-SK"/>
              </w:rPr>
            </w:pPr>
          </w:p>
        </w:tc>
      </w:tr>
      <w:tr w:rsidR="00387C70" w:rsidRPr="003F23AC" w14:paraId="74F928D2" w14:textId="77777777">
        <w:trPr>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21D7816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21.28</w:t>
            </w:r>
          </w:p>
        </w:tc>
        <w:tc>
          <w:tcPr>
            <w:tcW w:w="1731" w:type="dxa"/>
            <w:tcBorders>
              <w:top w:val="nil"/>
              <w:left w:val="nil"/>
              <w:bottom w:val="single" w:sz="4" w:space="0" w:color="auto"/>
              <w:right w:val="single" w:sz="4" w:space="0" w:color="auto"/>
            </w:tcBorders>
            <w:shd w:val="clear" w:color="auto" w:fill="C4EFCE"/>
            <w:vAlign w:val="center"/>
            <w:hideMark/>
          </w:tcPr>
          <w:p w14:paraId="638BD854" w14:textId="7CBF63B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 – i08</w:t>
            </w:r>
          </w:p>
        </w:tc>
        <w:tc>
          <w:tcPr>
            <w:tcW w:w="1491" w:type="dxa"/>
            <w:tcBorders>
              <w:top w:val="nil"/>
              <w:left w:val="nil"/>
              <w:bottom w:val="single" w:sz="4" w:space="0" w:color="auto"/>
              <w:right w:val="single" w:sz="4" w:space="0" w:color="auto"/>
            </w:tcBorders>
            <w:shd w:val="clear" w:color="auto" w:fill="C4EFCE"/>
            <w:vAlign w:val="center"/>
            <w:hideMark/>
          </w:tcPr>
          <w:p w14:paraId="06F70A2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auto"/>
              <w:right w:val="single" w:sz="4" w:space="0" w:color="auto"/>
            </w:tcBorders>
            <w:shd w:val="clear" w:color="auto" w:fill="C4EFCE"/>
            <w:vAlign w:val="center"/>
            <w:hideMark/>
          </w:tcPr>
          <w:p w14:paraId="4E4D2267" w14:textId="11EDBCD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Podpis podmienok súhlasu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inštaláciou kapacity uskladňovania elektrickej energie</w:t>
            </w:r>
          </w:p>
        </w:tc>
        <w:tc>
          <w:tcPr>
            <w:tcW w:w="0" w:type="auto"/>
          </w:tcPr>
          <w:p w14:paraId="002DB804" w14:textId="77777777" w:rsidR="00387C70" w:rsidRPr="003F23AC" w:rsidRDefault="00387C70" w:rsidP="003F23AC">
            <w:pPr>
              <w:spacing w:after="0" w:line="240" w:lineRule="auto"/>
              <w:rPr>
                <w:rFonts w:ascii="Times New Roman" w:hAnsi="Times New Roman" w:cs="Times New Roman"/>
                <w:noProof/>
                <w:sz w:val="18"/>
                <w:lang w:val="sk-SK"/>
              </w:rPr>
            </w:pPr>
          </w:p>
        </w:tc>
      </w:tr>
      <w:tr w:rsidR="00387C70" w:rsidRPr="003F23AC" w14:paraId="56A7925E" w14:textId="77777777">
        <w:trPr>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15A0096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21.35</w:t>
            </w:r>
          </w:p>
        </w:tc>
        <w:tc>
          <w:tcPr>
            <w:tcW w:w="1731" w:type="dxa"/>
            <w:tcBorders>
              <w:top w:val="nil"/>
              <w:left w:val="nil"/>
              <w:bottom w:val="single" w:sz="4" w:space="0" w:color="auto"/>
              <w:right w:val="single" w:sz="4" w:space="0" w:color="auto"/>
            </w:tcBorders>
            <w:shd w:val="clear" w:color="auto" w:fill="C4EFCE"/>
            <w:vAlign w:val="center"/>
            <w:hideMark/>
          </w:tcPr>
          <w:p w14:paraId="3795D271" w14:textId="17BBBA36"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RP-C21-i12</w:t>
            </w:r>
          </w:p>
        </w:tc>
        <w:tc>
          <w:tcPr>
            <w:tcW w:w="1491" w:type="dxa"/>
            <w:tcBorders>
              <w:top w:val="nil"/>
              <w:left w:val="nil"/>
              <w:bottom w:val="single" w:sz="4" w:space="0" w:color="auto"/>
              <w:right w:val="single" w:sz="4" w:space="0" w:color="auto"/>
            </w:tcBorders>
            <w:shd w:val="clear" w:color="auto" w:fill="C4EFCE"/>
            <w:vAlign w:val="center"/>
            <w:hideMark/>
          </w:tcPr>
          <w:p w14:paraId="09B715F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auto"/>
              <w:right w:val="single" w:sz="4" w:space="0" w:color="auto"/>
            </w:tcBorders>
            <w:shd w:val="clear" w:color="auto" w:fill="C4EFCE"/>
            <w:vAlign w:val="center"/>
            <w:hideMark/>
          </w:tcPr>
          <w:p w14:paraId="4FD26132" w14:textId="65B6E99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nákupe ekologických autobusov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dekarbonizácie verejnej dopravy</w:t>
            </w:r>
          </w:p>
        </w:tc>
        <w:tc>
          <w:tcPr>
            <w:tcW w:w="0" w:type="auto"/>
          </w:tcPr>
          <w:p w14:paraId="54E7AB68" w14:textId="77777777" w:rsidR="00387C70" w:rsidRPr="003F23AC" w:rsidRDefault="00387C70" w:rsidP="003F23AC">
            <w:pPr>
              <w:spacing w:after="0" w:line="240" w:lineRule="auto"/>
              <w:rPr>
                <w:rFonts w:ascii="Times New Roman" w:hAnsi="Times New Roman" w:cs="Times New Roman"/>
                <w:noProof/>
                <w:sz w:val="18"/>
                <w:lang w:val="sk-SK"/>
              </w:rPr>
            </w:pPr>
          </w:p>
        </w:tc>
      </w:tr>
      <w:tr w:rsidR="00387C70" w:rsidRPr="003F23AC" w14:paraId="2005FDB3" w14:textId="77777777">
        <w:trPr>
          <w:trHeight w:val="440"/>
        </w:trPr>
        <w:tc>
          <w:tcPr>
            <w:tcW w:w="1177" w:type="dxa"/>
            <w:tcBorders>
              <w:top w:val="nil"/>
              <w:left w:val="single" w:sz="4" w:space="0" w:color="auto"/>
              <w:bottom w:val="single" w:sz="4" w:space="0" w:color="auto"/>
              <w:right w:val="single" w:sz="4" w:space="0" w:color="auto"/>
            </w:tcBorders>
            <w:shd w:val="clear" w:color="auto" w:fill="C4EFCE"/>
            <w:vAlign w:val="center"/>
          </w:tcPr>
          <w:p w14:paraId="75A6F4F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21.40</w:t>
            </w:r>
          </w:p>
        </w:tc>
        <w:tc>
          <w:tcPr>
            <w:tcW w:w="1731" w:type="dxa"/>
            <w:tcBorders>
              <w:top w:val="nil"/>
              <w:left w:val="nil"/>
              <w:bottom w:val="single" w:sz="4" w:space="0" w:color="auto"/>
              <w:right w:val="single" w:sz="4" w:space="0" w:color="auto"/>
            </w:tcBorders>
            <w:shd w:val="clear" w:color="auto" w:fill="C4EFCE"/>
            <w:vAlign w:val="center"/>
          </w:tcPr>
          <w:p w14:paraId="2110994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RP-C21-i15-RAA</w:t>
            </w:r>
          </w:p>
        </w:tc>
        <w:tc>
          <w:tcPr>
            <w:tcW w:w="1491" w:type="dxa"/>
            <w:tcBorders>
              <w:top w:val="nil"/>
              <w:left w:val="nil"/>
              <w:bottom w:val="single" w:sz="4" w:space="0" w:color="auto"/>
              <w:right w:val="single" w:sz="4" w:space="0" w:color="auto"/>
            </w:tcBorders>
            <w:shd w:val="clear" w:color="auto" w:fill="C4EFCE"/>
            <w:vAlign w:val="center"/>
          </w:tcPr>
          <w:p w14:paraId="14D3E6E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4919" w:type="dxa"/>
            <w:tcBorders>
              <w:top w:val="nil"/>
              <w:left w:val="nil"/>
              <w:bottom w:val="single" w:sz="4" w:space="0" w:color="auto"/>
              <w:right w:val="single" w:sz="4" w:space="0" w:color="auto"/>
            </w:tcBorders>
            <w:shd w:val="clear" w:color="auto" w:fill="C4EFCE"/>
            <w:vAlign w:val="center"/>
          </w:tcPr>
          <w:p w14:paraId="204EA7D4" w14:textId="3108FAAB"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kúpe dvoch elektrických trajektov na prepravu cestujúcich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vozidiel medzi ostrovmi Pico, Faial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São Jorge</w:t>
            </w:r>
          </w:p>
        </w:tc>
        <w:tc>
          <w:tcPr>
            <w:tcW w:w="0" w:type="auto"/>
          </w:tcPr>
          <w:p w14:paraId="04893D6C" w14:textId="77777777" w:rsidR="00387C70" w:rsidRPr="003F23AC" w:rsidRDefault="00387C70" w:rsidP="003F23AC">
            <w:pPr>
              <w:spacing w:after="0" w:line="240" w:lineRule="auto"/>
              <w:rPr>
                <w:rFonts w:ascii="Times New Roman" w:hAnsi="Times New Roman" w:cs="Times New Roman"/>
                <w:noProof/>
                <w:sz w:val="18"/>
                <w:lang w:val="sk-SK"/>
              </w:rPr>
            </w:pPr>
          </w:p>
        </w:tc>
      </w:tr>
      <w:tr w:rsidR="00387C70" w:rsidRPr="003F23AC" w14:paraId="6B53B022" w14:textId="77777777">
        <w:trPr>
          <w:trHeight w:val="440"/>
        </w:trPr>
        <w:tc>
          <w:tcPr>
            <w:tcW w:w="1177" w:type="dxa"/>
            <w:tcBorders>
              <w:top w:val="nil"/>
              <w:left w:val="single" w:sz="4" w:space="0" w:color="auto"/>
              <w:bottom w:val="single" w:sz="4" w:space="0" w:color="auto"/>
              <w:right w:val="single" w:sz="4" w:space="0" w:color="auto"/>
            </w:tcBorders>
            <w:shd w:val="clear" w:color="auto" w:fill="C4EFCE"/>
            <w:vAlign w:val="center"/>
            <w:hideMark/>
          </w:tcPr>
          <w:p w14:paraId="20E28EFA" w14:textId="77777777" w:rsidR="00387C70" w:rsidRPr="003F23AC" w:rsidRDefault="00387C70" w:rsidP="003F23AC">
            <w:pPr>
              <w:jc w:val="center"/>
              <w:rPr>
                <w:rFonts w:ascii="Times New Roman" w:eastAsia="Calibri" w:hAnsi="Times New Roman" w:cs="Times New Roman"/>
                <w:noProof/>
                <w:sz w:val="16"/>
                <w:lang w:val="sk-SK"/>
              </w:rPr>
            </w:pPr>
          </w:p>
        </w:tc>
        <w:tc>
          <w:tcPr>
            <w:tcW w:w="1731" w:type="dxa"/>
            <w:tcBorders>
              <w:top w:val="nil"/>
              <w:left w:val="nil"/>
              <w:bottom w:val="single" w:sz="4" w:space="0" w:color="auto"/>
              <w:right w:val="single" w:sz="4" w:space="0" w:color="auto"/>
            </w:tcBorders>
            <w:shd w:val="clear" w:color="auto" w:fill="C4EFCE"/>
            <w:vAlign w:val="center"/>
            <w:hideMark/>
          </w:tcPr>
          <w:p w14:paraId="2E93C338" w14:textId="77777777" w:rsidR="00387C70" w:rsidRPr="003F23AC" w:rsidRDefault="00387C70" w:rsidP="003F23AC">
            <w:pPr>
              <w:jc w:val="center"/>
              <w:rPr>
                <w:rFonts w:ascii="Times New Roman" w:eastAsia="Calibri" w:hAnsi="Times New Roman" w:cs="Times New Roman"/>
                <w:noProof/>
                <w:sz w:val="16"/>
                <w:lang w:val="sk-SK"/>
              </w:rPr>
            </w:pPr>
          </w:p>
        </w:tc>
        <w:tc>
          <w:tcPr>
            <w:tcW w:w="1491" w:type="dxa"/>
            <w:tcBorders>
              <w:top w:val="nil"/>
              <w:left w:val="nil"/>
              <w:bottom w:val="single" w:sz="4" w:space="0" w:color="auto"/>
              <w:right w:val="single" w:sz="4" w:space="0" w:color="auto"/>
            </w:tcBorders>
            <w:shd w:val="clear" w:color="auto" w:fill="C4EFCE"/>
            <w:vAlign w:val="center"/>
            <w:hideMark/>
          </w:tcPr>
          <w:p w14:paraId="75B5103C" w14:textId="77777777" w:rsidR="00387C70" w:rsidRPr="003F23AC" w:rsidRDefault="000F5AA4" w:rsidP="003F23AC">
            <w:pPr>
              <w:pStyle w:val="P68B1DB1-Normal24"/>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Suma splátky</w:t>
            </w:r>
          </w:p>
        </w:tc>
        <w:tc>
          <w:tcPr>
            <w:tcW w:w="4919" w:type="dxa"/>
            <w:tcBorders>
              <w:top w:val="nil"/>
              <w:left w:val="nil"/>
              <w:bottom w:val="single" w:sz="4" w:space="0" w:color="auto"/>
              <w:right w:val="single" w:sz="4" w:space="0" w:color="auto"/>
            </w:tcBorders>
            <w:shd w:val="clear" w:color="auto" w:fill="C4EFCE"/>
            <w:vAlign w:val="center"/>
            <w:hideMark/>
          </w:tcPr>
          <w:p w14:paraId="3E3CC648" w14:textId="4C375889" w:rsidR="00387C70" w:rsidRPr="003F23AC" w:rsidRDefault="003A06C1" w:rsidP="003F23AC">
            <w:pPr>
              <w:pStyle w:val="P68B1DB1-Normal25"/>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EUR 1 501 588 718</w:t>
            </w:r>
          </w:p>
        </w:tc>
        <w:tc>
          <w:tcPr>
            <w:tcW w:w="0" w:type="auto"/>
          </w:tcPr>
          <w:p w14:paraId="3C8F94FE" w14:textId="77777777" w:rsidR="00387C70" w:rsidRPr="003F23AC" w:rsidRDefault="00387C70" w:rsidP="003F23AC">
            <w:pPr>
              <w:spacing w:after="0" w:line="240" w:lineRule="auto"/>
              <w:rPr>
                <w:rFonts w:ascii="Times New Roman" w:hAnsi="Times New Roman" w:cs="Times New Roman"/>
                <w:noProof/>
                <w:lang w:val="sk-SK"/>
              </w:rPr>
            </w:pPr>
          </w:p>
        </w:tc>
      </w:tr>
    </w:tbl>
    <w:p w14:paraId="0498FCB8" w14:textId="77777777" w:rsidR="00387C70" w:rsidRPr="003F23AC" w:rsidRDefault="00387C70" w:rsidP="003F23AC">
      <w:pPr>
        <w:spacing w:before="40" w:after="160" w:line="259" w:lineRule="auto"/>
        <w:ind w:left="360"/>
        <w:contextualSpacing/>
        <w:jc w:val="both"/>
        <w:rPr>
          <w:rFonts w:ascii="Times New Roman" w:eastAsiaTheme="minorEastAsia" w:hAnsi="Times New Roman" w:cs="Times New Roman"/>
          <w:noProof/>
          <w:sz w:val="24"/>
          <w:lang w:val="sk-SK"/>
        </w:rPr>
      </w:pPr>
    </w:p>
    <w:p w14:paraId="2A59D8AF" w14:textId="10192A6D" w:rsidR="00A75B3C" w:rsidRPr="003F23AC" w:rsidRDefault="000F5AA4" w:rsidP="003F23AC">
      <w:pPr>
        <w:pStyle w:val="P68B1DB1-Normal4"/>
        <w:numPr>
          <w:ilvl w:val="1"/>
          <w:numId w:val="19"/>
        </w:numPr>
        <w:spacing w:before="40" w:after="160" w:line="259" w:lineRule="auto"/>
        <w:contextualSpacing/>
        <w:jc w:val="both"/>
        <w:rPr>
          <w:rFonts w:cs="Times New Roman"/>
          <w:noProof/>
          <w:lang w:val="sk-SK"/>
        </w:rPr>
      </w:pPr>
      <w:r w:rsidRPr="003F23AC">
        <w:rPr>
          <w:rFonts w:cs="Times New Roman"/>
          <w:noProof/>
          <w:lang w:val="sk-SK"/>
        </w:rPr>
        <w:t>Siedma žiadosť</w:t>
      </w:r>
      <w:r w:rsidR="00A75B3C" w:rsidRPr="003F23AC">
        <w:rPr>
          <w:rFonts w:cs="Times New Roman"/>
          <w:noProof/>
          <w:lang w:val="sk-SK"/>
        </w:rPr>
        <w:t xml:space="preserve"> o </w:t>
      </w:r>
      <w:r w:rsidRPr="003F23AC">
        <w:rPr>
          <w:rFonts w:cs="Times New Roman"/>
          <w:noProof/>
          <w:lang w:val="sk-SK"/>
        </w:rPr>
        <w:t>platbu (nenávratná podpora)</w:t>
      </w:r>
      <w:r w:rsidR="00A75B3C" w:rsidRPr="003F23AC">
        <w:rPr>
          <w:rFonts w:cs="Times New Roman"/>
          <w:noProof/>
          <w:lang w:val="sk-SK"/>
        </w:rPr>
        <w:t>:</w:t>
      </w:r>
    </w:p>
    <w:p w14:paraId="05CC9F84" w14:textId="3E17991E"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tbl>
      <w:tblPr>
        <w:tblW w:w="95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760"/>
        <w:gridCol w:w="1520"/>
        <w:gridCol w:w="5060"/>
      </w:tblGrid>
      <w:tr w:rsidR="00387C70" w:rsidRPr="003F23AC" w14:paraId="2089B95C" w14:textId="77777777">
        <w:trPr>
          <w:trHeight w:val="509"/>
          <w:tblHeader/>
        </w:trPr>
        <w:tc>
          <w:tcPr>
            <w:tcW w:w="1200" w:type="dxa"/>
            <w:vMerge w:val="restart"/>
            <w:shd w:val="clear" w:color="auto" w:fill="BDD7EE"/>
            <w:vAlign w:val="center"/>
            <w:hideMark/>
          </w:tcPr>
          <w:p w14:paraId="1610403B"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vMerge w:val="restart"/>
            <w:shd w:val="clear" w:color="auto" w:fill="BDD7EE"/>
            <w:vAlign w:val="center"/>
            <w:hideMark/>
          </w:tcPr>
          <w:p w14:paraId="087CD088"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vMerge w:val="restart"/>
            <w:shd w:val="clear" w:color="auto" w:fill="BDD7EE"/>
            <w:vAlign w:val="center"/>
            <w:hideMark/>
          </w:tcPr>
          <w:p w14:paraId="3758B49E"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vMerge w:val="restart"/>
            <w:shd w:val="clear" w:color="auto" w:fill="BDD7EE"/>
            <w:vAlign w:val="center"/>
            <w:hideMark/>
          </w:tcPr>
          <w:p w14:paraId="6115E89D"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74F34BCB" w14:textId="77777777">
        <w:trPr>
          <w:trHeight w:val="509"/>
          <w:tblHeader/>
        </w:trPr>
        <w:tc>
          <w:tcPr>
            <w:tcW w:w="1200" w:type="dxa"/>
            <w:vMerge/>
            <w:vAlign w:val="center"/>
            <w:hideMark/>
          </w:tcPr>
          <w:p w14:paraId="5E98CE98" w14:textId="77777777" w:rsidR="00387C70" w:rsidRPr="003F23AC" w:rsidRDefault="00387C70" w:rsidP="003F23AC">
            <w:pPr>
              <w:spacing w:after="0" w:line="240" w:lineRule="auto"/>
              <w:rPr>
                <w:rFonts w:ascii="Times New Roman" w:eastAsia="Times New Roman" w:hAnsi="Times New Roman" w:cs="Times New Roman"/>
                <w:b/>
                <w:noProof/>
                <w:sz w:val="20"/>
                <w:lang w:val="sk-SK"/>
              </w:rPr>
            </w:pPr>
          </w:p>
        </w:tc>
        <w:tc>
          <w:tcPr>
            <w:tcW w:w="1760" w:type="dxa"/>
            <w:vMerge/>
            <w:vAlign w:val="center"/>
            <w:hideMark/>
          </w:tcPr>
          <w:p w14:paraId="273A84B2" w14:textId="77777777" w:rsidR="00387C70" w:rsidRPr="003F23AC" w:rsidRDefault="00387C70" w:rsidP="003F23AC">
            <w:pPr>
              <w:spacing w:after="0" w:line="240" w:lineRule="auto"/>
              <w:rPr>
                <w:rFonts w:ascii="Times New Roman" w:eastAsia="Times New Roman" w:hAnsi="Times New Roman" w:cs="Times New Roman"/>
                <w:b/>
                <w:noProof/>
                <w:sz w:val="20"/>
                <w:lang w:val="sk-SK"/>
              </w:rPr>
            </w:pPr>
          </w:p>
        </w:tc>
        <w:tc>
          <w:tcPr>
            <w:tcW w:w="1520" w:type="dxa"/>
            <w:vMerge/>
            <w:vAlign w:val="center"/>
            <w:hideMark/>
          </w:tcPr>
          <w:p w14:paraId="0B017496" w14:textId="77777777" w:rsidR="00387C70" w:rsidRPr="003F23AC" w:rsidRDefault="00387C70" w:rsidP="003F23AC">
            <w:pPr>
              <w:spacing w:after="0" w:line="240" w:lineRule="auto"/>
              <w:rPr>
                <w:rFonts w:ascii="Times New Roman" w:eastAsia="Times New Roman" w:hAnsi="Times New Roman" w:cs="Times New Roman"/>
                <w:b/>
                <w:noProof/>
                <w:sz w:val="20"/>
                <w:lang w:val="sk-SK"/>
              </w:rPr>
            </w:pPr>
          </w:p>
        </w:tc>
        <w:tc>
          <w:tcPr>
            <w:tcW w:w="5060" w:type="dxa"/>
            <w:vMerge/>
            <w:vAlign w:val="center"/>
            <w:hideMark/>
          </w:tcPr>
          <w:p w14:paraId="51E262C0" w14:textId="77777777" w:rsidR="00387C70" w:rsidRPr="003F23AC" w:rsidRDefault="00387C70" w:rsidP="003F23AC">
            <w:pPr>
              <w:spacing w:after="0" w:line="240" w:lineRule="auto"/>
              <w:rPr>
                <w:rFonts w:ascii="Times New Roman" w:eastAsia="Times New Roman" w:hAnsi="Times New Roman" w:cs="Times New Roman"/>
                <w:b/>
                <w:noProof/>
                <w:sz w:val="20"/>
                <w:lang w:val="sk-SK"/>
              </w:rPr>
            </w:pPr>
          </w:p>
        </w:tc>
      </w:tr>
      <w:tr w:rsidR="00387C70" w:rsidRPr="003F23AC" w14:paraId="78D2FC43" w14:textId="77777777">
        <w:trPr>
          <w:trHeight w:val="440"/>
        </w:trPr>
        <w:tc>
          <w:tcPr>
            <w:tcW w:w="1200" w:type="dxa"/>
            <w:shd w:val="clear" w:color="auto" w:fill="C4EFCE"/>
            <w:vAlign w:val="center"/>
            <w:hideMark/>
          </w:tcPr>
          <w:p w14:paraId="34AFA81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1.10</w:t>
            </w:r>
          </w:p>
        </w:tc>
        <w:tc>
          <w:tcPr>
            <w:tcW w:w="1760" w:type="dxa"/>
            <w:shd w:val="clear" w:color="auto" w:fill="C4EFCE"/>
            <w:vAlign w:val="center"/>
            <w:hideMark/>
          </w:tcPr>
          <w:p w14:paraId="51D0C2F0" w14:textId="1DD1B095"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C01-r03</w:t>
            </w:r>
          </w:p>
        </w:tc>
        <w:tc>
          <w:tcPr>
            <w:tcW w:w="1520" w:type="dxa"/>
            <w:shd w:val="clear" w:color="auto" w:fill="C4EFCE"/>
            <w:vAlign w:val="center"/>
            <w:hideMark/>
          </w:tcPr>
          <w:p w14:paraId="50D354B1" w14:textId="551B5252"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5664EC88" w14:textId="2AF11FA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Posilnenie reakcie na domácu hospitalizáciu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nemocniciach Národnej zdravotnej služby</w:t>
            </w:r>
          </w:p>
        </w:tc>
      </w:tr>
      <w:tr w:rsidR="00387C70" w:rsidRPr="003F23AC" w14:paraId="281EF144" w14:textId="77777777">
        <w:trPr>
          <w:trHeight w:val="440"/>
        </w:trPr>
        <w:tc>
          <w:tcPr>
            <w:tcW w:w="1200" w:type="dxa"/>
            <w:shd w:val="clear" w:color="auto" w:fill="C4EFCE"/>
            <w:vAlign w:val="center"/>
            <w:hideMark/>
          </w:tcPr>
          <w:p w14:paraId="512494E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1.14</w:t>
            </w:r>
          </w:p>
        </w:tc>
        <w:tc>
          <w:tcPr>
            <w:tcW w:w="1760" w:type="dxa"/>
            <w:shd w:val="clear" w:color="auto" w:fill="C4EFCE"/>
            <w:vAlign w:val="center"/>
            <w:hideMark/>
          </w:tcPr>
          <w:p w14:paraId="0370E718" w14:textId="332CFEF7"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C01-i01</w:t>
            </w:r>
          </w:p>
        </w:tc>
        <w:tc>
          <w:tcPr>
            <w:tcW w:w="1520" w:type="dxa"/>
            <w:shd w:val="clear" w:color="auto" w:fill="C4EFCE"/>
            <w:vAlign w:val="center"/>
            <w:hideMark/>
          </w:tcPr>
          <w:p w14:paraId="1D5E254A" w14:textId="5EB77A25"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3FC949BF"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Budovanie nových zdravotníckych jednotiek</w:t>
            </w:r>
          </w:p>
        </w:tc>
      </w:tr>
      <w:tr w:rsidR="00387C70" w:rsidRPr="003F23AC" w14:paraId="5D10BD59" w14:textId="77777777">
        <w:trPr>
          <w:trHeight w:val="440"/>
        </w:trPr>
        <w:tc>
          <w:tcPr>
            <w:tcW w:w="1200" w:type="dxa"/>
            <w:shd w:val="clear" w:color="auto" w:fill="C4EFCE"/>
            <w:vAlign w:val="center"/>
            <w:hideMark/>
          </w:tcPr>
          <w:p w14:paraId="461A7F1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1.35</w:t>
            </w:r>
          </w:p>
        </w:tc>
        <w:tc>
          <w:tcPr>
            <w:tcW w:w="1760" w:type="dxa"/>
            <w:shd w:val="clear" w:color="auto" w:fill="C4EFCE"/>
            <w:vAlign w:val="center"/>
            <w:hideMark/>
          </w:tcPr>
          <w:p w14:paraId="018B6B55" w14:textId="470A9633"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C01-i07-RAM</w:t>
            </w:r>
          </w:p>
        </w:tc>
        <w:tc>
          <w:tcPr>
            <w:tcW w:w="1520" w:type="dxa"/>
            <w:shd w:val="clear" w:color="auto" w:fill="C4EFCE"/>
            <w:vAlign w:val="center"/>
            <w:hideMark/>
          </w:tcPr>
          <w:p w14:paraId="5CA14FA7" w14:textId="067A6499"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3379A737"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Nové počítačové vybavenie pre regionálnu zdravotnú službu na Madeire</w:t>
            </w:r>
          </w:p>
        </w:tc>
      </w:tr>
      <w:tr w:rsidR="00387C70" w:rsidRPr="003F23AC" w14:paraId="6C85753F" w14:textId="77777777">
        <w:trPr>
          <w:trHeight w:val="440"/>
        </w:trPr>
        <w:tc>
          <w:tcPr>
            <w:tcW w:w="1200" w:type="dxa"/>
            <w:shd w:val="clear" w:color="auto" w:fill="C4EFCE"/>
            <w:vAlign w:val="center"/>
            <w:hideMark/>
          </w:tcPr>
          <w:p w14:paraId="663CED6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1.37</w:t>
            </w:r>
          </w:p>
        </w:tc>
        <w:tc>
          <w:tcPr>
            <w:tcW w:w="1760" w:type="dxa"/>
            <w:shd w:val="clear" w:color="auto" w:fill="C4EFCE"/>
            <w:vAlign w:val="center"/>
            <w:hideMark/>
          </w:tcPr>
          <w:p w14:paraId="4A6C5BBD" w14:textId="7DF837B2"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C01-i08-RAA</w:t>
            </w:r>
          </w:p>
        </w:tc>
        <w:tc>
          <w:tcPr>
            <w:tcW w:w="1520" w:type="dxa"/>
            <w:shd w:val="clear" w:color="auto" w:fill="C4EFCE"/>
            <w:vAlign w:val="center"/>
            <w:hideMark/>
          </w:tcPr>
          <w:p w14:paraId="3A083AE7" w14:textId="4DEA3C99"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68C87034" w14:textId="5D1E63D5"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Zavedenie telemedicíny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regionálnom zdravotníckom systéme Azorských ostrovov</w:t>
            </w:r>
          </w:p>
        </w:tc>
      </w:tr>
      <w:tr w:rsidR="00387C70" w:rsidRPr="003F23AC" w14:paraId="0E7C2786" w14:textId="77777777">
        <w:trPr>
          <w:trHeight w:val="440"/>
        </w:trPr>
        <w:tc>
          <w:tcPr>
            <w:tcW w:w="1200" w:type="dxa"/>
            <w:shd w:val="clear" w:color="auto" w:fill="C4EFCE"/>
            <w:vAlign w:val="center"/>
            <w:hideMark/>
          </w:tcPr>
          <w:p w14:paraId="56EFE37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1.42</w:t>
            </w:r>
          </w:p>
        </w:tc>
        <w:tc>
          <w:tcPr>
            <w:tcW w:w="1760" w:type="dxa"/>
            <w:shd w:val="clear" w:color="auto" w:fill="C4EFCE"/>
            <w:vAlign w:val="center"/>
            <w:hideMark/>
          </w:tcPr>
          <w:p w14:paraId="4BF6A73F" w14:textId="0ED4336E"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C01-i10</w:t>
            </w:r>
          </w:p>
        </w:tc>
        <w:tc>
          <w:tcPr>
            <w:tcW w:w="1520" w:type="dxa"/>
            <w:shd w:val="clear" w:color="auto" w:fill="C4EFCE"/>
            <w:vAlign w:val="center"/>
            <w:hideMark/>
          </w:tcPr>
          <w:p w14:paraId="507AF341" w14:textId="24125C79"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17D2D683"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Nákup ťažkého zdravotníckeho vybavenia</w:t>
            </w:r>
          </w:p>
        </w:tc>
      </w:tr>
      <w:tr w:rsidR="00387C70" w:rsidRPr="003F23AC" w14:paraId="5FD85112" w14:textId="77777777">
        <w:trPr>
          <w:trHeight w:val="440"/>
        </w:trPr>
        <w:tc>
          <w:tcPr>
            <w:tcW w:w="1200" w:type="dxa"/>
            <w:shd w:val="clear" w:color="auto" w:fill="C4EFCE"/>
            <w:vAlign w:val="center"/>
            <w:hideMark/>
          </w:tcPr>
          <w:p w14:paraId="4C05018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2.5</w:t>
            </w:r>
          </w:p>
        </w:tc>
        <w:tc>
          <w:tcPr>
            <w:tcW w:w="1760" w:type="dxa"/>
            <w:shd w:val="clear" w:color="auto" w:fill="C4EFCE"/>
            <w:vAlign w:val="center"/>
            <w:hideMark/>
          </w:tcPr>
          <w:p w14:paraId="7718FE5F" w14:textId="283932BA"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C02-i02</w:t>
            </w:r>
          </w:p>
        </w:tc>
        <w:tc>
          <w:tcPr>
            <w:tcW w:w="1520" w:type="dxa"/>
            <w:shd w:val="clear" w:color="auto" w:fill="C4EFCE"/>
            <w:vAlign w:val="center"/>
            <w:hideMark/>
          </w:tcPr>
          <w:p w14:paraId="14E36A4A" w14:textId="0DA9AC79"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73716262" w14:textId="2AA7E4EB"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Národný grant na núdzové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dočasné ubytovanie – podpísanie dohôd</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financovaní núdzového ubytovania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prechodného ubytovania</w:t>
            </w:r>
          </w:p>
        </w:tc>
      </w:tr>
      <w:tr w:rsidR="00387C70" w:rsidRPr="003F23AC" w14:paraId="558EEAA4" w14:textId="77777777">
        <w:trPr>
          <w:trHeight w:val="440"/>
        </w:trPr>
        <w:tc>
          <w:tcPr>
            <w:tcW w:w="1200" w:type="dxa"/>
            <w:shd w:val="clear" w:color="auto" w:fill="C4EFCE"/>
            <w:vAlign w:val="center"/>
            <w:hideMark/>
          </w:tcPr>
          <w:p w14:paraId="08AB08F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2.10</w:t>
            </w:r>
          </w:p>
        </w:tc>
        <w:tc>
          <w:tcPr>
            <w:tcW w:w="1760" w:type="dxa"/>
            <w:shd w:val="clear" w:color="auto" w:fill="C4EFCE"/>
            <w:vAlign w:val="center"/>
            <w:hideMark/>
          </w:tcPr>
          <w:p w14:paraId="2483B503" w14:textId="1FA356AA"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C02-i03-RAM</w:t>
            </w:r>
          </w:p>
        </w:tc>
        <w:tc>
          <w:tcPr>
            <w:tcW w:w="1520" w:type="dxa"/>
            <w:shd w:val="clear" w:color="auto" w:fill="C4EFCE"/>
            <w:vAlign w:val="center"/>
            <w:hideMark/>
          </w:tcPr>
          <w:p w14:paraId="6BC4004A" w14:textId="5C7611BC"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594C0CAB" w14:textId="0BDC5BB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Podporované bývanie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autonómnej oblasti Madeira</w:t>
            </w:r>
          </w:p>
        </w:tc>
      </w:tr>
      <w:tr w:rsidR="00387C70" w:rsidRPr="003F23AC" w14:paraId="692CD3EC" w14:textId="77777777">
        <w:trPr>
          <w:trHeight w:val="440"/>
        </w:trPr>
        <w:tc>
          <w:tcPr>
            <w:tcW w:w="1200" w:type="dxa"/>
            <w:shd w:val="clear" w:color="auto" w:fill="C4EFCE"/>
            <w:vAlign w:val="center"/>
            <w:hideMark/>
          </w:tcPr>
          <w:p w14:paraId="66CC6C5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3.2</w:t>
            </w:r>
          </w:p>
        </w:tc>
        <w:tc>
          <w:tcPr>
            <w:tcW w:w="1760" w:type="dxa"/>
            <w:shd w:val="clear" w:color="auto" w:fill="C4EFCE"/>
            <w:vAlign w:val="center"/>
            <w:hideMark/>
          </w:tcPr>
          <w:p w14:paraId="4B6552D8" w14:textId="3F0A78AB"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C03-i01</w:t>
            </w:r>
          </w:p>
        </w:tc>
        <w:tc>
          <w:tcPr>
            <w:tcW w:w="1520" w:type="dxa"/>
            <w:shd w:val="clear" w:color="auto" w:fill="C4EFCE"/>
            <w:vAlign w:val="center"/>
            <w:hideMark/>
          </w:tcPr>
          <w:p w14:paraId="0928115F" w14:textId="03E982B3"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612F2860"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Vytvorenie sociálnych zásahových tímov (Radar Social)</w:t>
            </w:r>
          </w:p>
        </w:tc>
      </w:tr>
      <w:tr w:rsidR="00387C70" w:rsidRPr="003F23AC" w14:paraId="30BD846E" w14:textId="77777777">
        <w:trPr>
          <w:trHeight w:val="440"/>
        </w:trPr>
        <w:tc>
          <w:tcPr>
            <w:tcW w:w="1200" w:type="dxa"/>
            <w:shd w:val="clear" w:color="auto" w:fill="C4EFCE"/>
            <w:vAlign w:val="center"/>
            <w:hideMark/>
          </w:tcPr>
          <w:p w14:paraId="77CAF7E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3.18</w:t>
            </w:r>
          </w:p>
        </w:tc>
        <w:tc>
          <w:tcPr>
            <w:tcW w:w="1760" w:type="dxa"/>
            <w:shd w:val="clear" w:color="auto" w:fill="C4EFCE"/>
            <w:vAlign w:val="center"/>
            <w:hideMark/>
          </w:tcPr>
          <w:p w14:paraId="4095135D" w14:textId="71AC881F"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C03-i05</w:t>
            </w:r>
          </w:p>
        </w:tc>
        <w:tc>
          <w:tcPr>
            <w:tcW w:w="1520" w:type="dxa"/>
            <w:shd w:val="clear" w:color="auto" w:fill="C4EFCE"/>
            <w:vAlign w:val="center"/>
            <w:hideMark/>
          </w:tcPr>
          <w:p w14:paraId="3214A45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5CF15101"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Digitálna informačná platforma pre osoby so zdravotným postihnutím</w:t>
            </w:r>
          </w:p>
        </w:tc>
      </w:tr>
      <w:tr w:rsidR="00387C70" w:rsidRPr="003F23AC" w14:paraId="20628CE8" w14:textId="77777777">
        <w:trPr>
          <w:trHeight w:val="440"/>
        </w:trPr>
        <w:tc>
          <w:tcPr>
            <w:tcW w:w="1200" w:type="dxa"/>
            <w:shd w:val="clear" w:color="auto" w:fill="C4EFCE"/>
            <w:vAlign w:val="center"/>
            <w:hideMark/>
          </w:tcPr>
          <w:p w14:paraId="718E4D7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5.37</w:t>
            </w:r>
          </w:p>
        </w:tc>
        <w:tc>
          <w:tcPr>
            <w:tcW w:w="1760" w:type="dxa"/>
            <w:shd w:val="clear" w:color="auto" w:fill="C4EFCE"/>
            <w:vAlign w:val="center"/>
            <w:hideMark/>
          </w:tcPr>
          <w:p w14:paraId="7B3EE8CE" w14:textId="24B404B5"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C05-i08</w:t>
            </w:r>
          </w:p>
        </w:tc>
        <w:tc>
          <w:tcPr>
            <w:tcW w:w="1520" w:type="dxa"/>
            <w:shd w:val="clear" w:color="auto" w:fill="C4EFCE"/>
            <w:vAlign w:val="center"/>
            <w:hideMark/>
          </w:tcPr>
          <w:p w14:paraId="37761C8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49320E7C"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Zriadenie Národného strediska pre pokročilú výpočtovú techniku (CNCA).</w:t>
            </w:r>
          </w:p>
        </w:tc>
      </w:tr>
      <w:tr w:rsidR="00387C70" w:rsidRPr="003F23AC" w14:paraId="6A2FA64B" w14:textId="77777777">
        <w:trPr>
          <w:trHeight w:val="440"/>
        </w:trPr>
        <w:tc>
          <w:tcPr>
            <w:tcW w:w="1200" w:type="dxa"/>
            <w:shd w:val="clear" w:color="auto" w:fill="C4EFCE"/>
            <w:vAlign w:val="center"/>
            <w:hideMark/>
          </w:tcPr>
          <w:p w14:paraId="7FC45C4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6.5</w:t>
            </w:r>
          </w:p>
        </w:tc>
        <w:tc>
          <w:tcPr>
            <w:tcW w:w="1760" w:type="dxa"/>
            <w:shd w:val="clear" w:color="auto" w:fill="C4EFCE"/>
            <w:vAlign w:val="center"/>
            <w:hideMark/>
          </w:tcPr>
          <w:p w14:paraId="2B15BC68" w14:textId="1A0FFE3C"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C06-i02</w:t>
            </w:r>
          </w:p>
        </w:tc>
        <w:tc>
          <w:tcPr>
            <w:tcW w:w="1520" w:type="dxa"/>
            <w:shd w:val="clear" w:color="auto" w:fill="C4EFCE"/>
            <w:vAlign w:val="center"/>
            <w:hideMark/>
          </w:tcPr>
          <w:p w14:paraId="7BE9B1BA" w14:textId="4A8BB3BA"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4F542581"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Finančná podpora pre trvalé pracovné zmluvy</w:t>
            </w:r>
          </w:p>
        </w:tc>
      </w:tr>
      <w:tr w:rsidR="00387C70" w:rsidRPr="003F23AC" w14:paraId="4839FE69" w14:textId="77777777">
        <w:trPr>
          <w:trHeight w:val="440"/>
        </w:trPr>
        <w:tc>
          <w:tcPr>
            <w:tcW w:w="1200" w:type="dxa"/>
            <w:shd w:val="clear" w:color="auto" w:fill="C4EFCE"/>
            <w:vAlign w:val="center"/>
            <w:hideMark/>
          </w:tcPr>
          <w:p w14:paraId="410B82A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6.17</w:t>
            </w:r>
          </w:p>
        </w:tc>
        <w:tc>
          <w:tcPr>
            <w:tcW w:w="1760" w:type="dxa"/>
            <w:shd w:val="clear" w:color="auto" w:fill="C4EFCE"/>
            <w:vAlign w:val="center"/>
            <w:hideMark/>
          </w:tcPr>
          <w:p w14:paraId="71A13B94" w14:textId="74106A8B"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C06-r18</w:t>
            </w:r>
          </w:p>
        </w:tc>
        <w:tc>
          <w:tcPr>
            <w:tcW w:w="1520" w:type="dxa"/>
            <w:shd w:val="clear" w:color="auto" w:fill="C4EFCE"/>
            <w:vAlign w:val="center"/>
            <w:hideMark/>
          </w:tcPr>
          <w:p w14:paraId="51778BF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7241251F"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Zaviesť portugalskú normu pre systém riadenia rovnosti odmeňovania.</w:t>
            </w:r>
          </w:p>
        </w:tc>
      </w:tr>
      <w:tr w:rsidR="00387C70" w:rsidRPr="003F23AC" w14:paraId="0118C2E1" w14:textId="77777777">
        <w:trPr>
          <w:trHeight w:val="440"/>
        </w:trPr>
        <w:tc>
          <w:tcPr>
            <w:tcW w:w="1200" w:type="dxa"/>
            <w:shd w:val="clear" w:color="auto" w:fill="C4EFCE"/>
            <w:vAlign w:val="center"/>
          </w:tcPr>
          <w:p w14:paraId="73E1EE9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6.18</w:t>
            </w:r>
          </w:p>
        </w:tc>
        <w:tc>
          <w:tcPr>
            <w:tcW w:w="1760" w:type="dxa"/>
            <w:shd w:val="clear" w:color="auto" w:fill="C4EFCE"/>
            <w:vAlign w:val="center"/>
          </w:tcPr>
          <w:p w14:paraId="3D8A0425" w14:textId="4FCCF142"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C06-r18</w:t>
            </w:r>
          </w:p>
        </w:tc>
        <w:tc>
          <w:tcPr>
            <w:tcW w:w="1520" w:type="dxa"/>
            <w:shd w:val="clear" w:color="auto" w:fill="C4EFCE"/>
            <w:vAlign w:val="center"/>
          </w:tcPr>
          <w:p w14:paraId="72CDE6C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tcPr>
          <w:p w14:paraId="601AD98C" w14:textId="2848DC0B"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Oznamovanie spoločností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viac ako 50 pracovníkmi, ktoré predstavujú významné rozdiely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odmeňovaní žien</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mužov</w:t>
            </w:r>
          </w:p>
        </w:tc>
      </w:tr>
      <w:tr w:rsidR="00387C70" w:rsidRPr="003F23AC" w14:paraId="6DE96290" w14:textId="77777777">
        <w:trPr>
          <w:trHeight w:val="440"/>
        </w:trPr>
        <w:tc>
          <w:tcPr>
            <w:tcW w:w="1200" w:type="dxa"/>
            <w:shd w:val="clear" w:color="auto" w:fill="C4EFCE"/>
            <w:vAlign w:val="center"/>
            <w:hideMark/>
          </w:tcPr>
          <w:p w14:paraId="2DF8DE3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6.24</w:t>
            </w:r>
          </w:p>
        </w:tc>
        <w:tc>
          <w:tcPr>
            <w:tcW w:w="1760" w:type="dxa"/>
            <w:shd w:val="clear" w:color="auto" w:fill="C4EFCE"/>
            <w:vAlign w:val="center"/>
            <w:hideMark/>
          </w:tcPr>
          <w:p w14:paraId="3F72ECAE" w14:textId="187B1848"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C06-i07</w:t>
            </w:r>
          </w:p>
        </w:tc>
        <w:tc>
          <w:tcPr>
            <w:tcW w:w="1520" w:type="dxa"/>
            <w:shd w:val="clear" w:color="auto" w:fill="C4EFCE"/>
            <w:vAlign w:val="center"/>
            <w:hideMark/>
          </w:tcPr>
          <w:p w14:paraId="36EEB3B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7E71C6ED" w14:textId="261120B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Inovácia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pedagogická modernizácia vysokoškolského vzdelávania </w:t>
            </w:r>
          </w:p>
        </w:tc>
      </w:tr>
      <w:tr w:rsidR="00387C70" w:rsidRPr="003F23AC" w14:paraId="71CB9782" w14:textId="77777777">
        <w:trPr>
          <w:trHeight w:val="440"/>
        </w:trPr>
        <w:tc>
          <w:tcPr>
            <w:tcW w:w="1200" w:type="dxa"/>
            <w:shd w:val="clear" w:color="auto" w:fill="C4EFCE"/>
            <w:vAlign w:val="center"/>
            <w:hideMark/>
          </w:tcPr>
          <w:p w14:paraId="2D7720E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6.26</w:t>
            </w:r>
          </w:p>
        </w:tc>
        <w:tc>
          <w:tcPr>
            <w:tcW w:w="1760" w:type="dxa"/>
            <w:shd w:val="clear" w:color="auto" w:fill="C4EFCE"/>
            <w:vAlign w:val="center"/>
            <w:hideMark/>
          </w:tcPr>
          <w:p w14:paraId="4E35273D" w14:textId="70293E91"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C06-i08-RAM</w:t>
            </w:r>
          </w:p>
        </w:tc>
        <w:tc>
          <w:tcPr>
            <w:tcW w:w="1520" w:type="dxa"/>
            <w:shd w:val="clear" w:color="auto" w:fill="C4EFCE"/>
            <w:vAlign w:val="center"/>
            <w:hideMark/>
          </w:tcPr>
          <w:p w14:paraId="682F1E4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72A9A92A" w14:textId="6F241A66"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Podpísaná zmluva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rozšírení budovy CITMA</w:t>
            </w:r>
          </w:p>
        </w:tc>
      </w:tr>
      <w:tr w:rsidR="00387C70" w:rsidRPr="003F23AC" w14:paraId="1641F158" w14:textId="77777777">
        <w:trPr>
          <w:trHeight w:val="440"/>
        </w:trPr>
        <w:tc>
          <w:tcPr>
            <w:tcW w:w="1200" w:type="dxa"/>
            <w:shd w:val="clear" w:color="auto" w:fill="C4EFCE"/>
            <w:vAlign w:val="center"/>
            <w:hideMark/>
          </w:tcPr>
          <w:p w14:paraId="2A803BC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7.2</w:t>
            </w:r>
          </w:p>
        </w:tc>
        <w:tc>
          <w:tcPr>
            <w:tcW w:w="1760" w:type="dxa"/>
            <w:shd w:val="clear" w:color="auto" w:fill="C4EFCE"/>
            <w:vAlign w:val="center"/>
            <w:hideMark/>
          </w:tcPr>
          <w:p w14:paraId="148139C0" w14:textId="5ED5A001"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C07-i00</w:t>
            </w:r>
          </w:p>
        </w:tc>
        <w:tc>
          <w:tcPr>
            <w:tcW w:w="1520" w:type="dxa"/>
            <w:shd w:val="clear" w:color="auto" w:fill="C4EFCE"/>
            <w:vAlign w:val="center"/>
            <w:hideMark/>
          </w:tcPr>
          <w:p w14:paraId="3C913E09" w14:textId="3BE3D170"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2B05BD75" w14:textId="4917198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Verejne prístupné nabíjacie stanice pre elektrické vozidlá</w:t>
            </w:r>
          </w:p>
        </w:tc>
      </w:tr>
      <w:tr w:rsidR="00387C70" w:rsidRPr="003F23AC" w14:paraId="409538B8" w14:textId="77777777">
        <w:trPr>
          <w:trHeight w:val="440"/>
        </w:trPr>
        <w:tc>
          <w:tcPr>
            <w:tcW w:w="1200" w:type="dxa"/>
            <w:shd w:val="clear" w:color="auto" w:fill="C4EFCE"/>
            <w:vAlign w:val="center"/>
            <w:hideMark/>
          </w:tcPr>
          <w:p w14:paraId="7AD48D8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8.13</w:t>
            </w:r>
          </w:p>
        </w:tc>
        <w:tc>
          <w:tcPr>
            <w:tcW w:w="1760" w:type="dxa"/>
            <w:shd w:val="clear" w:color="auto" w:fill="C4EFCE"/>
            <w:vAlign w:val="center"/>
            <w:hideMark/>
          </w:tcPr>
          <w:p w14:paraId="4745E4E8" w14:textId="6CFB1648"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C08-i05</w:t>
            </w:r>
          </w:p>
        </w:tc>
        <w:tc>
          <w:tcPr>
            <w:tcW w:w="1520" w:type="dxa"/>
            <w:shd w:val="clear" w:color="auto" w:fill="C4EFCE"/>
            <w:vAlign w:val="center"/>
            <w:hideMark/>
          </w:tcPr>
          <w:p w14:paraId="5F6B7E1B" w14:textId="011CFFB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39D1CC3E" w14:textId="7596996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Posilnenie subjektov ministerstva vnútra (MAI) vozidlami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prevádzkovým vybavením</w:t>
            </w:r>
          </w:p>
        </w:tc>
      </w:tr>
      <w:tr w:rsidR="00387C70" w:rsidRPr="003F23AC" w14:paraId="46442EA5" w14:textId="77777777">
        <w:trPr>
          <w:trHeight w:val="440"/>
        </w:trPr>
        <w:tc>
          <w:tcPr>
            <w:tcW w:w="1200" w:type="dxa"/>
            <w:shd w:val="clear" w:color="auto" w:fill="C4EFCE"/>
            <w:vAlign w:val="center"/>
            <w:hideMark/>
          </w:tcPr>
          <w:p w14:paraId="37ADCEA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9.1</w:t>
            </w:r>
          </w:p>
        </w:tc>
        <w:tc>
          <w:tcPr>
            <w:tcW w:w="1760" w:type="dxa"/>
            <w:shd w:val="clear" w:color="auto" w:fill="C4EFCE"/>
            <w:vAlign w:val="center"/>
            <w:hideMark/>
          </w:tcPr>
          <w:p w14:paraId="21DD8E0C" w14:textId="507738B5"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C09-i01</w:t>
            </w:r>
          </w:p>
        </w:tc>
        <w:tc>
          <w:tcPr>
            <w:tcW w:w="1520" w:type="dxa"/>
            <w:shd w:val="clear" w:color="auto" w:fill="C4EFCE"/>
            <w:vAlign w:val="center"/>
            <w:hideMark/>
          </w:tcPr>
          <w:p w14:paraId="4B9F30BC" w14:textId="7C14813C"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351D75FD"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Dodatočné monitorovacie body inštalovaných zdrojov podzemnej vody (SM3)</w:t>
            </w:r>
          </w:p>
        </w:tc>
      </w:tr>
      <w:tr w:rsidR="00387C70" w:rsidRPr="003F23AC" w14:paraId="19B5815B" w14:textId="77777777">
        <w:trPr>
          <w:trHeight w:val="440"/>
        </w:trPr>
        <w:tc>
          <w:tcPr>
            <w:tcW w:w="1200" w:type="dxa"/>
            <w:shd w:val="clear" w:color="auto" w:fill="C4EFCE"/>
            <w:vAlign w:val="center"/>
            <w:hideMark/>
          </w:tcPr>
          <w:p w14:paraId="40BE519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9.5</w:t>
            </w:r>
          </w:p>
        </w:tc>
        <w:tc>
          <w:tcPr>
            <w:tcW w:w="1760" w:type="dxa"/>
            <w:shd w:val="clear" w:color="auto" w:fill="C4EFCE"/>
            <w:vAlign w:val="center"/>
            <w:hideMark/>
          </w:tcPr>
          <w:p w14:paraId="604C41E0" w14:textId="65469B36"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C09-i01</w:t>
            </w:r>
          </w:p>
        </w:tc>
        <w:tc>
          <w:tcPr>
            <w:tcW w:w="1520" w:type="dxa"/>
            <w:shd w:val="clear" w:color="auto" w:fill="C4EFCE"/>
            <w:vAlign w:val="center"/>
            <w:hideMark/>
          </w:tcPr>
          <w:p w14:paraId="6888278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4A618198" w14:textId="642F37D9"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Prijatie aktualizovaného návrhu (v prípade potreby) opatrenia týkajúceho sa odberu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Guadiane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úplným začlenením všetkých výsledkov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podmienok</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posudzovania vplyvov na životné prostredie (SM5)</w:t>
            </w:r>
          </w:p>
        </w:tc>
      </w:tr>
      <w:tr w:rsidR="00387C70" w:rsidRPr="003F23AC" w14:paraId="61BA2CC6" w14:textId="77777777">
        <w:trPr>
          <w:trHeight w:val="440"/>
        </w:trPr>
        <w:tc>
          <w:tcPr>
            <w:tcW w:w="1200" w:type="dxa"/>
            <w:shd w:val="clear" w:color="auto" w:fill="C4EFCE"/>
            <w:vAlign w:val="center"/>
            <w:hideMark/>
          </w:tcPr>
          <w:p w14:paraId="6330516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9.7</w:t>
            </w:r>
          </w:p>
        </w:tc>
        <w:tc>
          <w:tcPr>
            <w:tcW w:w="1760" w:type="dxa"/>
            <w:shd w:val="clear" w:color="auto" w:fill="C4EFCE"/>
            <w:vAlign w:val="center"/>
            <w:hideMark/>
          </w:tcPr>
          <w:p w14:paraId="4FB0CCD7" w14:textId="5A1DCA20"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C09-i01</w:t>
            </w:r>
            <w:r w:rsidR="00A75B3C" w:rsidRPr="003F23AC">
              <w:rPr>
                <w:rFonts w:ascii="Times New Roman" w:hAnsi="Times New Roman" w:cs="Times New Roman"/>
                <w:noProof/>
                <w:lang w:val="sk-SK"/>
              </w:rPr>
              <w:t xml:space="preserve"> </w:t>
            </w:r>
          </w:p>
        </w:tc>
        <w:tc>
          <w:tcPr>
            <w:tcW w:w="1520" w:type="dxa"/>
            <w:shd w:val="clear" w:color="auto" w:fill="C4EFCE"/>
            <w:vAlign w:val="center"/>
            <w:hideMark/>
          </w:tcPr>
          <w:p w14:paraId="4CAF32D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783D462D" w14:textId="4964920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Prijatie aktualizovaného návrhu (v prípade potreby) odsoľovacieho opatrenia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úplným začlenením všetkých výsledkov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podmienok</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posudzovania vplyvov na životné prostredie (SM6)</w:t>
            </w:r>
          </w:p>
        </w:tc>
      </w:tr>
      <w:tr w:rsidR="00387C70" w:rsidRPr="003F23AC" w14:paraId="0AB93700" w14:textId="77777777">
        <w:trPr>
          <w:trHeight w:val="440"/>
        </w:trPr>
        <w:tc>
          <w:tcPr>
            <w:tcW w:w="1200" w:type="dxa"/>
            <w:shd w:val="clear" w:color="auto" w:fill="C4EFCE"/>
            <w:vAlign w:val="center"/>
            <w:hideMark/>
          </w:tcPr>
          <w:p w14:paraId="3E548EA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10.15</w:t>
            </w:r>
          </w:p>
        </w:tc>
        <w:tc>
          <w:tcPr>
            <w:tcW w:w="1760" w:type="dxa"/>
            <w:shd w:val="clear" w:color="auto" w:fill="C4EFCE"/>
            <w:vAlign w:val="center"/>
            <w:hideMark/>
          </w:tcPr>
          <w:p w14:paraId="4CF19DF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TC-C10 – i06-RAM</w:t>
            </w:r>
          </w:p>
        </w:tc>
        <w:tc>
          <w:tcPr>
            <w:tcW w:w="1520" w:type="dxa"/>
            <w:shd w:val="clear" w:color="auto" w:fill="C4EFCE"/>
            <w:vAlign w:val="center"/>
            <w:hideMark/>
          </w:tcPr>
          <w:p w14:paraId="6C4706BE" w14:textId="03AFC534"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7BDA8F52"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Dodávka dvoch autonómnych bezpilotných vozidiel</w:t>
            </w:r>
          </w:p>
        </w:tc>
      </w:tr>
      <w:tr w:rsidR="00387C70" w:rsidRPr="003F23AC" w14:paraId="0980B6CB" w14:textId="77777777">
        <w:trPr>
          <w:trHeight w:val="440"/>
        </w:trPr>
        <w:tc>
          <w:tcPr>
            <w:tcW w:w="1200" w:type="dxa"/>
            <w:shd w:val="clear" w:color="auto" w:fill="C4EFCE"/>
            <w:vAlign w:val="center"/>
            <w:hideMark/>
          </w:tcPr>
          <w:p w14:paraId="7E7FB85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14.4</w:t>
            </w:r>
          </w:p>
        </w:tc>
        <w:tc>
          <w:tcPr>
            <w:tcW w:w="1760" w:type="dxa"/>
            <w:shd w:val="clear" w:color="auto" w:fill="C4EFCE"/>
            <w:vAlign w:val="center"/>
            <w:hideMark/>
          </w:tcPr>
          <w:p w14:paraId="04D0BEE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TC-C14 – i02-RAM</w:t>
            </w:r>
          </w:p>
        </w:tc>
        <w:tc>
          <w:tcPr>
            <w:tcW w:w="1520" w:type="dxa"/>
            <w:shd w:val="clear" w:color="auto" w:fill="C4EFCE"/>
            <w:vAlign w:val="center"/>
            <w:hideMark/>
          </w:tcPr>
          <w:p w14:paraId="5739366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48E80E7D"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Inštalácia nového synchrónneho kompenzátora</w:t>
            </w:r>
          </w:p>
        </w:tc>
      </w:tr>
      <w:tr w:rsidR="00387C70" w:rsidRPr="003F23AC" w14:paraId="5A41BED8" w14:textId="77777777">
        <w:trPr>
          <w:trHeight w:val="440"/>
        </w:trPr>
        <w:tc>
          <w:tcPr>
            <w:tcW w:w="1200" w:type="dxa"/>
            <w:shd w:val="clear" w:color="auto" w:fill="C4EFCE"/>
            <w:vAlign w:val="center"/>
            <w:hideMark/>
          </w:tcPr>
          <w:p w14:paraId="29F1340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14.6</w:t>
            </w:r>
          </w:p>
        </w:tc>
        <w:tc>
          <w:tcPr>
            <w:tcW w:w="1760" w:type="dxa"/>
            <w:shd w:val="clear" w:color="auto" w:fill="C4EFCE"/>
            <w:vAlign w:val="center"/>
            <w:hideMark/>
          </w:tcPr>
          <w:p w14:paraId="2564F54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TC-C14 – i02-RAM</w:t>
            </w:r>
          </w:p>
        </w:tc>
        <w:tc>
          <w:tcPr>
            <w:tcW w:w="1520" w:type="dxa"/>
            <w:shd w:val="clear" w:color="auto" w:fill="C4EFCE"/>
            <w:vAlign w:val="center"/>
            <w:hideMark/>
          </w:tcPr>
          <w:p w14:paraId="2D22D314" w14:textId="1F408B8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2C086CC6"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Renovovaná inštalovaná kapacita na výrobu vodnej energie</w:t>
            </w:r>
          </w:p>
        </w:tc>
      </w:tr>
      <w:tr w:rsidR="00387C70" w:rsidRPr="003F23AC" w14:paraId="67DAD308" w14:textId="77777777">
        <w:trPr>
          <w:trHeight w:val="440"/>
        </w:trPr>
        <w:tc>
          <w:tcPr>
            <w:tcW w:w="1200" w:type="dxa"/>
            <w:shd w:val="clear" w:color="auto" w:fill="C4EFCE"/>
            <w:vAlign w:val="center"/>
            <w:hideMark/>
          </w:tcPr>
          <w:p w14:paraId="2743594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14.7</w:t>
            </w:r>
          </w:p>
        </w:tc>
        <w:tc>
          <w:tcPr>
            <w:tcW w:w="1760" w:type="dxa"/>
            <w:shd w:val="clear" w:color="auto" w:fill="C4EFCE"/>
            <w:vAlign w:val="center"/>
            <w:hideMark/>
          </w:tcPr>
          <w:p w14:paraId="5DC4FFD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TC-C14 – i02-RAM</w:t>
            </w:r>
          </w:p>
        </w:tc>
        <w:tc>
          <w:tcPr>
            <w:tcW w:w="1520" w:type="dxa"/>
            <w:shd w:val="clear" w:color="auto" w:fill="C4EFCE"/>
            <w:vAlign w:val="center"/>
            <w:hideMark/>
          </w:tcPr>
          <w:p w14:paraId="6996B48A" w14:textId="21158E4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5598F423" w14:textId="614FC6F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Dodatočná inštalovaná kapacita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batériovom systéme uskladňovania energie</w:t>
            </w:r>
          </w:p>
        </w:tc>
      </w:tr>
      <w:tr w:rsidR="00387C70" w:rsidRPr="003F23AC" w14:paraId="33AF3466" w14:textId="77777777">
        <w:trPr>
          <w:trHeight w:val="440"/>
        </w:trPr>
        <w:tc>
          <w:tcPr>
            <w:tcW w:w="1200" w:type="dxa"/>
            <w:shd w:val="clear" w:color="auto" w:fill="C4EFCE"/>
            <w:vAlign w:val="center"/>
            <w:hideMark/>
          </w:tcPr>
          <w:p w14:paraId="50DEBE7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15.5</w:t>
            </w:r>
          </w:p>
        </w:tc>
        <w:tc>
          <w:tcPr>
            <w:tcW w:w="1760" w:type="dxa"/>
            <w:shd w:val="clear" w:color="auto" w:fill="C4EFCE"/>
            <w:vAlign w:val="center"/>
            <w:hideMark/>
          </w:tcPr>
          <w:p w14:paraId="0C3D859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TC-C15-i02</w:t>
            </w:r>
          </w:p>
        </w:tc>
        <w:tc>
          <w:tcPr>
            <w:tcW w:w="1520" w:type="dxa"/>
            <w:shd w:val="clear" w:color="auto" w:fill="C4EFCE"/>
            <w:vAlign w:val="center"/>
            <w:hideMark/>
          </w:tcPr>
          <w:p w14:paraId="2F39D73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5901C353" w14:textId="7450EC3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pokroku pri rozširovaní siete Porto Metro</w:t>
            </w:r>
          </w:p>
        </w:tc>
      </w:tr>
      <w:tr w:rsidR="00387C70" w:rsidRPr="003F23AC" w14:paraId="7CD1B8EB" w14:textId="77777777">
        <w:trPr>
          <w:trHeight w:val="440"/>
        </w:trPr>
        <w:tc>
          <w:tcPr>
            <w:tcW w:w="1200" w:type="dxa"/>
            <w:shd w:val="clear" w:color="auto" w:fill="C4EFCE"/>
            <w:vAlign w:val="center"/>
            <w:hideMark/>
          </w:tcPr>
          <w:p w14:paraId="637A007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15.11</w:t>
            </w:r>
          </w:p>
        </w:tc>
        <w:tc>
          <w:tcPr>
            <w:tcW w:w="1760" w:type="dxa"/>
            <w:shd w:val="clear" w:color="auto" w:fill="C4EFCE"/>
            <w:vAlign w:val="center"/>
            <w:hideMark/>
          </w:tcPr>
          <w:p w14:paraId="5A701BF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TC-C15 – i04</w:t>
            </w:r>
          </w:p>
        </w:tc>
        <w:tc>
          <w:tcPr>
            <w:tcW w:w="1520" w:type="dxa"/>
            <w:shd w:val="clear" w:color="auto" w:fill="C4EFCE"/>
            <w:vAlign w:val="center"/>
            <w:hideMark/>
          </w:tcPr>
          <w:p w14:paraId="19EE7515" w14:textId="47B88019"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6C0E54A2" w14:textId="74B29FA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Výstavba rýchlej tranzitnej linky Bus medzi Praça do Império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Praça Albuquerque Mouzinho</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Porte</w:t>
            </w:r>
          </w:p>
        </w:tc>
      </w:tr>
      <w:tr w:rsidR="00387C70" w:rsidRPr="003F23AC" w14:paraId="2779212F" w14:textId="77777777">
        <w:trPr>
          <w:trHeight w:val="440"/>
        </w:trPr>
        <w:tc>
          <w:tcPr>
            <w:tcW w:w="1200" w:type="dxa"/>
            <w:shd w:val="clear" w:color="auto" w:fill="C4EFCE"/>
            <w:vAlign w:val="center"/>
            <w:hideMark/>
          </w:tcPr>
          <w:p w14:paraId="14B0092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15.15</w:t>
            </w:r>
          </w:p>
        </w:tc>
        <w:tc>
          <w:tcPr>
            <w:tcW w:w="1760" w:type="dxa"/>
            <w:shd w:val="clear" w:color="auto" w:fill="C4EFCE"/>
            <w:vAlign w:val="center"/>
            <w:hideMark/>
          </w:tcPr>
          <w:p w14:paraId="405B174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TC-C15 – i06</w:t>
            </w:r>
          </w:p>
        </w:tc>
        <w:tc>
          <w:tcPr>
            <w:tcW w:w="1520" w:type="dxa"/>
            <w:shd w:val="clear" w:color="auto" w:fill="C4EFCE"/>
            <w:vAlign w:val="center"/>
            <w:hideMark/>
          </w:tcPr>
          <w:p w14:paraId="01989B9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5694D9EC" w14:textId="61ECB9F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Podpis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elektronických signalizačných systémoch</w:t>
            </w:r>
          </w:p>
        </w:tc>
      </w:tr>
      <w:tr w:rsidR="00387C70" w:rsidRPr="003F23AC" w14:paraId="56D38DB6" w14:textId="77777777">
        <w:trPr>
          <w:trHeight w:val="440"/>
        </w:trPr>
        <w:tc>
          <w:tcPr>
            <w:tcW w:w="1200" w:type="dxa"/>
            <w:shd w:val="clear" w:color="auto" w:fill="C4EFCE"/>
            <w:vAlign w:val="center"/>
            <w:hideMark/>
          </w:tcPr>
          <w:p w14:paraId="6CFABCF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16.5</w:t>
            </w:r>
          </w:p>
        </w:tc>
        <w:tc>
          <w:tcPr>
            <w:tcW w:w="1760" w:type="dxa"/>
            <w:shd w:val="clear" w:color="auto" w:fill="C4EFCE"/>
            <w:vAlign w:val="center"/>
            <w:hideMark/>
          </w:tcPr>
          <w:p w14:paraId="6A307F6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TD-C16-i02</w:t>
            </w:r>
          </w:p>
        </w:tc>
        <w:tc>
          <w:tcPr>
            <w:tcW w:w="1520" w:type="dxa"/>
            <w:shd w:val="clear" w:color="auto" w:fill="C4EFCE"/>
            <w:vAlign w:val="center"/>
            <w:hideMark/>
          </w:tcPr>
          <w:p w14:paraId="6195C394" w14:textId="6C7A4F09"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497CE114"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MSP podporované urýchľovačmi digitálneho obchodu</w:t>
            </w:r>
          </w:p>
        </w:tc>
      </w:tr>
      <w:tr w:rsidR="00387C70" w:rsidRPr="003F23AC" w14:paraId="56167A7A" w14:textId="77777777">
        <w:trPr>
          <w:trHeight w:val="440"/>
        </w:trPr>
        <w:tc>
          <w:tcPr>
            <w:tcW w:w="1200" w:type="dxa"/>
            <w:shd w:val="clear" w:color="auto" w:fill="C4EFCE"/>
            <w:vAlign w:val="center"/>
            <w:hideMark/>
          </w:tcPr>
          <w:p w14:paraId="0CF069F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17.5</w:t>
            </w:r>
          </w:p>
        </w:tc>
        <w:tc>
          <w:tcPr>
            <w:tcW w:w="1760" w:type="dxa"/>
            <w:shd w:val="clear" w:color="auto" w:fill="C4EFCE"/>
            <w:vAlign w:val="center"/>
            <w:hideMark/>
          </w:tcPr>
          <w:p w14:paraId="7E1E035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TD-C17-r32</w:t>
            </w:r>
          </w:p>
        </w:tc>
        <w:tc>
          <w:tcPr>
            <w:tcW w:w="1520" w:type="dxa"/>
            <w:shd w:val="clear" w:color="auto" w:fill="C4EFCE"/>
            <w:vAlign w:val="center"/>
            <w:hideMark/>
          </w:tcPr>
          <w:p w14:paraId="60722B6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16F87E6B"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Zavedenie mechanizmov na začlenenie preskúmania výdavkov do riadneho rozpočtového procesu vrátane následného hodnotenia úspor efektívnosti</w:t>
            </w:r>
          </w:p>
        </w:tc>
      </w:tr>
      <w:tr w:rsidR="00387C70" w:rsidRPr="003F23AC" w14:paraId="17788C3A" w14:textId="77777777">
        <w:trPr>
          <w:trHeight w:val="440"/>
        </w:trPr>
        <w:tc>
          <w:tcPr>
            <w:tcW w:w="1200" w:type="dxa"/>
            <w:shd w:val="clear" w:color="auto" w:fill="C4EFCE"/>
            <w:vAlign w:val="center"/>
            <w:hideMark/>
          </w:tcPr>
          <w:p w14:paraId="37658F9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17.10</w:t>
            </w:r>
          </w:p>
        </w:tc>
        <w:tc>
          <w:tcPr>
            <w:tcW w:w="1760" w:type="dxa"/>
            <w:shd w:val="clear" w:color="auto" w:fill="C4EFCE"/>
            <w:vAlign w:val="center"/>
            <w:hideMark/>
          </w:tcPr>
          <w:p w14:paraId="4E422B3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TD-C17-i01</w:t>
            </w:r>
          </w:p>
        </w:tc>
        <w:tc>
          <w:tcPr>
            <w:tcW w:w="1520" w:type="dxa"/>
            <w:shd w:val="clear" w:color="auto" w:fill="C4EFCE"/>
            <w:vAlign w:val="center"/>
            <w:hideMark/>
          </w:tcPr>
          <w:p w14:paraId="5B816A0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0ECE329E" w14:textId="1215B5F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Sprevádzkovanie informačného systému na prepracovanie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vykonávanie rozpočtového postupu, ktorý zahŕňa programové rozpočtovanie</w:t>
            </w:r>
          </w:p>
        </w:tc>
      </w:tr>
      <w:tr w:rsidR="00387C70" w:rsidRPr="003F23AC" w14:paraId="7961C854" w14:textId="77777777">
        <w:trPr>
          <w:trHeight w:val="440"/>
        </w:trPr>
        <w:tc>
          <w:tcPr>
            <w:tcW w:w="1200" w:type="dxa"/>
            <w:shd w:val="clear" w:color="auto" w:fill="C4EFCE"/>
            <w:vAlign w:val="center"/>
            <w:hideMark/>
          </w:tcPr>
          <w:p w14:paraId="06A842B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17.12</w:t>
            </w:r>
          </w:p>
        </w:tc>
        <w:tc>
          <w:tcPr>
            <w:tcW w:w="1760" w:type="dxa"/>
            <w:shd w:val="clear" w:color="auto" w:fill="C4EFCE"/>
            <w:vAlign w:val="center"/>
            <w:hideMark/>
          </w:tcPr>
          <w:p w14:paraId="001468C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TD-C17-i01</w:t>
            </w:r>
          </w:p>
        </w:tc>
        <w:tc>
          <w:tcPr>
            <w:tcW w:w="1520" w:type="dxa"/>
            <w:shd w:val="clear" w:color="auto" w:fill="C4EFCE"/>
            <w:vAlign w:val="center"/>
            <w:hideMark/>
          </w:tcPr>
          <w:p w14:paraId="2A0495A0" w14:textId="76069C65"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0CECF438" w14:textId="4E1DFE8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Dokončiť modernizáciu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zjednodušenie informačných systémov vnútroštátneho centrálneho systému verejného obstarávania</w:t>
            </w:r>
          </w:p>
        </w:tc>
      </w:tr>
      <w:tr w:rsidR="00387C70" w:rsidRPr="003F23AC" w14:paraId="3B8303FF" w14:textId="77777777">
        <w:trPr>
          <w:trHeight w:val="440"/>
        </w:trPr>
        <w:tc>
          <w:tcPr>
            <w:tcW w:w="1200" w:type="dxa"/>
            <w:shd w:val="clear" w:color="auto" w:fill="C4EFCE"/>
            <w:vAlign w:val="center"/>
            <w:hideMark/>
          </w:tcPr>
          <w:p w14:paraId="374F435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19.14</w:t>
            </w:r>
          </w:p>
        </w:tc>
        <w:tc>
          <w:tcPr>
            <w:tcW w:w="1760" w:type="dxa"/>
            <w:shd w:val="clear" w:color="auto" w:fill="C4EFCE"/>
            <w:vAlign w:val="center"/>
            <w:hideMark/>
          </w:tcPr>
          <w:p w14:paraId="76D8229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 – i04</w:t>
            </w:r>
          </w:p>
        </w:tc>
        <w:tc>
          <w:tcPr>
            <w:tcW w:w="1520" w:type="dxa"/>
            <w:shd w:val="clear" w:color="auto" w:fill="C4EFCE"/>
            <w:vAlign w:val="center"/>
            <w:hideMark/>
          </w:tcPr>
          <w:p w14:paraId="5CB3286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60230BA8" w14:textId="765589B5"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Modernizácia informačného systému bezpečnostných síl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služieb</w:t>
            </w:r>
          </w:p>
        </w:tc>
      </w:tr>
      <w:tr w:rsidR="00387C70" w:rsidRPr="003F23AC" w14:paraId="388D9FC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2C3D30E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19.25</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428A74B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TD-C19-i01</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54ABBBE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5B53CA88" w14:textId="326A6B3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Podpis programov na vytvorenie nových obchodov pre občanov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priestorov pre občanov</w:t>
            </w:r>
          </w:p>
        </w:tc>
      </w:tr>
      <w:tr w:rsidR="00387C70" w:rsidRPr="003F23AC" w14:paraId="355D6EE4" w14:textId="77777777">
        <w:trPr>
          <w:trHeight w:val="440"/>
        </w:trPr>
        <w:tc>
          <w:tcPr>
            <w:tcW w:w="1200" w:type="dxa"/>
            <w:shd w:val="clear" w:color="auto" w:fill="C4EFCE"/>
            <w:vAlign w:val="center"/>
            <w:hideMark/>
          </w:tcPr>
          <w:p w14:paraId="2C38072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19.28</w:t>
            </w:r>
          </w:p>
        </w:tc>
        <w:tc>
          <w:tcPr>
            <w:tcW w:w="1760" w:type="dxa"/>
            <w:shd w:val="clear" w:color="auto" w:fill="C4EFCE"/>
            <w:vAlign w:val="center"/>
            <w:hideMark/>
          </w:tcPr>
          <w:p w14:paraId="7C77969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TD-C19-i05-RAM</w:t>
            </w:r>
          </w:p>
        </w:tc>
        <w:tc>
          <w:tcPr>
            <w:tcW w:w="1520" w:type="dxa"/>
            <w:shd w:val="clear" w:color="auto" w:fill="C4EFCE"/>
            <w:vAlign w:val="center"/>
            <w:hideMark/>
          </w:tcPr>
          <w:p w14:paraId="12DA2CB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56F2A2D3"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Funkčný prototyp centralizovaného riešenia správy údajov</w:t>
            </w:r>
          </w:p>
        </w:tc>
      </w:tr>
      <w:tr w:rsidR="00387C70" w:rsidRPr="003F23AC" w14:paraId="0C5EE933" w14:textId="77777777">
        <w:trPr>
          <w:trHeight w:val="440"/>
        </w:trPr>
        <w:tc>
          <w:tcPr>
            <w:tcW w:w="1200" w:type="dxa"/>
            <w:shd w:val="clear" w:color="auto" w:fill="C4EFCE"/>
            <w:vAlign w:val="center"/>
            <w:hideMark/>
          </w:tcPr>
          <w:p w14:paraId="5C73EC6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20.4</w:t>
            </w:r>
          </w:p>
        </w:tc>
        <w:tc>
          <w:tcPr>
            <w:tcW w:w="1760" w:type="dxa"/>
            <w:shd w:val="clear" w:color="auto" w:fill="C4EFCE"/>
            <w:vAlign w:val="center"/>
            <w:hideMark/>
          </w:tcPr>
          <w:p w14:paraId="66421C5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TD-C20-i01</w:t>
            </w:r>
          </w:p>
        </w:tc>
        <w:tc>
          <w:tcPr>
            <w:tcW w:w="1520" w:type="dxa"/>
            <w:shd w:val="clear" w:color="auto" w:fill="C4EFCE"/>
            <w:vAlign w:val="center"/>
            <w:hideMark/>
          </w:tcPr>
          <w:p w14:paraId="114704EA" w14:textId="0E6EBFF2"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6C943269" w14:textId="2CB36F9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Modernizácia pripojiteľnosti na základných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stredných školách</w:t>
            </w:r>
          </w:p>
        </w:tc>
      </w:tr>
      <w:tr w:rsidR="00387C70" w:rsidRPr="003F23AC" w14:paraId="71AD5736" w14:textId="77777777">
        <w:trPr>
          <w:trHeight w:val="440"/>
        </w:trPr>
        <w:tc>
          <w:tcPr>
            <w:tcW w:w="1200" w:type="dxa"/>
            <w:shd w:val="clear" w:color="auto" w:fill="C4EFCE"/>
            <w:vAlign w:val="center"/>
            <w:hideMark/>
          </w:tcPr>
          <w:p w14:paraId="3024F12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20.5</w:t>
            </w:r>
          </w:p>
        </w:tc>
        <w:tc>
          <w:tcPr>
            <w:tcW w:w="1760" w:type="dxa"/>
            <w:shd w:val="clear" w:color="auto" w:fill="C4EFCE"/>
            <w:vAlign w:val="center"/>
            <w:hideMark/>
          </w:tcPr>
          <w:p w14:paraId="1444B57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TD-C20-i01</w:t>
            </w:r>
          </w:p>
        </w:tc>
        <w:tc>
          <w:tcPr>
            <w:tcW w:w="1520" w:type="dxa"/>
            <w:shd w:val="clear" w:color="auto" w:fill="C4EFCE"/>
            <w:vAlign w:val="center"/>
            <w:hideMark/>
          </w:tcPr>
          <w:p w14:paraId="2AF294F0" w14:textId="57BA94B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37487495"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Nainštalované laboratóriá digitálneho vzdelávania</w:t>
            </w:r>
          </w:p>
        </w:tc>
      </w:tr>
      <w:tr w:rsidR="00387C70" w:rsidRPr="003F23AC" w14:paraId="5D89430C" w14:textId="77777777">
        <w:trPr>
          <w:trHeight w:val="440"/>
        </w:trPr>
        <w:tc>
          <w:tcPr>
            <w:tcW w:w="1200" w:type="dxa"/>
            <w:shd w:val="clear" w:color="auto" w:fill="C4EFCE"/>
            <w:vAlign w:val="center"/>
            <w:hideMark/>
          </w:tcPr>
          <w:p w14:paraId="21F79FB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20.7</w:t>
            </w:r>
          </w:p>
        </w:tc>
        <w:tc>
          <w:tcPr>
            <w:tcW w:w="1760" w:type="dxa"/>
            <w:shd w:val="clear" w:color="auto" w:fill="C4EFCE"/>
            <w:vAlign w:val="center"/>
            <w:hideMark/>
          </w:tcPr>
          <w:p w14:paraId="33B6F4F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TD-C20-i01</w:t>
            </w:r>
          </w:p>
        </w:tc>
        <w:tc>
          <w:tcPr>
            <w:tcW w:w="1520" w:type="dxa"/>
            <w:shd w:val="clear" w:color="auto" w:fill="C4EFCE"/>
            <w:vAlign w:val="center"/>
            <w:hideMark/>
          </w:tcPr>
          <w:p w14:paraId="0CDF83A4" w14:textId="5E64FF1C"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75C9E5FE"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Posilnenie riadenia škôl</w:t>
            </w:r>
          </w:p>
        </w:tc>
      </w:tr>
      <w:tr w:rsidR="00387C70" w:rsidRPr="003F23AC" w14:paraId="095F7BC5" w14:textId="77777777">
        <w:trPr>
          <w:trHeight w:val="440"/>
        </w:trPr>
        <w:tc>
          <w:tcPr>
            <w:tcW w:w="1200" w:type="dxa"/>
            <w:shd w:val="clear" w:color="auto" w:fill="C4EFCE"/>
            <w:vAlign w:val="center"/>
            <w:hideMark/>
          </w:tcPr>
          <w:p w14:paraId="75DE144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20.15</w:t>
            </w:r>
          </w:p>
        </w:tc>
        <w:tc>
          <w:tcPr>
            <w:tcW w:w="1760" w:type="dxa"/>
            <w:shd w:val="clear" w:color="auto" w:fill="C4EFCE"/>
            <w:vAlign w:val="center"/>
            <w:hideMark/>
          </w:tcPr>
          <w:p w14:paraId="63BCB75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TD-C20-i03-RAM</w:t>
            </w:r>
          </w:p>
        </w:tc>
        <w:tc>
          <w:tcPr>
            <w:tcW w:w="1520" w:type="dxa"/>
            <w:shd w:val="clear" w:color="auto" w:fill="C4EFCE"/>
            <w:vAlign w:val="center"/>
            <w:hideMark/>
          </w:tcPr>
          <w:p w14:paraId="59D36764" w14:textId="686D428D"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1E3243CB" w14:textId="023F0E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Spojenie škôl</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p>
        </w:tc>
      </w:tr>
      <w:tr w:rsidR="00387C70" w:rsidRPr="003F23AC" w14:paraId="66DB9AD9" w14:textId="77777777">
        <w:trPr>
          <w:trHeight w:val="440"/>
        </w:trPr>
        <w:tc>
          <w:tcPr>
            <w:tcW w:w="1200" w:type="dxa"/>
            <w:shd w:val="clear" w:color="auto" w:fill="C4EFCE"/>
            <w:vAlign w:val="center"/>
            <w:hideMark/>
          </w:tcPr>
          <w:p w14:paraId="2F1BF0C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21.10</w:t>
            </w:r>
          </w:p>
        </w:tc>
        <w:tc>
          <w:tcPr>
            <w:tcW w:w="1760" w:type="dxa"/>
            <w:shd w:val="clear" w:color="auto" w:fill="C4EFCE"/>
            <w:vAlign w:val="center"/>
            <w:hideMark/>
          </w:tcPr>
          <w:p w14:paraId="5DF2108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RP-C21-r44</w:t>
            </w:r>
          </w:p>
        </w:tc>
        <w:tc>
          <w:tcPr>
            <w:tcW w:w="1520" w:type="dxa"/>
            <w:shd w:val="clear" w:color="auto" w:fill="C4EFCE"/>
            <w:vAlign w:val="center"/>
            <w:hideMark/>
          </w:tcPr>
          <w:p w14:paraId="2A7141B8" w14:textId="694E5FE9"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55F3038A"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Akcie zamerané na budovanie kapacít</w:t>
            </w:r>
          </w:p>
        </w:tc>
      </w:tr>
      <w:tr w:rsidR="00387C70" w:rsidRPr="003F23AC" w14:paraId="17B29DAC" w14:textId="77777777">
        <w:trPr>
          <w:trHeight w:val="440"/>
        </w:trPr>
        <w:tc>
          <w:tcPr>
            <w:tcW w:w="1200" w:type="dxa"/>
            <w:shd w:val="clear" w:color="auto" w:fill="C4EFCE"/>
            <w:vAlign w:val="center"/>
            <w:hideMark/>
          </w:tcPr>
          <w:p w14:paraId="11D06F3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21.14</w:t>
            </w:r>
          </w:p>
        </w:tc>
        <w:tc>
          <w:tcPr>
            <w:tcW w:w="1760" w:type="dxa"/>
            <w:shd w:val="clear" w:color="auto" w:fill="C4EFCE"/>
            <w:vAlign w:val="center"/>
            <w:hideMark/>
          </w:tcPr>
          <w:p w14:paraId="04487365" w14:textId="1CEA46B2"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RP-C21-r45</w:t>
            </w:r>
          </w:p>
        </w:tc>
        <w:tc>
          <w:tcPr>
            <w:tcW w:w="1520" w:type="dxa"/>
            <w:shd w:val="clear" w:color="auto" w:fill="C4EFCE"/>
            <w:vAlign w:val="center"/>
            <w:hideMark/>
          </w:tcPr>
          <w:p w14:paraId="6A7FA34F" w14:textId="01900B7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3DA901B0" w14:textId="4094F3F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Odborná príprava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ekologických zručností</w:t>
            </w:r>
          </w:p>
        </w:tc>
      </w:tr>
      <w:tr w:rsidR="00387C70" w:rsidRPr="003F23AC" w14:paraId="7B6DBAA0" w14:textId="77777777">
        <w:trPr>
          <w:trHeight w:val="440"/>
        </w:trPr>
        <w:tc>
          <w:tcPr>
            <w:tcW w:w="1200" w:type="dxa"/>
            <w:shd w:val="clear" w:color="auto" w:fill="C4EFCE"/>
            <w:vAlign w:val="center"/>
            <w:hideMark/>
          </w:tcPr>
          <w:p w14:paraId="3A57961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21.30</w:t>
            </w:r>
          </w:p>
        </w:tc>
        <w:tc>
          <w:tcPr>
            <w:tcW w:w="1760" w:type="dxa"/>
            <w:shd w:val="clear" w:color="auto" w:fill="C4EFCE"/>
            <w:vAlign w:val="center"/>
            <w:hideMark/>
          </w:tcPr>
          <w:p w14:paraId="4D24E80F" w14:textId="66AD4A61"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RP-C21-i9</w:t>
            </w:r>
          </w:p>
        </w:tc>
        <w:tc>
          <w:tcPr>
            <w:tcW w:w="1520" w:type="dxa"/>
            <w:shd w:val="clear" w:color="auto" w:fill="C4EFCE"/>
            <w:vAlign w:val="center"/>
            <w:hideMark/>
          </w:tcPr>
          <w:p w14:paraId="1BE7782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19F8DE1D" w14:textId="7B0D69A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Sprevádzkovanie modulov prvej fázy digitálnej platformy jednotného kontaktného miesta pre povoľovanie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monitorovanie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p>
        </w:tc>
      </w:tr>
      <w:tr w:rsidR="00387C70" w:rsidRPr="003F23AC" w14:paraId="7AEA5439" w14:textId="77777777">
        <w:trPr>
          <w:trHeight w:val="440"/>
        </w:trPr>
        <w:tc>
          <w:tcPr>
            <w:tcW w:w="1200" w:type="dxa"/>
            <w:shd w:val="clear" w:color="auto" w:fill="C4EFCE"/>
            <w:vAlign w:val="center"/>
            <w:hideMark/>
          </w:tcPr>
          <w:p w14:paraId="3B9D7FE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21.38</w:t>
            </w:r>
          </w:p>
        </w:tc>
        <w:tc>
          <w:tcPr>
            <w:tcW w:w="1760" w:type="dxa"/>
            <w:shd w:val="clear" w:color="auto" w:fill="C4EFCE"/>
            <w:vAlign w:val="center"/>
            <w:hideMark/>
          </w:tcPr>
          <w:p w14:paraId="244019BC" w14:textId="436D420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RP-C21-i14</w:t>
            </w:r>
          </w:p>
        </w:tc>
        <w:tc>
          <w:tcPr>
            <w:tcW w:w="1520" w:type="dxa"/>
            <w:shd w:val="clear" w:color="auto" w:fill="C4EFCE"/>
            <w:vAlign w:val="center"/>
            <w:hideMark/>
          </w:tcPr>
          <w:p w14:paraId="4A27F4D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79E90178" w14:textId="15E10B4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výstavbe dvoch liniek rýchleho tranzitu Bus</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Brage</w:t>
            </w:r>
          </w:p>
        </w:tc>
      </w:tr>
      <w:tr w:rsidR="00387C70" w:rsidRPr="003F23AC" w14:paraId="385E0783" w14:textId="77777777">
        <w:trPr>
          <w:trHeight w:val="440"/>
        </w:trPr>
        <w:tc>
          <w:tcPr>
            <w:tcW w:w="1200" w:type="dxa"/>
            <w:shd w:val="clear" w:color="auto" w:fill="C4EFCE"/>
            <w:vAlign w:val="center"/>
            <w:hideMark/>
          </w:tcPr>
          <w:p w14:paraId="0AAE03D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21.42</w:t>
            </w:r>
          </w:p>
        </w:tc>
        <w:tc>
          <w:tcPr>
            <w:tcW w:w="1760" w:type="dxa"/>
            <w:shd w:val="clear" w:color="auto" w:fill="C4EFCE"/>
            <w:vAlign w:val="center"/>
            <w:hideMark/>
          </w:tcPr>
          <w:p w14:paraId="50D56588" w14:textId="707B6BFA"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 – i16</w:t>
            </w:r>
          </w:p>
        </w:tc>
        <w:tc>
          <w:tcPr>
            <w:tcW w:w="1520" w:type="dxa"/>
            <w:shd w:val="clear" w:color="auto" w:fill="C4EFCE"/>
            <w:vAlign w:val="center"/>
          </w:tcPr>
          <w:p w14:paraId="25A4EEDF" w14:textId="77777777" w:rsidR="00387C70" w:rsidRPr="003F23AC" w:rsidRDefault="000F5AA4"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tcPr>
          <w:p w14:paraId="436C9A08" w14:textId="7C401151" w:rsidR="00387C70" w:rsidRPr="003F23AC" w:rsidRDefault="000F5AA4" w:rsidP="003F23AC">
            <w:pPr>
              <w:pStyle w:val="P68B1DB1-Normal23"/>
              <w:spacing w:after="0" w:line="240" w:lineRule="auto"/>
              <w:rPr>
                <w:rFonts w:ascii="Times New Roman" w:hAnsi="Times New Roman" w:cs="Times New Roman"/>
                <w:i/>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realizácii projektu</w:t>
            </w:r>
          </w:p>
        </w:tc>
      </w:tr>
      <w:tr w:rsidR="00387C70" w:rsidRPr="003F23AC" w14:paraId="4F03A3E2" w14:textId="77777777">
        <w:trPr>
          <w:trHeight w:val="440"/>
        </w:trPr>
        <w:tc>
          <w:tcPr>
            <w:tcW w:w="1200" w:type="dxa"/>
            <w:shd w:val="clear" w:color="auto" w:fill="C4EFCE"/>
            <w:vAlign w:val="center"/>
          </w:tcPr>
          <w:p w14:paraId="0A5307EE" w14:textId="77777777" w:rsidR="00387C70" w:rsidRPr="003F23AC" w:rsidRDefault="00387C70" w:rsidP="003F23AC">
            <w:pPr>
              <w:spacing w:after="0"/>
              <w:jc w:val="center"/>
              <w:rPr>
                <w:rFonts w:ascii="Times New Roman" w:eastAsia="Calibri" w:hAnsi="Times New Roman" w:cs="Times New Roman"/>
                <w:noProof/>
                <w:sz w:val="18"/>
                <w:lang w:val="sk-SK"/>
              </w:rPr>
            </w:pPr>
          </w:p>
        </w:tc>
        <w:tc>
          <w:tcPr>
            <w:tcW w:w="1760" w:type="dxa"/>
            <w:shd w:val="clear" w:color="auto" w:fill="C4EFCE"/>
            <w:vAlign w:val="center"/>
          </w:tcPr>
          <w:p w14:paraId="2E63F90C" w14:textId="77777777" w:rsidR="00387C70" w:rsidRPr="003F23AC" w:rsidRDefault="00387C70" w:rsidP="003F23AC">
            <w:pPr>
              <w:spacing w:after="0"/>
              <w:jc w:val="center"/>
              <w:rPr>
                <w:rFonts w:ascii="Times New Roman" w:eastAsia="Calibri" w:hAnsi="Times New Roman" w:cs="Times New Roman"/>
                <w:noProof/>
                <w:sz w:val="18"/>
                <w:lang w:val="sk-SK"/>
              </w:rPr>
            </w:pPr>
          </w:p>
        </w:tc>
        <w:tc>
          <w:tcPr>
            <w:tcW w:w="1520" w:type="dxa"/>
            <w:shd w:val="clear" w:color="auto" w:fill="C4EFCE"/>
            <w:vAlign w:val="center"/>
          </w:tcPr>
          <w:p w14:paraId="4C56150E" w14:textId="77777777" w:rsidR="00387C70" w:rsidRPr="003F23AC" w:rsidRDefault="000F5AA4" w:rsidP="003F23AC">
            <w:pPr>
              <w:pStyle w:val="P68B1DB1-Normal24"/>
              <w:spacing w:after="0"/>
              <w:jc w:val="center"/>
              <w:rPr>
                <w:rFonts w:ascii="Times New Roman" w:eastAsia="Calibri" w:hAnsi="Times New Roman" w:cs="Times New Roman"/>
                <w:noProof/>
                <w:sz w:val="18"/>
                <w:lang w:val="sk-SK"/>
              </w:rPr>
            </w:pPr>
            <w:r w:rsidRPr="003F23AC">
              <w:rPr>
                <w:rFonts w:ascii="Times New Roman" w:hAnsi="Times New Roman" w:cs="Times New Roman"/>
                <w:noProof/>
                <w:lang w:val="sk-SK"/>
              </w:rPr>
              <w:t>Suma splátky</w:t>
            </w:r>
          </w:p>
        </w:tc>
        <w:tc>
          <w:tcPr>
            <w:tcW w:w="5060" w:type="dxa"/>
            <w:shd w:val="clear" w:color="auto" w:fill="C4EFCE"/>
            <w:vAlign w:val="center"/>
          </w:tcPr>
          <w:p w14:paraId="1D728FCE" w14:textId="38E3108A" w:rsidR="00387C70" w:rsidRPr="003F23AC" w:rsidRDefault="003A06C1" w:rsidP="003F23AC">
            <w:pPr>
              <w:pStyle w:val="P68B1DB1-Normal25"/>
              <w:spacing w:after="0"/>
              <w:jc w:val="center"/>
              <w:rPr>
                <w:rFonts w:ascii="Times New Roman" w:eastAsia="Calibri" w:hAnsi="Times New Roman" w:cs="Times New Roman"/>
                <w:noProof/>
                <w:sz w:val="18"/>
                <w:lang w:val="sk-SK"/>
              </w:rPr>
            </w:pPr>
            <w:r w:rsidRPr="003F23AC">
              <w:rPr>
                <w:rFonts w:ascii="Times New Roman" w:hAnsi="Times New Roman" w:cs="Times New Roman"/>
                <w:noProof/>
                <w:lang w:val="sk-SK"/>
              </w:rPr>
              <w:t>EUR 2 023 192 454</w:t>
            </w:r>
          </w:p>
        </w:tc>
      </w:tr>
    </w:tbl>
    <w:p w14:paraId="59B2EAF8" w14:textId="77777777" w:rsidR="00387C70" w:rsidRPr="003F23AC" w:rsidRDefault="00387C70" w:rsidP="003F23AC">
      <w:pPr>
        <w:spacing w:before="40" w:after="160" w:line="259" w:lineRule="auto"/>
        <w:ind w:left="360"/>
        <w:contextualSpacing/>
        <w:jc w:val="both"/>
        <w:rPr>
          <w:rFonts w:ascii="Times New Roman" w:eastAsiaTheme="minorEastAsia" w:hAnsi="Times New Roman" w:cs="Times New Roman"/>
          <w:noProof/>
          <w:sz w:val="24"/>
          <w:lang w:val="sk-SK"/>
        </w:rPr>
      </w:pPr>
    </w:p>
    <w:p w14:paraId="00AD83FF" w14:textId="3844A2F5" w:rsidR="00A75B3C" w:rsidRPr="003F23AC" w:rsidRDefault="000F5AA4" w:rsidP="003F23AC">
      <w:pPr>
        <w:pStyle w:val="P68B1DB1-Normal4"/>
        <w:numPr>
          <w:ilvl w:val="1"/>
          <w:numId w:val="19"/>
        </w:numPr>
        <w:spacing w:before="40" w:after="160" w:line="259" w:lineRule="auto"/>
        <w:contextualSpacing/>
        <w:jc w:val="both"/>
        <w:rPr>
          <w:rFonts w:cs="Times New Roman"/>
          <w:noProof/>
          <w:lang w:val="sk-SK"/>
        </w:rPr>
      </w:pPr>
      <w:r w:rsidRPr="003F23AC">
        <w:rPr>
          <w:rFonts w:cs="Times New Roman"/>
          <w:noProof/>
          <w:lang w:val="sk-SK"/>
        </w:rPr>
        <w:t>Ôsma žiadosť</w:t>
      </w:r>
      <w:r w:rsidR="00A75B3C" w:rsidRPr="003F23AC">
        <w:rPr>
          <w:rFonts w:cs="Times New Roman"/>
          <w:noProof/>
          <w:lang w:val="sk-SK"/>
        </w:rPr>
        <w:t xml:space="preserve"> o </w:t>
      </w:r>
      <w:r w:rsidRPr="003F23AC">
        <w:rPr>
          <w:rFonts w:cs="Times New Roman"/>
          <w:noProof/>
          <w:lang w:val="sk-SK"/>
        </w:rPr>
        <w:t>platbu (nenávratná podpora)</w:t>
      </w:r>
      <w:r w:rsidR="00A75B3C" w:rsidRPr="003F23AC">
        <w:rPr>
          <w:rFonts w:cs="Times New Roman"/>
          <w:noProof/>
          <w:lang w:val="sk-SK"/>
        </w:rPr>
        <w:t>:</w:t>
      </w:r>
    </w:p>
    <w:p w14:paraId="03F528E5" w14:textId="53DA81AC"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tbl>
      <w:tblPr>
        <w:tblW w:w="9540" w:type="dxa"/>
        <w:tblInd w:w="113" w:type="dxa"/>
        <w:tblLook w:val="04A0" w:firstRow="1" w:lastRow="0" w:firstColumn="1" w:lastColumn="0" w:noHBand="0" w:noVBand="1"/>
      </w:tblPr>
      <w:tblGrid>
        <w:gridCol w:w="1200"/>
        <w:gridCol w:w="1760"/>
        <w:gridCol w:w="1520"/>
        <w:gridCol w:w="5060"/>
      </w:tblGrid>
      <w:tr w:rsidR="00387C70" w:rsidRPr="003F23AC" w14:paraId="51282D2E" w14:textId="77777777">
        <w:trPr>
          <w:trHeight w:val="509"/>
          <w:tblHeader/>
        </w:trPr>
        <w:tc>
          <w:tcPr>
            <w:tcW w:w="120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F2E938F"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8DFC1E5"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B1E4C39"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045F2557"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43E0E792" w14:textId="77777777">
        <w:trPr>
          <w:trHeight w:val="509"/>
          <w:tblHead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0D5A2EDB" w14:textId="77777777" w:rsidR="00387C70" w:rsidRPr="003F23AC" w:rsidRDefault="00387C70" w:rsidP="003F23AC">
            <w:pPr>
              <w:spacing w:after="0" w:line="240" w:lineRule="auto"/>
              <w:rPr>
                <w:rFonts w:ascii="Times New Roman" w:eastAsia="Times New Roman" w:hAnsi="Times New Roman" w:cs="Times New Roman"/>
                <w:b/>
                <w:noProof/>
                <w:sz w:val="20"/>
                <w:lang w:val="sk-SK"/>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57C445AC" w14:textId="77777777" w:rsidR="00387C70" w:rsidRPr="003F23AC" w:rsidRDefault="00387C70" w:rsidP="003F23AC">
            <w:pPr>
              <w:spacing w:after="0" w:line="240" w:lineRule="auto"/>
              <w:rPr>
                <w:rFonts w:ascii="Times New Roman" w:eastAsia="Times New Roman" w:hAnsi="Times New Roman" w:cs="Times New Roman"/>
                <w:b/>
                <w:noProof/>
                <w:sz w:val="20"/>
                <w:lang w:val="sk-SK"/>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1FB1C794" w14:textId="77777777" w:rsidR="00387C70" w:rsidRPr="003F23AC" w:rsidRDefault="00387C70" w:rsidP="003F23AC">
            <w:pPr>
              <w:spacing w:after="0" w:line="240" w:lineRule="auto"/>
              <w:rPr>
                <w:rFonts w:ascii="Times New Roman" w:eastAsia="Times New Roman" w:hAnsi="Times New Roman" w:cs="Times New Roman"/>
                <w:b/>
                <w:noProof/>
                <w:sz w:val="20"/>
                <w:lang w:val="sk-SK"/>
              </w:rPr>
            </w:pPr>
          </w:p>
        </w:tc>
        <w:tc>
          <w:tcPr>
            <w:tcW w:w="5060" w:type="dxa"/>
            <w:vMerge/>
            <w:tcBorders>
              <w:top w:val="single" w:sz="4" w:space="0" w:color="auto"/>
              <w:left w:val="single" w:sz="4" w:space="0" w:color="auto"/>
              <w:bottom w:val="single" w:sz="4" w:space="0" w:color="auto"/>
              <w:right w:val="single" w:sz="4" w:space="0" w:color="auto"/>
            </w:tcBorders>
            <w:vAlign w:val="center"/>
            <w:hideMark/>
          </w:tcPr>
          <w:p w14:paraId="0242486B" w14:textId="77777777" w:rsidR="00387C70" w:rsidRPr="003F23AC" w:rsidRDefault="00387C70" w:rsidP="003F23AC">
            <w:pPr>
              <w:spacing w:after="0" w:line="240" w:lineRule="auto"/>
              <w:rPr>
                <w:rFonts w:ascii="Times New Roman" w:eastAsia="Times New Roman" w:hAnsi="Times New Roman" w:cs="Times New Roman"/>
                <w:b/>
                <w:noProof/>
                <w:sz w:val="20"/>
                <w:lang w:val="sk-SK"/>
              </w:rPr>
            </w:pPr>
          </w:p>
        </w:tc>
      </w:tr>
      <w:tr w:rsidR="00387C70" w:rsidRPr="003F23AC" w14:paraId="477022A0"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26209672"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1.34</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4B386C0E" w14:textId="3EF05DD9" w:rsidR="00387C70" w:rsidRPr="003F23AC" w:rsidRDefault="00F218FC"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C01-i06</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4E962A5B" w14:textId="2347FCC9" w:rsidR="00387C70" w:rsidRPr="003F23AC" w:rsidRDefault="00C32C63"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71E3B3A8" w14:textId="0A368938"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Implementácia administratívnych modulov informačných technológií, základných klinických modulov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pohotovostných klinických modulov</w:t>
            </w:r>
          </w:p>
        </w:tc>
      </w:tr>
      <w:tr w:rsidR="00387C70" w:rsidRPr="003F23AC" w14:paraId="2D80F58A"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33ED31DD"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2.29</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2D9EA7AE" w14:textId="7AACAF7F" w:rsidR="00387C70" w:rsidRPr="003F23AC" w:rsidRDefault="00F218FC"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C02-i01</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3A93811F" w14:textId="348E6BAA" w:rsidR="00387C70" w:rsidRPr="003F23AC" w:rsidRDefault="00C32C63"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47CD63F8" w14:textId="11CA7FFF"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Program na podporu prístupu</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bývaniu – kúpené, postavené (vysoká energetická efektívnosť) alebo renovované (so zlepšenou energetickou hospodárnosťou) byty poskytované domácnostiam</w:t>
            </w:r>
          </w:p>
        </w:tc>
      </w:tr>
      <w:tr w:rsidR="00387C70" w:rsidRPr="003F23AC" w14:paraId="16BAF701"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47587DCF"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3.29</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28DF3D66" w14:textId="14C100DC" w:rsidR="00387C70" w:rsidRPr="003F23AC" w:rsidRDefault="00F218FC"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C03-r38</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17434BAC"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M</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0BBAC241" w14:textId="77777777"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Správa pracovnej skupiny pre jednotné sociálne dávky</w:t>
            </w:r>
          </w:p>
        </w:tc>
      </w:tr>
      <w:tr w:rsidR="00387C70" w:rsidRPr="003F23AC" w14:paraId="45320B6C"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1DA2AE78"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6.1</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050BE18D" w14:textId="09D222EA" w:rsidR="00387C70" w:rsidRPr="003F23AC" w:rsidRDefault="00F218FC"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C06-i01</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33D89B4A" w14:textId="631DDCC1" w:rsidR="00387C70" w:rsidRPr="003F23AC" w:rsidRDefault="00C32C63"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17CA4126" w14:textId="77777777"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Renovované alebo vybudované špecializované technologické centrá</w:t>
            </w:r>
          </w:p>
        </w:tc>
      </w:tr>
      <w:tr w:rsidR="00387C70" w:rsidRPr="003F23AC" w14:paraId="7C00D43E"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2BED060D"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6.8</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3F0DF611" w14:textId="47720632" w:rsidR="00387C70" w:rsidRPr="003F23AC" w:rsidRDefault="00F218FC"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C06-i04</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15A5BFBF" w14:textId="2E5450FF" w:rsidR="00387C70" w:rsidRPr="003F23AC" w:rsidRDefault="00C32C63"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12B9C680" w14:textId="0FE28675"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Dodatočný počet študentov, ktorí absolvovali kurzy terciárneho vzdelávania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odboroch STEAM</w:t>
            </w:r>
          </w:p>
        </w:tc>
      </w:tr>
      <w:tr w:rsidR="00387C70" w:rsidRPr="003F23AC" w14:paraId="3AD54D52"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46DB541F"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8.6</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6736FE01" w14:textId="3852FC14" w:rsidR="00387C70" w:rsidRPr="003F23AC" w:rsidRDefault="00F218FC"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C08-i02</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43BB56E9"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M</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05020DBA" w14:textId="77777777"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Vypracovanie referenčného mapovania pre systém monitorovania krajinnej pokrývky (SMOS)</w:t>
            </w:r>
          </w:p>
        </w:tc>
      </w:tr>
      <w:tr w:rsidR="00387C70" w:rsidRPr="003F23AC" w14:paraId="039E9D87"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240417D6"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9.12</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4C132670" w14:textId="499EA11A" w:rsidR="00387C70" w:rsidRPr="003F23AC" w:rsidRDefault="00F218FC"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C09-i03</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15B66B49" w14:textId="5CC542BA" w:rsidR="00387C70" w:rsidRPr="003F23AC" w:rsidRDefault="00C32C63"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123E85C5" w14:textId="77777777"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Ďalšie km renovovaných alebo rekonštruovaných kanálov</w:t>
            </w:r>
          </w:p>
        </w:tc>
      </w:tr>
      <w:tr w:rsidR="00387C70" w:rsidRPr="003F23AC" w14:paraId="392112A0"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770DF80A"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13.2</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6DF19A15"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TC-C13-i01</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68B0FA9B" w14:textId="3FBB5DFC" w:rsidR="00387C70" w:rsidRPr="003F23AC" w:rsidRDefault="00C32C63"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688B0A90" w14:textId="1AC2101E"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Obnova súkromných bytových budov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hľadiska energetickej efektívnosti</w:t>
            </w:r>
          </w:p>
        </w:tc>
      </w:tr>
      <w:tr w:rsidR="00387C70" w:rsidRPr="003F23AC" w14:paraId="3F852D06"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44D45592"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13.5</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20E3ACE4"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TC-C13-i02</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596C5B0D" w14:textId="3D5B9AA0" w:rsidR="00387C70" w:rsidRPr="003F23AC" w:rsidRDefault="00C32C63"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2CEDF2B7" w14:textId="77777777"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Obnova budov ústredných orgánov štátnej správy zameraná na energetickú efektívnosť</w:t>
            </w:r>
          </w:p>
        </w:tc>
      </w:tr>
      <w:tr w:rsidR="00387C70" w:rsidRPr="003F23AC" w14:paraId="2194D2EE"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731D1126"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13.8</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3D27D411"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TC-C13-i03</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3BFF745B" w14:textId="20D8F98B" w:rsidR="00387C70" w:rsidRPr="003F23AC" w:rsidRDefault="00C32C63"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521F9B47" w14:textId="77777777"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Obnova budov súkromných služieb zameraná na energetickú efektívnosť</w:t>
            </w:r>
          </w:p>
        </w:tc>
      </w:tr>
      <w:tr w:rsidR="00387C70" w:rsidRPr="003F23AC" w14:paraId="340E5320"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656CA9A8"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14.8</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14B590E3"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TC-C14-i02</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14841BCD" w14:textId="36B97328" w:rsidR="00387C70" w:rsidRPr="003F23AC" w:rsidRDefault="00C32C63"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2B2B37F4" w14:textId="77777777"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Dodatočná kapacita na integráciu nového inštalovaného výkonu do elektrizačnej sústavy</w:t>
            </w:r>
          </w:p>
        </w:tc>
      </w:tr>
      <w:tr w:rsidR="00387C70" w:rsidRPr="003F23AC" w14:paraId="0BF233CD"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2497B10B"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17.24</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6A6FB23C" w14:textId="52A4CD72"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TD-C17-r40</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5A158D53"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M</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07DB87B7" w14:textId="0E67D984"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Uverejnenie hodnotiacej správy U-TAX</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existujúcich daňových výhodách</w:t>
            </w:r>
          </w:p>
        </w:tc>
      </w:tr>
      <w:tr w:rsidR="00387C70" w:rsidRPr="003F23AC" w14:paraId="0AC27CC9"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65B9FB6A"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19.16</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2AEEF756"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TD-C19-i05-RAM</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2C937250" w14:textId="6B8B90EC" w:rsidR="00387C70" w:rsidRPr="003F23AC" w:rsidRDefault="00C32C63"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2F953943" w14:textId="13DCC2F4"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Verejné služby pre občanov, návštevníkov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podniky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p>
        </w:tc>
      </w:tr>
      <w:tr w:rsidR="00387C70" w:rsidRPr="003F23AC" w14:paraId="57E07F0C"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6239DC65"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19.17</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60C9036E"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TD-C19-i05-RAM</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1A956CA7"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M</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71760667" w14:textId="1EBFA983"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Modernizácia kritickej infraštruktúry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počítačovej architektúry verejných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p>
        </w:tc>
      </w:tr>
      <w:tr w:rsidR="00387C70" w:rsidRPr="003F23AC" w14:paraId="50C6DABF"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5A76E34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19.27</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1DF9CE3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TD-C19-i01</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13681EDF" w14:textId="122730F0"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1C750829" w14:textId="5FBBDF0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Žiadosť občanov</w:t>
            </w:r>
          </w:p>
        </w:tc>
      </w:tr>
      <w:tr w:rsidR="00387C70" w:rsidRPr="003F23AC" w14:paraId="308524AB"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270544E"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19.34</w:t>
            </w:r>
          </w:p>
        </w:tc>
        <w:tc>
          <w:tcPr>
            <w:tcW w:w="1760" w:type="dxa"/>
            <w:tcBorders>
              <w:top w:val="nil"/>
              <w:left w:val="nil"/>
              <w:bottom w:val="single" w:sz="4" w:space="0" w:color="auto"/>
              <w:right w:val="single" w:sz="4" w:space="0" w:color="auto"/>
            </w:tcBorders>
            <w:shd w:val="clear" w:color="auto" w:fill="C4EFCE"/>
            <w:vAlign w:val="center"/>
            <w:hideMark/>
          </w:tcPr>
          <w:p w14:paraId="5A5F2BD8"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TD-C19-i08</w:t>
            </w:r>
          </w:p>
        </w:tc>
        <w:tc>
          <w:tcPr>
            <w:tcW w:w="1520" w:type="dxa"/>
            <w:tcBorders>
              <w:top w:val="nil"/>
              <w:left w:val="nil"/>
              <w:bottom w:val="single" w:sz="4" w:space="0" w:color="auto"/>
              <w:right w:val="single" w:sz="4" w:space="0" w:color="auto"/>
            </w:tcBorders>
            <w:shd w:val="clear" w:color="auto" w:fill="C4EFCE"/>
            <w:vAlign w:val="center"/>
            <w:hideMark/>
          </w:tcPr>
          <w:p w14:paraId="1021F2E2"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016F93C9" w14:textId="77777777"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Spustenie portálu inteligentných území</w:t>
            </w:r>
          </w:p>
        </w:tc>
      </w:tr>
      <w:tr w:rsidR="00387C70" w:rsidRPr="003F23AC" w14:paraId="32DC818D"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EDC72C2"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21.8</w:t>
            </w:r>
          </w:p>
        </w:tc>
        <w:tc>
          <w:tcPr>
            <w:tcW w:w="1760" w:type="dxa"/>
            <w:tcBorders>
              <w:top w:val="nil"/>
              <w:left w:val="nil"/>
              <w:bottom w:val="single" w:sz="4" w:space="0" w:color="auto"/>
              <w:right w:val="single" w:sz="4" w:space="0" w:color="auto"/>
            </w:tcBorders>
            <w:shd w:val="clear" w:color="auto" w:fill="C4EFCE"/>
            <w:vAlign w:val="center"/>
            <w:hideMark/>
          </w:tcPr>
          <w:p w14:paraId="6A2B827C"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RP-C21-r43</w:t>
            </w:r>
          </w:p>
        </w:tc>
        <w:tc>
          <w:tcPr>
            <w:tcW w:w="1520" w:type="dxa"/>
            <w:tcBorders>
              <w:top w:val="nil"/>
              <w:left w:val="nil"/>
              <w:bottom w:val="single" w:sz="4" w:space="0" w:color="auto"/>
              <w:right w:val="single" w:sz="4" w:space="0" w:color="auto"/>
            </w:tcBorders>
            <w:shd w:val="clear" w:color="auto" w:fill="C4EFCE"/>
            <w:vAlign w:val="center"/>
            <w:hideMark/>
          </w:tcPr>
          <w:p w14:paraId="2239B6F9"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1B2D45D3" w14:textId="77777777"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Spustenie nástroja financovania na boj proti energetickej chudobe</w:t>
            </w:r>
          </w:p>
        </w:tc>
      </w:tr>
      <w:tr w:rsidR="00387C70" w:rsidRPr="003F23AC" w14:paraId="5FD1D263"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062C627"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21.11</w:t>
            </w:r>
          </w:p>
        </w:tc>
        <w:tc>
          <w:tcPr>
            <w:tcW w:w="1760" w:type="dxa"/>
            <w:tcBorders>
              <w:top w:val="nil"/>
              <w:left w:val="nil"/>
              <w:bottom w:val="single" w:sz="4" w:space="0" w:color="auto"/>
              <w:right w:val="single" w:sz="4" w:space="0" w:color="auto"/>
            </w:tcBorders>
            <w:shd w:val="clear" w:color="auto" w:fill="C4EFCE"/>
            <w:vAlign w:val="center"/>
            <w:hideMark/>
          </w:tcPr>
          <w:p w14:paraId="7858AE64" w14:textId="77777777" w:rsidR="00387C70" w:rsidRPr="003F23AC" w:rsidRDefault="000F5AA4"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RP-C21-r44</w:t>
            </w:r>
          </w:p>
        </w:tc>
        <w:tc>
          <w:tcPr>
            <w:tcW w:w="1520" w:type="dxa"/>
            <w:tcBorders>
              <w:top w:val="nil"/>
              <w:left w:val="nil"/>
              <w:bottom w:val="single" w:sz="4" w:space="0" w:color="auto"/>
              <w:right w:val="single" w:sz="4" w:space="0" w:color="auto"/>
            </w:tcBorders>
            <w:shd w:val="clear" w:color="auto" w:fill="C4EFCE"/>
            <w:vAlign w:val="center"/>
            <w:hideMark/>
          </w:tcPr>
          <w:p w14:paraId="7D272590" w14:textId="37E533A9" w:rsidR="00387C70" w:rsidRPr="003F23AC" w:rsidRDefault="00C32C63" w:rsidP="003F23AC">
            <w:pPr>
              <w:pStyle w:val="P68B1DB1-Normal23"/>
              <w:spacing w:after="0"/>
              <w:jc w:val="center"/>
              <w:rPr>
                <w:rFonts w:ascii="Times New Roman" w:eastAsia="Calibri" w:hAnsi="Times New Roman" w:cs="Times New Roman"/>
                <w:noProof/>
                <w:sz w:val="20"/>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1D91399" w14:textId="77777777" w:rsidR="00387C70" w:rsidRPr="003F23AC" w:rsidRDefault="000F5AA4" w:rsidP="003F23AC">
            <w:pPr>
              <w:pStyle w:val="P68B1DB1-Normal23"/>
              <w:spacing w:after="0"/>
              <w:jc w:val="both"/>
              <w:rPr>
                <w:rFonts w:ascii="Times New Roman" w:eastAsia="Calibri" w:hAnsi="Times New Roman" w:cs="Times New Roman"/>
                <w:noProof/>
                <w:sz w:val="20"/>
                <w:lang w:val="sk-SK"/>
              </w:rPr>
            </w:pPr>
            <w:r w:rsidRPr="003F23AC">
              <w:rPr>
                <w:rFonts w:ascii="Times New Roman" w:hAnsi="Times New Roman" w:cs="Times New Roman"/>
                <w:noProof/>
                <w:lang w:val="sk-SK"/>
              </w:rPr>
              <w:t>Začatie činnosti Espaços Cidadão Energia</w:t>
            </w:r>
          </w:p>
        </w:tc>
      </w:tr>
      <w:tr w:rsidR="00387C70" w:rsidRPr="003F23AC" w14:paraId="47B7321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F80F8D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21.31</w:t>
            </w:r>
          </w:p>
        </w:tc>
        <w:tc>
          <w:tcPr>
            <w:tcW w:w="1760" w:type="dxa"/>
            <w:tcBorders>
              <w:top w:val="nil"/>
              <w:left w:val="nil"/>
              <w:bottom w:val="single" w:sz="4" w:space="0" w:color="auto"/>
              <w:right w:val="single" w:sz="4" w:space="0" w:color="auto"/>
            </w:tcBorders>
            <w:shd w:val="clear" w:color="auto" w:fill="C4EFCE"/>
            <w:vAlign w:val="center"/>
            <w:hideMark/>
          </w:tcPr>
          <w:p w14:paraId="61D6C730" w14:textId="5CCAB5AE"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RP-C21-i9</w:t>
            </w:r>
          </w:p>
        </w:tc>
        <w:tc>
          <w:tcPr>
            <w:tcW w:w="1520" w:type="dxa"/>
            <w:tcBorders>
              <w:top w:val="nil"/>
              <w:left w:val="nil"/>
              <w:bottom w:val="single" w:sz="4" w:space="0" w:color="auto"/>
              <w:right w:val="single" w:sz="4" w:space="0" w:color="auto"/>
            </w:tcBorders>
            <w:shd w:val="clear" w:color="auto" w:fill="C4EFCE"/>
            <w:vAlign w:val="center"/>
            <w:hideMark/>
          </w:tcPr>
          <w:p w14:paraId="07A4650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48C4F9FD" w14:textId="4AE9645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Sprevádzkovanie modulov druhej fázy digitálnej platformy jednotného kontaktného miesta pre povoľovanie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monitorovanie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dokončenie procesu dematerializácie existujúcich povoľovacích dokumentov.</w:t>
            </w:r>
          </w:p>
        </w:tc>
      </w:tr>
      <w:tr w:rsidR="00387C70" w:rsidRPr="003F23AC" w14:paraId="769B3C1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A091AE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760" w:type="dxa"/>
            <w:tcBorders>
              <w:top w:val="nil"/>
              <w:left w:val="nil"/>
              <w:bottom w:val="single" w:sz="4" w:space="0" w:color="auto"/>
              <w:right w:val="single" w:sz="4" w:space="0" w:color="auto"/>
            </w:tcBorders>
            <w:shd w:val="clear" w:color="auto" w:fill="C4EFCE"/>
            <w:vAlign w:val="center"/>
            <w:hideMark/>
          </w:tcPr>
          <w:p w14:paraId="2A5B0B5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520" w:type="dxa"/>
            <w:tcBorders>
              <w:top w:val="nil"/>
              <w:left w:val="nil"/>
              <w:bottom w:val="single" w:sz="4" w:space="0" w:color="auto"/>
              <w:right w:val="single" w:sz="4" w:space="0" w:color="auto"/>
            </w:tcBorders>
            <w:shd w:val="clear" w:color="auto" w:fill="C4EFCE"/>
            <w:vAlign w:val="center"/>
            <w:hideMark/>
          </w:tcPr>
          <w:p w14:paraId="01CF754F" w14:textId="77777777" w:rsidR="00387C70" w:rsidRPr="003F23AC" w:rsidRDefault="000F5AA4" w:rsidP="003F23AC">
            <w:pPr>
              <w:pStyle w:val="P68B1DB1-Normal24"/>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Suma splátky</w:t>
            </w:r>
          </w:p>
        </w:tc>
        <w:tc>
          <w:tcPr>
            <w:tcW w:w="5060" w:type="dxa"/>
            <w:tcBorders>
              <w:top w:val="nil"/>
              <w:left w:val="nil"/>
              <w:bottom w:val="single" w:sz="4" w:space="0" w:color="auto"/>
              <w:right w:val="single" w:sz="4" w:space="0" w:color="auto"/>
            </w:tcBorders>
            <w:shd w:val="clear" w:color="auto" w:fill="C4EFCE"/>
            <w:vAlign w:val="center"/>
            <w:hideMark/>
          </w:tcPr>
          <w:p w14:paraId="0ED4039C" w14:textId="66C9DB47" w:rsidR="00387C70" w:rsidRPr="003F23AC" w:rsidRDefault="003A06C1" w:rsidP="003F23AC">
            <w:pPr>
              <w:pStyle w:val="P68B1DB1-Normal25"/>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EUR 1 056 518 233</w:t>
            </w:r>
          </w:p>
        </w:tc>
      </w:tr>
    </w:tbl>
    <w:p w14:paraId="3C5CDC41" w14:textId="77777777"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p w14:paraId="69FA0A4F" w14:textId="2A8E3643" w:rsidR="00A75B3C" w:rsidRPr="003F23AC" w:rsidRDefault="000F5AA4" w:rsidP="003F23AC">
      <w:pPr>
        <w:pStyle w:val="P68B1DB1-Normal4"/>
        <w:numPr>
          <w:ilvl w:val="1"/>
          <w:numId w:val="19"/>
        </w:numPr>
        <w:spacing w:before="40" w:after="160" w:line="259" w:lineRule="auto"/>
        <w:contextualSpacing/>
        <w:jc w:val="both"/>
        <w:rPr>
          <w:rFonts w:cs="Times New Roman"/>
          <w:noProof/>
          <w:lang w:val="sk-SK"/>
        </w:rPr>
      </w:pPr>
      <w:r w:rsidRPr="003F23AC">
        <w:rPr>
          <w:rFonts w:cs="Times New Roman"/>
          <w:noProof/>
          <w:lang w:val="sk-SK"/>
        </w:rPr>
        <w:t>Deviata žiadosť</w:t>
      </w:r>
      <w:r w:rsidR="00A75B3C" w:rsidRPr="003F23AC">
        <w:rPr>
          <w:rFonts w:cs="Times New Roman"/>
          <w:noProof/>
          <w:lang w:val="sk-SK"/>
        </w:rPr>
        <w:t xml:space="preserve"> o </w:t>
      </w:r>
      <w:r w:rsidRPr="003F23AC">
        <w:rPr>
          <w:rFonts w:cs="Times New Roman"/>
          <w:noProof/>
          <w:lang w:val="sk-SK"/>
        </w:rPr>
        <w:t>platbu (nenávratná podpora)</w:t>
      </w:r>
      <w:r w:rsidR="00A75B3C" w:rsidRPr="003F23AC">
        <w:rPr>
          <w:rFonts w:cs="Times New Roman"/>
          <w:noProof/>
          <w:lang w:val="sk-SK"/>
        </w:rPr>
        <w:t>:</w:t>
      </w:r>
    </w:p>
    <w:p w14:paraId="610F6D78" w14:textId="1BAD7F51"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tbl>
      <w:tblPr>
        <w:tblW w:w="9540" w:type="dxa"/>
        <w:tblInd w:w="113" w:type="dxa"/>
        <w:tblLook w:val="04A0" w:firstRow="1" w:lastRow="0" w:firstColumn="1" w:lastColumn="0" w:noHBand="0" w:noVBand="1"/>
      </w:tblPr>
      <w:tblGrid>
        <w:gridCol w:w="1200"/>
        <w:gridCol w:w="1760"/>
        <w:gridCol w:w="1520"/>
        <w:gridCol w:w="5060"/>
      </w:tblGrid>
      <w:tr w:rsidR="00387C70" w:rsidRPr="003F23AC" w14:paraId="0D25D50E" w14:textId="77777777">
        <w:trPr>
          <w:trHeight w:val="509"/>
          <w:tblHeader/>
        </w:trPr>
        <w:tc>
          <w:tcPr>
            <w:tcW w:w="1200" w:type="dxa"/>
            <w:vMerge w:val="restart"/>
            <w:tcBorders>
              <w:top w:val="single" w:sz="4" w:space="0" w:color="auto"/>
              <w:left w:val="single" w:sz="4" w:space="0" w:color="auto"/>
              <w:right w:val="single" w:sz="4" w:space="0" w:color="auto"/>
            </w:tcBorders>
            <w:shd w:val="clear" w:color="auto" w:fill="BDD7EE"/>
            <w:vAlign w:val="center"/>
            <w:hideMark/>
          </w:tcPr>
          <w:p w14:paraId="27E78C42"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vMerge w:val="restart"/>
            <w:tcBorders>
              <w:top w:val="single" w:sz="4" w:space="0" w:color="auto"/>
              <w:left w:val="single" w:sz="4" w:space="0" w:color="auto"/>
              <w:right w:val="single" w:sz="4" w:space="0" w:color="auto"/>
            </w:tcBorders>
            <w:shd w:val="clear" w:color="auto" w:fill="BDD7EE"/>
            <w:vAlign w:val="center"/>
            <w:hideMark/>
          </w:tcPr>
          <w:p w14:paraId="78FC7685"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vMerge w:val="restart"/>
            <w:tcBorders>
              <w:top w:val="single" w:sz="4" w:space="0" w:color="auto"/>
              <w:left w:val="single" w:sz="4" w:space="0" w:color="auto"/>
              <w:right w:val="single" w:sz="4" w:space="0" w:color="auto"/>
            </w:tcBorders>
            <w:shd w:val="clear" w:color="auto" w:fill="BDD7EE"/>
            <w:vAlign w:val="center"/>
            <w:hideMark/>
          </w:tcPr>
          <w:p w14:paraId="085BD584"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461ACC8B"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1782CE3F" w14:textId="77777777">
        <w:trPr>
          <w:trHeight w:val="509"/>
          <w:tblHead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7F6B246B" w14:textId="77777777" w:rsidR="00387C70" w:rsidRPr="003F23AC" w:rsidRDefault="00387C70" w:rsidP="003F23AC">
            <w:pPr>
              <w:spacing w:after="0" w:line="240" w:lineRule="auto"/>
              <w:rPr>
                <w:rFonts w:ascii="Times New Roman" w:eastAsia="Times New Roman" w:hAnsi="Times New Roman" w:cs="Times New Roman"/>
                <w:b/>
                <w:noProof/>
                <w:sz w:val="20"/>
                <w:lang w:val="sk-SK"/>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4C610EC3" w14:textId="77777777" w:rsidR="00387C70" w:rsidRPr="003F23AC" w:rsidRDefault="00387C70" w:rsidP="003F23AC">
            <w:pPr>
              <w:spacing w:after="0" w:line="240" w:lineRule="auto"/>
              <w:rPr>
                <w:rFonts w:ascii="Times New Roman" w:eastAsia="Times New Roman" w:hAnsi="Times New Roman" w:cs="Times New Roman"/>
                <w:b/>
                <w:noProof/>
                <w:sz w:val="20"/>
                <w:lang w:val="sk-SK"/>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42802C47" w14:textId="77777777" w:rsidR="00387C70" w:rsidRPr="003F23AC" w:rsidRDefault="00387C70" w:rsidP="003F23AC">
            <w:pPr>
              <w:spacing w:after="0" w:line="240" w:lineRule="auto"/>
              <w:rPr>
                <w:rFonts w:ascii="Times New Roman" w:eastAsia="Times New Roman" w:hAnsi="Times New Roman" w:cs="Times New Roman"/>
                <w:b/>
                <w:noProof/>
                <w:sz w:val="20"/>
                <w:lang w:val="sk-SK"/>
              </w:rPr>
            </w:pPr>
          </w:p>
        </w:tc>
        <w:tc>
          <w:tcPr>
            <w:tcW w:w="5060" w:type="dxa"/>
            <w:vMerge/>
            <w:tcBorders>
              <w:top w:val="single" w:sz="4" w:space="0" w:color="auto"/>
              <w:left w:val="single" w:sz="4" w:space="0" w:color="auto"/>
              <w:bottom w:val="single" w:sz="4" w:space="0" w:color="auto"/>
              <w:right w:val="single" w:sz="4" w:space="0" w:color="auto"/>
            </w:tcBorders>
            <w:vAlign w:val="center"/>
            <w:hideMark/>
          </w:tcPr>
          <w:p w14:paraId="4A2F66AD" w14:textId="77777777" w:rsidR="00387C70" w:rsidRPr="003F23AC" w:rsidRDefault="00387C70" w:rsidP="003F23AC">
            <w:pPr>
              <w:spacing w:after="0" w:line="240" w:lineRule="auto"/>
              <w:rPr>
                <w:rFonts w:ascii="Times New Roman" w:eastAsia="Times New Roman" w:hAnsi="Times New Roman" w:cs="Times New Roman"/>
                <w:b/>
                <w:noProof/>
                <w:sz w:val="20"/>
                <w:lang w:val="sk-SK"/>
              </w:rPr>
            </w:pPr>
          </w:p>
        </w:tc>
      </w:tr>
      <w:tr w:rsidR="00387C70" w:rsidRPr="003F23AC" w14:paraId="22F761CE"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102F00B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763BE876" w14:textId="78912FED"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C01-r03</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7351F199" w14:textId="452AC26A"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29AE68CE" w14:textId="11570C15"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Zriadenie nových integrovaných centier zodpovednosti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nemocniciach Národnej zdravotnej služby</w:t>
            </w:r>
          </w:p>
        </w:tc>
      </w:tr>
      <w:tr w:rsidR="00387C70" w:rsidRPr="003F23AC" w14:paraId="5CFF73B6"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076FF3C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1.21</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6CE8E2C0" w14:textId="1926C08D"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C01-i02</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3D4FD371" w14:textId="5627C70A"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3A6F5AE9" w14:textId="6ED48549"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Posilnenie reakčnej kapacity vnútroštátnych sietí integrovaných služieb nepretržitej starostlivosti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paliatívnej starostlivosti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nemocničnej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ambulantnej starostlivosti</w:t>
            </w:r>
          </w:p>
        </w:tc>
      </w:tr>
      <w:tr w:rsidR="00387C70" w:rsidRPr="003F23AC" w14:paraId="1E600A44"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4F06E98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1.23</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5738D247" w14:textId="1904D275"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C01-i03</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39E7D485" w14:textId="0BD151B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0DD0CD48" w14:textId="2274B6D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Renovácia forenzných psychiatrických jednotiek</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vybavenia</w:t>
            </w:r>
          </w:p>
        </w:tc>
      </w:tr>
      <w:tr w:rsidR="00387C70" w:rsidRPr="003F23AC" w14:paraId="5216BA78"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657694A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1.25</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11312B6D" w14:textId="56B99DB6"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C01-i03</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265BB1E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26C441A2" w14:textId="08FC994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posilnenia siete starostlivosti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duševné zdravie</w:t>
            </w:r>
          </w:p>
        </w:tc>
      </w:tr>
      <w:tr w:rsidR="00387C70" w:rsidRPr="003F23AC" w14:paraId="45D850E4"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4CFC668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1.3</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09F6608D" w14:textId="34A1A709"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C01-i05-RAM</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4BE2BF56" w14:textId="34608A26"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54D33655" w14:textId="7DD4C443"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Zvýšenie počtu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integrovaných službách nepretržitej starostlivosti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regionálnej zdravotnej službe Madeiry</w:t>
            </w:r>
          </w:p>
        </w:tc>
      </w:tr>
      <w:tr w:rsidR="00387C70" w:rsidRPr="003F23AC" w14:paraId="307E282C"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tcPr>
          <w:p w14:paraId="16A417E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1.30</w:t>
            </w:r>
          </w:p>
        </w:tc>
        <w:tc>
          <w:tcPr>
            <w:tcW w:w="1760" w:type="dxa"/>
            <w:tcBorders>
              <w:top w:val="single" w:sz="4" w:space="0" w:color="auto"/>
              <w:left w:val="nil"/>
              <w:bottom w:val="single" w:sz="4" w:space="0" w:color="auto"/>
              <w:right w:val="single" w:sz="4" w:space="0" w:color="auto"/>
            </w:tcBorders>
            <w:shd w:val="clear" w:color="auto" w:fill="C4EFCE"/>
            <w:vAlign w:val="center"/>
          </w:tcPr>
          <w:p w14:paraId="3035503C" w14:textId="4B8D51AD" w:rsidR="00387C70" w:rsidRPr="003F23AC" w:rsidRDefault="00F218FC" w:rsidP="003F23AC">
            <w:pPr>
              <w:pStyle w:val="P68B1DB1-Normal8"/>
              <w:spacing w:after="0"/>
              <w:jc w:val="center"/>
              <w:rPr>
                <w:rFonts w:ascii="Times New Roman" w:eastAsia="Calibri" w:hAnsi="Times New Roman" w:cs="Times New Roman"/>
                <w:noProof/>
                <w:sz w:val="18"/>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C01-i05-RAM</w:t>
            </w:r>
          </w:p>
        </w:tc>
        <w:tc>
          <w:tcPr>
            <w:tcW w:w="1520" w:type="dxa"/>
            <w:tcBorders>
              <w:top w:val="single" w:sz="4" w:space="0" w:color="auto"/>
              <w:left w:val="nil"/>
              <w:bottom w:val="single" w:sz="4" w:space="0" w:color="auto"/>
              <w:right w:val="single" w:sz="4" w:space="0" w:color="auto"/>
            </w:tcBorders>
            <w:shd w:val="clear" w:color="auto" w:fill="C4EFCE"/>
            <w:vAlign w:val="center"/>
          </w:tcPr>
          <w:p w14:paraId="0853CF70" w14:textId="0C07721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tcPr>
          <w:p w14:paraId="1249B3A9" w14:textId="5A5C36FA" w:rsidR="00387C70" w:rsidRPr="003F23AC" w:rsidRDefault="000F5AA4" w:rsidP="003F23AC">
            <w:pPr>
              <w:pStyle w:val="P68B1DB1-Normal8"/>
              <w:spacing w:after="0"/>
              <w:jc w:val="both"/>
              <w:rPr>
                <w:rFonts w:ascii="Times New Roman" w:eastAsia="Calibri" w:hAnsi="Times New Roman" w:cs="Times New Roman"/>
                <w:noProof/>
                <w:sz w:val="18"/>
                <w:lang w:val="sk-SK"/>
              </w:rPr>
            </w:pPr>
            <w:r w:rsidRPr="003F23AC">
              <w:rPr>
                <w:rFonts w:ascii="Times New Roman" w:hAnsi="Times New Roman" w:cs="Times New Roman"/>
                <w:noProof/>
                <w:lang w:val="sk-SK"/>
              </w:rPr>
              <w:t>Zvýšenie počtu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integrovaných službách nepretržitej starostlivosti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regionálnej zdravotnej službe Madeiry</w:t>
            </w:r>
          </w:p>
        </w:tc>
      </w:tr>
      <w:tr w:rsidR="00387C70" w:rsidRPr="003F23AC" w14:paraId="25064C9E"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72D7E84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1.36</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5FF74396" w14:textId="4FCFF3B2"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C01-i08-RAA</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2BE8B021" w14:textId="32FDB27A"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hideMark/>
          </w:tcPr>
          <w:p w14:paraId="18B9A547" w14:textId="45041816"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Zlepšený 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užívateľskému portálu regionálnej zdravotnej služby Azorských ostrovov</w:t>
            </w:r>
          </w:p>
        </w:tc>
      </w:tr>
      <w:tr w:rsidR="00387C70" w:rsidRPr="003F23AC" w14:paraId="3A971B5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DB6093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1.38</w:t>
            </w:r>
          </w:p>
        </w:tc>
        <w:tc>
          <w:tcPr>
            <w:tcW w:w="1760" w:type="dxa"/>
            <w:tcBorders>
              <w:top w:val="nil"/>
              <w:left w:val="nil"/>
              <w:bottom w:val="single" w:sz="4" w:space="0" w:color="auto"/>
              <w:right w:val="single" w:sz="4" w:space="0" w:color="auto"/>
            </w:tcBorders>
            <w:shd w:val="clear" w:color="auto" w:fill="C4EFCE"/>
            <w:vAlign w:val="center"/>
            <w:hideMark/>
          </w:tcPr>
          <w:p w14:paraId="4B8D39B5" w14:textId="5382A5BE"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C01-i09</w:t>
            </w:r>
          </w:p>
        </w:tc>
        <w:tc>
          <w:tcPr>
            <w:tcW w:w="1520" w:type="dxa"/>
            <w:tcBorders>
              <w:top w:val="nil"/>
              <w:left w:val="nil"/>
              <w:bottom w:val="single" w:sz="4" w:space="0" w:color="auto"/>
              <w:right w:val="single" w:sz="4" w:space="0" w:color="auto"/>
            </w:tcBorders>
            <w:shd w:val="clear" w:color="auto" w:fill="C4EFCE"/>
            <w:vAlign w:val="center"/>
            <w:hideMark/>
          </w:tcPr>
          <w:p w14:paraId="03EBB8CA" w14:textId="37D554E5"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51CBD4E" w14:textId="15FE529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Ukončenie realizácie programov „Školského športového spoločenstva“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„Školského športu na kolieskach“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školách</w:t>
            </w:r>
          </w:p>
        </w:tc>
      </w:tr>
      <w:tr w:rsidR="00387C70" w:rsidRPr="003F23AC" w14:paraId="6B7A456A"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201002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1.39</w:t>
            </w:r>
          </w:p>
        </w:tc>
        <w:tc>
          <w:tcPr>
            <w:tcW w:w="1760" w:type="dxa"/>
            <w:tcBorders>
              <w:top w:val="nil"/>
              <w:left w:val="nil"/>
              <w:bottom w:val="single" w:sz="4" w:space="0" w:color="auto"/>
              <w:right w:val="single" w:sz="4" w:space="0" w:color="auto"/>
            </w:tcBorders>
            <w:shd w:val="clear" w:color="auto" w:fill="C4EFCE"/>
            <w:vAlign w:val="center"/>
            <w:hideMark/>
          </w:tcPr>
          <w:p w14:paraId="0B6F6AFA" w14:textId="3C9BBD21"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C01-i09</w:t>
            </w:r>
          </w:p>
        </w:tc>
        <w:tc>
          <w:tcPr>
            <w:tcW w:w="1520" w:type="dxa"/>
            <w:tcBorders>
              <w:top w:val="nil"/>
              <w:left w:val="nil"/>
              <w:bottom w:val="single" w:sz="4" w:space="0" w:color="auto"/>
              <w:right w:val="single" w:sz="4" w:space="0" w:color="auto"/>
            </w:tcBorders>
            <w:shd w:val="clear" w:color="auto" w:fill="C4EFCE"/>
            <w:vAlign w:val="center"/>
            <w:hideMark/>
          </w:tcPr>
          <w:p w14:paraId="4C67C30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43B0AA18" w14:textId="0CDEAA1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Spustenie národnej kampane pre univerzálny systém aktívnej podpory života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súvisiacu technologickú platformu</w:t>
            </w:r>
          </w:p>
        </w:tc>
      </w:tr>
      <w:tr w:rsidR="00387C70" w:rsidRPr="003F23AC" w14:paraId="4976BF8B"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CC5E68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2.17</w:t>
            </w:r>
          </w:p>
        </w:tc>
        <w:tc>
          <w:tcPr>
            <w:tcW w:w="1760" w:type="dxa"/>
            <w:tcBorders>
              <w:top w:val="nil"/>
              <w:left w:val="nil"/>
              <w:bottom w:val="single" w:sz="4" w:space="0" w:color="auto"/>
              <w:right w:val="single" w:sz="4" w:space="0" w:color="auto"/>
            </w:tcBorders>
            <w:shd w:val="clear" w:color="auto" w:fill="C4EFCE"/>
            <w:vAlign w:val="center"/>
            <w:hideMark/>
          </w:tcPr>
          <w:p w14:paraId="5F2975A0" w14:textId="27930654"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C02-i04-RAA</w:t>
            </w:r>
          </w:p>
        </w:tc>
        <w:tc>
          <w:tcPr>
            <w:tcW w:w="1520" w:type="dxa"/>
            <w:tcBorders>
              <w:top w:val="nil"/>
              <w:left w:val="nil"/>
              <w:bottom w:val="single" w:sz="4" w:space="0" w:color="auto"/>
              <w:right w:val="single" w:sz="4" w:space="0" w:color="auto"/>
            </w:tcBorders>
            <w:shd w:val="clear" w:color="auto" w:fill="C4EFCE"/>
            <w:vAlign w:val="center"/>
            <w:hideMark/>
          </w:tcPr>
          <w:p w14:paraId="549257E3" w14:textId="7CA29CBF"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D42745D"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Zásahy do bytového fondu autonómneho regiónu Azory – výstavba budov</w:t>
            </w:r>
          </w:p>
        </w:tc>
      </w:tr>
      <w:tr w:rsidR="00387C70" w:rsidRPr="003F23AC" w14:paraId="48998A73"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B9F145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2.18</w:t>
            </w:r>
          </w:p>
        </w:tc>
        <w:tc>
          <w:tcPr>
            <w:tcW w:w="1760" w:type="dxa"/>
            <w:tcBorders>
              <w:top w:val="nil"/>
              <w:left w:val="nil"/>
              <w:bottom w:val="single" w:sz="4" w:space="0" w:color="auto"/>
              <w:right w:val="single" w:sz="4" w:space="0" w:color="auto"/>
            </w:tcBorders>
            <w:shd w:val="clear" w:color="auto" w:fill="C4EFCE"/>
            <w:vAlign w:val="center"/>
            <w:hideMark/>
          </w:tcPr>
          <w:p w14:paraId="50DBDCBE" w14:textId="4FDBF17E"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C02-i04-RAA</w:t>
            </w:r>
          </w:p>
        </w:tc>
        <w:tc>
          <w:tcPr>
            <w:tcW w:w="1520" w:type="dxa"/>
            <w:tcBorders>
              <w:top w:val="nil"/>
              <w:left w:val="nil"/>
              <w:bottom w:val="single" w:sz="4" w:space="0" w:color="auto"/>
              <w:right w:val="single" w:sz="4" w:space="0" w:color="auto"/>
            </w:tcBorders>
            <w:shd w:val="clear" w:color="auto" w:fill="C4EFCE"/>
            <w:vAlign w:val="center"/>
            <w:hideMark/>
          </w:tcPr>
          <w:p w14:paraId="1DB0332D" w14:textId="75585EB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BA80A23"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Zásahy do bytového fondu autonómneho regiónu Azory – renovácia</w:t>
            </w:r>
          </w:p>
        </w:tc>
      </w:tr>
      <w:tr w:rsidR="00387C70" w:rsidRPr="003F23AC" w14:paraId="42BE288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5613E4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2.31</w:t>
            </w:r>
          </w:p>
        </w:tc>
        <w:tc>
          <w:tcPr>
            <w:tcW w:w="1760" w:type="dxa"/>
            <w:tcBorders>
              <w:top w:val="nil"/>
              <w:left w:val="nil"/>
              <w:bottom w:val="single" w:sz="4" w:space="0" w:color="auto"/>
              <w:right w:val="single" w:sz="4" w:space="0" w:color="auto"/>
            </w:tcBorders>
            <w:shd w:val="clear" w:color="auto" w:fill="C4EFCE"/>
            <w:vAlign w:val="center"/>
            <w:hideMark/>
          </w:tcPr>
          <w:p w14:paraId="3E9F4E90" w14:textId="0E6F47B2"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C02-i08-RAA</w:t>
            </w:r>
          </w:p>
        </w:tc>
        <w:tc>
          <w:tcPr>
            <w:tcW w:w="1520" w:type="dxa"/>
            <w:tcBorders>
              <w:top w:val="nil"/>
              <w:left w:val="nil"/>
              <w:bottom w:val="single" w:sz="4" w:space="0" w:color="auto"/>
              <w:right w:val="single" w:sz="4" w:space="0" w:color="auto"/>
            </w:tcBorders>
            <w:shd w:val="clear" w:color="auto" w:fill="C4EFCE"/>
            <w:vAlign w:val="center"/>
            <w:hideMark/>
          </w:tcPr>
          <w:p w14:paraId="0095AE34" w14:textId="7D71D50A"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948A3BC"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Posilnenie fondu sociálneho bývania autonómneho regiónu Azory – postavené obydlia</w:t>
            </w:r>
          </w:p>
        </w:tc>
      </w:tr>
      <w:tr w:rsidR="00387C70" w:rsidRPr="003F23AC" w14:paraId="4267AE61"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1425C87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3.7</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0887E09D" w14:textId="453363B8"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C03-i02</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5FC08BAC" w14:textId="0B4DD3A9"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8BB3EDD"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Obytné jednotky so zlepšenou prístupnosťou pre osoby so zníženou pohyblivosťou</w:t>
            </w:r>
          </w:p>
        </w:tc>
      </w:tr>
      <w:tr w:rsidR="00387C70" w:rsidRPr="003F23AC" w14:paraId="596C5FBF"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E99901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3.8</w:t>
            </w:r>
          </w:p>
        </w:tc>
        <w:tc>
          <w:tcPr>
            <w:tcW w:w="1760" w:type="dxa"/>
            <w:tcBorders>
              <w:top w:val="nil"/>
              <w:left w:val="nil"/>
              <w:bottom w:val="single" w:sz="4" w:space="0" w:color="auto"/>
              <w:right w:val="single" w:sz="4" w:space="0" w:color="auto"/>
            </w:tcBorders>
            <w:shd w:val="clear" w:color="auto" w:fill="C4EFCE"/>
            <w:vAlign w:val="center"/>
            <w:hideMark/>
          </w:tcPr>
          <w:p w14:paraId="04397576" w14:textId="18F25D68"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C03-i02</w:t>
            </w:r>
          </w:p>
        </w:tc>
        <w:tc>
          <w:tcPr>
            <w:tcW w:w="1520" w:type="dxa"/>
            <w:tcBorders>
              <w:top w:val="nil"/>
              <w:left w:val="nil"/>
              <w:bottom w:val="single" w:sz="4" w:space="0" w:color="auto"/>
              <w:right w:val="single" w:sz="4" w:space="0" w:color="auto"/>
            </w:tcBorders>
            <w:shd w:val="clear" w:color="auto" w:fill="C4EFCE"/>
            <w:vAlign w:val="center"/>
            <w:hideMark/>
          </w:tcPr>
          <w:p w14:paraId="2B5BDEB3" w14:textId="5F902C80"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E7B40A8"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Verejný priestor so zlepšenou prístupnosťou pre osoby so zníženou pohyblivosťou</w:t>
            </w:r>
          </w:p>
        </w:tc>
      </w:tr>
      <w:tr w:rsidR="00387C70" w:rsidRPr="003F23AC" w14:paraId="6076F1C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DA1FFD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3.9</w:t>
            </w:r>
          </w:p>
        </w:tc>
        <w:tc>
          <w:tcPr>
            <w:tcW w:w="1760" w:type="dxa"/>
            <w:tcBorders>
              <w:top w:val="nil"/>
              <w:left w:val="nil"/>
              <w:bottom w:val="single" w:sz="4" w:space="0" w:color="auto"/>
              <w:right w:val="single" w:sz="4" w:space="0" w:color="auto"/>
            </w:tcBorders>
            <w:shd w:val="clear" w:color="auto" w:fill="C4EFCE"/>
            <w:vAlign w:val="center"/>
            <w:hideMark/>
          </w:tcPr>
          <w:p w14:paraId="3AE00889" w14:textId="124C1B71"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C03-i02</w:t>
            </w:r>
          </w:p>
        </w:tc>
        <w:tc>
          <w:tcPr>
            <w:tcW w:w="1520" w:type="dxa"/>
            <w:tcBorders>
              <w:top w:val="nil"/>
              <w:left w:val="nil"/>
              <w:bottom w:val="single" w:sz="4" w:space="0" w:color="auto"/>
              <w:right w:val="single" w:sz="4" w:space="0" w:color="auto"/>
            </w:tcBorders>
            <w:shd w:val="clear" w:color="auto" w:fill="C4EFCE"/>
            <w:vAlign w:val="center"/>
            <w:hideMark/>
          </w:tcPr>
          <w:p w14:paraId="3FB4432A" w14:textId="05AF175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1818278" w14:textId="31A37F9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Verejné služby so zlepšenou dostupnosťou pre ľudí</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obmedzenou mobilitou</w:t>
            </w:r>
          </w:p>
        </w:tc>
      </w:tr>
      <w:tr w:rsidR="00387C70" w:rsidRPr="003F23AC" w14:paraId="41C932D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E259A3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3.10</w:t>
            </w:r>
          </w:p>
        </w:tc>
        <w:tc>
          <w:tcPr>
            <w:tcW w:w="1760" w:type="dxa"/>
            <w:tcBorders>
              <w:top w:val="nil"/>
              <w:left w:val="nil"/>
              <w:bottom w:val="single" w:sz="4" w:space="0" w:color="auto"/>
              <w:right w:val="single" w:sz="4" w:space="0" w:color="auto"/>
            </w:tcBorders>
            <w:shd w:val="clear" w:color="auto" w:fill="C4EFCE"/>
            <w:vAlign w:val="center"/>
            <w:hideMark/>
          </w:tcPr>
          <w:p w14:paraId="1399DCCA" w14:textId="0D1CDFAB"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C03-i03-RAM</w:t>
            </w:r>
          </w:p>
        </w:tc>
        <w:tc>
          <w:tcPr>
            <w:tcW w:w="1520" w:type="dxa"/>
            <w:tcBorders>
              <w:top w:val="nil"/>
              <w:left w:val="nil"/>
              <w:bottom w:val="single" w:sz="4" w:space="0" w:color="auto"/>
              <w:right w:val="single" w:sz="4" w:space="0" w:color="auto"/>
            </w:tcBorders>
            <w:shd w:val="clear" w:color="auto" w:fill="C4EFCE"/>
            <w:vAlign w:val="center"/>
            <w:hideMark/>
          </w:tcPr>
          <w:p w14:paraId="10B7FCB0" w14:textId="40943ED0"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D65B477" w14:textId="4A94965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Nové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rehabilitované miesta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domovoch rezidenčnej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nebytovej starostlivosti </w:t>
            </w:r>
          </w:p>
        </w:tc>
      </w:tr>
      <w:tr w:rsidR="00387C70" w:rsidRPr="003F23AC" w14:paraId="66BF7C5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EB0347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3.12</w:t>
            </w:r>
          </w:p>
        </w:tc>
        <w:tc>
          <w:tcPr>
            <w:tcW w:w="1760" w:type="dxa"/>
            <w:tcBorders>
              <w:top w:val="nil"/>
              <w:left w:val="nil"/>
              <w:bottom w:val="single" w:sz="4" w:space="0" w:color="auto"/>
              <w:right w:val="single" w:sz="4" w:space="0" w:color="auto"/>
            </w:tcBorders>
            <w:shd w:val="clear" w:color="auto" w:fill="C4EFCE"/>
            <w:vAlign w:val="center"/>
            <w:hideMark/>
          </w:tcPr>
          <w:p w14:paraId="28D91185" w14:textId="254881E9"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C03-i04-RAA</w:t>
            </w:r>
          </w:p>
        </w:tc>
        <w:tc>
          <w:tcPr>
            <w:tcW w:w="1520" w:type="dxa"/>
            <w:tcBorders>
              <w:top w:val="nil"/>
              <w:left w:val="nil"/>
              <w:bottom w:val="single" w:sz="4" w:space="0" w:color="auto"/>
              <w:right w:val="single" w:sz="4" w:space="0" w:color="auto"/>
            </w:tcBorders>
            <w:shd w:val="clear" w:color="auto" w:fill="C4EFCE"/>
            <w:vAlign w:val="center"/>
            <w:hideMark/>
          </w:tcPr>
          <w:p w14:paraId="2A81EAD1" w14:textId="6900373D"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551A230D" w14:textId="1331C445"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Odborná príprava jednotlivcov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rodín, na ktoré sa vzťahuje príjem zo sociálneho začlenenia</w:t>
            </w:r>
          </w:p>
        </w:tc>
      </w:tr>
      <w:tr w:rsidR="00387C70" w:rsidRPr="003F23AC" w14:paraId="76CD6A4C"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B13096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3.14</w:t>
            </w:r>
          </w:p>
        </w:tc>
        <w:tc>
          <w:tcPr>
            <w:tcW w:w="1760" w:type="dxa"/>
            <w:tcBorders>
              <w:top w:val="nil"/>
              <w:left w:val="nil"/>
              <w:bottom w:val="single" w:sz="4" w:space="0" w:color="auto"/>
              <w:right w:val="single" w:sz="4" w:space="0" w:color="auto"/>
            </w:tcBorders>
            <w:shd w:val="clear" w:color="auto" w:fill="C4EFCE"/>
            <w:vAlign w:val="center"/>
            <w:hideMark/>
          </w:tcPr>
          <w:p w14:paraId="045C7370" w14:textId="1DE72D4B"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C03-i04-RAA</w:t>
            </w:r>
          </w:p>
        </w:tc>
        <w:tc>
          <w:tcPr>
            <w:tcW w:w="1520" w:type="dxa"/>
            <w:tcBorders>
              <w:top w:val="nil"/>
              <w:left w:val="nil"/>
              <w:bottom w:val="single" w:sz="4" w:space="0" w:color="auto"/>
              <w:right w:val="single" w:sz="4" w:space="0" w:color="auto"/>
            </w:tcBorders>
            <w:shd w:val="clear" w:color="auto" w:fill="C4EFCE"/>
            <w:vAlign w:val="center"/>
            <w:hideMark/>
          </w:tcPr>
          <w:p w14:paraId="69C539F2" w14:textId="59C3585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E4CE3D6"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Vozidlá kúpené pre Instituições Particulares de Solidariedade Social</w:t>
            </w:r>
          </w:p>
        </w:tc>
      </w:tr>
      <w:tr w:rsidR="00387C70" w:rsidRPr="003F23AC" w14:paraId="289CE08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173D27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3.15</w:t>
            </w:r>
          </w:p>
        </w:tc>
        <w:tc>
          <w:tcPr>
            <w:tcW w:w="1760" w:type="dxa"/>
            <w:tcBorders>
              <w:top w:val="nil"/>
              <w:left w:val="nil"/>
              <w:bottom w:val="single" w:sz="4" w:space="0" w:color="auto"/>
              <w:right w:val="single" w:sz="4" w:space="0" w:color="auto"/>
            </w:tcBorders>
            <w:shd w:val="clear" w:color="auto" w:fill="C4EFCE"/>
            <w:vAlign w:val="center"/>
            <w:hideMark/>
          </w:tcPr>
          <w:p w14:paraId="135E8FAE" w14:textId="39DA1405"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C03-i04-RAA</w:t>
            </w:r>
          </w:p>
        </w:tc>
        <w:tc>
          <w:tcPr>
            <w:tcW w:w="1520" w:type="dxa"/>
            <w:tcBorders>
              <w:top w:val="nil"/>
              <w:left w:val="nil"/>
              <w:bottom w:val="single" w:sz="4" w:space="0" w:color="auto"/>
              <w:right w:val="single" w:sz="4" w:space="0" w:color="auto"/>
            </w:tcBorders>
            <w:shd w:val="clear" w:color="auto" w:fill="C4EFCE"/>
            <w:vAlign w:val="center"/>
            <w:hideMark/>
          </w:tcPr>
          <w:p w14:paraId="2DBAB544" w14:textId="036FDF1C"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EC8CE3D"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Projekt starnutia na mieste</w:t>
            </w:r>
          </w:p>
        </w:tc>
      </w:tr>
      <w:tr w:rsidR="00387C70" w:rsidRPr="003F23AC" w14:paraId="02338D1F"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55DE03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3.16</w:t>
            </w:r>
          </w:p>
        </w:tc>
        <w:tc>
          <w:tcPr>
            <w:tcW w:w="1760" w:type="dxa"/>
            <w:tcBorders>
              <w:top w:val="nil"/>
              <w:left w:val="nil"/>
              <w:bottom w:val="single" w:sz="4" w:space="0" w:color="auto"/>
              <w:right w:val="single" w:sz="4" w:space="0" w:color="auto"/>
            </w:tcBorders>
            <w:shd w:val="clear" w:color="auto" w:fill="C4EFCE"/>
            <w:vAlign w:val="center"/>
            <w:hideMark/>
          </w:tcPr>
          <w:p w14:paraId="1D6FD45C" w14:textId="497D2DBA"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C03-i04-RAA</w:t>
            </w:r>
          </w:p>
        </w:tc>
        <w:tc>
          <w:tcPr>
            <w:tcW w:w="1520" w:type="dxa"/>
            <w:tcBorders>
              <w:top w:val="nil"/>
              <w:left w:val="nil"/>
              <w:bottom w:val="single" w:sz="4" w:space="0" w:color="auto"/>
              <w:right w:val="single" w:sz="4" w:space="0" w:color="auto"/>
            </w:tcBorders>
            <w:shd w:val="clear" w:color="auto" w:fill="C4EFCE"/>
            <w:vAlign w:val="center"/>
            <w:hideMark/>
          </w:tcPr>
          <w:p w14:paraId="6632853E" w14:textId="204C7C9F"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B2E81BA" w14:textId="7740284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Opatrenia na boj proti predčasnému ukončeniu školskej dochádzky detí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mladých ľudí.</w:t>
            </w:r>
          </w:p>
        </w:tc>
      </w:tr>
      <w:tr w:rsidR="00387C70" w:rsidRPr="003F23AC" w14:paraId="5AD9EFC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EB99BD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3.19</w:t>
            </w:r>
          </w:p>
        </w:tc>
        <w:tc>
          <w:tcPr>
            <w:tcW w:w="1760" w:type="dxa"/>
            <w:tcBorders>
              <w:top w:val="nil"/>
              <w:left w:val="nil"/>
              <w:bottom w:val="single" w:sz="4" w:space="0" w:color="auto"/>
              <w:right w:val="single" w:sz="4" w:space="0" w:color="auto"/>
            </w:tcBorders>
            <w:shd w:val="clear" w:color="auto" w:fill="C4EFCE"/>
            <w:vAlign w:val="center"/>
            <w:hideMark/>
          </w:tcPr>
          <w:p w14:paraId="019CDFE1" w14:textId="3266B445"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C03-i05</w:t>
            </w:r>
          </w:p>
        </w:tc>
        <w:tc>
          <w:tcPr>
            <w:tcW w:w="1520" w:type="dxa"/>
            <w:tcBorders>
              <w:top w:val="nil"/>
              <w:left w:val="nil"/>
              <w:bottom w:val="single" w:sz="4" w:space="0" w:color="auto"/>
              <w:right w:val="single" w:sz="4" w:space="0" w:color="auto"/>
            </w:tcBorders>
            <w:shd w:val="clear" w:color="auto" w:fill="C4EFCE"/>
            <w:vAlign w:val="center"/>
            <w:hideMark/>
          </w:tcPr>
          <w:p w14:paraId="7A45718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55207FF6"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Telefonické centrum pre portugalský posunkový jazyk</w:t>
            </w:r>
          </w:p>
        </w:tc>
      </w:tr>
      <w:tr w:rsidR="00387C70" w:rsidRPr="003F23AC" w14:paraId="1BA1930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5D0CFA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3.26</w:t>
            </w:r>
          </w:p>
        </w:tc>
        <w:tc>
          <w:tcPr>
            <w:tcW w:w="1760" w:type="dxa"/>
            <w:tcBorders>
              <w:top w:val="nil"/>
              <w:left w:val="nil"/>
              <w:bottom w:val="single" w:sz="4" w:space="0" w:color="auto"/>
              <w:right w:val="single" w:sz="4" w:space="0" w:color="auto"/>
            </w:tcBorders>
            <w:shd w:val="clear" w:color="auto" w:fill="C4EFCE"/>
            <w:vAlign w:val="center"/>
            <w:hideMark/>
          </w:tcPr>
          <w:p w14:paraId="66BC21FF" w14:textId="1315B30C"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C03-i06</w:t>
            </w:r>
          </w:p>
        </w:tc>
        <w:tc>
          <w:tcPr>
            <w:tcW w:w="1520" w:type="dxa"/>
            <w:tcBorders>
              <w:top w:val="nil"/>
              <w:left w:val="nil"/>
              <w:bottom w:val="single" w:sz="4" w:space="0" w:color="auto"/>
              <w:right w:val="single" w:sz="4" w:space="0" w:color="auto"/>
            </w:tcBorders>
            <w:shd w:val="clear" w:color="auto" w:fill="C4EFCE"/>
            <w:vAlign w:val="center"/>
            <w:hideMark/>
          </w:tcPr>
          <w:p w14:paraId="5A71211B" w14:textId="3E7974BE"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10FF11C" w14:textId="6C305A9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Úplné vykonávanie aspoň 90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opatrení</w:t>
            </w:r>
          </w:p>
        </w:tc>
      </w:tr>
      <w:tr w:rsidR="00387C70" w:rsidRPr="003F23AC" w14:paraId="4169E84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091E41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3.27</w:t>
            </w:r>
          </w:p>
        </w:tc>
        <w:tc>
          <w:tcPr>
            <w:tcW w:w="1760" w:type="dxa"/>
            <w:tcBorders>
              <w:top w:val="nil"/>
              <w:left w:val="nil"/>
              <w:bottom w:val="single" w:sz="4" w:space="0" w:color="auto"/>
              <w:right w:val="single" w:sz="4" w:space="0" w:color="auto"/>
            </w:tcBorders>
            <w:shd w:val="clear" w:color="auto" w:fill="C4EFCE"/>
            <w:vAlign w:val="center"/>
            <w:hideMark/>
          </w:tcPr>
          <w:p w14:paraId="17E8CFFB" w14:textId="237E9CCC"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C03-i03-RAM</w:t>
            </w:r>
          </w:p>
        </w:tc>
        <w:tc>
          <w:tcPr>
            <w:tcW w:w="1520" w:type="dxa"/>
            <w:tcBorders>
              <w:top w:val="nil"/>
              <w:left w:val="nil"/>
              <w:bottom w:val="single" w:sz="4" w:space="0" w:color="auto"/>
              <w:right w:val="single" w:sz="4" w:space="0" w:color="auto"/>
            </w:tcBorders>
            <w:shd w:val="clear" w:color="auto" w:fill="C4EFCE"/>
            <w:vAlign w:val="center"/>
            <w:hideMark/>
          </w:tcPr>
          <w:p w14:paraId="597F8070" w14:textId="5D90E2A6"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B6F21A2" w14:textId="5E4E569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Počet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opatrovateľských zariadeniach na podporu bezdomovcov</w:t>
            </w:r>
          </w:p>
        </w:tc>
      </w:tr>
      <w:tr w:rsidR="00387C70" w:rsidRPr="003F23AC" w14:paraId="54E51593"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7005D2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4.2</w:t>
            </w:r>
          </w:p>
        </w:tc>
        <w:tc>
          <w:tcPr>
            <w:tcW w:w="1760" w:type="dxa"/>
            <w:tcBorders>
              <w:top w:val="nil"/>
              <w:left w:val="nil"/>
              <w:bottom w:val="single" w:sz="4" w:space="0" w:color="auto"/>
              <w:right w:val="single" w:sz="4" w:space="0" w:color="auto"/>
            </w:tcBorders>
            <w:shd w:val="clear" w:color="auto" w:fill="C4EFCE"/>
            <w:vAlign w:val="center"/>
            <w:hideMark/>
          </w:tcPr>
          <w:p w14:paraId="04039DCF" w14:textId="24377BF0"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C04-i01</w:t>
            </w:r>
          </w:p>
        </w:tc>
        <w:tc>
          <w:tcPr>
            <w:tcW w:w="1520" w:type="dxa"/>
            <w:tcBorders>
              <w:top w:val="nil"/>
              <w:left w:val="nil"/>
              <w:bottom w:val="single" w:sz="4" w:space="0" w:color="auto"/>
              <w:right w:val="single" w:sz="4" w:space="0" w:color="auto"/>
            </w:tcBorders>
            <w:shd w:val="clear" w:color="auto" w:fill="C4EFCE"/>
            <w:vAlign w:val="center"/>
            <w:hideMark/>
          </w:tcPr>
          <w:p w14:paraId="19C9B77D" w14:textId="1E01157A"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A90ED1B"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Finančná podpora digitálnej transformácie kníhkupectiev</w:t>
            </w:r>
          </w:p>
        </w:tc>
      </w:tr>
      <w:tr w:rsidR="00387C70" w:rsidRPr="003F23AC" w14:paraId="53B3FFF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379906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4.3</w:t>
            </w:r>
          </w:p>
        </w:tc>
        <w:tc>
          <w:tcPr>
            <w:tcW w:w="1760" w:type="dxa"/>
            <w:tcBorders>
              <w:top w:val="nil"/>
              <w:left w:val="nil"/>
              <w:bottom w:val="single" w:sz="4" w:space="0" w:color="auto"/>
              <w:right w:val="single" w:sz="4" w:space="0" w:color="auto"/>
            </w:tcBorders>
            <w:shd w:val="clear" w:color="auto" w:fill="C4EFCE"/>
            <w:vAlign w:val="center"/>
            <w:hideMark/>
          </w:tcPr>
          <w:p w14:paraId="19A59DC1" w14:textId="6384F15A"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C04-i01</w:t>
            </w:r>
          </w:p>
        </w:tc>
        <w:tc>
          <w:tcPr>
            <w:tcW w:w="1520" w:type="dxa"/>
            <w:tcBorders>
              <w:top w:val="nil"/>
              <w:left w:val="nil"/>
              <w:bottom w:val="single" w:sz="4" w:space="0" w:color="auto"/>
              <w:right w:val="single" w:sz="4" w:space="0" w:color="auto"/>
            </w:tcBorders>
            <w:shd w:val="clear" w:color="auto" w:fill="C4EFCE"/>
            <w:vAlign w:val="center"/>
            <w:hideMark/>
          </w:tcPr>
          <w:p w14:paraId="01A1C2F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35C14D01" w14:textId="72C5079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Digitalizácia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virtualizácia verejných zbierok</w:t>
            </w:r>
          </w:p>
        </w:tc>
      </w:tr>
      <w:tr w:rsidR="00387C70" w:rsidRPr="003F23AC" w14:paraId="05681756"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B6ED16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4.5</w:t>
            </w:r>
          </w:p>
        </w:tc>
        <w:tc>
          <w:tcPr>
            <w:tcW w:w="1760" w:type="dxa"/>
            <w:tcBorders>
              <w:top w:val="nil"/>
              <w:left w:val="nil"/>
              <w:bottom w:val="single" w:sz="4" w:space="0" w:color="auto"/>
              <w:right w:val="single" w:sz="4" w:space="0" w:color="auto"/>
            </w:tcBorders>
            <w:shd w:val="clear" w:color="auto" w:fill="C4EFCE"/>
            <w:vAlign w:val="center"/>
            <w:hideMark/>
          </w:tcPr>
          <w:p w14:paraId="2563A114" w14:textId="79E39577"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C04-i01</w:t>
            </w:r>
          </w:p>
        </w:tc>
        <w:tc>
          <w:tcPr>
            <w:tcW w:w="1520" w:type="dxa"/>
            <w:tcBorders>
              <w:top w:val="nil"/>
              <w:left w:val="nil"/>
              <w:bottom w:val="single" w:sz="4" w:space="0" w:color="auto"/>
              <w:right w:val="single" w:sz="4" w:space="0" w:color="auto"/>
            </w:tcBorders>
            <w:shd w:val="clear" w:color="auto" w:fill="C4EFCE"/>
            <w:vAlign w:val="center"/>
            <w:hideMark/>
          </w:tcPr>
          <w:p w14:paraId="7A273522" w14:textId="16E07A93"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D2E5462" w14:textId="1A48F17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Finančná podpora na preklady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vydávanie literárnych diel</w:t>
            </w:r>
          </w:p>
        </w:tc>
      </w:tr>
      <w:tr w:rsidR="00387C70" w:rsidRPr="003F23AC" w14:paraId="7117E24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553E8A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4.11</w:t>
            </w:r>
          </w:p>
        </w:tc>
        <w:tc>
          <w:tcPr>
            <w:tcW w:w="1760" w:type="dxa"/>
            <w:tcBorders>
              <w:top w:val="nil"/>
              <w:left w:val="nil"/>
              <w:bottom w:val="single" w:sz="4" w:space="0" w:color="auto"/>
              <w:right w:val="single" w:sz="4" w:space="0" w:color="auto"/>
            </w:tcBorders>
            <w:shd w:val="clear" w:color="auto" w:fill="C4EFCE"/>
            <w:vAlign w:val="center"/>
            <w:hideMark/>
          </w:tcPr>
          <w:p w14:paraId="7F112129" w14:textId="6CAB518D"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C04-i02</w:t>
            </w:r>
          </w:p>
        </w:tc>
        <w:tc>
          <w:tcPr>
            <w:tcW w:w="1520" w:type="dxa"/>
            <w:tcBorders>
              <w:top w:val="nil"/>
              <w:left w:val="nil"/>
              <w:bottom w:val="single" w:sz="4" w:space="0" w:color="auto"/>
              <w:right w:val="single" w:sz="4" w:space="0" w:color="auto"/>
            </w:tcBorders>
            <w:shd w:val="clear" w:color="auto" w:fill="C4EFCE"/>
            <w:vAlign w:val="center"/>
            <w:hideMark/>
          </w:tcPr>
          <w:p w14:paraId="4F32219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513ECBA9" w14:textId="4E422D4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Inštalácia laboratórií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trás iniciatívy technologického centra „Saber Fazer“</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vytvorenie pedagogických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informačných činností</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tradičných technikách.</w:t>
            </w:r>
          </w:p>
        </w:tc>
      </w:tr>
      <w:tr w:rsidR="00387C70" w:rsidRPr="003F23AC" w14:paraId="54F1463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C503CA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5.6</w:t>
            </w:r>
          </w:p>
        </w:tc>
        <w:tc>
          <w:tcPr>
            <w:tcW w:w="1760" w:type="dxa"/>
            <w:tcBorders>
              <w:top w:val="nil"/>
              <w:left w:val="nil"/>
              <w:bottom w:val="single" w:sz="4" w:space="0" w:color="auto"/>
              <w:right w:val="single" w:sz="4" w:space="0" w:color="auto"/>
            </w:tcBorders>
            <w:shd w:val="clear" w:color="auto" w:fill="C4EFCE"/>
            <w:vAlign w:val="center"/>
            <w:hideMark/>
          </w:tcPr>
          <w:p w14:paraId="6D345099" w14:textId="423A6E9F"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C05-i01</w:t>
            </w:r>
          </w:p>
        </w:tc>
        <w:tc>
          <w:tcPr>
            <w:tcW w:w="1520" w:type="dxa"/>
            <w:tcBorders>
              <w:top w:val="nil"/>
              <w:left w:val="nil"/>
              <w:bottom w:val="single" w:sz="4" w:space="0" w:color="auto"/>
              <w:right w:val="single" w:sz="4" w:space="0" w:color="auto"/>
            </w:tcBorders>
            <w:shd w:val="clear" w:color="auto" w:fill="C4EFCE"/>
            <w:vAlign w:val="center"/>
            <w:hideMark/>
          </w:tcPr>
          <w:p w14:paraId="0B04EDAE" w14:textId="56DC0CD6"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571ED57F"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plnenia šiestich zmlúv (inovačné pakty alebo mobilizačné projekty)</w:t>
            </w:r>
          </w:p>
        </w:tc>
      </w:tr>
      <w:tr w:rsidR="00387C70" w:rsidRPr="003F23AC" w14:paraId="56FFCB93"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71EDCE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5.8</w:t>
            </w:r>
          </w:p>
        </w:tc>
        <w:tc>
          <w:tcPr>
            <w:tcW w:w="1760" w:type="dxa"/>
            <w:tcBorders>
              <w:top w:val="nil"/>
              <w:left w:val="nil"/>
              <w:bottom w:val="single" w:sz="4" w:space="0" w:color="auto"/>
              <w:right w:val="single" w:sz="4" w:space="0" w:color="auto"/>
            </w:tcBorders>
            <w:shd w:val="clear" w:color="auto" w:fill="C4EFCE"/>
            <w:vAlign w:val="center"/>
            <w:hideMark/>
          </w:tcPr>
          <w:p w14:paraId="060E7E77" w14:textId="1C27548C"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C05-i01</w:t>
            </w:r>
          </w:p>
        </w:tc>
        <w:tc>
          <w:tcPr>
            <w:tcW w:w="1520" w:type="dxa"/>
            <w:tcBorders>
              <w:top w:val="nil"/>
              <w:left w:val="nil"/>
              <w:bottom w:val="single" w:sz="4" w:space="0" w:color="auto"/>
              <w:right w:val="single" w:sz="4" w:space="0" w:color="auto"/>
            </w:tcBorders>
            <w:shd w:val="clear" w:color="auto" w:fill="C4EFCE"/>
            <w:vAlign w:val="center"/>
            <w:hideMark/>
          </w:tcPr>
          <w:p w14:paraId="75165333" w14:textId="444ACA85"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482BFAA" w14:textId="71A06C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Výrobky, procesy alebo služby (PPS) dokončené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súvislosti</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nízkouhlíkovým hospodárstvom, odolnosťou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adaptáciou na zmenu klímy</w:t>
            </w:r>
          </w:p>
        </w:tc>
      </w:tr>
      <w:tr w:rsidR="00387C70" w:rsidRPr="003F23AC" w14:paraId="5DA861D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E31B91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5.10</w:t>
            </w:r>
          </w:p>
        </w:tc>
        <w:tc>
          <w:tcPr>
            <w:tcW w:w="1760" w:type="dxa"/>
            <w:tcBorders>
              <w:top w:val="nil"/>
              <w:left w:val="nil"/>
              <w:bottom w:val="single" w:sz="4" w:space="0" w:color="auto"/>
              <w:right w:val="single" w:sz="4" w:space="0" w:color="auto"/>
            </w:tcBorders>
            <w:shd w:val="clear" w:color="auto" w:fill="C4EFCE"/>
            <w:vAlign w:val="center"/>
            <w:hideMark/>
          </w:tcPr>
          <w:p w14:paraId="44979142" w14:textId="4542C819"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C05-i02</w:t>
            </w:r>
          </w:p>
        </w:tc>
        <w:tc>
          <w:tcPr>
            <w:tcW w:w="1520" w:type="dxa"/>
            <w:tcBorders>
              <w:top w:val="nil"/>
              <w:left w:val="nil"/>
              <w:bottom w:val="single" w:sz="4" w:space="0" w:color="auto"/>
              <w:right w:val="single" w:sz="4" w:space="0" w:color="auto"/>
            </w:tcBorders>
            <w:shd w:val="clear" w:color="auto" w:fill="C4EFCE"/>
            <w:vAlign w:val="center"/>
            <w:hideMark/>
          </w:tcPr>
          <w:p w14:paraId="05AC7742" w14:textId="609FC587"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467D021"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Spoločnosti využívajúce služby poskytované sprostredkovateľskými subjektmi vrátane kolaboratívnych laboratórií – Colabs</w:t>
            </w:r>
          </w:p>
        </w:tc>
      </w:tr>
      <w:tr w:rsidR="00387C70" w:rsidRPr="003F23AC" w14:paraId="13B590CA"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FBD9B5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5.12</w:t>
            </w:r>
          </w:p>
        </w:tc>
        <w:tc>
          <w:tcPr>
            <w:tcW w:w="1760" w:type="dxa"/>
            <w:tcBorders>
              <w:top w:val="nil"/>
              <w:left w:val="nil"/>
              <w:bottom w:val="single" w:sz="4" w:space="0" w:color="auto"/>
              <w:right w:val="single" w:sz="4" w:space="0" w:color="auto"/>
            </w:tcBorders>
            <w:shd w:val="clear" w:color="auto" w:fill="C4EFCE"/>
            <w:vAlign w:val="center"/>
            <w:hideMark/>
          </w:tcPr>
          <w:p w14:paraId="47FD4194" w14:textId="4BA828E2"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C05-i03</w:t>
            </w:r>
          </w:p>
        </w:tc>
        <w:tc>
          <w:tcPr>
            <w:tcW w:w="1520" w:type="dxa"/>
            <w:tcBorders>
              <w:top w:val="nil"/>
              <w:left w:val="nil"/>
              <w:bottom w:val="single" w:sz="4" w:space="0" w:color="auto"/>
              <w:right w:val="single" w:sz="4" w:space="0" w:color="auto"/>
            </w:tcBorders>
            <w:shd w:val="clear" w:color="auto" w:fill="C4EFCE"/>
            <w:vAlign w:val="center"/>
            <w:hideMark/>
          </w:tcPr>
          <w:p w14:paraId="59C9B6F6" w14:textId="2EB4024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A7CE04C" w14:textId="41BF969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inovačných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výskumných projektov zameraných na ekologické aspekty inovačného programu pre poľnohospodárstvo do roku 2030</w:t>
            </w:r>
          </w:p>
        </w:tc>
      </w:tr>
      <w:tr w:rsidR="00387C70" w:rsidRPr="003F23AC" w14:paraId="67C7014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7804C4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5.13</w:t>
            </w:r>
          </w:p>
        </w:tc>
        <w:tc>
          <w:tcPr>
            <w:tcW w:w="1760" w:type="dxa"/>
            <w:tcBorders>
              <w:top w:val="nil"/>
              <w:left w:val="nil"/>
              <w:bottom w:val="single" w:sz="4" w:space="0" w:color="auto"/>
              <w:right w:val="single" w:sz="4" w:space="0" w:color="auto"/>
            </w:tcBorders>
            <w:shd w:val="clear" w:color="auto" w:fill="C4EFCE"/>
            <w:vAlign w:val="center"/>
            <w:hideMark/>
          </w:tcPr>
          <w:p w14:paraId="4FFC2BA5" w14:textId="4FC02844"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C05-i03</w:t>
            </w:r>
          </w:p>
        </w:tc>
        <w:tc>
          <w:tcPr>
            <w:tcW w:w="1520" w:type="dxa"/>
            <w:tcBorders>
              <w:top w:val="nil"/>
              <w:left w:val="nil"/>
              <w:bottom w:val="single" w:sz="4" w:space="0" w:color="auto"/>
              <w:right w:val="single" w:sz="4" w:space="0" w:color="auto"/>
            </w:tcBorders>
            <w:shd w:val="clear" w:color="auto" w:fill="C4EFCE"/>
            <w:vAlign w:val="center"/>
            <w:hideMark/>
          </w:tcPr>
          <w:p w14:paraId="18233495" w14:textId="597BB89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9A4F13A" w14:textId="2A433732"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piatich štruktúrovaných projektov zameraných na digitálne aspekty inovačného programu pre poľnohospodárstvo do roku 2030</w:t>
            </w:r>
          </w:p>
        </w:tc>
      </w:tr>
      <w:tr w:rsidR="00387C70" w:rsidRPr="003F23AC" w14:paraId="26F745F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888FE5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5.14</w:t>
            </w:r>
          </w:p>
        </w:tc>
        <w:tc>
          <w:tcPr>
            <w:tcW w:w="1760" w:type="dxa"/>
            <w:tcBorders>
              <w:top w:val="nil"/>
              <w:left w:val="nil"/>
              <w:bottom w:val="single" w:sz="4" w:space="0" w:color="auto"/>
              <w:right w:val="single" w:sz="4" w:space="0" w:color="auto"/>
            </w:tcBorders>
            <w:shd w:val="clear" w:color="auto" w:fill="C4EFCE"/>
            <w:vAlign w:val="center"/>
            <w:hideMark/>
          </w:tcPr>
          <w:p w14:paraId="1A936CD6" w14:textId="2FC2E2EC"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C05-i03</w:t>
            </w:r>
          </w:p>
        </w:tc>
        <w:tc>
          <w:tcPr>
            <w:tcW w:w="1520" w:type="dxa"/>
            <w:tcBorders>
              <w:top w:val="nil"/>
              <w:left w:val="nil"/>
              <w:bottom w:val="single" w:sz="4" w:space="0" w:color="auto"/>
              <w:right w:val="single" w:sz="4" w:space="0" w:color="auto"/>
            </w:tcBorders>
            <w:shd w:val="clear" w:color="auto" w:fill="C4EFCE"/>
            <w:vAlign w:val="center"/>
            <w:hideMark/>
          </w:tcPr>
          <w:p w14:paraId="24C31DEB" w14:textId="3776CD8F"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C5F817B"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Obnova/modernizácia poľnohospodárskych inovačných centier</w:t>
            </w:r>
          </w:p>
        </w:tc>
      </w:tr>
      <w:tr w:rsidR="00387C70" w:rsidRPr="003F23AC" w14:paraId="4850187B"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743FF5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5.17</w:t>
            </w:r>
          </w:p>
        </w:tc>
        <w:tc>
          <w:tcPr>
            <w:tcW w:w="1760" w:type="dxa"/>
            <w:tcBorders>
              <w:top w:val="nil"/>
              <w:left w:val="nil"/>
              <w:bottom w:val="single" w:sz="4" w:space="0" w:color="auto"/>
              <w:right w:val="single" w:sz="4" w:space="0" w:color="auto"/>
            </w:tcBorders>
            <w:shd w:val="clear" w:color="auto" w:fill="C4EFCE"/>
            <w:vAlign w:val="center"/>
            <w:hideMark/>
          </w:tcPr>
          <w:p w14:paraId="06A80BBF" w14:textId="202D42EB"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C05-i04-RAA</w:t>
            </w:r>
          </w:p>
        </w:tc>
        <w:tc>
          <w:tcPr>
            <w:tcW w:w="1520" w:type="dxa"/>
            <w:tcBorders>
              <w:top w:val="nil"/>
              <w:left w:val="nil"/>
              <w:bottom w:val="single" w:sz="4" w:space="0" w:color="auto"/>
              <w:right w:val="single" w:sz="4" w:space="0" w:color="auto"/>
            </w:tcBorders>
            <w:shd w:val="clear" w:color="auto" w:fill="C4EFCE"/>
            <w:vAlign w:val="center"/>
            <w:hideMark/>
          </w:tcPr>
          <w:p w14:paraId="77D74F29" w14:textId="3F0B769C"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A04E19E" w14:textId="3BA6F8E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Poskytnutie celkovej sumy 125 000 000 EUR nefinančným korporáciám regiónu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kapitálovej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kvázi kapitálovej podpory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investičnou politikou nástroja. Orientačne sa odhaduje, že dokončením plánu sa podporí najmenej 300 podnikov.</w:t>
            </w:r>
          </w:p>
        </w:tc>
      </w:tr>
      <w:tr w:rsidR="00387C70" w:rsidRPr="003F23AC" w14:paraId="76F54C1D"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3C7F55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5.19</w:t>
            </w:r>
          </w:p>
        </w:tc>
        <w:tc>
          <w:tcPr>
            <w:tcW w:w="1760" w:type="dxa"/>
            <w:tcBorders>
              <w:top w:val="nil"/>
              <w:left w:val="nil"/>
              <w:bottom w:val="single" w:sz="4" w:space="0" w:color="auto"/>
              <w:right w:val="single" w:sz="4" w:space="0" w:color="auto"/>
            </w:tcBorders>
            <w:shd w:val="clear" w:color="auto" w:fill="C4EFCE"/>
            <w:vAlign w:val="center"/>
            <w:hideMark/>
          </w:tcPr>
          <w:p w14:paraId="691C999E" w14:textId="0340CE42"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C05-i05-RAA</w:t>
            </w:r>
          </w:p>
        </w:tc>
        <w:tc>
          <w:tcPr>
            <w:tcW w:w="1520" w:type="dxa"/>
            <w:tcBorders>
              <w:top w:val="nil"/>
              <w:left w:val="nil"/>
              <w:bottom w:val="single" w:sz="4" w:space="0" w:color="auto"/>
              <w:right w:val="single" w:sz="4" w:space="0" w:color="auto"/>
            </w:tcBorders>
            <w:shd w:val="clear" w:color="auto" w:fill="C4EFCE"/>
            <w:vAlign w:val="center"/>
            <w:hideMark/>
          </w:tcPr>
          <w:p w14:paraId="093E4261" w14:textId="59285E12"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4854002" w14:textId="7EEB5E8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Nové (nahradenie zastaraných štruktúr) alebo nové štruktúry zodpovedné za porážku zvierat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certifikáciu kvality mlieka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bezpečnosti potravín</w:t>
            </w:r>
          </w:p>
        </w:tc>
      </w:tr>
      <w:tr w:rsidR="00387C70" w:rsidRPr="003F23AC" w14:paraId="6BB6737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B75E80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5.20</w:t>
            </w:r>
          </w:p>
        </w:tc>
        <w:tc>
          <w:tcPr>
            <w:tcW w:w="1760" w:type="dxa"/>
            <w:tcBorders>
              <w:top w:val="nil"/>
              <w:left w:val="nil"/>
              <w:bottom w:val="single" w:sz="4" w:space="0" w:color="auto"/>
              <w:right w:val="single" w:sz="4" w:space="0" w:color="auto"/>
            </w:tcBorders>
            <w:shd w:val="clear" w:color="auto" w:fill="C4EFCE"/>
            <w:vAlign w:val="center"/>
            <w:hideMark/>
          </w:tcPr>
          <w:p w14:paraId="35521E65" w14:textId="654D25F5"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C05-i05-RAA</w:t>
            </w:r>
          </w:p>
        </w:tc>
        <w:tc>
          <w:tcPr>
            <w:tcW w:w="1520" w:type="dxa"/>
            <w:tcBorders>
              <w:top w:val="nil"/>
              <w:left w:val="nil"/>
              <w:bottom w:val="single" w:sz="4" w:space="0" w:color="auto"/>
              <w:right w:val="single" w:sz="4" w:space="0" w:color="auto"/>
            </w:tcBorders>
            <w:shd w:val="clear" w:color="auto" w:fill="C4EFCE"/>
            <w:vAlign w:val="center"/>
            <w:hideMark/>
          </w:tcPr>
          <w:p w14:paraId="2A64CCBA" w14:textId="2ECF02D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80ED2B5" w14:textId="163F9F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Projekty podporované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podporných schém na reštrukturalizáciu podnikov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spracovateľskom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marketingovom sektore</w:t>
            </w:r>
          </w:p>
        </w:tc>
      </w:tr>
      <w:tr w:rsidR="00387C70" w:rsidRPr="003F23AC" w14:paraId="3FDB28E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178BD6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5.21</w:t>
            </w:r>
          </w:p>
        </w:tc>
        <w:tc>
          <w:tcPr>
            <w:tcW w:w="1760" w:type="dxa"/>
            <w:tcBorders>
              <w:top w:val="nil"/>
              <w:left w:val="nil"/>
              <w:bottom w:val="single" w:sz="4" w:space="0" w:color="auto"/>
              <w:right w:val="single" w:sz="4" w:space="0" w:color="auto"/>
            </w:tcBorders>
            <w:shd w:val="clear" w:color="auto" w:fill="C4EFCE"/>
            <w:vAlign w:val="center"/>
            <w:hideMark/>
          </w:tcPr>
          <w:p w14:paraId="2006E72B" w14:textId="759611E8"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C05-i05-RAA</w:t>
            </w:r>
          </w:p>
        </w:tc>
        <w:tc>
          <w:tcPr>
            <w:tcW w:w="1520" w:type="dxa"/>
            <w:tcBorders>
              <w:top w:val="nil"/>
              <w:left w:val="nil"/>
              <w:bottom w:val="single" w:sz="4" w:space="0" w:color="auto"/>
              <w:right w:val="single" w:sz="4" w:space="0" w:color="auto"/>
            </w:tcBorders>
            <w:shd w:val="clear" w:color="auto" w:fill="C4EFCE"/>
            <w:vAlign w:val="center"/>
            <w:hideMark/>
          </w:tcPr>
          <w:p w14:paraId="43DF32CA" w14:textId="3FAB427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4AC44E0" w14:textId="498DD1E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Projekty podporované</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režimov podpory na reštrukturalizáciu poľnohospodárskych podnikov</w:t>
            </w:r>
          </w:p>
        </w:tc>
      </w:tr>
      <w:tr w:rsidR="00387C70" w:rsidRPr="003F23AC" w14:paraId="100DF5DB"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55BC21F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5.22</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2D7005F4" w14:textId="5DBB81C2"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C05-i05-RAA</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3DA139D5" w14:textId="451423B7"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D347233" w14:textId="7ABB143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Poľnohospodárske podniky využívajúce špecializovanú technickú podporu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posilnenia postavenia poľnohospodárov</w:t>
            </w:r>
          </w:p>
        </w:tc>
      </w:tr>
      <w:tr w:rsidR="00387C70" w:rsidRPr="003F23AC" w14:paraId="30BF76DB"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29D989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5.34</w:t>
            </w:r>
          </w:p>
        </w:tc>
        <w:tc>
          <w:tcPr>
            <w:tcW w:w="1760" w:type="dxa"/>
            <w:tcBorders>
              <w:top w:val="nil"/>
              <w:left w:val="nil"/>
              <w:bottom w:val="single" w:sz="4" w:space="0" w:color="auto"/>
              <w:right w:val="single" w:sz="4" w:space="0" w:color="auto"/>
            </w:tcBorders>
            <w:shd w:val="clear" w:color="auto" w:fill="C4EFCE"/>
            <w:vAlign w:val="center"/>
            <w:hideMark/>
          </w:tcPr>
          <w:p w14:paraId="72F4B8DE" w14:textId="7C406703"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C05-i07-RAM</w:t>
            </w:r>
          </w:p>
        </w:tc>
        <w:tc>
          <w:tcPr>
            <w:tcW w:w="1520" w:type="dxa"/>
            <w:tcBorders>
              <w:top w:val="nil"/>
              <w:left w:val="nil"/>
              <w:bottom w:val="single" w:sz="4" w:space="0" w:color="auto"/>
              <w:right w:val="single" w:sz="4" w:space="0" w:color="auto"/>
            </w:tcBorders>
            <w:shd w:val="clear" w:color="auto" w:fill="C4EFCE"/>
            <w:vAlign w:val="center"/>
            <w:hideMark/>
          </w:tcPr>
          <w:p w14:paraId="316503D4" w14:textId="298312F2"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B50AB12"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Záruky za úvery na podporu projektov regionálnych podnikov.</w:t>
            </w:r>
          </w:p>
        </w:tc>
      </w:tr>
      <w:tr w:rsidR="00387C70" w:rsidRPr="003F23AC" w14:paraId="1D91A46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C3F749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5.35</w:t>
            </w:r>
          </w:p>
        </w:tc>
        <w:tc>
          <w:tcPr>
            <w:tcW w:w="1760" w:type="dxa"/>
            <w:tcBorders>
              <w:top w:val="nil"/>
              <w:left w:val="nil"/>
              <w:bottom w:val="single" w:sz="4" w:space="0" w:color="auto"/>
              <w:right w:val="single" w:sz="4" w:space="0" w:color="auto"/>
            </w:tcBorders>
            <w:shd w:val="clear" w:color="auto" w:fill="C4EFCE"/>
            <w:vAlign w:val="center"/>
            <w:hideMark/>
          </w:tcPr>
          <w:p w14:paraId="6967C3AD" w14:textId="5F1F1238"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C05-i08</w:t>
            </w:r>
          </w:p>
        </w:tc>
        <w:tc>
          <w:tcPr>
            <w:tcW w:w="1520" w:type="dxa"/>
            <w:tcBorders>
              <w:top w:val="nil"/>
              <w:left w:val="nil"/>
              <w:bottom w:val="single" w:sz="4" w:space="0" w:color="auto"/>
              <w:right w:val="single" w:sz="4" w:space="0" w:color="auto"/>
            </w:tcBorders>
            <w:shd w:val="clear" w:color="auto" w:fill="C4EFCE"/>
            <w:vAlign w:val="center"/>
            <w:hideMark/>
          </w:tcPr>
          <w:p w14:paraId="4CCABE5B" w14:textId="109F277F"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8F5823A" w14:textId="28E90B4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Ukončenie „vedeckého areálu XXI“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„vedeckej kancelárie“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poskytovania služieb prostredníctvom národného programu otvorených vedeckých údajov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otvorených výskumných údajov (PNCADAI)</w:t>
            </w:r>
          </w:p>
        </w:tc>
      </w:tr>
      <w:tr w:rsidR="00387C70" w:rsidRPr="003F23AC" w14:paraId="7A31595B"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75C687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5.40</w:t>
            </w:r>
          </w:p>
        </w:tc>
        <w:tc>
          <w:tcPr>
            <w:tcW w:w="1760" w:type="dxa"/>
            <w:tcBorders>
              <w:top w:val="nil"/>
              <w:left w:val="nil"/>
              <w:bottom w:val="single" w:sz="4" w:space="0" w:color="auto"/>
              <w:right w:val="single" w:sz="4" w:space="0" w:color="auto"/>
            </w:tcBorders>
            <w:shd w:val="clear" w:color="auto" w:fill="C4EFCE"/>
            <w:vAlign w:val="center"/>
            <w:hideMark/>
          </w:tcPr>
          <w:p w14:paraId="2F1FA845" w14:textId="2940C722"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C05-i09</w:t>
            </w:r>
          </w:p>
        </w:tc>
        <w:tc>
          <w:tcPr>
            <w:tcW w:w="1520" w:type="dxa"/>
            <w:tcBorders>
              <w:top w:val="nil"/>
              <w:left w:val="nil"/>
              <w:bottom w:val="single" w:sz="4" w:space="0" w:color="auto"/>
              <w:right w:val="single" w:sz="4" w:space="0" w:color="auto"/>
            </w:tcBorders>
            <w:shd w:val="clear" w:color="auto" w:fill="C4EFCE"/>
            <w:vAlign w:val="center"/>
            <w:hideMark/>
          </w:tcPr>
          <w:p w14:paraId="6C872439" w14:textId="50AF6C66"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78591A6"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168 výrobkov, procesov alebo služieb.</w:t>
            </w:r>
          </w:p>
        </w:tc>
      </w:tr>
      <w:tr w:rsidR="00387C70" w:rsidRPr="003F23AC" w14:paraId="421627E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23DDFE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5.42</w:t>
            </w:r>
          </w:p>
        </w:tc>
        <w:tc>
          <w:tcPr>
            <w:tcW w:w="1760" w:type="dxa"/>
            <w:tcBorders>
              <w:top w:val="nil"/>
              <w:left w:val="nil"/>
              <w:bottom w:val="single" w:sz="4" w:space="0" w:color="auto"/>
              <w:right w:val="single" w:sz="4" w:space="0" w:color="auto"/>
            </w:tcBorders>
            <w:shd w:val="clear" w:color="auto" w:fill="C4EFCE"/>
            <w:vAlign w:val="center"/>
            <w:hideMark/>
          </w:tcPr>
          <w:p w14:paraId="2AC3BE32" w14:textId="46C89AF4"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C05-i10</w:t>
            </w:r>
          </w:p>
        </w:tc>
        <w:tc>
          <w:tcPr>
            <w:tcW w:w="1520" w:type="dxa"/>
            <w:tcBorders>
              <w:top w:val="nil"/>
              <w:left w:val="nil"/>
              <w:bottom w:val="single" w:sz="4" w:space="0" w:color="auto"/>
              <w:right w:val="single" w:sz="4" w:space="0" w:color="auto"/>
            </w:tcBorders>
            <w:shd w:val="clear" w:color="auto" w:fill="C4EFCE"/>
            <w:vAlign w:val="center"/>
            <w:hideMark/>
          </w:tcPr>
          <w:p w14:paraId="326441C2" w14:textId="10479BC0"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B3B6ECA" w14:textId="4C8B701B"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výrobkov, procesov alebo služieb relevantných pre nízkouhlíkové hospodárstvo, 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adaptáciu na zmenu klímy.</w:t>
            </w:r>
          </w:p>
        </w:tc>
      </w:tr>
      <w:tr w:rsidR="00387C70" w:rsidRPr="003F23AC" w14:paraId="14988A7B"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704BD2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6.2</w:t>
            </w:r>
          </w:p>
        </w:tc>
        <w:tc>
          <w:tcPr>
            <w:tcW w:w="1760" w:type="dxa"/>
            <w:tcBorders>
              <w:top w:val="nil"/>
              <w:left w:val="nil"/>
              <w:bottom w:val="single" w:sz="4" w:space="0" w:color="auto"/>
              <w:right w:val="single" w:sz="4" w:space="0" w:color="auto"/>
            </w:tcBorders>
            <w:shd w:val="clear" w:color="auto" w:fill="C4EFCE"/>
            <w:vAlign w:val="center"/>
            <w:hideMark/>
          </w:tcPr>
          <w:p w14:paraId="3BDA4A67" w14:textId="62C5A617"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C06-i01</w:t>
            </w:r>
          </w:p>
        </w:tc>
        <w:tc>
          <w:tcPr>
            <w:tcW w:w="1520" w:type="dxa"/>
            <w:tcBorders>
              <w:top w:val="nil"/>
              <w:left w:val="nil"/>
              <w:bottom w:val="single" w:sz="4" w:space="0" w:color="auto"/>
              <w:right w:val="single" w:sz="4" w:space="0" w:color="auto"/>
            </w:tcBorders>
            <w:shd w:val="clear" w:color="auto" w:fill="C4EFCE"/>
            <w:vAlign w:val="center"/>
            <w:hideMark/>
          </w:tcPr>
          <w:p w14:paraId="40653034" w14:textId="69E14077"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4F70C1E"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Renovované alebo vybudované špecializované technologické centrá</w:t>
            </w:r>
          </w:p>
        </w:tc>
      </w:tr>
      <w:tr w:rsidR="00387C70" w:rsidRPr="003F23AC" w14:paraId="67A0ACB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B05514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6.4</w:t>
            </w:r>
          </w:p>
        </w:tc>
        <w:tc>
          <w:tcPr>
            <w:tcW w:w="1760" w:type="dxa"/>
            <w:tcBorders>
              <w:top w:val="nil"/>
              <w:left w:val="nil"/>
              <w:bottom w:val="single" w:sz="4" w:space="0" w:color="auto"/>
              <w:right w:val="single" w:sz="4" w:space="0" w:color="auto"/>
            </w:tcBorders>
            <w:shd w:val="clear" w:color="auto" w:fill="C4EFCE"/>
            <w:vAlign w:val="center"/>
            <w:hideMark/>
          </w:tcPr>
          <w:p w14:paraId="560BB3EF" w14:textId="301EC9A7"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C06-i01</w:t>
            </w:r>
          </w:p>
        </w:tc>
        <w:tc>
          <w:tcPr>
            <w:tcW w:w="1520" w:type="dxa"/>
            <w:tcBorders>
              <w:top w:val="nil"/>
              <w:left w:val="nil"/>
              <w:bottom w:val="single" w:sz="4" w:space="0" w:color="auto"/>
              <w:right w:val="single" w:sz="4" w:space="0" w:color="auto"/>
            </w:tcBorders>
            <w:shd w:val="clear" w:color="auto" w:fill="C4EFCE"/>
            <w:vAlign w:val="center"/>
            <w:hideMark/>
          </w:tcPr>
          <w:p w14:paraId="1A02B8EF" w14:textId="373DD2A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57D6BE2"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Modernizované školiace stanice</w:t>
            </w:r>
          </w:p>
        </w:tc>
      </w:tr>
      <w:tr w:rsidR="00387C70" w:rsidRPr="003F23AC" w14:paraId="5E314A8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A0FE7B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6.6</w:t>
            </w:r>
          </w:p>
        </w:tc>
        <w:tc>
          <w:tcPr>
            <w:tcW w:w="1760" w:type="dxa"/>
            <w:tcBorders>
              <w:top w:val="nil"/>
              <w:left w:val="nil"/>
              <w:bottom w:val="single" w:sz="4" w:space="0" w:color="auto"/>
              <w:right w:val="single" w:sz="4" w:space="0" w:color="auto"/>
            </w:tcBorders>
            <w:shd w:val="clear" w:color="auto" w:fill="C4EFCE"/>
            <w:vAlign w:val="center"/>
            <w:hideMark/>
          </w:tcPr>
          <w:p w14:paraId="6F3A1B05" w14:textId="1020E47F"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C06-i03</w:t>
            </w:r>
          </w:p>
        </w:tc>
        <w:tc>
          <w:tcPr>
            <w:tcW w:w="1520" w:type="dxa"/>
            <w:tcBorders>
              <w:top w:val="nil"/>
              <w:left w:val="nil"/>
              <w:bottom w:val="single" w:sz="4" w:space="0" w:color="auto"/>
              <w:right w:val="single" w:sz="4" w:space="0" w:color="auto"/>
            </w:tcBorders>
            <w:shd w:val="clear" w:color="auto" w:fill="C4EFCE"/>
            <w:vAlign w:val="center"/>
            <w:hideMark/>
          </w:tcPr>
          <w:p w14:paraId="232B7518" w14:textId="60060DE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5537F14F"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Ďalší účastníci opatrení na podporu zvyšovania kvalifikácie dospelých</w:t>
            </w:r>
          </w:p>
        </w:tc>
      </w:tr>
      <w:tr w:rsidR="00387C70" w:rsidRPr="003F23AC" w14:paraId="050A7C9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403F26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6.7</w:t>
            </w:r>
          </w:p>
        </w:tc>
        <w:tc>
          <w:tcPr>
            <w:tcW w:w="1760" w:type="dxa"/>
            <w:tcBorders>
              <w:top w:val="nil"/>
              <w:left w:val="nil"/>
              <w:bottom w:val="single" w:sz="4" w:space="0" w:color="auto"/>
              <w:right w:val="single" w:sz="4" w:space="0" w:color="auto"/>
            </w:tcBorders>
            <w:shd w:val="clear" w:color="auto" w:fill="C4EFCE"/>
            <w:vAlign w:val="center"/>
            <w:hideMark/>
          </w:tcPr>
          <w:p w14:paraId="46784F4F" w14:textId="3C434CCC"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C06-i04</w:t>
            </w:r>
          </w:p>
        </w:tc>
        <w:tc>
          <w:tcPr>
            <w:tcW w:w="1520" w:type="dxa"/>
            <w:tcBorders>
              <w:top w:val="nil"/>
              <w:left w:val="nil"/>
              <w:bottom w:val="single" w:sz="4" w:space="0" w:color="auto"/>
              <w:right w:val="single" w:sz="4" w:space="0" w:color="auto"/>
            </w:tcBorders>
            <w:shd w:val="clear" w:color="auto" w:fill="C4EFCE"/>
            <w:vAlign w:val="center"/>
            <w:hideMark/>
          </w:tcPr>
          <w:p w14:paraId="10877261" w14:textId="785C4E5A"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73B9D33"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Ďalšie kluby Ciência Viva</w:t>
            </w:r>
          </w:p>
        </w:tc>
      </w:tr>
      <w:tr w:rsidR="00387C70" w:rsidRPr="003F23AC" w14:paraId="5829166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E5A057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6.9</w:t>
            </w:r>
          </w:p>
        </w:tc>
        <w:tc>
          <w:tcPr>
            <w:tcW w:w="1760" w:type="dxa"/>
            <w:tcBorders>
              <w:top w:val="nil"/>
              <w:left w:val="nil"/>
              <w:bottom w:val="single" w:sz="4" w:space="0" w:color="auto"/>
              <w:right w:val="single" w:sz="4" w:space="0" w:color="auto"/>
            </w:tcBorders>
            <w:shd w:val="clear" w:color="auto" w:fill="C4EFCE"/>
            <w:vAlign w:val="center"/>
            <w:hideMark/>
          </w:tcPr>
          <w:p w14:paraId="5E8FAB6C" w14:textId="219A9221"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C06-i04</w:t>
            </w:r>
          </w:p>
        </w:tc>
        <w:tc>
          <w:tcPr>
            <w:tcW w:w="1520" w:type="dxa"/>
            <w:tcBorders>
              <w:top w:val="nil"/>
              <w:left w:val="nil"/>
              <w:bottom w:val="single" w:sz="4" w:space="0" w:color="auto"/>
              <w:right w:val="single" w:sz="4" w:space="0" w:color="auto"/>
            </w:tcBorders>
            <w:shd w:val="clear" w:color="auto" w:fill="C4EFCE"/>
            <w:vAlign w:val="center"/>
            <w:hideMark/>
          </w:tcPr>
          <w:p w14:paraId="48B03350" w14:textId="37B91096"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AAD5F2D" w14:textId="010D6696"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Dodatočný počet študentov, ktorí absolvovali kurzy terciárneho vzdelávania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STEAM</w:t>
            </w:r>
          </w:p>
        </w:tc>
      </w:tr>
      <w:tr w:rsidR="00387C70" w:rsidRPr="003F23AC" w14:paraId="3C70A66F"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B4CDA6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6.10</w:t>
            </w:r>
          </w:p>
        </w:tc>
        <w:tc>
          <w:tcPr>
            <w:tcW w:w="1760" w:type="dxa"/>
            <w:tcBorders>
              <w:top w:val="nil"/>
              <w:left w:val="nil"/>
              <w:bottom w:val="single" w:sz="4" w:space="0" w:color="auto"/>
              <w:right w:val="single" w:sz="4" w:space="0" w:color="auto"/>
            </w:tcBorders>
            <w:shd w:val="clear" w:color="auto" w:fill="C4EFCE"/>
            <w:vAlign w:val="center"/>
            <w:hideMark/>
          </w:tcPr>
          <w:p w14:paraId="0E62DC90" w14:textId="012B8BDE"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C06-i05-RAA</w:t>
            </w:r>
          </w:p>
        </w:tc>
        <w:tc>
          <w:tcPr>
            <w:tcW w:w="1520" w:type="dxa"/>
            <w:tcBorders>
              <w:top w:val="nil"/>
              <w:left w:val="nil"/>
              <w:bottom w:val="single" w:sz="4" w:space="0" w:color="auto"/>
              <w:right w:val="single" w:sz="4" w:space="0" w:color="auto"/>
            </w:tcBorders>
            <w:shd w:val="clear" w:color="auto" w:fill="C4EFCE"/>
            <w:vAlign w:val="center"/>
            <w:hideMark/>
          </w:tcPr>
          <w:p w14:paraId="01B43691" w14:textId="02E9EC12"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99DF944" w14:textId="0E88A66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Dodatočný počet dospelých zapísaných na postsekundárne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terciárne vzdelávanie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autonómnej oblasti Azory</w:t>
            </w:r>
          </w:p>
        </w:tc>
      </w:tr>
      <w:tr w:rsidR="00387C70" w:rsidRPr="003F23AC" w14:paraId="2B7ADEC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8ADBD2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6.11</w:t>
            </w:r>
          </w:p>
        </w:tc>
        <w:tc>
          <w:tcPr>
            <w:tcW w:w="1760" w:type="dxa"/>
            <w:tcBorders>
              <w:top w:val="nil"/>
              <w:left w:val="nil"/>
              <w:bottom w:val="single" w:sz="4" w:space="0" w:color="auto"/>
              <w:right w:val="single" w:sz="4" w:space="0" w:color="auto"/>
            </w:tcBorders>
            <w:shd w:val="clear" w:color="auto" w:fill="C4EFCE"/>
            <w:vAlign w:val="center"/>
            <w:hideMark/>
          </w:tcPr>
          <w:p w14:paraId="4C3D556F" w14:textId="11EE291D"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C06-i05-RAA</w:t>
            </w:r>
          </w:p>
        </w:tc>
        <w:tc>
          <w:tcPr>
            <w:tcW w:w="1520" w:type="dxa"/>
            <w:tcBorders>
              <w:top w:val="nil"/>
              <w:left w:val="nil"/>
              <w:bottom w:val="single" w:sz="4" w:space="0" w:color="auto"/>
              <w:right w:val="single" w:sz="4" w:space="0" w:color="auto"/>
            </w:tcBorders>
            <w:shd w:val="clear" w:color="auto" w:fill="C4EFCE"/>
            <w:vAlign w:val="center"/>
            <w:hideMark/>
          </w:tcPr>
          <w:p w14:paraId="680350DF" w14:textId="46A4C82D"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2427B23" w14:textId="7C1DA62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Modernizované profesionálne školy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autonómnej oblasti Azory</w:t>
            </w:r>
          </w:p>
        </w:tc>
      </w:tr>
      <w:tr w:rsidR="00387C70" w:rsidRPr="003F23AC" w14:paraId="24EC007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3C17C2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6.12</w:t>
            </w:r>
          </w:p>
        </w:tc>
        <w:tc>
          <w:tcPr>
            <w:tcW w:w="1760" w:type="dxa"/>
            <w:tcBorders>
              <w:top w:val="nil"/>
              <w:left w:val="nil"/>
              <w:bottom w:val="single" w:sz="4" w:space="0" w:color="auto"/>
              <w:right w:val="single" w:sz="4" w:space="0" w:color="auto"/>
            </w:tcBorders>
            <w:shd w:val="clear" w:color="auto" w:fill="C4EFCE"/>
            <w:vAlign w:val="center"/>
            <w:hideMark/>
          </w:tcPr>
          <w:p w14:paraId="50C54B79" w14:textId="78BF80F2"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C06-r14</w:t>
            </w:r>
          </w:p>
        </w:tc>
        <w:tc>
          <w:tcPr>
            <w:tcW w:w="1520" w:type="dxa"/>
            <w:tcBorders>
              <w:top w:val="nil"/>
              <w:left w:val="nil"/>
              <w:bottom w:val="single" w:sz="4" w:space="0" w:color="auto"/>
              <w:right w:val="single" w:sz="4" w:space="0" w:color="auto"/>
            </w:tcBorders>
            <w:shd w:val="clear" w:color="auto" w:fill="C4EFCE"/>
            <w:vAlign w:val="center"/>
            <w:hideMark/>
          </w:tcPr>
          <w:p w14:paraId="3BED303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15602805" w14:textId="1522B7D3"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Otváranie voľných pracovných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odbornej prípravy</w:t>
            </w:r>
          </w:p>
        </w:tc>
      </w:tr>
      <w:tr w:rsidR="00387C70" w:rsidRPr="003F23AC" w14:paraId="33E8B5FC"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CDA94F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7.3</w:t>
            </w:r>
          </w:p>
        </w:tc>
        <w:tc>
          <w:tcPr>
            <w:tcW w:w="1760" w:type="dxa"/>
            <w:tcBorders>
              <w:top w:val="nil"/>
              <w:left w:val="nil"/>
              <w:bottom w:val="single" w:sz="4" w:space="0" w:color="auto"/>
              <w:right w:val="single" w:sz="4" w:space="0" w:color="auto"/>
            </w:tcBorders>
            <w:shd w:val="clear" w:color="auto" w:fill="C4EFCE"/>
            <w:vAlign w:val="center"/>
            <w:hideMark/>
          </w:tcPr>
          <w:p w14:paraId="3892C438" w14:textId="7C0D0317"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C07-i00</w:t>
            </w:r>
          </w:p>
        </w:tc>
        <w:tc>
          <w:tcPr>
            <w:tcW w:w="1520" w:type="dxa"/>
            <w:tcBorders>
              <w:top w:val="nil"/>
              <w:left w:val="nil"/>
              <w:bottom w:val="single" w:sz="4" w:space="0" w:color="auto"/>
              <w:right w:val="single" w:sz="4" w:space="0" w:color="auto"/>
            </w:tcBorders>
            <w:shd w:val="clear" w:color="auto" w:fill="C4EFCE"/>
            <w:vAlign w:val="center"/>
            <w:hideMark/>
          </w:tcPr>
          <w:p w14:paraId="717E5A0E" w14:textId="2F109707"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751B064" w14:textId="15C38C0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Verejne prístupné nabíjacie stanice pre elektrické vozidlá</w:t>
            </w:r>
          </w:p>
        </w:tc>
      </w:tr>
      <w:tr w:rsidR="00387C70" w:rsidRPr="003F23AC" w14:paraId="650DC73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19A4D3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7.5</w:t>
            </w:r>
          </w:p>
        </w:tc>
        <w:tc>
          <w:tcPr>
            <w:tcW w:w="1760" w:type="dxa"/>
            <w:tcBorders>
              <w:top w:val="nil"/>
              <w:left w:val="nil"/>
              <w:bottom w:val="single" w:sz="4" w:space="0" w:color="auto"/>
              <w:right w:val="single" w:sz="4" w:space="0" w:color="auto"/>
            </w:tcBorders>
            <w:shd w:val="clear" w:color="auto" w:fill="C4EFCE"/>
            <w:vAlign w:val="center"/>
            <w:hideMark/>
          </w:tcPr>
          <w:p w14:paraId="17918B41" w14:textId="1EC6ACAA"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C07-i01</w:t>
            </w:r>
          </w:p>
        </w:tc>
        <w:tc>
          <w:tcPr>
            <w:tcW w:w="1520" w:type="dxa"/>
            <w:tcBorders>
              <w:top w:val="nil"/>
              <w:left w:val="nil"/>
              <w:bottom w:val="single" w:sz="4" w:space="0" w:color="auto"/>
              <w:right w:val="single" w:sz="4" w:space="0" w:color="auto"/>
            </w:tcBorders>
            <w:shd w:val="clear" w:color="auto" w:fill="C4EFCE"/>
            <w:vAlign w:val="center"/>
            <w:hideMark/>
          </w:tcPr>
          <w:p w14:paraId="459806A5" w14:textId="591BBD4F"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443B899"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Ukončenie intervencií vo vybraných oblastiach prijímania podnikov</w:t>
            </w:r>
          </w:p>
        </w:tc>
      </w:tr>
      <w:tr w:rsidR="00387C70" w:rsidRPr="003F23AC" w14:paraId="6CD2520B"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CA01F6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7.8</w:t>
            </w:r>
          </w:p>
        </w:tc>
        <w:tc>
          <w:tcPr>
            <w:tcW w:w="1760" w:type="dxa"/>
            <w:tcBorders>
              <w:top w:val="nil"/>
              <w:left w:val="nil"/>
              <w:bottom w:val="single" w:sz="4" w:space="0" w:color="auto"/>
              <w:right w:val="single" w:sz="4" w:space="0" w:color="auto"/>
            </w:tcBorders>
            <w:shd w:val="clear" w:color="auto" w:fill="C4EFCE"/>
            <w:vAlign w:val="center"/>
            <w:hideMark/>
          </w:tcPr>
          <w:p w14:paraId="05E0D85C" w14:textId="4D0E5ACE"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C07-i02</w:t>
            </w:r>
          </w:p>
        </w:tc>
        <w:tc>
          <w:tcPr>
            <w:tcW w:w="1520" w:type="dxa"/>
            <w:tcBorders>
              <w:top w:val="nil"/>
              <w:left w:val="nil"/>
              <w:bottom w:val="single" w:sz="4" w:space="0" w:color="auto"/>
              <w:right w:val="single" w:sz="4" w:space="0" w:color="auto"/>
            </w:tcBorders>
            <w:shd w:val="clear" w:color="auto" w:fill="C4EFCE"/>
            <w:vAlign w:val="center"/>
            <w:hideMark/>
          </w:tcPr>
          <w:p w14:paraId="1DD8E82A" w14:textId="15F661DA"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54F4337"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Vybudované alebo rekultivované cesty</w:t>
            </w:r>
          </w:p>
        </w:tc>
      </w:tr>
      <w:tr w:rsidR="00387C70" w:rsidRPr="003F23AC" w14:paraId="377F20C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BA2719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8.1</w:t>
            </w:r>
          </w:p>
        </w:tc>
        <w:tc>
          <w:tcPr>
            <w:tcW w:w="1760" w:type="dxa"/>
            <w:tcBorders>
              <w:top w:val="nil"/>
              <w:left w:val="nil"/>
              <w:bottom w:val="single" w:sz="4" w:space="0" w:color="auto"/>
              <w:right w:val="single" w:sz="4" w:space="0" w:color="auto"/>
            </w:tcBorders>
            <w:shd w:val="clear" w:color="auto" w:fill="C4EFCE"/>
            <w:vAlign w:val="center"/>
            <w:hideMark/>
          </w:tcPr>
          <w:p w14:paraId="01EDC3E5" w14:textId="37820FD6"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C08-i01</w:t>
            </w:r>
          </w:p>
        </w:tc>
        <w:tc>
          <w:tcPr>
            <w:tcW w:w="1520" w:type="dxa"/>
            <w:tcBorders>
              <w:top w:val="nil"/>
              <w:left w:val="nil"/>
              <w:bottom w:val="single" w:sz="4" w:space="0" w:color="auto"/>
              <w:right w:val="single" w:sz="4" w:space="0" w:color="auto"/>
            </w:tcBorders>
            <w:shd w:val="clear" w:color="auto" w:fill="C4EFCE"/>
            <w:vAlign w:val="center"/>
            <w:hideMark/>
          </w:tcPr>
          <w:p w14:paraId="1980E795" w14:textId="3D763B30"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1410C3D" w14:textId="788E3B82"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Rozvoj programov územného plánovania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riadenia (PRGP) na územiach vymedzených ako zraniteľné.</w:t>
            </w:r>
          </w:p>
        </w:tc>
      </w:tr>
      <w:tr w:rsidR="00387C70" w:rsidRPr="003F23AC" w14:paraId="57C9696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318667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8.2</w:t>
            </w:r>
          </w:p>
        </w:tc>
        <w:tc>
          <w:tcPr>
            <w:tcW w:w="1760" w:type="dxa"/>
            <w:tcBorders>
              <w:top w:val="nil"/>
              <w:left w:val="nil"/>
              <w:bottom w:val="single" w:sz="4" w:space="0" w:color="auto"/>
              <w:right w:val="single" w:sz="4" w:space="0" w:color="auto"/>
            </w:tcBorders>
            <w:shd w:val="clear" w:color="auto" w:fill="C4EFCE"/>
            <w:vAlign w:val="center"/>
            <w:hideMark/>
          </w:tcPr>
          <w:p w14:paraId="7A203DDE" w14:textId="7147E322"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C08-i01</w:t>
            </w:r>
          </w:p>
        </w:tc>
        <w:tc>
          <w:tcPr>
            <w:tcW w:w="1520" w:type="dxa"/>
            <w:tcBorders>
              <w:top w:val="nil"/>
              <w:left w:val="nil"/>
              <w:bottom w:val="single" w:sz="4" w:space="0" w:color="auto"/>
              <w:right w:val="single" w:sz="4" w:space="0" w:color="auto"/>
            </w:tcBorders>
            <w:shd w:val="clear" w:color="auto" w:fill="C4EFCE"/>
            <w:noWrap/>
            <w:vAlign w:val="center"/>
            <w:hideMark/>
          </w:tcPr>
          <w:p w14:paraId="41F26EE6" w14:textId="78512AE6"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noWrap/>
            <w:vAlign w:val="center"/>
            <w:hideMark/>
          </w:tcPr>
          <w:p w14:paraId="0C955423" w14:textId="537A3CB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 xml:space="preserve"> Uverejnenie integrovaných operácií riadenia krajiny (OIGP)</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Diário da Republica</w:t>
            </w:r>
          </w:p>
        </w:tc>
      </w:tr>
      <w:tr w:rsidR="00387C70" w:rsidRPr="003F23AC" w14:paraId="7FAC8B4F"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4DC7D9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8.3</w:t>
            </w:r>
          </w:p>
        </w:tc>
        <w:tc>
          <w:tcPr>
            <w:tcW w:w="1760" w:type="dxa"/>
            <w:tcBorders>
              <w:top w:val="nil"/>
              <w:left w:val="nil"/>
              <w:bottom w:val="single" w:sz="4" w:space="0" w:color="auto"/>
              <w:right w:val="single" w:sz="4" w:space="0" w:color="auto"/>
            </w:tcBorders>
            <w:shd w:val="clear" w:color="auto" w:fill="C4EFCE"/>
            <w:vAlign w:val="center"/>
            <w:hideMark/>
          </w:tcPr>
          <w:p w14:paraId="79CACB0A" w14:textId="00197A1A"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C08-i01</w:t>
            </w:r>
          </w:p>
        </w:tc>
        <w:tc>
          <w:tcPr>
            <w:tcW w:w="1520" w:type="dxa"/>
            <w:tcBorders>
              <w:top w:val="nil"/>
              <w:left w:val="nil"/>
              <w:bottom w:val="single" w:sz="4" w:space="0" w:color="auto"/>
              <w:right w:val="single" w:sz="4" w:space="0" w:color="auto"/>
            </w:tcBorders>
            <w:shd w:val="clear" w:color="auto" w:fill="C4EFCE"/>
            <w:vAlign w:val="center"/>
            <w:hideMark/>
          </w:tcPr>
          <w:p w14:paraId="73DC3FE2" w14:textId="3D7B3F8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38BA7AD" w14:textId="0308FA2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Dediny</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projektmi riadenia palív</w:t>
            </w:r>
          </w:p>
        </w:tc>
      </w:tr>
      <w:tr w:rsidR="00387C70" w:rsidRPr="003F23AC" w14:paraId="61C196AF"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969526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8.8</w:t>
            </w:r>
          </w:p>
        </w:tc>
        <w:tc>
          <w:tcPr>
            <w:tcW w:w="1760" w:type="dxa"/>
            <w:tcBorders>
              <w:top w:val="nil"/>
              <w:left w:val="nil"/>
              <w:bottom w:val="single" w:sz="4" w:space="0" w:color="auto"/>
              <w:right w:val="single" w:sz="4" w:space="0" w:color="auto"/>
            </w:tcBorders>
            <w:shd w:val="clear" w:color="auto" w:fill="C4EFCE"/>
            <w:vAlign w:val="center"/>
            <w:hideMark/>
          </w:tcPr>
          <w:p w14:paraId="788A36AA" w14:textId="4CE3538D"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C08-i03</w:t>
            </w:r>
          </w:p>
        </w:tc>
        <w:tc>
          <w:tcPr>
            <w:tcW w:w="1520" w:type="dxa"/>
            <w:tcBorders>
              <w:top w:val="nil"/>
              <w:left w:val="nil"/>
              <w:bottom w:val="single" w:sz="4" w:space="0" w:color="auto"/>
              <w:right w:val="single" w:sz="4" w:space="0" w:color="auto"/>
            </w:tcBorders>
            <w:shd w:val="clear" w:color="auto" w:fill="C4EFCE"/>
            <w:vAlign w:val="center"/>
            <w:hideMark/>
          </w:tcPr>
          <w:p w14:paraId="69601962" w14:textId="00C31A44"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6BAA7BC"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Stanovená oblasť vecného bremena</w:t>
            </w:r>
          </w:p>
        </w:tc>
      </w:tr>
      <w:tr w:rsidR="00387C70" w:rsidRPr="003F23AC" w14:paraId="0F8A647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ABEAB0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8.9</w:t>
            </w:r>
          </w:p>
        </w:tc>
        <w:tc>
          <w:tcPr>
            <w:tcW w:w="1760" w:type="dxa"/>
            <w:tcBorders>
              <w:top w:val="nil"/>
              <w:left w:val="nil"/>
              <w:bottom w:val="single" w:sz="4" w:space="0" w:color="auto"/>
              <w:right w:val="single" w:sz="4" w:space="0" w:color="auto"/>
            </w:tcBorders>
            <w:shd w:val="clear" w:color="auto" w:fill="C4EFCE"/>
            <w:vAlign w:val="center"/>
            <w:hideMark/>
          </w:tcPr>
          <w:p w14:paraId="5FB474F3" w14:textId="1FBD64E3"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C08-i03</w:t>
            </w:r>
          </w:p>
        </w:tc>
        <w:tc>
          <w:tcPr>
            <w:tcW w:w="1520" w:type="dxa"/>
            <w:tcBorders>
              <w:top w:val="nil"/>
              <w:left w:val="nil"/>
              <w:bottom w:val="single" w:sz="4" w:space="0" w:color="auto"/>
              <w:right w:val="single" w:sz="4" w:space="0" w:color="auto"/>
            </w:tcBorders>
            <w:shd w:val="clear" w:color="auto" w:fill="C4EFCE"/>
            <w:vAlign w:val="center"/>
            <w:hideMark/>
          </w:tcPr>
          <w:p w14:paraId="28F771B5" w14:textId="608CE0A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7D20804" w14:textId="600AA003"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Realizácia siete na štruktúrovanie prípadov primárneho nakladania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palivom (RPFGC)</w:t>
            </w:r>
          </w:p>
        </w:tc>
      </w:tr>
      <w:tr w:rsidR="00387C70" w:rsidRPr="003F23AC" w14:paraId="7433700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B3BCE2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8.11</w:t>
            </w:r>
          </w:p>
        </w:tc>
        <w:tc>
          <w:tcPr>
            <w:tcW w:w="1760" w:type="dxa"/>
            <w:tcBorders>
              <w:top w:val="nil"/>
              <w:left w:val="nil"/>
              <w:bottom w:val="single" w:sz="4" w:space="0" w:color="auto"/>
              <w:right w:val="single" w:sz="4" w:space="0" w:color="auto"/>
            </w:tcBorders>
            <w:shd w:val="clear" w:color="auto" w:fill="C4EFCE"/>
            <w:vAlign w:val="center"/>
            <w:hideMark/>
          </w:tcPr>
          <w:p w14:paraId="5060106C" w14:textId="4570677F"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C08-i04</w:t>
            </w:r>
          </w:p>
        </w:tc>
        <w:tc>
          <w:tcPr>
            <w:tcW w:w="1520" w:type="dxa"/>
            <w:tcBorders>
              <w:top w:val="nil"/>
              <w:left w:val="nil"/>
              <w:bottom w:val="single" w:sz="4" w:space="0" w:color="auto"/>
              <w:right w:val="single" w:sz="4" w:space="0" w:color="auto"/>
            </w:tcBorders>
            <w:shd w:val="clear" w:color="auto" w:fill="C4EFCE"/>
            <w:vAlign w:val="center"/>
            <w:hideMark/>
          </w:tcPr>
          <w:p w14:paraId="1062D4CE" w14:textId="20F1E373"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A8AA6F2" w14:textId="74D7C19B"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Dodávka ľahkých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stredne hasiacich vrtuľníkov</w:t>
            </w:r>
          </w:p>
        </w:tc>
      </w:tr>
      <w:tr w:rsidR="00387C70" w:rsidRPr="003F23AC" w14:paraId="029E127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45D756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8.16</w:t>
            </w:r>
          </w:p>
        </w:tc>
        <w:tc>
          <w:tcPr>
            <w:tcW w:w="1760" w:type="dxa"/>
            <w:tcBorders>
              <w:top w:val="nil"/>
              <w:left w:val="nil"/>
              <w:bottom w:val="single" w:sz="4" w:space="0" w:color="auto"/>
              <w:right w:val="single" w:sz="4" w:space="0" w:color="auto"/>
            </w:tcBorders>
            <w:shd w:val="clear" w:color="auto" w:fill="C4EFCE"/>
            <w:vAlign w:val="center"/>
            <w:hideMark/>
          </w:tcPr>
          <w:p w14:paraId="406E3841" w14:textId="0DC909DB"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C08-i05</w:t>
            </w:r>
          </w:p>
        </w:tc>
        <w:tc>
          <w:tcPr>
            <w:tcW w:w="1520" w:type="dxa"/>
            <w:tcBorders>
              <w:top w:val="nil"/>
              <w:left w:val="nil"/>
              <w:bottom w:val="single" w:sz="4" w:space="0" w:color="auto"/>
              <w:right w:val="single" w:sz="4" w:space="0" w:color="auto"/>
            </w:tcBorders>
            <w:shd w:val="clear" w:color="auto" w:fill="C4EFCE"/>
            <w:vAlign w:val="center"/>
            <w:hideMark/>
          </w:tcPr>
          <w:p w14:paraId="5F70D9DF" w14:textId="3B39A08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7632C10"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Vykonávanie národného programu odbornej prípravy</w:t>
            </w:r>
          </w:p>
        </w:tc>
      </w:tr>
      <w:tr w:rsidR="00387C70" w:rsidRPr="003F23AC" w14:paraId="151E9F4A"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5364E7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8.20</w:t>
            </w:r>
          </w:p>
        </w:tc>
        <w:tc>
          <w:tcPr>
            <w:tcW w:w="1760" w:type="dxa"/>
            <w:tcBorders>
              <w:top w:val="nil"/>
              <w:left w:val="nil"/>
              <w:bottom w:val="single" w:sz="4" w:space="0" w:color="auto"/>
              <w:right w:val="single" w:sz="4" w:space="0" w:color="auto"/>
            </w:tcBorders>
            <w:shd w:val="clear" w:color="auto" w:fill="C4EFCE"/>
            <w:vAlign w:val="center"/>
            <w:hideMark/>
          </w:tcPr>
          <w:p w14:paraId="0F6D2E23" w14:textId="31039641"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C08-i01</w:t>
            </w:r>
          </w:p>
        </w:tc>
        <w:tc>
          <w:tcPr>
            <w:tcW w:w="1520" w:type="dxa"/>
            <w:tcBorders>
              <w:top w:val="nil"/>
              <w:left w:val="nil"/>
              <w:bottom w:val="single" w:sz="4" w:space="0" w:color="auto"/>
              <w:right w:val="single" w:sz="4" w:space="0" w:color="auto"/>
            </w:tcBorders>
            <w:shd w:val="clear" w:color="auto" w:fill="C4EFCE"/>
            <w:vAlign w:val="center"/>
            <w:hideMark/>
          </w:tcPr>
          <w:p w14:paraId="6A8FA555" w14:textId="252B422C"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3C69A6A"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Vykonávanie opatrení pozemkových úprav Programa „Emparcelar para Ordenar</w:t>
            </w:r>
          </w:p>
        </w:tc>
      </w:tr>
      <w:tr w:rsidR="00387C70" w:rsidRPr="003F23AC" w14:paraId="3400313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2D197F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9.13</w:t>
            </w:r>
          </w:p>
        </w:tc>
        <w:tc>
          <w:tcPr>
            <w:tcW w:w="1760" w:type="dxa"/>
            <w:tcBorders>
              <w:top w:val="nil"/>
              <w:left w:val="nil"/>
              <w:bottom w:val="single" w:sz="4" w:space="0" w:color="auto"/>
              <w:right w:val="single" w:sz="4" w:space="0" w:color="auto"/>
            </w:tcBorders>
            <w:shd w:val="clear" w:color="auto" w:fill="C4EFCE"/>
            <w:vAlign w:val="center"/>
            <w:hideMark/>
          </w:tcPr>
          <w:p w14:paraId="4DC101BB" w14:textId="56B966EB"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C09-i03-RAM</w:t>
            </w:r>
          </w:p>
        </w:tc>
        <w:tc>
          <w:tcPr>
            <w:tcW w:w="1520" w:type="dxa"/>
            <w:tcBorders>
              <w:top w:val="nil"/>
              <w:left w:val="nil"/>
              <w:bottom w:val="single" w:sz="4" w:space="0" w:color="auto"/>
              <w:right w:val="single" w:sz="4" w:space="0" w:color="auto"/>
            </w:tcBorders>
            <w:shd w:val="clear" w:color="auto" w:fill="C4EFCE"/>
            <w:vAlign w:val="center"/>
            <w:hideMark/>
          </w:tcPr>
          <w:p w14:paraId="006C3296" w14:textId="2DC23136"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51DD5B30" w14:textId="5D5333B6"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Dodatočný objem vody dostupnej</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južnej časti ostrova Madeira na verejné zásobovanie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zavlažovanie</w:t>
            </w:r>
          </w:p>
        </w:tc>
      </w:tr>
      <w:tr w:rsidR="00387C70" w:rsidRPr="003F23AC" w14:paraId="785F1D8F"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66C8B5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10.2</w:t>
            </w:r>
          </w:p>
        </w:tc>
        <w:tc>
          <w:tcPr>
            <w:tcW w:w="1760" w:type="dxa"/>
            <w:tcBorders>
              <w:top w:val="nil"/>
              <w:left w:val="nil"/>
              <w:bottom w:val="single" w:sz="4" w:space="0" w:color="auto"/>
              <w:right w:val="single" w:sz="4" w:space="0" w:color="auto"/>
            </w:tcBorders>
            <w:shd w:val="clear" w:color="auto" w:fill="C4EFCE"/>
            <w:vAlign w:val="center"/>
            <w:hideMark/>
          </w:tcPr>
          <w:p w14:paraId="0D2AF86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TC-C10-i01</w:t>
            </w:r>
          </w:p>
        </w:tc>
        <w:tc>
          <w:tcPr>
            <w:tcW w:w="1520" w:type="dxa"/>
            <w:tcBorders>
              <w:top w:val="nil"/>
              <w:left w:val="nil"/>
              <w:bottom w:val="single" w:sz="4" w:space="0" w:color="auto"/>
              <w:right w:val="single" w:sz="4" w:space="0" w:color="auto"/>
            </w:tcBorders>
            <w:shd w:val="clear" w:color="auto" w:fill="C4EFCE"/>
            <w:vAlign w:val="center"/>
            <w:hideMark/>
          </w:tcPr>
          <w:p w14:paraId="44875E4E" w14:textId="6329199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839B19A" w14:textId="10AB24D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modernizácie školy Blue Hub</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posilnenie dodávok</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vybavenia</w:t>
            </w:r>
          </w:p>
        </w:tc>
      </w:tr>
      <w:tr w:rsidR="00387C70" w:rsidRPr="003F23AC" w14:paraId="5CCE596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3FDF52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10.3</w:t>
            </w:r>
          </w:p>
        </w:tc>
        <w:tc>
          <w:tcPr>
            <w:tcW w:w="1760" w:type="dxa"/>
            <w:tcBorders>
              <w:top w:val="nil"/>
              <w:left w:val="nil"/>
              <w:bottom w:val="single" w:sz="4" w:space="0" w:color="auto"/>
              <w:right w:val="single" w:sz="4" w:space="0" w:color="auto"/>
            </w:tcBorders>
            <w:shd w:val="clear" w:color="auto" w:fill="C4EFCE"/>
            <w:vAlign w:val="center"/>
            <w:hideMark/>
          </w:tcPr>
          <w:p w14:paraId="70B1C85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TC-C10-i01</w:t>
            </w:r>
          </w:p>
        </w:tc>
        <w:tc>
          <w:tcPr>
            <w:tcW w:w="1520" w:type="dxa"/>
            <w:tcBorders>
              <w:top w:val="nil"/>
              <w:left w:val="nil"/>
              <w:bottom w:val="single" w:sz="4" w:space="0" w:color="auto"/>
              <w:right w:val="single" w:sz="4" w:space="0" w:color="auto"/>
            </w:tcBorders>
            <w:shd w:val="clear" w:color="auto" w:fill="C4EFCE"/>
            <w:vAlign w:val="center"/>
            <w:hideMark/>
          </w:tcPr>
          <w:p w14:paraId="6F5F3A85" w14:textId="1E8E41DC"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354F1D5"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inštalácie a/alebo modernizácie centier modrého centra</w:t>
            </w:r>
          </w:p>
        </w:tc>
      </w:tr>
      <w:tr w:rsidR="00387C70" w:rsidRPr="003F23AC" w14:paraId="7B6EB3C1"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7348F39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10.4</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50B6285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TC-C10-i02</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7736AA3B" w14:textId="470228DC"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72D99B7" w14:textId="0EA9767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Schválenie záverečných správ</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70 projektoch na podporu inovácií, energetickej transformácie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zníženia vplyvu na životné prostredie pre subjekty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odvetví rybolovu</w:t>
            </w:r>
          </w:p>
        </w:tc>
      </w:tr>
      <w:tr w:rsidR="00387C70" w:rsidRPr="003F23AC" w14:paraId="2377D9BA"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0F2EEB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10.9</w:t>
            </w:r>
          </w:p>
        </w:tc>
        <w:tc>
          <w:tcPr>
            <w:tcW w:w="1760" w:type="dxa"/>
            <w:tcBorders>
              <w:top w:val="nil"/>
              <w:left w:val="nil"/>
              <w:bottom w:val="single" w:sz="4" w:space="0" w:color="auto"/>
              <w:right w:val="single" w:sz="4" w:space="0" w:color="auto"/>
            </w:tcBorders>
            <w:shd w:val="clear" w:color="auto" w:fill="C4EFCE"/>
            <w:vAlign w:val="center"/>
            <w:hideMark/>
          </w:tcPr>
          <w:p w14:paraId="62BDE42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TC-C10 – i04-RAA</w:t>
            </w:r>
          </w:p>
        </w:tc>
        <w:tc>
          <w:tcPr>
            <w:tcW w:w="1520" w:type="dxa"/>
            <w:tcBorders>
              <w:top w:val="nil"/>
              <w:left w:val="nil"/>
              <w:bottom w:val="single" w:sz="4" w:space="0" w:color="auto"/>
              <w:right w:val="single" w:sz="4" w:space="0" w:color="auto"/>
            </w:tcBorders>
            <w:shd w:val="clear" w:color="auto" w:fill="C4EFCE"/>
            <w:vAlign w:val="center"/>
            <w:hideMark/>
          </w:tcPr>
          <w:p w14:paraId="29E5E8E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7423FB98"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Dodávka výskumného plavidla</w:t>
            </w:r>
          </w:p>
        </w:tc>
      </w:tr>
      <w:tr w:rsidR="00387C70" w:rsidRPr="003F23AC" w14:paraId="64CC4DD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7E8707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10.16</w:t>
            </w:r>
          </w:p>
        </w:tc>
        <w:tc>
          <w:tcPr>
            <w:tcW w:w="1760" w:type="dxa"/>
            <w:tcBorders>
              <w:top w:val="nil"/>
              <w:left w:val="nil"/>
              <w:bottom w:val="single" w:sz="4" w:space="0" w:color="auto"/>
              <w:right w:val="single" w:sz="4" w:space="0" w:color="auto"/>
            </w:tcBorders>
            <w:shd w:val="clear" w:color="auto" w:fill="C4EFCE"/>
            <w:vAlign w:val="center"/>
            <w:hideMark/>
          </w:tcPr>
          <w:p w14:paraId="3B2E578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TC-C10 – i06-RAM</w:t>
            </w:r>
          </w:p>
        </w:tc>
        <w:tc>
          <w:tcPr>
            <w:tcW w:w="1520" w:type="dxa"/>
            <w:tcBorders>
              <w:top w:val="nil"/>
              <w:left w:val="nil"/>
              <w:bottom w:val="single" w:sz="4" w:space="0" w:color="auto"/>
              <w:right w:val="single" w:sz="4" w:space="0" w:color="auto"/>
            </w:tcBorders>
            <w:shd w:val="clear" w:color="auto" w:fill="C4EFCE"/>
            <w:vAlign w:val="center"/>
            <w:hideMark/>
          </w:tcPr>
          <w:p w14:paraId="7BE16E0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1247BA8C"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Dodávka autonómnych bezpilotných prostriedkov</w:t>
            </w:r>
          </w:p>
        </w:tc>
      </w:tr>
      <w:tr w:rsidR="00387C70" w:rsidRPr="003F23AC" w14:paraId="260DB7C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CD25DA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11.3</w:t>
            </w:r>
          </w:p>
        </w:tc>
        <w:tc>
          <w:tcPr>
            <w:tcW w:w="1760" w:type="dxa"/>
            <w:tcBorders>
              <w:top w:val="nil"/>
              <w:left w:val="nil"/>
              <w:bottom w:val="single" w:sz="4" w:space="0" w:color="auto"/>
              <w:right w:val="single" w:sz="4" w:space="0" w:color="auto"/>
            </w:tcBorders>
            <w:shd w:val="clear" w:color="auto" w:fill="C4EFCE"/>
            <w:vAlign w:val="center"/>
            <w:hideMark/>
          </w:tcPr>
          <w:p w14:paraId="7D5F02B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TC-C11-i01</w:t>
            </w:r>
          </w:p>
        </w:tc>
        <w:tc>
          <w:tcPr>
            <w:tcW w:w="1520" w:type="dxa"/>
            <w:tcBorders>
              <w:top w:val="nil"/>
              <w:left w:val="nil"/>
              <w:bottom w:val="single" w:sz="4" w:space="0" w:color="auto"/>
              <w:right w:val="single" w:sz="4" w:space="0" w:color="auto"/>
            </w:tcBorders>
            <w:shd w:val="clear" w:color="auto" w:fill="C4EFCE"/>
            <w:vAlign w:val="center"/>
            <w:hideMark/>
          </w:tcPr>
          <w:p w14:paraId="40F811C7" w14:textId="7AF3FE24"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7CEDD55"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Finančná podpora projektov dekarbonizácie priemyslu</w:t>
            </w:r>
          </w:p>
        </w:tc>
      </w:tr>
      <w:tr w:rsidR="00387C70" w:rsidRPr="003F23AC" w14:paraId="52A5E53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7504C7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12.3</w:t>
            </w:r>
          </w:p>
        </w:tc>
        <w:tc>
          <w:tcPr>
            <w:tcW w:w="1760" w:type="dxa"/>
            <w:tcBorders>
              <w:top w:val="nil"/>
              <w:left w:val="nil"/>
              <w:bottom w:val="single" w:sz="4" w:space="0" w:color="auto"/>
              <w:right w:val="single" w:sz="4" w:space="0" w:color="auto"/>
            </w:tcBorders>
            <w:shd w:val="clear" w:color="auto" w:fill="C4EFCE"/>
            <w:vAlign w:val="center"/>
            <w:hideMark/>
          </w:tcPr>
          <w:p w14:paraId="5E91949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TC-C12-i01</w:t>
            </w:r>
          </w:p>
        </w:tc>
        <w:tc>
          <w:tcPr>
            <w:tcW w:w="1520" w:type="dxa"/>
            <w:tcBorders>
              <w:top w:val="nil"/>
              <w:left w:val="nil"/>
              <w:bottom w:val="single" w:sz="4" w:space="0" w:color="auto"/>
              <w:right w:val="single" w:sz="4" w:space="0" w:color="auto"/>
            </w:tcBorders>
            <w:shd w:val="clear" w:color="auto" w:fill="C4EFCE"/>
            <w:vAlign w:val="center"/>
            <w:hideMark/>
          </w:tcPr>
          <w:p w14:paraId="11FF5E1F" w14:textId="5B6F28CC"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CCA943F" w14:textId="48F133F2"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Nové výrobky, technológie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pilotné procesy integrujúce biologické zdroje</w:t>
            </w:r>
          </w:p>
        </w:tc>
      </w:tr>
      <w:tr w:rsidR="00387C70" w:rsidRPr="003F23AC" w14:paraId="6307650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1574EE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12.4</w:t>
            </w:r>
          </w:p>
        </w:tc>
        <w:tc>
          <w:tcPr>
            <w:tcW w:w="1760" w:type="dxa"/>
            <w:tcBorders>
              <w:top w:val="nil"/>
              <w:left w:val="nil"/>
              <w:bottom w:val="single" w:sz="4" w:space="0" w:color="auto"/>
              <w:right w:val="single" w:sz="4" w:space="0" w:color="auto"/>
            </w:tcBorders>
            <w:shd w:val="clear" w:color="auto" w:fill="C4EFCE"/>
            <w:vAlign w:val="center"/>
            <w:hideMark/>
          </w:tcPr>
          <w:p w14:paraId="4D7A477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TC-C12-i01</w:t>
            </w:r>
          </w:p>
        </w:tc>
        <w:tc>
          <w:tcPr>
            <w:tcW w:w="1520" w:type="dxa"/>
            <w:tcBorders>
              <w:top w:val="nil"/>
              <w:left w:val="nil"/>
              <w:bottom w:val="single" w:sz="4" w:space="0" w:color="auto"/>
              <w:right w:val="single" w:sz="4" w:space="0" w:color="auto"/>
            </w:tcBorders>
            <w:shd w:val="clear" w:color="auto" w:fill="C4EFCE"/>
            <w:vAlign w:val="center"/>
            <w:hideMark/>
          </w:tcPr>
          <w:p w14:paraId="671544E6" w14:textId="1F6AFA2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6011820"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Rozvoj morských borovicových lesov so živicovým výrobným potenciálom</w:t>
            </w:r>
          </w:p>
        </w:tc>
      </w:tr>
      <w:tr w:rsidR="00387C70" w:rsidRPr="003F23AC" w14:paraId="420B45B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DBBC2D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12.9</w:t>
            </w:r>
          </w:p>
        </w:tc>
        <w:tc>
          <w:tcPr>
            <w:tcW w:w="1760" w:type="dxa"/>
            <w:tcBorders>
              <w:top w:val="nil"/>
              <w:left w:val="nil"/>
              <w:bottom w:val="single" w:sz="4" w:space="0" w:color="auto"/>
              <w:right w:val="single" w:sz="4" w:space="0" w:color="auto"/>
            </w:tcBorders>
            <w:shd w:val="clear" w:color="auto" w:fill="C4EFCE"/>
            <w:vAlign w:val="center"/>
            <w:hideMark/>
          </w:tcPr>
          <w:p w14:paraId="172E914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TC-C12-r39</w:t>
            </w:r>
          </w:p>
        </w:tc>
        <w:tc>
          <w:tcPr>
            <w:tcW w:w="1520" w:type="dxa"/>
            <w:tcBorders>
              <w:top w:val="nil"/>
              <w:left w:val="nil"/>
              <w:bottom w:val="single" w:sz="4" w:space="0" w:color="auto"/>
              <w:right w:val="single" w:sz="4" w:space="0" w:color="auto"/>
            </w:tcBorders>
            <w:shd w:val="clear" w:color="auto" w:fill="C4EFCE"/>
            <w:vAlign w:val="center"/>
            <w:hideMark/>
          </w:tcPr>
          <w:p w14:paraId="7087AB6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1FC7761F" w14:textId="2E2BB132"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Systém spätného odberu odpadu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elektrických zariadení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elektronických zariadení</w:t>
            </w:r>
          </w:p>
        </w:tc>
      </w:tr>
      <w:tr w:rsidR="00387C70" w:rsidRPr="003F23AC" w14:paraId="7F4AB356"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57EA87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13.3</w:t>
            </w:r>
          </w:p>
        </w:tc>
        <w:tc>
          <w:tcPr>
            <w:tcW w:w="1760" w:type="dxa"/>
            <w:tcBorders>
              <w:top w:val="nil"/>
              <w:left w:val="nil"/>
              <w:bottom w:val="single" w:sz="4" w:space="0" w:color="auto"/>
              <w:right w:val="single" w:sz="4" w:space="0" w:color="auto"/>
            </w:tcBorders>
            <w:shd w:val="clear" w:color="auto" w:fill="C4EFCE"/>
            <w:vAlign w:val="center"/>
            <w:hideMark/>
          </w:tcPr>
          <w:p w14:paraId="2711CA6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TC-C13-i01</w:t>
            </w:r>
          </w:p>
        </w:tc>
        <w:tc>
          <w:tcPr>
            <w:tcW w:w="1520" w:type="dxa"/>
            <w:tcBorders>
              <w:top w:val="nil"/>
              <w:left w:val="nil"/>
              <w:bottom w:val="single" w:sz="4" w:space="0" w:color="auto"/>
              <w:right w:val="single" w:sz="4" w:space="0" w:color="auto"/>
            </w:tcBorders>
            <w:shd w:val="clear" w:color="auto" w:fill="C4EFCE"/>
            <w:vAlign w:val="center"/>
            <w:hideMark/>
          </w:tcPr>
          <w:p w14:paraId="708E9DD8" w14:textId="66C22522"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A4A4BCD" w14:textId="07032E7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Poukazy na efektívnosť distribuované pre domácnosti trpiace energetickou chudobou</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nahradiť staré zariadenia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prijať energeticky účinné riešenia</w:t>
            </w:r>
          </w:p>
        </w:tc>
      </w:tr>
      <w:tr w:rsidR="00387C70" w:rsidRPr="003F23AC" w14:paraId="10CFDBA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FCEEF7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13.4</w:t>
            </w:r>
          </w:p>
        </w:tc>
        <w:tc>
          <w:tcPr>
            <w:tcW w:w="1760" w:type="dxa"/>
            <w:tcBorders>
              <w:top w:val="nil"/>
              <w:left w:val="nil"/>
              <w:bottom w:val="single" w:sz="4" w:space="0" w:color="auto"/>
              <w:right w:val="single" w:sz="4" w:space="0" w:color="auto"/>
            </w:tcBorders>
            <w:shd w:val="clear" w:color="auto" w:fill="C4EFCE"/>
            <w:vAlign w:val="center"/>
            <w:hideMark/>
          </w:tcPr>
          <w:p w14:paraId="70C5809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TC-C13-i01</w:t>
            </w:r>
          </w:p>
        </w:tc>
        <w:tc>
          <w:tcPr>
            <w:tcW w:w="1520" w:type="dxa"/>
            <w:tcBorders>
              <w:top w:val="nil"/>
              <w:left w:val="nil"/>
              <w:bottom w:val="single" w:sz="4" w:space="0" w:color="auto"/>
              <w:right w:val="single" w:sz="4" w:space="0" w:color="auto"/>
            </w:tcBorders>
            <w:shd w:val="clear" w:color="auto" w:fill="C4EFCE"/>
            <w:vAlign w:val="center"/>
            <w:hideMark/>
          </w:tcPr>
          <w:p w14:paraId="63E240DF" w14:textId="3B84069C"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9DF9123" w14:textId="3284141B"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Dodatočná kapacita výroby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 vlastnú spotrebu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využitie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komunitách vyrábajúcich energiu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súkromnom sektore bývania</w:t>
            </w:r>
          </w:p>
        </w:tc>
      </w:tr>
      <w:tr w:rsidR="00387C70" w:rsidRPr="003F23AC" w14:paraId="5266E99A"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12AA44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13.6</w:t>
            </w:r>
          </w:p>
        </w:tc>
        <w:tc>
          <w:tcPr>
            <w:tcW w:w="1760" w:type="dxa"/>
            <w:tcBorders>
              <w:top w:val="nil"/>
              <w:left w:val="nil"/>
              <w:bottom w:val="single" w:sz="4" w:space="0" w:color="auto"/>
              <w:right w:val="single" w:sz="4" w:space="0" w:color="auto"/>
            </w:tcBorders>
            <w:shd w:val="clear" w:color="auto" w:fill="C4EFCE"/>
            <w:vAlign w:val="center"/>
            <w:hideMark/>
          </w:tcPr>
          <w:p w14:paraId="2BEC44D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TC-C13-i02</w:t>
            </w:r>
          </w:p>
        </w:tc>
        <w:tc>
          <w:tcPr>
            <w:tcW w:w="1520" w:type="dxa"/>
            <w:tcBorders>
              <w:top w:val="nil"/>
              <w:left w:val="nil"/>
              <w:bottom w:val="single" w:sz="4" w:space="0" w:color="auto"/>
              <w:right w:val="single" w:sz="4" w:space="0" w:color="auto"/>
            </w:tcBorders>
            <w:shd w:val="clear" w:color="auto" w:fill="C4EFCE"/>
            <w:vAlign w:val="center"/>
            <w:hideMark/>
          </w:tcPr>
          <w:p w14:paraId="221A46F9" w14:textId="02221C1D"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52187E3"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Obnova budov ústredných orgánov štátnej správy zameraná na energetickú efektívnosť</w:t>
            </w:r>
          </w:p>
        </w:tc>
      </w:tr>
      <w:tr w:rsidR="00387C70" w:rsidRPr="003F23AC" w14:paraId="3C9445D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11CA67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13.7</w:t>
            </w:r>
          </w:p>
        </w:tc>
        <w:tc>
          <w:tcPr>
            <w:tcW w:w="1760" w:type="dxa"/>
            <w:tcBorders>
              <w:top w:val="nil"/>
              <w:left w:val="nil"/>
              <w:bottom w:val="single" w:sz="4" w:space="0" w:color="auto"/>
              <w:right w:val="single" w:sz="4" w:space="0" w:color="auto"/>
            </w:tcBorders>
            <w:shd w:val="clear" w:color="auto" w:fill="C4EFCE"/>
            <w:vAlign w:val="center"/>
            <w:hideMark/>
          </w:tcPr>
          <w:p w14:paraId="532BF8A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TC-C13-i02</w:t>
            </w:r>
          </w:p>
        </w:tc>
        <w:tc>
          <w:tcPr>
            <w:tcW w:w="1520" w:type="dxa"/>
            <w:tcBorders>
              <w:top w:val="nil"/>
              <w:left w:val="nil"/>
              <w:bottom w:val="single" w:sz="4" w:space="0" w:color="auto"/>
              <w:right w:val="single" w:sz="4" w:space="0" w:color="auto"/>
            </w:tcBorders>
            <w:shd w:val="clear" w:color="auto" w:fill="C4EFCE"/>
            <w:vAlign w:val="center"/>
            <w:hideMark/>
          </w:tcPr>
          <w:p w14:paraId="58EFFAEF" w14:textId="390D0AA9"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97A86DB" w14:textId="07CD78D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Dodatočná kapacita výroby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 vlastnú spotrebu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využitie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komunitách vyrábajúcich energiu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budovách ústredných orgánov štátnej správy</w:t>
            </w:r>
          </w:p>
        </w:tc>
      </w:tr>
      <w:tr w:rsidR="00387C70" w:rsidRPr="003F23AC" w14:paraId="3D6B69DB"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F48317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13.9</w:t>
            </w:r>
          </w:p>
        </w:tc>
        <w:tc>
          <w:tcPr>
            <w:tcW w:w="1760" w:type="dxa"/>
            <w:tcBorders>
              <w:top w:val="nil"/>
              <w:left w:val="nil"/>
              <w:bottom w:val="single" w:sz="4" w:space="0" w:color="auto"/>
              <w:right w:val="single" w:sz="4" w:space="0" w:color="auto"/>
            </w:tcBorders>
            <w:shd w:val="clear" w:color="auto" w:fill="C4EFCE"/>
            <w:vAlign w:val="center"/>
            <w:hideMark/>
          </w:tcPr>
          <w:p w14:paraId="2F9F167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TC-C13-i03</w:t>
            </w:r>
          </w:p>
        </w:tc>
        <w:tc>
          <w:tcPr>
            <w:tcW w:w="1520" w:type="dxa"/>
            <w:tcBorders>
              <w:top w:val="nil"/>
              <w:left w:val="nil"/>
              <w:bottom w:val="single" w:sz="4" w:space="0" w:color="auto"/>
              <w:right w:val="single" w:sz="4" w:space="0" w:color="auto"/>
            </w:tcBorders>
            <w:shd w:val="clear" w:color="auto" w:fill="C4EFCE"/>
            <w:vAlign w:val="center"/>
            <w:hideMark/>
          </w:tcPr>
          <w:p w14:paraId="052EE5AD" w14:textId="01ABE03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32DC1A9"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Obnova budov súkromných služieb zameraná na energetickú efektívnosť</w:t>
            </w:r>
          </w:p>
        </w:tc>
      </w:tr>
      <w:tr w:rsidR="00387C70" w:rsidRPr="003F23AC" w14:paraId="142EE07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CC8BAF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13.10</w:t>
            </w:r>
          </w:p>
        </w:tc>
        <w:tc>
          <w:tcPr>
            <w:tcW w:w="1760" w:type="dxa"/>
            <w:tcBorders>
              <w:top w:val="nil"/>
              <w:left w:val="nil"/>
              <w:bottom w:val="single" w:sz="4" w:space="0" w:color="auto"/>
              <w:right w:val="single" w:sz="4" w:space="0" w:color="auto"/>
            </w:tcBorders>
            <w:shd w:val="clear" w:color="auto" w:fill="C4EFCE"/>
            <w:vAlign w:val="center"/>
            <w:hideMark/>
          </w:tcPr>
          <w:p w14:paraId="1BB98FB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TC-C13-i03</w:t>
            </w:r>
          </w:p>
        </w:tc>
        <w:tc>
          <w:tcPr>
            <w:tcW w:w="1520" w:type="dxa"/>
            <w:tcBorders>
              <w:top w:val="nil"/>
              <w:left w:val="nil"/>
              <w:bottom w:val="single" w:sz="4" w:space="0" w:color="auto"/>
              <w:right w:val="single" w:sz="4" w:space="0" w:color="auto"/>
            </w:tcBorders>
            <w:shd w:val="clear" w:color="auto" w:fill="C4EFCE"/>
            <w:vAlign w:val="center"/>
            <w:hideMark/>
          </w:tcPr>
          <w:p w14:paraId="38CB2E3B" w14:textId="65D21923"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5B96399" w14:textId="2283A6B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Dodatočná kapacita výroby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 vlastnú spotrebu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využitie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komunitách vyrábajúcich energiu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sektore súkromných služieb</w:t>
            </w:r>
          </w:p>
        </w:tc>
      </w:tr>
      <w:tr w:rsidR="00387C70" w:rsidRPr="003F23AC" w14:paraId="1F41F64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5650C3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14.9</w:t>
            </w:r>
          </w:p>
        </w:tc>
        <w:tc>
          <w:tcPr>
            <w:tcW w:w="1760" w:type="dxa"/>
            <w:tcBorders>
              <w:top w:val="nil"/>
              <w:left w:val="nil"/>
              <w:bottom w:val="single" w:sz="4" w:space="0" w:color="auto"/>
              <w:right w:val="single" w:sz="4" w:space="0" w:color="auto"/>
            </w:tcBorders>
            <w:shd w:val="clear" w:color="auto" w:fill="C4EFCE"/>
            <w:vAlign w:val="center"/>
            <w:hideMark/>
          </w:tcPr>
          <w:p w14:paraId="7091960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TC-C14 – i02-RAM</w:t>
            </w:r>
          </w:p>
        </w:tc>
        <w:tc>
          <w:tcPr>
            <w:tcW w:w="1520" w:type="dxa"/>
            <w:tcBorders>
              <w:top w:val="nil"/>
              <w:left w:val="nil"/>
              <w:bottom w:val="single" w:sz="4" w:space="0" w:color="auto"/>
              <w:right w:val="single" w:sz="4" w:space="0" w:color="auto"/>
            </w:tcBorders>
            <w:shd w:val="clear" w:color="auto" w:fill="C4EFCE"/>
            <w:vAlign w:val="center"/>
            <w:hideMark/>
          </w:tcPr>
          <w:p w14:paraId="1C358FC5" w14:textId="57AC3B5E"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DD92A8B"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Inštalácia inteligentných meračov</w:t>
            </w:r>
          </w:p>
        </w:tc>
      </w:tr>
      <w:tr w:rsidR="00387C70" w:rsidRPr="003F23AC" w14:paraId="41E9423B"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090FAB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14.10</w:t>
            </w:r>
          </w:p>
        </w:tc>
        <w:tc>
          <w:tcPr>
            <w:tcW w:w="1760" w:type="dxa"/>
            <w:tcBorders>
              <w:top w:val="nil"/>
              <w:left w:val="nil"/>
              <w:bottom w:val="single" w:sz="4" w:space="0" w:color="auto"/>
              <w:right w:val="single" w:sz="4" w:space="0" w:color="auto"/>
            </w:tcBorders>
            <w:shd w:val="clear" w:color="auto" w:fill="C4EFCE"/>
            <w:vAlign w:val="center"/>
            <w:hideMark/>
          </w:tcPr>
          <w:p w14:paraId="14EE6BC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TC-C14 – i02-RAM</w:t>
            </w:r>
          </w:p>
        </w:tc>
        <w:tc>
          <w:tcPr>
            <w:tcW w:w="1520" w:type="dxa"/>
            <w:tcBorders>
              <w:top w:val="nil"/>
              <w:left w:val="nil"/>
              <w:bottom w:val="single" w:sz="4" w:space="0" w:color="auto"/>
              <w:right w:val="single" w:sz="4" w:space="0" w:color="auto"/>
            </w:tcBorders>
            <w:shd w:val="clear" w:color="auto" w:fill="C4EFCE"/>
            <w:vAlign w:val="center"/>
            <w:hideMark/>
          </w:tcPr>
          <w:p w14:paraId="19A8DD4D" w14:textId="76198343"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E3E950E"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Výmena miest pouličného osvetlenia</w:t>
            </w:r>
          </w:p>
        </w:tc>
      </w:tr>
      <w:tr w:rsidR="00387C70" w:rsidRPr="003F23AC" w14:paraId="1259CEF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C9EACE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14.14</w:t>
            </w:r>
          </w:p>
        </w:tc>
        <w:tc>
          <w:tcPr>
            <w:tcW w:w="1760" w:type="dxa"/>
            <w:tcBorders>
              <w:top w:val="nil"/>
              <w:left w:val="nil"/>
              <w:bottom w:val="single" w:sz="4" w:space="0" w:color="auto"/>
              <w:right w:val="single" w:sz="4" w:space="0" w:color="auto"/>
            </w:tcBorders>
            <w:shd w:val="clear" w:color="auto" w:fill="C4EFCE"/>
            <w:vAlign w:val="center"/>
            <w:hideMark/>
          </w:tcPr>
          <w:p w14:paraId="5E5CAB4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TC-C14 – i03-RAA</w:t>
            </w:r>
          </w:p>
        </w:tc>
        <w:tc>
          <w:tcPr>
            <w:tcW w:w="1520" w:type="dxa"/>
            <w:tcBorders>
              <w:top w:val="nil"/>
              <w:left w:val="nil"/>
              <w:bottom w:val="single" w:sz="4" w:space="0" w:color="auto"/>
              <w:right w:val="single" w:sz="4" w:space="0" w:color="auto"/>
            </w:tcBorders>
            <w:shd w:val="clear" w:color="auto" w:fill="C4EFCE"/>
            <w:vAlign w:val="center"/>
            <w:hideMark/>
          </w:tcPr>
          <w:p w14:paraId="2422CE6E" w14:textId="2731ABE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656286D" w14:textId="1BFDB1F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Inštalácia malých jednotiek fotovoltických zariadení na miestnu výrobu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spotrebu elektrickej energie</w:t>
            </w:r>
          </w:p>
        </w:tc>
      </w:tr>
      <w:tr w:rsidR="00387C70" w:rsidRPr="003F23AC" w14:paraId="28AF185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A65ACC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16.3</w:t>
            </w:r>
          </w:p>
        </w:tc>
        <w:tc>
          <w:tcPr>
            <w:tcW w:w="1760" w:type="dxa"/>
            <w:tcBorders>
              <w:top w:val="nil"/>
              <w:left w:val="nil"/>
              <w:bottom w:val="single" w:sz="4" w:space="0" w:color="auto"/>
              <w:right w:val="single" w:sz="4" w:space="0" w:color="auto"/>
            </w:tcBorders>
            <w:shd w:val="clear" w:color="auto" w:fill="C4EFCE"/>
            <w:vAlign w:val="center"/>
            <w:hideMark/>
          </w:tcPr>
          <w:p w14:paraId="49A1257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TD-C16-i01</w:t>
            </w:r>
          </w:p>
        </w:tc>
        <w:tc>
          <w:tcPr>
            <w:tcW w:w="1520" w:type="dxa"/>
            <w:tcBorders>
              <w:top w:val="nil"/>
              <w:left w:val="nil"/>
              <w:bottom w:val="single" w:sz="4" w:space="0" w:color="auto"/>
              <w:right w:val="single" w:sz="4" w:space="0" w:color="auto"/>
            </w:tcBorders>
            <w:shd w:val="clear" w:color="auto" w:fill="C4EFCE"/>
            <w:vAlign w:val="center"/>
            <w:hideMark/>
          </w:tcPr>
          <w:p w14:paraId="4627B075" w14:textId="12104B72"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BA94AFF"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Zamestnanosť + účastníci digitálnej odbornej prípravy</w:t>
            </w:r>
          </w:p>
        </w:tc>
      </w:tr>
      <w:tr w:rsidR="00387C70" w:rsidRPr="003F23AC" w14:paraId="1C0A03B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044A2A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16.4</w:t>
            </w:r>
          </w:p>
        </w:tc>
        <w:tc>
          <w:tcPr>
            <w:tcW w:w="1760" w:type="dxa"/>
            <w:tcBorders>
              <w:top w:val="nil"/>
              <w:left w:val="nil"/>
              <w:bottom w:val="single" w:sz="4" w:space="0" w:color="auto"/>
              <w:right w:val="single" w:sz="4" w:space="0" w:color="auto"/>
            </w:tcBorders>
            <w:shd w:val="clear" w:color="auto" w:fill="C4EFCE"/>
            <w:vAlign w:val="center"/>
            <w:hideMark/>
          </w:tcPr>
          <w:p w14:paraId="4421E37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TD-C16-i01</w:t>
            </w:r>
          </w:p>
        </w:tc>
        <w:tc>
          <w:tcPr>
            <w:tcW w:w="1520" w:type="dxa"/>
            <w:tcBorders>
              <w:top w:val="nil"/>
              <w:left w:val="nil"/>
              <w:bottom w:val="single" w:sz="4" w:space="0" w:color="auto"/>
              <w:right w:val="single" w:sz="4" w:space="0" w:color="auto"/>
            </w:tcBorders>
            <w:shd w:val="clear" w:color="auto" w:fill="C4EFCE"/>
            <w:vAlign w:val="center"/>
            <w:hideMark/>
          </w:tcPr>
          <w:p w14:paraId="631F7E61" w14:textId="0F02432A"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A4033A4"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Portugalská digitálna akadémia, účastníci odbornej prípravy</w:t>
            </w:r>
          </w:p>
        </w:tc>
      </w:tr>
      <w:tr w:rsidR="00387C70" w:rsidRPr="003F23AC" w14:paraId="1F4920FB"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73CE42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16.8</w:t>
            </w:r>
          </w:p>
        </w:tc>
        <w:tc>
          <w:tcPr>
            <w:tcW w:w="1760" w:type="dxa"/>
            <w:tcBorders>
              <w:top w:val="nil"/>
              <w:left w:val="nil"/>
              <w:bottom w:val="single" w:sz="4" w:space="0" w:color="auto"/>
              <w:right w:val="single" w:sz="4" w:space="0" w:color="auto"/>
            </w:tcBorders>
            <w:shd w:val="clear" w:color="auto" w:fill="C4EFCE"/>
            <w:vAlign w:val="center"/>
            <w:hideMark/>
          </w:tcPr>
          <w:p w14:paraId="0609D59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TD-C16-i02</w:t>
            </w:r>
          </w:p>
        </w:tc>
        <w:tc>
          <w:tcPr>
            <w:tcW w:w="1520" w:type="dxa"/>
            <w:tcBorders>
              <w:top w:val="nil"/>
              <w:left w:val="nil"/>
              <w:bottom w:val="single" w:sz="4" w:space="0" w:color="auto"/>
              <w:right w:val="single" w:sz="4" w:space="0" w:color="auto"/>
            </w:tcBorders>
            <w:shd w:val="clear" w:color="auto" w:fill="C4EFCE"/>
            <w:vAlign w:val="center"/>
            <w:hideMark/>
          </w:tcPr>
          <w:p w14:paraId="4253830E" w14:textId="32DE8C0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8D78655" w14:textId="10AF789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Vyvinuté pilotné produkty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služby vnútroštátnej siete testovacích Beds </w:t>
            </w:r>
          </w:p>
        </w:tc>
      </w:tr>
      <w:tr w:rsidR="00387C70" w:rsidRPr="003F23AC" w14:paraId="292D08FA"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382F63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16.9</w:t>
            </w:r>
          </w:p>
        </w:tc>
        <w:tc>
          <w:tcPr>
            <w:tcW w:w="1760" w:type="dxa"/>
            <w:tcBorders>
              <w:top w:val="nil"/>
              <w:left w:val="nil"/>
              <w:bottom w:val="single" w:sz="4" w:space="0" w:color="auto"/>
              <w:right w:val="single" w:sz="4" w:space="0" w:color="auto"/>
            </w:tcBorders>
            <w:shd w:val="clear" w:color="auto" w:fill="C4EFCE"/>
            <w:vAlign w:val="center"/>
            <w:hideMark/>
          </w:tcPr>
          <w:p w14:paraId="622C0B7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TD-C16-i02</w:t>
            </w:r>
          </w:p>
        </w:tc>
        <w:tc>
          <w:tcPr>
            <w:tcW w:w="1520" w:type="dxa"/>
            <w:tcBorders>
              <w:top w:val="nil"/>
              <w:left w:val="nil"/>
              <w:bottom w:val="single" w:sz="4" w:space="0" w:color="auto"/>
              <w:right w:val="single" w:sz="4" w:space="0" w:color="auto"/>
            </w:tcBorders>
            <w:shd w:val="clear" w:color="auto" w:fill="C4EFCE"/>
            <w:vAlign w:val="center"/>
            <w:hideMark/>
          </w:tcPr>
          <w:p w14:paraId="4EC1E279" w14:textId="363523C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F1A25E7"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Susedstvá digitálneho obchodu</w:t>
            </w:r>
          </w:p>
        </w:tc>
      </w:tr>
      <w:tr w:rsidR="00387C70" w:rsidRPr="003F23AC" w14:paraId="0F22019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FBE349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16.10</w:t>
            </w:r>
          </w:p>
        </w:tc>
        <w:tc>
          <w:tcPr>
            <w:tcW w:w="1760" w:type="dxa"/>
            <w:tcBorders>
              <w:top w:val="nil"/>
              <w:left w:val="nil"/>
              <w:bottom w:val="single" w:sz="4" w:space="0" w:color="auto"/>
              <w:right w:val="single" w:sz="4" w:space="0" w:color="auto"/>
            </w:tcBorders>
            <w:shd w:val="clear" w:color="auto" w:fill="C4EFCE"/>
            <w:vAlign w:val="center"/>
            <w:hideMark/>
          </w:tcPr>
          <w:p w14:paraId="7EF5440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TD-C16-i02</w:t>
            </w:r>
          </w:p>
        </w:tc>
        <w:tc>
          <w:tcPr>
            <w:tcW w:w="1520" w:type="dxa"/>
            <w:tcBorders>
              <w:top w:val="nil"/>
              <w:left w:val="nil"/>
              <w:bottom w:val="single" w:sz="4" w:space="0" w:color="auto"/>
              <w:right w:val="single" w:sz="4" w:space="0" w:color="auto"/>
            </w:tcBorders>
            <w:shd w:val="clear" w:color="auto" w:fill="C4EFCE"/>
            <w:vAlign w:val="center"/>
            <w:hideMark/>
          </w:tcPr>
          <w:p w14:paraId="22407879" w14:textId="4D1BFE80"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E5A7407"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MSP podporované urýchľovačmi digitálneho obchodu</w:t>
            </w:r>
          </w:p>
        </w:tc>
      </w:tr>
      <w:tr w:rsidR="00387C70" w:rsidRPr="003F23AC" w14:paraId="395EF5A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6A4D26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16.11</w:t>
            </w:r>
          </w:p>
        </w:tc>
        <w:tc>
          <w:tcPr>
            <w:tcW w:w="1760" w:type="dxa"/>
            <w:tcBorders>
              <w:top w:val="nil"/>
              <w:left w:val="nil"/>
              <w:bottom w:val="single" w:sz="4" w:space="0" w:color="auto"/>
              <w:right w:val="single" w:sz="4" w:space="0" w:color="auto"/>
            </w:tcBorders>
            <w:shd w:val="clear" w:color="auto" w:fill="C4EFCE"/>
            <w:vAlign w:val="center"/>
            <w:hideMark/>
          </w:tcPr>
          <w:p w14:paraId="1C28A89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TD-C16-i02</w:t>
            </w:r>
          </w:p>
        </w:tc>
        <w:tc>
          <w:tcPr>
            <w:tcW w:w="1520" w:type="dxa"/>
            <w:tcBorders>
              <w:top w:val="nil"/>
              <w:left w:val="nil"/>
              <w:bottom w:val="single" w:sz="4" w:space="0" w:color="auto"/>
              <w:right w:val="single" w:sz="4" w:space="0" w:color="auto"/>
            </w:tcBorders>
            <w:shd w:val="clear" w:color="auto" w:fill="C4EFCE"/>
            <w:vAlign w:val="center"/>
            <w:hideMark/>
          </w:tcPr>
          <w:p w14:paraId="5ED957CA" w14:textId="6FE00097"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5309C888" w14:textId="535C7BF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MSP</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začínajúce inkubátory priamo podporované programami digitalizácie</w:t>
            </w:r>
          </w:p>
        </w:tc>
      </w:tr>
      <w:tr w:rsidR="00387C70" w:rsidRPr="003F23AC" w14:paraId="2F2CE55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B03D9B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16.12</w:t>
            </w:r>
          </w:p>
        </w:tc>
        <w:tc>
          <w:tcPr>
            <w:tcW w:w="1760" w:type="dxa"/>
            <w:tcBorders>
              <w:top w:val="nil"/>
              <w:left w:val="nil"/>
              <w:bottom w:val="single" w:sz="4" w:space="0" w:color="auto"/>
              <w:right w:val="single" w:sz="4" w:space="0" w:color="auto"/>
            </w:tcBorders>
            <w:shd w:val="clear" w:color="auto" w:fill="C4EFCE"/>
            <w:vAlign w:val="center"/>
            <w:hideMark/>
          </w:tcPr>
          <w:p w14:paraId="2DC53D7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TD-C16-i02</w:t>
            </w:r>
          </w:p>
        </w:tc>
        <w:tc>
          <w:tcPr>
            <w:tcW w:w="1520" w:type="dxa"/>
            <w:tcBorders>
              <w:top w:val="nil"/>
              <w:left w:val="nil"/>
              <w:bottom w:val="single" w:sz="4" w:space="0" w:color="auto"/>
              <w:right w:val="single" w:sz="4" w:space="0" w:color="auto"/>
            </w:tcBorders>
            <w:shd w:val="clear" w:color="auto" w:fill="C4EFCE"/>
            <w:vAlign w:val="center"/>
            <w:hideMark/>
          </w:tcPr>
          <w:p w14:paraId="02D2F5B7" w14:textId="7887259A"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22922E7"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Startupy mapované na platforme Startup Portugal</w:t>
            </w:r>
          </w:p>
        </w:tc>
      </w:tr>
      <w:tr w:rsidR="00387C70" w:rsidRPr="003F23AC" w14:paraId="1185F1D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866267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16.15</w:t>
            </w:r>
          </w:p>
        </w:tc>
        <w:tc>
          <w:tcPr>
            <w:tcW w:w="1760" w:type="dxa"/>
            <w:tcBorders>
              <w:top w:val="nil"/>
              <w:left w:val="nil"/>
              <w:bottom w:val="single" w:sz="4" w:space="0" w:color="auto"/>
              <w:right w:val="single" w:sz="4" w:space="0" w:color="auto"/>
            </w:tcBorders>
            <w:shd w:val="clear" w:color="auto" w:fill="C4EFCE"/>
            <w:vAlign w:val="center"/>
            <w:hideMark/>
          </w:tcPr>
          <w:p w14:paraId="31DEC5D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TD-C16-i03</w:t>
            </w:r>
          </w:p>
        </w:tc>
        <w:tc>
          <w:tcPr>
            <w:tcW w:w="1520" w:type="dxa"/>
            <w:tcBorders>
              <w:top w:val="nil"/>
              <w:left w:val="nil"/>
              <w:bottom w:val="single" w:sz="4" w:space="0" w:color="auto"/>
              <w:right w:val="single" w:sz="4" w:space="0" w:color="auto"/>
            </w:tcBorders>
            <w:shd w:val="clear" w:color="auto" w:fill="C4EFCE"/>
            <w:vAlign w:val="center"/>
            <w:hideMark/>
          </w:tcPr>
          <w:p w14:paraId="4A580FA3" w14:textId="5678CA34"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F5CADD8"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Príjemcovia poradenských služieb centier digitálnych inovácií</w:t>
            </w:r>
          </w:p>
        </w:tc>
      </w:tr>
      <w:tr w:rsidR="00387C70" w:rsidRPr="003F23AC" w14:paraId="161C3A8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A9B8BB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16.17</w:t>
            </w:r>
          </w:p>
        </w:tc>
        <w:tc>
          <w:tcPr>
            <w:tcW w:w="1760" w:type="dxa"/>
            <w:tcBorders>
              <w:top w:val="nil"/>
              <w:left w:val="nil"/>
              <w:bottom w:val="single" w:sz="4" w:space="0" w:color="auto"/>
              <w:right w:val="single" w:sz="4" w:space="0" w:color="auto"/>
            </w:tcBorders>
            <w:shd w:val="clear" w:color="auto" w:fill="C4EFCE"/>
            <w:vAlign w:val="center"/>
            <w:hideMark/>
          </w:tcPr>
          <w:p w14:paraId="1C4ABCD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TD-C16 – i04</w:t>
            </w:r>
          </w:p>
        </w:tc>
        <w:tc>
          <w:tcPr>
            <w:tcW w:w="1520" w:type="dxa"/>
            <w:tcBorders>
              <w:top w:val="nil"/>
              <w:left w:val="nil"/>
              <w:bottom w:val="single" w:sz="4" w:space="0" w:color="auto"/>
              <w:right w:val="single" w:sz="4" w:space="0" w:color="auto"/>
            </w:tcBorders>
            <w:shd w:val="clear" w:color="auto" w:fill="C4EFCE"/>
            <w:vAlign w:val="center"/>
            <w:hideMark/>
          </w:tcPr>
          <w:p w14:paraId="7A3AB4FA" w14:textId="4D4BDF53"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93DE237"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Ukončenie projektov Priemysel 4.0</w:t>
            </w:r>
          </w:p>
        </w:tc>
      </w:tr>
      <w:tr w:rsidR="00387C70" w:rsidRPr="003F23AC" w14:paraId="2775448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C8F97A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16.20</w:t>
            </w:r>
          </w:p>
        </w:tc>
        <w:tc>
          <w:tcPr>
            <w:tcW w:w="1760" w:type="dxa"/>
            <w:tcBorders>
              <w:top w:val="nil"/>
              <w:left w:val="nil"/>
              <w:bottom w:val="single" w:sz="4" w:space="0" w:color="auto"/>
              <w:right w:val="single" w:sz="4" w:space="0" w:color="auto"/>
            </w:tcBorders>
            <w:shd w:val="clear" w:color="auto" w:fill="C4EFCE"/>
            <w:vAlign w:val="center"/>
            <w:hideMark/>
          </w:tcPr>
          <w:p w14:paraId="6BBA6CB6" w14:textId="42406519"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TD-C16 – i06-RAM</w:t>
            </w:r>
          </w:p>
        </w:tc>
        <w:tc>
          <w:tcPr>
            <w:tcW w:w="1520" w:type="dxa"/>
            <w:tcBorders>
              <w:top w:val="nil"/>
              <w:left w:val="nil"/>
              <w:bottom w:val="single" w:sz="4" w:space="0" w:color="auto"/>
              <w:right w:val="single" w:sz="4" w:space="0" w:color="auto"/>
            </w:tcBorders>
            <w:shd w:val="clear" w:color="auto" w:fill="C4EFCE"/>
            <w:vAlign w:val="center"/>
            <w:hideMark/>
          </w:tcPr>
          <w:p w14:paraId="69E96A0A" w14:textId="4A8CF103"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A95FF70" w14:textId="3BE1C11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Podnik 4.0</w:t>
            </w:r>
          </w:p>
        </w:tc>
      </w:tr>
      <w:tr w:rsidR="00387C70" w:rsidRPr="003F23AC" w14:paraId="5F8D1133"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8D3BF6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17.4</w:t>
            </w:r>
          </w:p>
        </w:tc>
        <w:tc>
          <w:tcPr>
            <w:tcW w:w="1760" w:type="dxa"/>
            <w:tcBorders>
              <w:top w:val="nil"/>
              <w:left w:val="nil"/>
              <w:bottom w:val="single" w:sz="4" w:space="0" w:color="auto"/>
              <w:right w:val="single" w:sz="4" w:space="0" w:color="auto"/>
            </w:tcBorders>
            <w:shd w:val="clear" w:color="auto" w:fill="C4EFCE"/>
            <w:vAlign w:val="center"/>
            <w:hideMark/>
          </w:tcPr>
          <w:p w14:paraId="4E626E4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TD-C17-r32</w:t>
            </w:r>
          </w:p>
        </w:tc>
        <w:tc>
          <w:tcPr>
            <w:tcW w:w="1520" w:type="dxa"/>
            <w:tcBorders>
              <w:top w:val="nil"/>
              <w:left w:val="nil"/>
              <w:bottom w:val="single" w:sz="4" w:space="0" w:color="auto"/>
              <w:right w:val="single" w:sz="4" w:space="0" w:color="auto"/>
            </w:tcBorders>
            <w:shd w:val="clear" w:color="auto" w:fill="C4EFCE"/>
            <w:vAlign w:val="center"/>
            <w:hideMark/>
          </w:tcPr>
          <w:p w14:paraId="312DFC9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4C40731E"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Prijatie modelu výpočtu nákladov na programové rozpočtovanie</w:t>
            </w:r>
          </w:p>
        </w:tc>
      </w:tr>
      <w:tr w:rsidR="00387C70" w:rsidRPr="003F23AC" w14:paraId="28486F34"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41D9C06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17.8</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59B7C27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TD-C17-r32</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79ACBAF4" w14:textId="4F534094"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28D0D69" w14:textId="5C59980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Počet rozpočtových plánov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plánov činností štátom vlastnených podnikov, ktoré dôsledne schvaľuje minister financií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príslušný vedúci minister(-i)</w:t>
            </w:r>
          </w:p>
        </w:tc>
      </w:tr>
      <w:tr w:rsidR="00387C70" w:rsidRPr="003F23AC" w14:paraId="0FFE3D6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DDEF3A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17.11</w:t>
            </w:r>
          </w:p>
        </w:tc>
        <w:tc>
          <w:tcPr>
            <w:tcW w:w="1760" w:type="dxa"/>
            <w:tcBorders>
              <w:top w:val="nil"/>
              <w:left w:val="nil"/>
              <w:bottom w:val="single" w:sz="4" w:space="0" w:color="auto"/>
              <w:right w:val="single" w:sz="4" w:space="0" w:color="auto"/>
            </w:tcBorders>
            <w:shd w:val="clear" w:color="auto" w:fill="C4EFCE"/>
            <w:vAlign w:val="center"/>
            <w:hideMark/>
          </w:tcPr>
          <w:p w14:paraId="6D37599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TD-C17-i01</w:t>
            </w:r>
          </w:p>
        </w:tc>
        <w:tc>
          <w:tcPr>
            <w:tcW w:w="1520" w:type="dxa"/>
            <w:tcBorders>
              <w:top w:val="nil"/>
              <w:left w:val="nil"/>
              <w:bottom w:val="single" w:sz="4" w:space="0" w:color="auto"/>
              <w:right w:val="single" w:sz="4" w:space="0" w:color="auto"/>
            </w:tcBorders>
            <w:shd w:val="clear" w:color="auto" w:fill="C4EFCE"/>
            <w:vAlign w:val="center"/>
            <w:hideMark/>
          </w:tcPr>
          <w:p w14:paraId="7F74C79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3E1A3F61" w14:textId="3FAD171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Sprevádzkovanie podporného informačného systému pre nový model rozpočtovej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finančnej kontroly</w:t>
            </w:r>
          </w:p>
        </w:tc>
      </w:tr>
      <w:tr w:rsidR="00387C70" w:rsidRPr="003F23AC" w14:paraId="4E7B346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785CDF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17.14</w:t>
            </w:r>
          </w:p>
        </w:tc>
        <w:tc>
          <w:tcPr>
            <w:tcW w:w="1760" w:type="dxa"/>
            <w:tcBorders>
              <w:top w:val="nil"/>
              <w:left w:val="nil"/>
              <w:bottom w:val="single" w:sz="4" w:space="0" w:color="auto"/>
              <w:right w:val="single" w:sz="4" w:space="0" w:color="auto"/>
            </w:tcBorders>
            <w:shd w:val="clear" w:color="auto" w:fill="C4EFCE"/>
            <w:vAlign w:val="center"/>
            <w:hideMark/>
          </w:tcPr>
          <w:p w14:paraId="533A5B4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TD-C17-i01</w:t>
            </w:r>
          </w:p>
        </w:tc>
        <w:tc>
          <w:tcPr>
            <w:tcW w:w="1520" w:type="dxa"/>
            <w:tcBorders>
              <w:top w:val="nil"/>
              <w:left w:val="nil"/>
              <w:bottom w:val="single" w:sz="4" w:space="0" w:color="auto"/>
              <w:right w:val="single" w:sz="4" w:space="0" w:color="auto"/>
            </w:tcBorders>
            <w:shd w:val="clear" w:color="auto" w:fill="C4EFCE"/>
            <w:vAlign w:val="center"/>
            <w:hideMark/>
          </w:tcPr>
          <w:p w14:paraId="00CBE27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28BBFA39"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Dokončiť realizáciu bezpečnostného operačného centra</w:t>
            </w:r>
          </w:p>
        </w:tc>
      </w:tr>
      <w:tr w:rsidR="00387C70" w:rsidRPr="003F23AC" w14:paraId="2825FB9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79519C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17.16</w:t>
            </w:r>
          </w:p>
        </w:tc>
        <w:tc>
          <w:tcPr>
            <w:tcW w:w="1760" w:type="dxa"/>
            <w:tcBorders>
              <w:top w:val="nil"/>
              <w:left w:val="nil"/>
              <w:bottom w:val="single" w:sz="4" w:space="0" w:color="auto"/>
              <w:right w:val="single" w:sz="4" w:space="0" w:color="auto"/>
            </w:tcBorders>
            <w:shd w:val="clear" w:color="auto" w:fill="C4EFCE"/>
            <w:vAlign w:val="center"/>
            <w:hideMark/>
          </w:tcPr>
          <w:p w14:paraId="5E0AFA2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TD-C17-i02</w:t>
            </w:r>
          </w:p>
        </w:tc>
        <w:tc>
          <w:tcPr>
            <w:tcW w:w="1520" w:type="dxa"/>
            <w:tcBorders>
              <w:top w:val="nil"/>
              <w:left w:val="nil"/>
              <w:bottom w:val="single" w:sz="4" w:space="0" w:color="auto"/>
              <w:right w:val="single" w:sz="4" w:space="0" w:color="auto"/>
            </w:tcBorders>
            <w:shd w:val="clear" w:color="auto" w:fill="C4EFCE"/>
            <w:vAlign w:val="center"/>
            <w:hideMark/>
          </w:tcPr>
          <w:p w14:paraId="662B849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2E8B115D" w14:textId="224568D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Poskytnutie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sprevádzkovanie konečnej verzie informačného systému na podporu zjednodušeného posudzovania vidieckych nehnuteľností</w:t>
            </w:r>
          </w:p>
        </w:tc>
      </w:tr>
      <w:tr w:rsidR="00387C70" w:rsidRPr="003F23AC" w14:paraId="54C1C6B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430E14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17.17</w:t>
            </w:r>
          </w:p>
        </w:tc>
        <w:tc>
          <w:tcPr>
            <w:tcW w:w="1760" w:type="dxa"/>
            <w:tcBorders>
              <w:top w:val="nil"/>
              <w:left w:val="nil"/>
              <w:bottom w:val="single" w:sz="4" w:space="0" w:color="auto"/>
              <w:right w:val="single" w:sz="4" w:space="0" w:color="auto"/>
            </w:tcBorders>
            <w:shd w:val="clear" w:color="auto" w:fill="C4EFCE"/>
            <w:vAlign w:val="center"/>
            <w:hideMark/>
          </w:tcPr>
          <w:p w14:paraId="723E9D4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TD-C17-i02</w:t>
            </w:r>
          </w:p>
        </w:tc>
        <w:tc>
          <w:tcPr>
            <w:tcW w:w="1520" w:type="dxa"/>
            <w:tcBorders>
              <w:top w:val="nil"/>
              <w:left w:val="nil"/>
              <w:bottom w:val="single" w:sz="4" w:space="0" w:color="auto"/>
              <w:right w:val="single" w:sz="4" w:space="0" w:color="auto"/>
            </w:tcBorders>
            <w:shd w:val="clear" w:color="auto" w:fill="C4EFCE"/>
            <w:vAlign w:val="center"/>
            <w:hideMark/>
          </w:tcPr>
          <w:p w14:paraId="6724BA1B" w14:textId="29E38734"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7048DD5" w14:textId="5DA4B81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Dokončiť charakterizáciu edafo-klimatomorfologických (pôd</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podnebie)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posúdenie ekonomického potenciálu vidieckych vlastností</w:t>
            </w:r>
          </w:p>
        </w:tc>
      </w:tr>
      <w:tr w:rsidR="00387C70" w:rsidRPr="003F23AC" w14:paraId="3DB5C52D"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8F07BD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17.18</w:t>
            </w:r>
          </w:p>
        </w:tc>
        <w:tc>
          <w:tcPr>
            <w:tcW w:w="1760" w:type="dxa"/>
            <w:tcBorders>
              <w:top w:val="nil"/>
              <w:left w:val="nil"/>
              <w:bottom w:val="single" w:sz="4" w:space="0" w:color="auto"/>
              <w:right w:val="single" w:sz="4" w:space="0" w:color="auto"/>
            </w:tcBorders>
            <w:shd w:val="clear" w:color="auto" w:fill="C4EFCE"/>
            <w:vAlign w:val="center"/>
            <w:hideMark/>
          </w:tcPr>
          <w:p w14:paraId="2CCBFDD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TD-C17-i03</w:t>
            </w:r>
          </w:p>
        </w:tc>
        <w:tc>
          <w:tcPr>
            <w:tcW w:w="1520" w:type="dxa"/>
            <w:tcBorders>
              <w:top w:val="nil"/>
              <w:left w:val="nil"/>
              <w:bottom w:val="single" w:sz="4" w:space="0" w:color="auto"/>
              <w:right w:val="single" w:sz="4" w:space="0" w:color="auto"/>
            </w:tcBorders>
            <w:shd w:val="clear" w:color="auto" w:fill="C4EFCE"/>
            <w:vAlign w:val="center"/>
            <w:hideMark/>
          </w:tcPr>
          <w:p w14:paraId="28D6CC72" w14:textId="18A3F25E"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536DFDFD"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Rozšírenie funkcií webového sídla Segurança Social Direta pridaním piatich nových online služieb</w:t>
            </w:r>
          </w:p>
        </w:tc>
      </w:tr>
      <w:tr w:rsidR="00387C70" w:rsidRPr="003F23AC" w14:paraId="47DDC25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15A294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17.19</w:t>
            </w:r>
          </w:p>
        </w:tc>
        <w:tc>
          <w:tcPr>
            <w:tcW w:w="1760" w:type="dxa"/>
            <w:tcBorders>
              <w:top w:val="nil"/>
              <w:left w:val="nil"/>
              <w:bottom w:val="single" w:sz="4" w:space="0" w:color="auto"/>
              <w:right w:val="single" w:sz="4" w:space="0" w:color="auto"/>
            </w:tcBorders>
            <w:shd w:val="clear" w:color="auto" w:fill="C4EFCE"/>
            <w:vAlign w:val="center"/>
            <w:hideMark/>
          </w:tcPr>
          <w:p w14:paraId="7AEDC7F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TD-C17-i03</w:t>
            </w:r>
          </w:p>
        </w:tc>
        <w:tc>
          <w:tcPr>
            <w:tcW w:w="1520" w:type="dxa"/>
            <w:tcBorders>
              <w:top w:val="nil"/>
              <w:left w:val="nil"/>
              <w:bottom w:val="single" w:sz="4" w:space="0" w:color="auto"/>
              <w:right w:val="single" w:sz="4" w:space="0" w:color="auto"/>
            </w:tcBorders>
            <w:shd w:val="clear" w:color="auto" w:fill="C4EFCE"/>
            <w:vAlign w:val="center"/>
            <w:hideMark/>
          </w:tcPr>
          <w:p w14:paraId="0F1DBD75" w14:textId="6096F616"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2F9E549" w14:textId="17E8671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Zníženie</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80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priemerného počtu dní potrebných na priznanie sociálnych dávok príspevkovej povahy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prípade tých, ktorí majú priemernú dobu poskytovania dávok dlhšiu ako 10 dní</w:t>
            </w:r>
          </w:p>
        </w:tc>
      </w:tr>
      <w:tr w:rsidR="00387C70" w:rsidRPr="003F23AC" w14:paraId="5B84839F"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1754C8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17.20</w:t>
            </w:r>
          </w:p>
        </w:tc>
        <w:tc>
          <w:tcPr>
            <w:tcW w:w="1760" w:type="dxa"/>
            <w:tcBorders>
              <w:top w:val="nil"/>
              <w:left w:val="nil"/>
              <w:bottom w:val="single" w:sz="4" w:space="0" w:color="auto"/>
              <w:right w:val="single" w:sz="4" w:space="0" w:color="auto"/>
            </w:tcBorders>
            <w:shd w:val="clear" w:color="auto" w:fill="C4EFCE"/>
            <w:vAlign w:val="center"/>
            <w:hideMark/>
          </w:tcPr>
          <w:p w14:paraId="2C05245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TD-C17-i03</w:t>
            </w:r>
          </w:p>
        </w:tc>
        <w:tc>
          <w:tcPr>
            <w:tcW w:w="1520" w:type="dxa"/>
            <w:tcBorders>
              <w:top w:val="nil"/>
              <w:left w:val="nil"/>
              <w:bottom w:val="single" w:sz="4" w:space="0" w:color="auto"/>
              <w:right w:val="single" w:sz="4" w:space="0" w:color="auto"/>
            </w:tcBorders>
            <w:shd w:val="clear" w:color="auto" w:fill="C4EFCE"/>
            <w:vAlign w:val="center"/>
            <w:hideMark/>
          </w:tcPr>
          <w:p w14:paraId="5C4F1263" w14:textId="2A7C4ABE"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0814D6F"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Zavedenie inteligentných modelov dohľadu na podporu prevencie podvodov na základe procesov strojového učenia</w:t>
            </w:r>
          </w:p>
        </w:tc>
      </w:tr>
      <w:tr w:rsidR="00387C70" w:rsidRPr="003F23AC" w14:paraId="3EABB5D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5BA64F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18.4</w:t>
            </w:r>
          </w:p>
        </w:tc>
        <w:tc>
          <w:tcPr>
            <w:tcW w:w="1760" w:type="dxa"/>
            <w:tcBorders>
              <w:top w:val="nil"/>
              <w:left w:val="nil"/>
              <w:bottom w:val="single" w:sz="4" w:space="0" w:color="auto"/>
              <w:right w:val="single" w:sz="4" w:space="0" w:color="auto"/>
            </w:tcBorders>
            <w:shd w:val="clear" w:color="auto" w:fill="C4EFCE"/>
            <w:vAlign w:val="center"/>
            <w:hideMark/>
          </w:tcPr>
          <w:p w14:paraId="5AC061B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TD-C18-r33</w:t>
            </w:r>
          </w:p>
        </w:tc>
        <w:tc>
          <w:tcPr>
            <w:tcW w:w="1520" w:type="dxa"/>
            <w:tcBorders>
              <w:top w:val="nil"/>
              <w:left w:val="nil"/>
              <w:bottom w:val="single" w:sz="4" w:space="0" w:color="auto"/>
              <w:right w:val="single" w:sz="4" w:space="0" w:color="auto"/>
            </w:tcBorders>
            <w:shd w:val="clear" w:color="auto" w:fill="C4EFCE"/>
            <w:vAlign w:val="center"/>
            <w:hideMark/>
          </w:tcPr>
          <w:p w14:paraId="2172CC8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4C1E3A34" w14:textId="4DF1821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legislatívneho balíka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odstránení prekážok udeľovania licencií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nového právneho rámca pre dobrovoľnú administratívnu arbitráž</w:t>
            </w:r>
          </w:p>
        </w:tc>
      </w:tr>
      <w:tr w:rsidR="00387C70" w:rsidRPr="003F23AC" w14:paraId="45D45153"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C6B772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18.7</w:t>
            </w:r>
          </w:p>
        </w:tc>
        <w:tc>
          <w:tcPr>
            <w:tcW w:w="1760" w:type="dxa"/>
            <w:tcBorders>
              <w:top w:val="nil"/>
              <w:left w:val="nil"/>
              <w:bottom w:val="single" w:sz="4" w:space="0" w:color="auto"/>
              <w:right w:val="single" w:sz="4" w:space="0" w:color="auto"/>
            </w:tcBorders>
            <w:shd w:val="clear" w:color="auto" w:fill="C4EFCE"/>
            <w:vAlign w:val="center"/>
            <w:hideMark/>
          </w:tcPr>
          <w:p w14:paraId="21C71E0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TD-C18-i01</w:t>
            </w:r>
          </w:p>
        </w:tc>
        <w:tc>
          <w:tcPr>
            <w:tcW w:w="1520" w:type="dxa"/>
            <w:tcBorders>
              <w:top w:val="nil"/>
              <w:left w:val="nil"/>
              <w:bottom w:val="single" w:sz="4" w:space="0" w:color="auto"/>
              <w:right w:val="single" w:sz="4" w:space="0" w:color="auto"/>
            </w:tcBorders>
            <w:shd w:val="clear" w:color="auto" w:fill="C4EFCE"/>
            <w:vAlign w:val="center"/>
            <w:hideMark/>
          </w:tcPr>
          <w:p w14:paraId="6ED722D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4E5FA1F0" w14:textId="351AD9D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Nový informačný systém pre digitálnu transformáciu súdov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prokuratúry</w:t>
            </w:r>
          </w:p>
        </w:tc>
      </w:tr>
      <w:tr w:rsidR="00387C70" w:rsidRPr="003F23AC" w14:paraId="1BD13F43"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D40AE8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18.8</w:t>
            </w:r>
          </w:p>
        </w:tc>
        <w:tc>
          <w:tcPr>
            <w:tcW w:w="1760" w:type="dxa"/>
            <w:tcBorders>
              <w:top w:val="nil"/>
              <w:left w:val="nil"/>
              <w:bottom w:val="single" w:sz="4" w:space="0" w:color="auto"/>
              <w:right w:val="single" w:sz="4" w:space="0" w:color="auto"/>
            </w:tcBorders>
            <w:shd w:val="clear" w:color="auto" w:fill="C4EFCE"/>
            <w:vAlign w:val="center"/>
            <w:hideMark/>
          </w:tcPr>
          <w:p w14:paraId="35742E8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TD-C18-i01</w:t>
            </w:r>
          </w:p>
        </w:tc>
        <w:tc>
          <w:tcPr>
            <w:tcW w:w="1520" w:type="dxa"/>
            <w:tcBorders>
              <w:top w:val="nil"/>
              <w:left w:val="nil"/>
              <w:bottom w:val="single" w:sz="4" w:space="0" w:color="auto"/>
              <w:right w:val="single" w:sz="4" w:space="0" w:color="auto"/>
            </w:tcBorders>
            <w:shd w:val="clear" w:color="auto" w:fill="C4EFCE"/>
            <w:vAlign w:val="center"/>
            <w:hideMark/>
          </w:tcPr>
          <w:p w14:paraId="452B02B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1E14B786"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Vykonávanie nového technologického plánu</w:t>
            </w:r>
          </w:p>
        </w:tc>
      </w:tr>
      <w:tr w:rsidR="00387C70" w:rsidRPr="003F23AC" w14:paraId="63D2E9F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574ADE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18.9</w:t>
            </w:r>
          </w:p>
        </w:tc>
        <w:tc>
          <w:tcPr>
            <w:tcW w:w="1760" w:type="dxa"/>
            <w:tcBorders>
              <w:top w:val="nil"/>
              <w:left w:val="nil"/>
              <w:bottom w:val="single" w:sz="4" w:space="0" w:color="auto"/>
              <w:right w:val="single" w:sz="4" w:space="0" w:color="auto"/>
            </w:tcBorders>
            <w:shd w:val="clear" w:color="auto" w:fill="C4EFCE"/>
            <w:vAlign w:val="center"/>
            <w:hideMark/>
          </w:tcPr>
          <w:p w14:paraId="28414CF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TD-C18-i01</w:t>
            </w:r>
          </w:p>
        </w:tc>
        <w:tc>
          <w:tcPr>
            <w:tcW w:w="1520" w:type="dxa"/>
            <w:tcBorders>
              <w:top w:val="nil"/>
              <w:left w:val="nil"/>
              <w:bottom w:val="single" w:sz="4" w:space="0" w:color="auto"/>
              <w:right w:val="single" w:sz="4" w:space="0" w:color="auto"/>
            </w:tcBorders>
            <w:shd w:val="clear" w:color="auto" w:fill="C4EFCE"/>
            <w:vAlign w:val="center"/>
            <w:hideMark/>
          </w:tcPr>
          <w:p w14:paraId="6C3280D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68857B2A" w14:textId="286F2D95"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Platformy na správu poznatkov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justície</w:t>
            </w:r>
          </w:p>
        </w:tc>
      </w:tr>
      <w:tr w:rsidR="00387C70" w:rsidRPr="003F23AC" w14:paraId="31EEFCD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D66EEF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19.13</w:t>
            </w:r>
          </w:p>
        </w:tc>
        <w:tc>
          <w:tcPr>
            <w:tcW w:w="1760" w:type="dxa"/>
            <w:tcBorders>
              <w:top w:val="nil"/>
              <w:left w:val="nil"/>
              <w:bottom w:val="single" w:sz="4" w:space="0" w:color="auto"/>
              <w:right w:val="single" w:sz="4" w:space="0" w:color="auto"/>
            </w:tcBorders>
            <w:shd w:val="clear" w:color="auto" w:fill="C4EFCE"/>
            <w:vAlign w:val="center"/>
            <w:hideMark/>
          </w:tcPr>
          <w:p w14:paraId="60EB519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 – i04</w:t>
            </w:r>
          </w:p>
        </w:tc>
        <w:tc>
          <w:tcPr>
            <w:tcW w:w="1520" w:type="dxa"/>
            <w:tcBorders>
              <w:top w:val="nil"/>
              <w:left w:val="nil"/>
              <w:bottom w:val="single" w:sz="4" w:space="0" w:color="auto"/>
              <w:right w:val="single" w:sz="4" w:space="0" w:color="auto"/>
            </w:tcBorders>
            <w:shd w:val="clear" w:color="auto" w:fill="C4EFCE"/>
            <w:vAlign w:val="center"/>
            <w:hideMark/>
          </w:tcPr>
          <w:p w14:paraId="3EA5634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69DF2DDA"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modernizácie kritických digitálnych infraštruktúr</w:t>
            </w:r>
          </w:p>
        </w:tc>
      </w:tr>
      <w:tr w:rsidR="00387C70" w:rsidRPr="003F23AC" w14:paraId="71D989E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8663BC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19.18</w:t>
            </w:r>
          </w:p>
        </w:tc>
        <w:tc>
          <w:tcPr>
            <w:tcW w:w="1760" w:type="dxa"/>
            <w:tcBorders>
              <w:top w:val="nil"/>
              <w:left w:val="nil"/>
              <w:bottom w:val="single" w:sz="4" w:space="0" w:color="auto"/>
              <w:right w:val="single" w:sz="4" w:space="0" w:color="auto"/>
            </w:tcBorders>
            <w:shd w:val="clear" w:color="auto" w:fill="C4EFCE"/>
            <w:vAlign w:val="center"/>
            <w:hideMark/>
          </w:tcPr>
          <w:p w14:paraId="4510880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 – i06-RAA</w:t>
            </w:r>
          </w:p>
        </w:tc>
        <w:tc>
          <w:tcPr>
            <w:tcW w:w="1520" w:type="dxa"/>
            <w:tcBorders>
              <w:top w:val="nil"/>
              <w:left w:val="nil"/>
              <w:bottom w:val="single" w:sz="4" w:space="0" w:color="auto"/>
              <w:right w:val="single" w:sz="4" w:space="0" w:color="auto"/>
            </w:tcBorders>
            <w:shd w:val="clear" w:color="auto" w:fill="C4EFCE"/>
            <w:vAlign w:val="center"/>
            <w:hideMark/>
          </w:tcPr>
          <w:p w14:paraId="263E5D1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4186F7B4"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Digitalizácia regionálnej verejnej správy ARA</w:t>
            </w:r>
          </w:p>
        </w:tc>
      </w:tr>
      <w:tr w:rsidR="00387C70" w:rsidRPr="003F23AC" w14:paraId="4826CD0D"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18B869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19.29</w:t>
            </w:r>
          </w:p>
        </w:tc>
        <w:tc>
          <w:tcPr>
            <w:tcW w:w="1760" w:type="dxa"/>
            <w:tcBorders>
              <w:top w:val="nil"/>
              <w:left w:val="nil"/>
              <w:bottom w:val="single" w:sz="4" w:space="0" w:color="auto"/>
              <w:right w:val="single" w:sz="4" w:space="0" w:color="auto"/>
            </w:tcBorders>
            <w:shd w:val="clear" w:color="auto" w:fill="C4EFCE"/>
            <w:vAlign w:val="center"/>
            <w:hideMark/>
          </w:tcPr>
          <w:p w14:paraId="20B7CA8B" w14:textId="5ECEEBAE"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TD-C19-i05-RAM</w:t>
            </w:r>
          </w:p>
        </w:tc>
        <w:tc>
          <w:tcPr>
            <w:tcW w:w="1520" w:type="dxa"/>
            <w:tcBorders>
              <w:top w:val="nil"/>
              <w:left w:val="nil"/>
              <w:bottom w:val="single" w:sz="4" w:space="0" w:color="auto"/>
              <w:right w:val="single" w:sz="4" w:space="0" w:color="auto"/>
            </w:tcBorders>
            <w:shd w:val="clear" w:color="auto" w:fill="C4EFCE"/>
            <w:vAlign w:val="center"/>
            <w:hideMark/>
          </w:tcPr>
          <w:p w14:paraId="45E1EEF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079A5E78"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Centralizované riešenie správy údajov</w:t>
            </w:r>
          </w:p>
        </w:tc>
      </w:tr>
      <w:tr w:rsidR="00387C70" w:rsidRPr="003F23AC" w14:paraId="4F0A919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D6A267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19.36</w:t>
            </w:r>
          </w:p>
        </w:tc>
        <w:tc>
          <w:tcPr>
            <w:tcW w:w="1760" w:type="dxa"/>
            <w:tcBorders>
              <w:top w:val="nil"/>
              <w:left w:val="nil"/>
              <w:bottom w:val="single" w:sz="4" w:space="0" w:color="auto"/>
              <w:right w:val="single" w:sz="4" w:space="0" w:color="auto"/>
            </w:tcBorders>
            <w:shd w:val="clear" w:color="auto" w:fill="C4EFCE"/>
            <w:vAlign w:val="center"/>
            <w:hideMark/>
          </w:tcPr>
          <w:p w14:paraId="4C52EF1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TD-C19-i08</w:t>
            </w:r>
          </w:p>
        </w:tc>
        <w:tc>
          <w:tcPr>
            <w:tcW w:w="1520" w:type="dxa"/>
            <w:tcBorders>
              <w:top w:val="nil"/>
              <w:left w:val="nil"/>
              <w:bottom w:val="single" w:sz="4" w:space="0" w:color="auto"/>
              <w:right w:val="single" w:sz="4" w:space="0" w:color="auto"/>
            </w:tcBorders>
            <w:shd w:val="clear" w:color="auto" w:fill="C4EFCE"/>
            <w:vAlign w:val="center"/>
            <w:hideMark/>
          </w:tcPr>
          <w:p w14:paraId="24ABE86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71FE9798" w14:textId="137BA8A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Odborná príprava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inteligentných území</w:t>
            </w:r>
          </w:p>
        </w:tc>
      </w:tr>
      <w:tr w:rsidR="00387C70" w:rsidRPr="003F23AC" w14:paraId="164483C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37F182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20.1</w:t>
            </w:r>
          </w:p>
        </w:tc>
        <w:tc>
          <w:tcPr>
            <w:tcW w:w="1760" w:type="dxa"/>
            <w:tcBorders>
              <w:top w:val="nil"/>
              <w:left w:val="nil"/>
              <w:bottom w:val="single" w:sz="4" w:space="0" w:color="auto"/>
              <w:right w:val="single" w:sz="4" w:space="0" w:color="auto"/>
            </w:tcBorders>
            <w:shd w:val="clear" w:color="auto" w:fill="C4EFCE"/>
            <w:vAlign w:val="center"/>
            <w:hideMark/>
          </w:tcPr>
          <w:p w14:paraId="1DCE7E0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TD-C20-r37</w:t>
            </w:r>
          </w:p>
        </w:tc>
        <w:tc>
          <w:tcPr>
            <w:tcW w:w="1520" w:type="dxa"/>
            <w:tcBorders>
              <w:top w:val="nil"/>
              <w:left w:val="nil"/>
              <w:bottom w:val="single" w:sz="4" w:space="0" w:color="auto"/>
              <w:right w:val="single" w:sz="4" w:space="0" w:color="auto"/>
            </w:tcBorders>
            <w:shd w:val="clear" w:color="auto" w:fill="C4EFCE"/>
            <w:vAlign w:val="center"/>
            <w:hideMark/>
          </w:tcPr>
          <w:p w14:paraId="15C51DDF" w14:textId="6B4AC55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617B340" w14:textId="3FF6C49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Odborná príprava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digitálnych zručností pre učiteľov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nepedagogických zamestnancov vo verejnej vzdelávacej sieti</w:t>
            </w:r>
          </w:p>
        </w:tc>
      </w:tr>
      <w:tr w:rsidR="00387C70" w:rsidRPr="003F23AC" w14:paraId="57E2CBB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D8047D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20.8</w:t>
            </w:r>
          </w:p>
        </w:tc>
        <w:tc>
          <w:tcPr>
            <w:tcW w:w="1760" w:type="dxa"/>
            <w:tcBorders>
              <w:top w:val="nil"/>
              <w:left w:val="nil"/>
              <w:bottom w:val="single" w:sz="4" w:space="0" w:color="auto"/>
              <w:right w:val="single" w:sz="4" w:space="0" w:color="auto"/>
            </w:tcBorders>
            <w:shd w:val="clear" w:color="auto" w:fill="C4EFCE"/>
            <w:vAlign w:val="center"/>
            <w:hideMark/>
          </w:tcPr>
          <w:p w14:paraId="1D5158E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TD-C20-i01</w:t>
            </w:r>
          </w:p>
        </w:tc>
        <w:tc>
          <w:tcPr>
            <w:tcW w:w="1520" w:type="dxa"/>
            <w:tcBorders>
              <w:top w:val="nil"/>
              <w:left w:val="nil"/>
              <w:bottom w:val="single" w:sz="4" w:space="0" w:color="auto"/>
              <w:right w:val="single" w:sz="4" w:space="0" w:color="auto"/>
            </w:tcBorders>
            <w:shd w:val="clear" w:color="auto" w:fill="C4EFCE"/>
            <w:vAlign w:val="center"/>
            <w:hideMark/>
          </w:tcPr>
          <w:p w14:paraId="54CB6BAE" w14:textId="543E3E89"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AEED80B"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Digitálne vzdelávacie zdroje</w:t>
            </w:r>
          </w:p>
        </w:tc>
      </w:tr>
      <w:tr w:rsidR="00387C70" w:rsidRPr="003F23AC" w14:paraId="1EA89E3B"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2AD8A9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20.9</w:t>
            </w:r>
          </w:p>
        </w:tc>
        <w:tc>
          <w:tcPr>
            <w:tcW w:w="1760" w:type="dxa"/>
            <w:tcBorders>
              <w:top w:val="nil"/>
              <w:left w:val="nil"/>
              <w:bottom w:val="single" w:sz="4" w:space="0" w:color="auto"/>
              <w:right w:val="single" w:sz="4" w:space="0" w:color="auto"/>
            </w:tcBorders>
            <w:shd w:val="clear" w:color="auto" w:fill="C4EFCE"/>
            <w:vAlign w:val="center"/>
            <w:hideMark/>
          </w:tcPr>
          <w:p w14:paraId="46AA804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TD-C20-i01</w:t>
            </w:r>
          </w:p>
        </w:tc>
        <w:tc>
          <w:tcPr>
            <w:tcW w:w="1520" w:type="dxa"/>
            <w:tcBorders>
              <w:top w:val="nil"/>
              <w:left w:val="nil"/>
              <w:bottom w:val="single" w:sz="4" w:space="0" w:color="auto"/>
              <w:right w:val="single" w:sz="4" w:space="0" w:color="auto"/>
            </w:tcBorders>
            <w:shd w:val="clear" w:color="auto" w:fill="C4EFCE"/>
            <w:vAlign w:val="center"/>
            <w:hideMark/>
          </w:tcPr>
          <w:p w14:paraId="1608BB5A" w14:textId="449FC53C"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8083A11" w14:textId="36EC3D6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Digitálne testy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skúšky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školách</w:t>
            </w:r>
          </w:p>
        </w:tc>
      </w:tr>
      <w:tr w:rsidR="00387C70" w:rsidRPr="003F23AC" w14:paraId="49E74AF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5CB012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20.11</w:t>
            </w:r>
          </w:p>
        </w:tc>
        <w:tc>
          <w:tcPr>
            <w:tcW w:w="1760" w:type="dxa"/>
            <w:tcBorders>
              <w:top w:val="nil"/>
              <w:left w:val="nil"/>
              <w:bottom w:val="single" w:sz="4" w:space="0" w:color="auto"/>
              <w:right w:val="single" w:sz="4" w:space="0" w:color="auto"/>
            </w:tcBorders>
            <w:shd w:val="clear" w:color="auto" w:fill="C4EFCE"/>
            <w:vAlign w:val="center"/>
            <w:hideMark/>
          </w:tcPr>
          <w:p w14:paraId="17F8B04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TD-C20-i02-RAA</w:t>
            </w:r>
          </w:p>
        </w:tc>
        <w:tc>
          <w:tcPr>
            <w:tcW w:w="1520" w:type="dxa"/>
            <w:tcBorders>
              <w:top w:val="nil"/>
              <w:left w:val="nil"/>
              <w:bottom w:val="single" w:sz="4" w:space="0" w:color="auto"/>
              <w:right w:val="single" w:sz="4" w:space="0" w:color="auto"/>
            </w:tcBorders>
            <w:shd w:val="clear" w:color="auto" w:fill="C4EFCE"/>
            <w:vAlign w:val="center"/>
            <w:hideMark/>
          </w:tcPr>
          <w:p w14:paraId="3A8E7B17" w14:textId="7E406525"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714F428" w14:textId="0846888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Nové notebooky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tablety pre školy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ARA</w:t>
            </w:r>
          </w:p>
        </w:tc>
      </w:tr>
      <w:tr w:rsidR="00387C70" w:rsidRPr="003F23AC" w14:paraId="1053A19D"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934CF6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20.12</w:t>
            </w:r>
          </w:p>
        </w:tc>
        <w:tc>
          <w:tcPr>
            <w:tcW w:w="1760" w:type="dxa"/>
            <w:tcBorders>
              <w:top w:val="nil"/>
              <w:left w:val="nil"/>
              <w:bottom w:val="single" w:sz="4" w:space="0" w:color="auto"/>
              <w:right w:val="single" w:sz="4" w:space="0" w:color="auto"/>
            </w:tcBorders>
            <w:shd w:val="clear" w:color="auto" w:fill="C4EFCE"/>
            <w:vAlign w:val="center"/>
            <w:hideMark/>
          </w:tcPr>
          <w:p w14:paraId="0A05C08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TD-C20-i02-RAA</w:t>
            </w:r>
          </w:p>
        </w:tc>
        <w:tc>
          <w:tcPr>
            <w:tcW w:w="1520" w:type="dxa"/>
            <w:tcBorders>
              <w:top w:val="nil"/>
              <w:left w:val="nil"/>
              <w:bottom w:val="single" w:sz="4" w:space="0" w:color="auto"/>
              <w:right w:val="single" w:sz="4" w:space="0" w:color="auto"/>
            </w:tcBorders>
            <w:shd w:val="clear" w:color="auto" w:fill="C4EFCE"/>
            <w:vAlign w:val="center"/>
            <w:hideMark/>
          </w:tcPr>
          <w:p w14:paraId="19B76BD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2CB0A917" w14:textId="40F4C86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Digitálne vybavenie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digitálne vzdelávacie zdroje škôl</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ARA</w:t>
            </w:r>
          </w:p>
        </w:tc>
      </w:tr>
      <w:tr w:rsidR="00387C70" w:rsidRPr="003F23AC" w14:paraId="2E23C5A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36BB7B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20.13</w:t>
            </w:r>
          </w:p>
        </w:tc>
        <w:tc>
          <w:tcPr>
            <w:tcW w:w="1760" w:type="dxa"/>
            <w:tcBorders>
              <w:top w:val="nil"/>
              <w:left w:val="nil"/>
              <w:bottom w:val="single" w:sz="4" w:space="0" w:color="auto"/>
              <w:right w:val="single" w:sz="4" w:space="0" w:color="auto"/>
            </w:tcBorders>
            <w:shd w:val="clear" w:color="auto" w:fill="C4EFCE"/>
            <w:vAlign w:val="center"/>
            <w:hideMark/>
          </w:tcPr>
          <w:p w14:paraId="06748DE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TD-C20-i02-RAA</w:t>
            </w:r>
          </w:p>
        </w:tc>
        <w:tc>
          <w:tcPr>
            <w:tcW w:w="1520" w:type="dxa"/>
            <w:tcBorders>
              <w:top w:val="nil"/>
              <w:left w:val="nil"/>
              <w:bottom w:val="single" w:sz="4" w:space="0" w:color="auto"/>
              <w:right w:val="single" w:sz="4" w:space="0" w:color="auto"/>
            </w:tcBorders>
            <w:shd w:val="clear" w:color="auto" w:fill="C4EFCE"/>
            <w:vAlign w:val="center"/>
            <w:hideMark/>
          </w:tcPr>
          <w:p w14:paraId="4073977A" w14:textId="385C4F6A"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D86F9A4" w14:textId="42E249C3"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Hromadné otvorené online kurzy pre učiteľov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rodičov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ARA</w:t>
            </w:r>
          </w:p>
        </w:tc>
      </w:tr>
      <w:tr w:rsidR="00387C70" w:rsidRPr="003F23AC" w14:paraId="6530CA1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D62263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20.16</w:t>
            </w:r>
          </w:p>
        </w:tc>
        <w:tc>
          <w:tcPr>
            <w:tcW w:w="1760" w:type="dxa"/>
            <w:tcBorders>
              <w:top w:val="nil"/>
              <w:left w:val="nil"/>
              <w:bottom w:val="single" w:sz="4" w:space="0" w:color="auto"/>
              <w:right w:val="single" w:sz="4" w:space="0" w:color="auto"/>
            </w:tcBorders>
            <w:shd w:val="clear" w:color="auto" w:fill="C4EFCE"/>
            <w:vAlign w:val="center"/>
            <w:hideMark/>
          </w:tcPr>
          <w:p w14:paraId="29607BD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TD-C20-i03-RAM</w:t>
            </w:r>
          </w:p>
        </w:tc>
        <w:tc>
          <w:tcPr>
            <w:tcW w:w="1520" w:type="dxa"/>
            <w:tcBorders>
              <w:top w:val="nil"/>
              <w:left w:val="nil"/>
              <w:bottom w:val="single" w:sz="4" w:space="0" w:color="auto"/>
              <w:right w:val="single" w:sz="4" w:space="0" w:color="auto"/>
            </w:tcBorders>
            <w:shd w:val="clear" w:color="auto" w:fill="C4EFCE"/>
            <w:vAlign w:val="center"/>
            <w:hideMark/>
          </w:tcPr>
          <w:p w14:paraId="757CF1D3" w14:textId="0C31C9B2"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5556275C" w14:textId="43CE2CC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Digitálne príručky pre žiakov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2</w:t>
            </w:r>
            <w:r w:rsidR="00A75B3C" w:rsidRPr="003F23AC">
              <w:rPr>
                <w:rFonts w:ascii="Times New Roman" w:hAnsi="Times New Roman" w:cs="Times New Roman"/>
                <w:noProof/>
                <w:lang w:val="sk-SK"/>
              </w:rPr>
              <w:t>. a </w:t>
            </w:r>
            <w:r w:rsidRPr="003F23AC">
              <w:rPr>
                <w:rFonts w:ascii="Times New Roman" w:hAnsi="Times New Roman" w:cs="Times New Roman"/>
                <w:noProof/>
                <w:lang w:val="sk-SK"/>
              </w:rPr>
              <w:t>3. cykle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stredoškolských študentov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p>
        </w:tc>
      </w:tr>
      <w:tr w:rsidR="00387C70" w:rsidRPr="003F23AC" w14:paraId="412F7A46"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BC4B94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20.17</w:t>
            </w:r>
          </w:p>
        </w:tc>
        <w:tc>
          <w:tcPr>
            <w:tcW w:w="1760" w:type="dxa"/>
            <w:tcBorders>
              <w:top w:val="nil"/>
              <w:left w:val="nil"/>
              <w:bottom w:val="single" w:sz="4" w:space="0" w:color="auto"/>
              <w:right w:val="single" w:sz="4" w:space="0" w:color="auto"/>
            </w:tcBorders>
            <w:shd w:val="clear" w:color="auto" w:fill="C4EFCE"/>
            <w:vAlign w:val="center"/>
            <w:hideMark/>
          </w:tcPr>
          <w:p w14:paraId="6503CC9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TD-C20-i03-RAM</w:t>
            </w:r>
          </w:p>
        </w:tc>
        <w:tc>
          <w:tcPr>
            <w:tcW w:w="1520" w:type="dxa"/>
            <w:tcBorders>
              <w:top w:val="nil"/>
              <w:left w:val="nil"/>
              <w:bottom w:val="single" w:sz="4" w:space="0" w:color="auto"/>
              <w:right w:val="single" w:sz="4" w:space="0" w:color="auto"/>
            </w:tcBorders>
            <w:shd w:val="clear" w:color="auto" w:fill="C4EFCE"/>
            <w:vAlign w:val="center"/>
            <w:hideMark/>
          </w:tcPr>
          <w:p w14:paraId="5DCD0F8D" w14:textId="1AC5D724"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EDA8BBC" w14:textId="1A9C699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Odborná príprava učiteľov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nepedagogických zamestnancov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digitálnych kompetencií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p>
        </w:tc>
      </w:tr>
      <w:tr w:rsidR="00387C70" w:rsidRPr="003F23AC" w14:paraId="7AFE04F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572942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20.18</w:t>
            </w:r>
          </w:p>
        </w:tc>
        <w:tc>
          <w:tcPr>
            <w:tcW w:w="1760" w:type="dxa"/>
            <w:tcBorders>
              <w:top w:val="nil"/>
              <w:left w:val="nil"/>
              <w:bottom w:val="single" w:sz="4" w:space="0" w:color="auto"/>
              <w:right w:val="single" w:sz="4" w:space="0" w:color="auto"/>
            </w:tcBorders>
            <w:shd w:val="clear" w:color="auto" w:fill="C4EFCE"/>
            <w:vAlign w:val="center"/>
            <w:hideMark/>
          </w:tcPr>
          <w:p w14:paraId="27A9F23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TD-C20-i03-RAM</w:t>
            </w:r>
          </w:p>
        </w:tc>
        <w:tc>
          <w:tcPr>
            <w:tcW w:w="1520" w:type="dxa"/>
            <w:tcBorders>
              <w:top w:val="nil"/>
              <w:left w:val="nil"/>
              <w:bottom w:val="single" w:sz="4" w:space="0" w:color="auto"/>
              <w:right w:val="single" w:sz="4" w:space="0" w:color="auto"/>
            </w:tcBorders>
            <w:shd w:val="clear" w:color="auto" w:fill="C4EFCE"/>
            <w:vAlign w:val="center"/>
            <w:hideMark/>
          </w:tcPr>
          <w:p w14:paraId="3DBDBFE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337718C5" w14:textId="19620A3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Dodanie vedeckého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technologického vybavenia školám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ARM</w:t>
            </w:r>
          </w:p>
        </w:tc>
      </w:tr>
      <w:tr w:rsidR="00387C70" w:rsidRPr="003F23AC" w14:paraId="007A1F3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E11A24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21.2</w:t>
            </w:r>
          </w:p>
        </w:tc>
        <w:tc>
          <w:tcPr>
            <w:tcW w:w="1760" w:type="dxa"/>
            <w:tcBorders>
              <w:top w:val="nil"/>
              <w:left w:val="nil"/>
              <w:bottom w:val="single" w:sz="4" w:space="0" w:color="auto"/>
              <w:right w:val="single" w:sz="4" w:space="0" w:color="auto"/>
            </w:tcBorders>
            <w:shd w:val="clear" w:color="auto" w:fill="C4EFCE"/>
            <w:vAlign w:val="center"/>
            <w:hideMark/>
          </w:tcPr>
          <w:p w14:paraId="058AF46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RP-C21-i02</w:t>
            </w:r>
          </w:p>
        </w:tc>
        <w:tc>
          <w:tcPr>
            <w:tcW w:w="1520" w:type="dxa"/>
            <w:tcBorders>
              <w:top w:val="nil"/>
              <w:left w:val="nil"/>
              <w:bottom w:val="single" w:sz="4" w:space="0" w:color="auto"/>
              <w:right w:val="single" w:sz="4" w:space="0" w:color="auto"/>
            </w:tcBorders>
            <w:shd w:val="clear" w:color="auto" w:fill="C4EFCE"/>
            <w:vAlign w:val="center"/>
            <w:hideMark/>
          </w:tcPr>
          <w:p w14:paraId="3ECFDED4" w14:textId="22C7ED0C"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7A42DB4" w14:textId="6689F9E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Obnova súkromných bytových budov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hľadiska energetickej efektívnosti</w:t>
            </w:r>
          </w:p>
        </w:tc>
      </w:tr>
      <w:tr w:rsidR="00387C70" w:rsidRPr="003F23AC" w14:paraId="44A00B2D" w14:textId="77777777">
        <w:trPr>
          <w:trHeight w:val="440"/>
        </w:trPr>
        <w:tc>
          <w:tcPr>
            <w:tcW w:w="1200" w:type="dxa"/>
            <w:tcBorders>
              <w:top w:val="single" w:sz="4" w:space="0" w:color="auto"/>
              <w:left w:val="single" w:sz="4" w:space="0" w:color="auto"/>
              <w:bottom w:val="single" w:sz="4" w:space="0" w:color="auto"/>
              <w:right w:val="single" w:sz="4" w:space="0" w:color="auto"/>
            </w:tcBorders>
            <w:shd w:val="clear" w:color="auto" w:fill="C4EFCE"/>
            <w:vAlign w:val="center"/>
            <w:hideMark/>
          </w:tcPr>
          <w:p w14:paraId="680B7B9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21.3</w:t>
            </w:r>
          </w:p>
        </w:tc>
        <w:tc>
          <w:tcPr>
            <w:tcW w:w="1760" w:type="dxa"/>
            <w:tcBorders>
              <w:top w:val="single" w:sz="4" w:space="0" w:color="auto"/>
              <w:left w:val="nil"/>
              <w:bottom w:val="single" w:sz="4" w:space="0" w:color="auto"/>
              <w:right w:val="single" w:sz="4" w:space="0" w:color="auto"/>
            </w:tcBorders>
            <w:shd w:val="clear" w:color="auto" w:fill="C4EFCE"/>
            <w:vAlign w:val="center"/>
            <w:hideMark/>
          </w:tcPr>
          <w:p w14:paraId="1B91DD3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RP-C21-i02</w:t>
            </w:r>
          </w:p>
        </w:tc>
        <w:tc>
          <w:tcPr>
            <w:tcW w:w="1520" w:type="dxa"/>
            <w:tcBorders>
              <w:top w:val="single" w:sz="4" w:space="0" w:color="auto"/>
              <w:left w:val="nil"/>
              <w:bottom w:val="single" w:sz="4" w:space="0" w:color="auto"/>
              <w:right w:val="single" w:sz="4" w:space="0" w:color="auto"/>
            </w:tcBorders>
            <w:shd w:val="clear" w:color="auto" w:fill="C4EFCE"/>
            <w:vAlign w:val="center"/>
            <w:hideMark/>
          </w:tcPr>
          <w:p w14:paraId="45E0B8EF" w14:textId="54D23DA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592391DF" w14:textId="455C9CA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Dodatočná kapacita výroby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 vlastnú spotrebu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využitie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komunitách vyrábajúcich energiu</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súkromnom sektore bývania</w:t>
            </w:r>
          </w:p>
        </w:tc>
      </w:tr>
      <w:tr w:rsidR="00387C70" w:rsidRPr="003F23AC" w14:paraId="2E3B4A3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AD99E2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21.5</w:t>
            </w:r>
          </w:p>
        </w:tc>
        <w:tc>
          <w:tcPr>
            <w:tcW w:w="1760" w:type="dxa"/>
            <w:tcBorders>
              <w:top w:val="nil"/>
              <w:left w:val="nil"/>
              <w:bottom w:val="single" w:sz="4" w:space="0" w:color="auto"/>
              <w:right w:val="single" w:sz="4" w:space="0" w:color="auto"/>
            </w:tcBorders>
            <w:shd w:val="clear" w:color="auto" w:fill="C4EFCE"/>
            <w:vAlign w:val="center"/>
            <w:hideMark/>
          </w:tcPr>
          <w:p w14:paraId="1995321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 – i04-RAM</w:t>
            </w:r>
          </w:p>
        </w:tc>
        <w:tc>
          <w:tcPr>
            <w:tcW w:w="1520" w:type="dxa"/>
            <w:tcBorders>
              <w:top w:val="nil"/>
              <w:left w:val="nil"/>
              <w:bottom w:val="single" w:sz="4" w:space="0" w:color="auto"/>
              <w:right w:val="single" w:sz="4" w:space="0" w:color="auto"/>
            </w:tcBorders>
            <w:shd w:val="clear" w:color="auto" w:fill="C4EFCE"/>
            <w:vAlign w:val="center"/>
            <w:hideMark/>
          </w:tcPr>
          <w:p w14:paraId="0BAF2966" w14:textId="02DA766C"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59D3D265" w14:textId="2867F129"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Dodatočná kapacita na výrobu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na vlastnú spotrebu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komunitné využívanie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obnovených budovách využívaných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sektore verejnoprospešných služieb</w:t>
            </w:r>
          </w:p>
        </w:tc>
      </w:tr>
      <w:tr w:rsidR="00387C70" w:rsidRPr="003F23AC" w14:paraId="060AEF5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39A7AB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21.6</w:t>
            </w:r>
          </w:p>
        </w:tc>
        <w:tc>
          <w:tcPr>
            <w:tcW w:w="1760" w:type="dxa"/>
            <w:tcBorders>
              <w:top w:val="nil"/>
              <w:left w:val="nil"/>
              <w:bottom w:val="single" w:sz="4" w:space="0" w:color="auto"/>
              <w:right w:val="single" w:sz="4" w:space="0" w:color="auto"/>
            </w:tcBorders>
            <w:shd w:val="clear" w:color="auto" w:fill="C4EFCE"/>
            <w:vAlign w:val="center"/>
            <w:hideMark/>
          </w:tcPr>
          <w:p w14:paraId="48639A4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 – i04-RAM</w:t>
            </w:r>
          </w:p>
        </w:tc>
        <w:tc>
          <w:tcPr>
            <w:tcW w:w="1520" w:type="dxa"/>
            <w:tcBorders>
              <w:top w:val="nil"/>
              <w:left w:val="nil"/>
              <w:bottom w:val="single" w:sz="4" w:space="0" w:color="auto"/>
              <w:right w:val="single" w:sz="4" w:space="0" w:color="auto"/>
            </w:tcBorders>
            <w:shd w:val="clear" w:color="auto" w:fill="C4EFCE"/>
            <w:vAlign w:val="center"/>
            <w:hideMark/>
          </w:tcPr>
          <w:p w14:paraId="30233631" w14:textId="4C13B79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51E2D4CF"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Obnova budov verejných služieb zameraná na energetickú efektívnosť</w:t>
            </w:r>
          </w:p>
        </w:tc>
      </w:tr>
      <w:tr w:rsidR="00387C70" w:rsidRPr="003F23AC" w14:paraId="1EC0C3D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C8C331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21.15</w:t>
            </w:r>
          </w:p>
        </w:tc>
        <w:tc>
          <w:tcPr>
            <w:tcW w:w="1760" w:type="dxa"/>
            <w:tcBorders>
              <w:top w:val="nil"/>
              <w:left w:val="nil"/>
              <w:bottom w:val="single" w:sz="4" w:space="0" w:color="auto"/>
              <w:right w:val="single" w:sz="4" w:space="0" w:color="auto"/>
            </w:tcBorders>
            <w:shd w:val="clear" w:color="auto" w:fill="C4EFCE"/>
            <w:vAlign w:val="center"/>
            <w:hideMark/>
          </w:tcPr>
          <w:p w14:paraId="599107CB" w14:textId="3DFFAC63"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RP-C21-r45</w:t>
            </w:r>
          </w:p>
        </w:tc>
        <w:tc>
          <w:tcPr>
            <w:tcW w:w="1520" w:type="dxa"/>
            <w:tcBorders>
              <w:top w:val="nil"/>
              <w:left w:val="nil"/>
              <w:bottom w:val="single" w:sz="4" w:space="0" w:color="auto"/>
              <w:right w:val="single" w:sz="4" w:space="0" w:color="auto"/>
            </w:tcBorders>
            <w:shd w:val="clear" w:color="auto" w:fill="C4EFCE"/>
            <w:vAlign w:val="center"/>
            <w:hideMark/>
          </w:tcPr>
          <w:p w14:paraId="2BE4DC20" w14:textId="24CF9593"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5DD8840" w14:textId="3ABEE866"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Odborná príprava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ekologických zručností</w:t>
            </w:r>
          </w:p>
        </w:tc>
      </w:tr>
      <w:tr w:rsidR="00387C70" w:rsidRPr="003F23AC" w14:paraId="088199F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424BDC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21.29</w:t>
            </w:r>
          </w:p>
        </w:tc>
        <w:tc>
          <w:tcPr>
            <w:tcW w:w="1760" w:type="dxa"/>
            <w:tcBorders>
              <w:top w:val="nil"/>
              <w:left w:val="nil"/>
              <w:bottom w:val="single" w:sz="4" w:space="0" w:color="auto"/>
              <w:right w:val="single" w:sz="4" w:space="0" w:color="auto"/>
            </w:tcBorders>
            <w:shd w:val="clear" w:color="auto" w:fill="C4EFCE"/>
            <w:vAlign w:val="center"/>
            <w:hideMark/>
          </w:tcPr>
          <w:p w14:paraId="709081FB" w14:textId="160BC41F"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 – i08</w:t>
            </w:r>
          </w:p>
        </w:tc>
        <w:tc>
          <w:tcPr>
            <w:tcW w:w="1520" w:type="dxa"/>
            <w:tcBorders>
              <w:top w:val="nil"/>
              <w:left w:val="nil"/>
              <w:bottom w:val="single" w:sz="4" w:space="0" w:color="auto"/>
              <w:right w:val="single" w:sz="4" w:space="0" w:color="auto"/>
            </w:tcBorders>
            <w:shd w:val="clear" w:color="auto" w:fill="C4EFCE"/>
            <w:vAlign w:val="center"/>
            <w:hideMark/>
          </w:tcPr>
          <w:p w14:paraId="72D77776" w14:textId="72C0E8C2"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F0EDEAE"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Inštalácia kapacity na uskladňovanie elektrickej energie</w:t>
            </w:r>
          </w:p>
        </w:tc>
      </w:tr>
      <w:tr w:rsidR="00387C70" w:rsidRPr="003F23AC" w14:paraId="182B1953"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EFB9F7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21.32</w:t>
            </w:r>
          </w:p>
        </w:tc>
        <w:tc>
          <w:tcPr>
            <w:tcW w:w="1760" w:type="dxa"/>
            <w:tcBorders>
              <w:top w:val="nil"/>
              <w:left w:val="nil"/>
              <w:bottom w:val="single" w:sz="4" w:space="0" w:color="auto"/>
              <w:right w:val="single" w:sz="4" w:space="0" w:color="auto"/>
            </w:tcBorders>
            <w:shd w:val="clear" w:color="auto" w:fill="C4EFCE"/>
            <w:vAlign w:val="center"/>
            <w:hideMark/>
          </w:tcPr>
          <w:p w14:paraId="4622A906" w14:textId="5BFBA1D2"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RP-C21-i10-RAA</w:t>
            </w:r>
          </w:p>
        </w:tc>
        <w:tc>
          <w:tcPr>
            <w:tcW w:w="1520" w:type="dxa"/>
            <w:tcBorders>
              <w:top w:val="nil"/>
              <w:left w:val="nil"/>
              <w:bottom w:val="single" w:sz="4" w:space="0" w:color="auto"/>
              <w:right w:val="single" w:sz="4" w:space="0" w:color="auto"/>
            </w:tcBorders>
            <w:shd w:val="clear" w:color="auto" w:fill="C4EFCE"/>
            <w:vAlign w:val="center"/>
            <w:hideMark/>
          </w:tcPr>
          <w:p w14:paraId="3ABB1596" w14:textId="54CB37AE"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637DD21"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Inštalácia kapacity na uskladňovanie elektrickej energie</w:t>
            </w:r>
          </w:p>
        </w:tc>
      </w:tr>
      <w:tr w:rsidR="00387C70" w:rsidRPr="003F23AC" w14:paraId="54999BA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87752E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21.34</w:t>
            </w:r>
          </w:p>
        </w:tc>
        <w:tc>
          <w:tcPr>
            <w:tcW w:w="1760" w:type="dxa"/>
            <w:tcBorders>
              <w:top w:val="nil"/>
              <w:left w:val="nil"/>
              <w:bottom w:val="single" w:sz="4" w:space="0" w:color="auto"/>
              <w:right w:val="single" w:sz="4" w:space="0" w:color="auto"/>
            </w:tcBorders>
            <w:shd w:val="clear" w:color="auto" w:fill="C4EFCE"/>
            <w:vAlign w:val="center"/>
            <w:hideMark/>
          </w:tcPr>
          <w:p w14:paraId="24B53CC5" w14:textId="65310D0F"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RP-C21-i11-RAM</w:t>
            </w:r>
          </w:p>
        </w:tc>
        <w:tc>
          <w:tcPr>
            <w:tcW w:w="1520" w:type="dxa"/>
            <w:tcBorders>
              <w:top w:val="nil"/>
              <w:left w:val="nil"/>
              <w:bottom w:val="single" w:sz="4" w:space="0" w:color="auto"/>
              <w:right w:val="single" w:sz="4" w:space="0" w:color="auto"/>
            </w:tcBorders>
            <w:shd w:val="clear" w:color="auto" w:fill="C4EFCE"/>
            <w:vAlign w:val="center"/>
            <w:hideMark/>
          </w:tcPr>
          <w:p w14:paraId="57E90FE8" w14:textId="62E913A3"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31415EB"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Posilnenie inštalovanej kapacity veternej energie</w:t>
            </w:r>
          </w:p>
        </w:tc>
      </w:tr>
      <w:tr w:rsidR="00387C70" w:rsidRPr="003F23AC" w14:paraId="44FCEE2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3F55A3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21.41</w:t>
            </w:r>
          </w:p>
        </w:tc>
        <w:tc>
          <w:tcPr>
            <w:tcW w:w="1760" w:type="dxa"/>
            <w:tcBorders>
              <w:top w:val="nil"/>
              <w:left w:val="nil"/>
              <w:bottom w:val="single" w:sz="4" w:space="0" w:color="auto"/>
              <w:right w:val="single" w:sz="4" w:space="0" w:color="auto"/>
            </w:tcBorders>
            <w:shd w:val="clear" w:color="auto" w:fill="C4EFCE"/>
            <w:vAlign w:val="center"/>
            <w:hideMark/>
          </w:tcPr>
          <w:p w14:paraId="1692D62F" w14:textId="64537686"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RP-C21-i15-RAA</w:t>
            </w:r>
          </w:p>
        </w:tc>
        <w:tc>
          <w:tcPr>
            <w:tcW w:w="1520" w:type="dxa"/>
            <w:tcBorders>
              <w:top w:val="nil"/>
              <w:left w:val="nil"/>
              <w:bottom w:val="single" w:sz="4" w:space="0" w:color="auto"/>
              <w:right w:val="single" w:sz="4" w:space="0" w:color="auto"/>
            </w:tcBorders>
            <w:shd w:val="clear" w:color="auto" w:fill="C4EFCE"/>
            <w:vAlign w:val="center"/>
            <w:hideMark/>
          </w:tcPr>
          <w:p w14:paraId="1A2F99A0" w14:textId="6930607F"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F254CB8"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Uvedenie dvoch nových elektrických trajektov do prevádzky</w:t>
            </w:r>
          </w:p>
        </w:tc>
      </w:tr>
      <w:tr w:rsidR="00387C70" w:rsidRPr="003F23AC" w14:paraId="4686FE23"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649610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760" w:type="dxa"/>
            <w:tcBorders>
              <w:top w:val="nil"/>
              <w:left w:val="nil"/>
              <w:bottom w:val="single" w:sz="4" w:space="0" w:color="auto"/>
              <w:right w:val="single" w:sz="4" w:space="0" w:color="auto"/>
            </w:tcBorders>
            <w:shd w:val="clear" w:color="auto" w:fill="C4EFCE"/>
            <w:vAlign w:val="center"/>
            <w:hideMark/>
          </w:tcPr>
          <w:p w14:paraId="381C23FB"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520" w:type="dxa"/>
            <w:tcBorders>
              <w:top w:val="nil"/>
              <w:left w:val="nil"/>
              <w:bottom w:val="single" w:sz="4" w:space="0" w:color="auto"/>
              <w:right w:val="single" w:sz="4" w:space="0" w:color="auto"/>
            </w:tcBorders>
            <w:shd w:val="clear" w:color="auto" w:fill="C4EFCE"/>
            <w:vAlign w:val="center"/>
            <w:hideMark/>
          </w:tcPr>
          <w:p w14:paraId="2A9D373E" w14:textId="77777777" w:rsidR="00387C70" w:rsidRPr="003F23AC" w:rsidRDefault="000F5AA4" w:rsidP="003F23AC">
            <w:pPr>
              <w:pStyle w:val="P68B1DB1-Normal24"/>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Suma splátky</w:t>
            </w:r>
          </w:p>
        </w:tc>
        <w:tc>
          <w:tcPr>
            <w:tcW w:w="5060" w:type="dxa"/>
            <w:tcBorders>
              <w:top w:val="nil"/>
              <w:left w:val="nil"/>
              <w:bottom w:val="single" w:sz="4" w:space="0" w:color="auto"/>
              <w:right w:val="single" w:sz="4" w:space="0" w:color="auto"/>
            </w:tcBorders>
            <w:shd w:val="clear" w:color="auto" w:fill="C4EFCE"/>
            <w:vAlign w:val="center"/>
            <w:hideMark/>
          </w:tcPr>
          <w:p w14:paraId="6C5CFDF1" w14:textId="4A097940" w:rsidR="00387C70" w:rsidRPr="003F23AC" w:rsidRDefault="003A06C1" w:rsidP="003F23AC">
            <w:pPr>
              <w:pStyle w:val="P68B1DB1-Normal25"/>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EUR 2 284 617 001</w:t>
            </w:r>
          </w:p>
        </w:tc>
      </w:tr>
    </w:tbl>
    <w:p w14:paraId="43D05AA8" w14:textId="77777777" w:rsidR="00387C70" w:rsidRPr="00FA6988" w:rsidRDefault="00387C70" w:rsidP="00FA6988">
      <w:pPr>
        <w:spacing w:after="0" w:line="240" w:lineRule="auto"/>
        <w:ind w:left="360"/>
        <w:jc w:val="both"/>
        <w:rPr>
          <w:rFonts w:ascii="Times New Roman" w:eastAsiaTheme="minorEastAsia" w:hAnsi="Times New Roman" w:cs="Times New Roman"/>
          <w:noProof/>
          <w:sz w:val="6"/>
          <w:szCs w:val="6"/>
          <w:lang w:val="sk-SK"/>
        </w:rPr>
      </w:pPr>
    </w:p>
    <w:p w14:paraId="607CA0DB" w14:textId="77777777" w:rsidR="00387C70" w:rsidRPr="00FA6988" w:rsidRDefault="00387C70" w:rsidP="00FA6988">
      <w:pPr>
        <w:spacing w:after="0" w:line="240" w:lineRule="auto"/>
        <w:ind w:left="360"/>
        <w:jc w:val="both"/>
        <w:rPr>
          <w:rFonts w:ascii="Times New Roman" w:eastAsiaTheme="minorEastAsia" w:hAnsi="Times New Roman" w:cs="Times New Roman"/>
          <w:noProof/>
          <w:sz w:val="6"/>
          <w:szCs w:val="6"/>
          <w:lang w:val="sk-SK"/>
        </w:rPr>
      </w:pPr>
    </w:p>
    <w:p w14:paraId="66E8207C" w14:textId="15AC031C" w:rsidR="00A75B3C" w:rsidRPr="003F23AC" w:rsidRDefault="000F5AA4" w:rsidP="003F23AC">
      <w:pPr>
        <w:pStyle w:val="P68B1DB1-Normal4"/>
        <w:numPr>
          <w:ilvl w:val="1"/>
          <w:numId w:val="19"/>
        </w:numPr>
        <w:spacing w:before="40" w:after="160" w:line="259" w:lineRule="auto"/>
        <w:contextualSpacing/>
        <w:jc w:val="both"/>
        <w:rPr>
          <w:rFonts w:cs="Times New Roman"/>
          <w:noProof/>
          <w:lang w:val="sk-SK"/>
        </w:rPr>
      </w:pPr>
      <w:r w:rsidRPr="003F23AC">
        <w:rPr>
          <w:rFonts w:cs="Times New Roman"/>
          <w:noProof/>
          <w:lang w:val="sk-SK"/>
        </w:rPr>
        <w:t>Desiata žiadosť</w:t>
      </w:r>
      <w:r w:rsidR="00A75B3C" w:rsidRPr="003F23AC">
        <w:rPr>
          <w:rFonts w:cs="Times New Roman"/>
          <w:noProof/>
          <w:lang w:val="sk-SK"/>
        </w:rPr>
        <w:t xml:space="preserve"> o </w:t>
      </w:r>
      <w:r w:rsidRPr="003F23AC">
        <w:rPr>
          <w:rFonts w:cs="Times New Roman"/>
          <w:noProof/>
          <w:lang w:val="sk-SK"/>
        </w:rPr>
        <w:t>platbu (nenávratná podpora)</w:t>
      </w:r>
      <w:r w:rsidR="00A75B3C" w:rsidRPr="003F23AC">
        <w:rPr>
          <w:rFonts w:cs="Times New Roman"/>
          <w:noProof/>
          <w:lang w:val="sk-SK"/>
        </w:rPr>
        <w:t>:</w:t>
      </w:r>
    </w:p>
    <w:p w14:paraId="55E21E0D" w14:textId="386A73C5" w:rsidR="00387C70" w:rsidRPr="00FA6988" w:rsidRDefault="00387C70" w:rsidP="00FA6988">
      <w:pPr>
        <w:spacing w:after="0" w:line="240" w:lineRule="auto"/>
        <w:jc w:val="both"/>
        <w:rPr>
          <w:rFonts w:ascii="Times New Roman" w:eastAsiaTheme="minorEastAsia" w:hAnsi="Times New Roman" w:cs="Times New Roman"/>
          <w:noProof/>
          <w:sz w:val="6"/>
          <w:szCs w:val="6"/>
          <w:lang w:val="sk-SK"/>
        </w:rPr>
      </w:pPr>
    </w:p>
    <w:tbl>
      <w:tblPr>
        <w:tblW w:w="9540" w:type="dxa"/>
        <w:tblInd w:w="113" w:type="dxa"/>
        <w:tblLook w:val="04A0" w:firstRow="1" w:lastRow="0" w:firstColumn="1" w:lastColumn="0" w:noHBand="0" w:noVBand="1"/>
      </w:tblPr>
      <w:tblGrid>
        <w:gridCol w:w="1200"/>
        <w:gridCol w:w="1760"/>
        <w:gridCol w:w="1520"/>
        <w:gridCol w:w="5060"/>
      </w:tblGrid>
      <w:tr w:rsidR="00387C70" w:rsidRPr="003F23AC" w14:paraId="7D06A10D" w14:textId="77777777">
        <w:trPr>
          <w:trHeight w:val="1018"/>
          <w:tblHeader/>
        </w:trPr>
        <w:tc>
          <w:tcPr>
            <w:tcW w:w="120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EA7B9D4"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6390E370"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48722F55"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tcBorders>
              <w:top w:val="single" w:sz="4" w:space="0" w:color="auto"/>
              <w:left w:val="single" w:sz="4" w:space="0" w:color="auto"/>
              <w:bottom w:val="single" w:sz="4" w:space="0" w:color="auto"/>
              <w:right w:val="single" w:sz="4" w:space="0" w:color="auto"/>
            </w:tcBorders>
            <w:shd w:val="clear" w:color="auto" w:fill="BDD7EE"/>
            <w:vAlign w:val="center"/>
            <w:hideMark/>
          </w:tcPr>
          <w:p w14:paraId="5F8E9C14"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3D3D479A"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25D5E3F"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1.15</w:t>
            </w:r>
          </w:p>
        </w:tc>
        <w:tc>
          <w:tcPr>
            <w:tcW w:w="1760" w:type="dxa"/>
            <w:tcBorders>
              <w:top w:val="nil"/>
              <w:left w:val="nil"/>
              <w:bottom w:val="single" w:sz="4" w:space="0" w:color="auto"/>
              <w:right w:val="single" w:sz="4" w:space="0" w:color="auto"/>
            </w:tcBorders>
            <w:shd w:val="clear" w:color="auto" w:fill="C4EFCE"/>
            <w:vAlign w:val="center"/>
            <w:hideMark/>
          </w:tcPr>
          <w:p w14:paraId="52F5475D" w14:textId="301E2A39"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C01-i01</w:t>
            </w:r>
          </w:p>
        </w:tc>
        <w:tc>
          <w:tcPr>
            <w:tcW w:w="1520" w:type="dxa"/>
            <w:tcBorders>
              <w:top w:val="nil"/>
              <w:left w:val="nil"/>
              <w:bottom w:val="single" w:sz="4" w:space="0" w:color="auto"/>
              <w:right w:val="single" w:sz="4" w:space="0" w:color="auto"/>
            </w:tcBorders>
            <w:shd w:val="clear" w:color="auto" w:fill="C4EFCE"/>
            <w:vAlign w:val="center"/>
            <w:hideMark/>
          </w:tcPr>
          <w:p w14:paraId="26BFA8A2" w14:textId="237AB248"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1B52446"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Budovanie nových zdravotníckych jednotiek</w:t>
            </w:r>
          </w:p>
        </w:tc>
      </w:tr>
      <w:tr w:rsidR="00387C70" w:rsidRPr="003F23AC" w14:paraId="6806F24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2F0C54B"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1.16</w:t>
            </w:r>
          </w:p>
        </w:tc>
        <w:tc>
          <w:tcPr>
            <w:tcW w:w="1760" w:type="dxa"/>
            <w:tcBorders>
              <w:top w:val="nil"/>
              <w:left w:val="nil"/>
              <w:bottom w:val="single" w:sz="4" w:space="0" w:color="auto"/>
              <w:right w:val="single" w:sz="4" w:space="0" w:color="auto"/>
            </w:tcBorders>
            <w:shd w:val="clear" w:color="auto" w:fill="C4EFCE"/>
            <w:vAlign w:val="center"/>
            <w:hideMark/>
          </w:tcPr>
          <w:p w14:paraId="19CDD319" w14:textId="7D3D0AE5"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C01-i01</w:t>
            </w:r>
          </w:p>
        </w:tc>
        <w:tc>
          <w:tcPr>
            <w:tcW w:w="1520" w:type="dxa"/>
            <w:tcBorders>
              <w:top w:val="nil"/>
              <w:left w:val="nil"/>
              <w:bottom w:val="single" w:sz="4" w:space="0" w:color="auto"/>
              <w:right w:val="single" w:sz="4" w:space="0" w:color="auto"/>
            </w:tcBorders>
            <w:shd w:val="clear" w:color="auto" w:fill="C4EFCE"/>
            <w:vAlign w:val="center"/>
            <w:hideMark/>
          </w:tcPr>
          <w:p w14:paraId="08281B82"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05B41143" w14:textId="08243EC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Dokončiť vnútroštátne pokrytie skríningových programov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programov včasnej diagnostiky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primárnej zdravotnej starostlivosti</w:t>
            </w:r>
          </w:p>
        </w:tc>
      </w:tr>
      <w:tr w:rsidR="00387C70" w:rsidRPr="003F23AC" w14:paraId="217E40E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D8A98AA"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1.17</w:t>
            </w:r>
          </w:p>
        </w:tc>
        <w:tc>
          <w:tcPr>
            <w:tcW w:w="1760" w:type="dxa"/>
            <w:tcBorders>
              <w:top w:val="nil"/>
              <w:left w:val="nil"/>
              <w:bottom w:val="single" w:sz="4" w:space="0" w:color="auto"/>
              <w:right w:val="single" w:sz="4" w:space="0" w:color="auto"/>
            </w:tcBorders>
            <w:shd w:val="clear" w:color="auto" w:fill="C4EFCE"/>
            <w:vAlign w:val="center"/>
            <w:hideMark/>
          </w:tcPr>
          <w:p w14:paraId="790F9509" w14:textId="5D92B093"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C01-i01</w:t>
            </w:r>
          </w:p>
        </w:tc>
        <w:tc>
          <w:tcPr>
            <w:tcW w:w="1520" w:type="dxa"/>
            <w:tcBorders>
              <w:top w:val="nil"/>
              <w:left w:val="nil"/>
              <w:bottom w:val="single" w:sz="4" w:space="0" w:color="auto"/>
              <w:right w:val="single" w:sz="4" w:space="0" w:color="auto"/>
            </w:tcBorders>
            <w:shd w:val="clear" w:color="auto" w:fill="C4EFCE"/>
            <w:vAlign w:val="center"/>
            <w:hideMark/>
          </w:tcPr>
          <w:p w14:paraId="65D56E08"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47EB1B2C" w14:textId="3A29736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Zvýšiť reakčnú kapacitu primárnych zdravotníckych stredísk</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rozšíriť oblasti ich intervencie</w:t>
            </w:r>
          </w:p>
        </w:tc>
      </w:tr>
      <w:tr w:rsidR="00387C70" w:rsidRPr="003F23AC" w14:paraId="01A92F4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38C9033"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1.18</w:t>
            </w:r>
          </w:p>
        </w:tc>
        <w:tc>
          <w:tcPr>
            <w:tcW w:w="1760" w:type="dxa"/>
            <w:tcBorders>
              <w:top w:val="nil"/>
              <w:left w:val="nil"/>
              <w:bottom w:val="single" w:sz="4" w:space="0" w:color="auto"/>
              <w:right w:val="single" w:sz="4" w:space="0" w:color="auto"/>
            </w:tcBorders>
            <w:shd w:val="clear" w:color="auto" w:fill="C4EFCE"/>
            <w:vAlign w:val="center"/>
            <w:hideMark/>
          </w:tcPr>
          <w:p w14:paraId="4284A36F" w14:textId="391B9F7F"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C01-i01</w:t>
            </w:r>
          </w:p>
        </w:tc>
        <w:tc>
          <w:tcPr>
            <w:tcW w:w="1520" w:type="dxa"/>
            <w:tcBorders>
              <w:top w:val="nil"/>
              <w:left w:val="nil"/>
              <w:bottom w:val="single" w:sz="4" w:space="0" w:color="auto"/>
              <w:right w:val="single" w:sz="4" w:space="0" w:color="auto"/>
            </w:tcBorders>
            <w:shd w:val="clear" w:color="auto" w:fill="C4EFCE"/>
            <w:vAlign w:val="center"/>
            <w:hideMark/>
          </w:tcPr>
          <w:p w14:paraId="757EA7EC"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16FCF755" w14:textId="3A8ED34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Renovácia zdravotníckych zariadení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vybavenia</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cieľom zabezpečiť prístupnosť, kvalitu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bezpečnostné podmienky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primárnych zdravotných strediskách</w:t>
            </w:r>
          </w:p>
        </w:tc>
      </w:tr>
      <w:tr w:rsidR="00387C70" w:rsidRPr="003F23AC" w14:paraId="5284CCA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2868D01"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1.19</w:t>
            </w:r>
          </w:p>
        </w:tc>
        <w:tc>
          <w:tcPr>
            <w:tcW w:w="1760" w:type="dxa"/>
            <w:tcBorders>
              <w:top w:val="nil"/>
              <w:left w:val="nil"/>
              <w:bottom w:val="single" w:sz="4" w:space="0" w:color="auto"/>
              <w:right w:val="single" w:sz="4" w:space="0" w:color="auto"/>
            </w:tcBorders>
            <w:shd w:val="clear" w:color="auto" w:fill="C4EFCE"/>
            <w:vAlign w:val="center"/>
            <w:hideMark/>
          </w:tcPr>
          <w:p w14:paraId="0EDC48A4" w14:textId="0CDB4106"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C01-i01</w:t>
            </w:r>
          </w:p>
        </w:tc>
        <w:tc>
          <w:tcPr>
            <w:tcW w:w="1520" w:type="dxa"/>
            <w:tcBorders>
              <w:top w:val="nil"/>
              <w:left w:val="nil"/>
              <w:bottom w:val="single" w:sz="4" w:space="0" w:color="auto"/>
              <w:right w:val="single" w:sz="4" w:space="0" w:color="auto"/>
            </w:tcBorders>
            <w:shd w:val="clear" w:color="auto" w:fill="C4EFCE"/>
            <w:vAlign w:val="center"/>
            <w:hideMark/>
          </w:tcPr>
          <w:p w14:paraId="33DB8263"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0725DC65" w14:textId="77E486A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Posilnenie komunitnej starostlivosti, domácich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komunitných zásahov</w:t>
            </w:r>
          </w:p>
        </w:tc>
      </w:tr>
      <w:tr w:rsidR="00387C70" w:rsidRPr="003F23AC" w14:paraId="3D01E1B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BAC2B30"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1.26</w:t>
            </w:r>
          </w:p>
        </w:tc>
        <w:tc>
          <w:tcPr>
            <w:tcW w:w="1760" w:type="dxa"/>
            <w:tcBorders>
              <w:top w:val="nil"/>
              <w:left w:val="nil"/>
              <w:bottom w:val="single" w:sz="4" w:space="0" w:color="auto"/>
              <w:right w:val="single" w:sz="4" w:space="0" w:color="auto"/>
            </w:tcBorders>
            <w:shd w:val="clear" w:color="auto" w:fill="C4EFCE"/>
            <w:vAlign w:val="center"/>
            <w:hideMark/>
          </w:tcPr>
          <w:p w14:paraId="2701A855" w14:textId="687FAD41"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C01-i04</w:t>
            </w:r>
          </w:p>
        </w:tc>
        <w:tc>
          <w:tcPr>
            <w:tcW w:w="1520" w:type="dxa"/>
            <w:tcBorders>
              <w:top w:val="nil"/>
              <w:left w:val="nil"/>
              <w:bottom w:val="single" w:sz="4" w:space="0" w:color="auto"/>
              <w:right w:val="single" w:sz="4" w:space="0" w:color="auto"/>
            </w:tcBorders>
            <w:shd w:val="clear" w:color="auto" w:fill="C4EFCE"/>
            <w:vAlign w:val="center"/>
            <w:hideMark/>
          </w:tcPr>
          <w:p w14:paraId="05A37AD5"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6BABE876" w14:textId="0BA2871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Výstavba nemocnice vo východnej Lisabone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nákup vybavenia nemocníc</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Lisabone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Vale do Tejo</w:t>
            </w:r>
          </w:p>
        </w:tc>
      </w:tr>
      <w:tr w:rsidR="00387C70" w:rsidRPr="003F23AC" w14:paraId="3D441B1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C3D0439"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1.27</w:t>
            </w:r>
          </w:p>
        </w:tc>
        <w:tc>
          <w:tcPr>
            <w:tcW w:w="1760" w:type="dxa"/>
            <w:tcBorders>
              <w:top w:val="nil"/>
              <w:left w:val="nil"/>
              <w:bottom w:val="single" w:sz="4" w:space="0" w:color="auto"/>
              <w:right w:val="single" w:sz="4" w:space="0" w:color="auto"/>
            </w:tcBorders>
            <w:shd w:val="clear" w:color="auto" w:fill="C4EFCE"/>
            <w:vAlign w:val="center"/>
            <w:hideMark/>
          </w:tcPr>
          <w:p w14:paraId="1BD7B0E9" w14:textId="32F372EE"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C01-i05-RAM</w:t>
            </w:r>
          </w:p>
        </w:tc>
        <w:tc>
          <w:tcPr>
            <w:tcW w:w="1520" w:type="dxa"/>
            <w:tcBorders>
              <w:top w:val="nil"/>
              <w:left w:val="nil"/>
              <w:bottom w:val="single" w:sz="4" w:space="0" w:color="auto"/>
              <w:right w:val="single" w:sz="4" w:space="0" w:color="auto"/>
            </w:tcBorders>
            <w:shd w:val="clear" w:color="auto" w:fill="C4EFCE"/>
            <w:vAlign w:val="center"/>
            <w:hideMark/>
          </w:tcPr>
          <w:p w14:paraId="3CAAA8F2" w14:textId="30962585"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A201EA2" w14:textId="11A7618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Zvýšenie počtu dostupných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systéme domácej hospitalizácie regionálnej zdravotnej služby na Madeire</w:t>
            </w:r>
          </w:p>
        </w:tc>
      </w:tr>
      <w:tr w:rsidR="00387C70" w:rsidRPr="003F23AC" w14:paraId="5762E4B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8CF62DE"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1.28</w:t>
            </w:r>
          </w:p>
        </w:tc>
        <w:tc>
          <w:tcPr>
            <w:tcW w:w="1760" w:type="dxa"/>
            <w:tcBorders>
              <w:top w:val="nil"/>
              <w:left w:val="nil"/>
              <w:bottom w:val="single" w:sz="4" w:space="0" w:color="auto"/>
              <w:right w:val="single" w:sz="4" w:space="0" w:color="auto"/>
            </w:tcBorders>
            <w:shd w:val="clear" w:color="auto" w:fill="C4EFCE"/>
            <w:vAlign w:val="center"/>
            <w:hideMark/>
          </w:tcPr>
          <w:p w14:paraId="4710DCFA" w14:textId="76127A82"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C01-i05-RAM</w:t>
            </w:r>
          </w:p>
        </w:tc>
        <w:tc>
          <w:tcPr>
            <w:tcW w:w="1520" w:type="dxa"/>
            <w:tcBorders>
              <w:top w:val="nil"/>
              <w:left w:val="nil"/>
              <w:bottom w:val="single" w:sz="4" w:space="0" w:color="auto"/>
              <w:right w:val="single" w:sz="4" w:space="0" w:color="auto"/>
            </w:tcBorders>
            <w:shd w:val="clear" w:color="auto" w:fill="C4EFCE"/>
            <w:vAlign w:val="center"/>
            <w:hideMark/>
          </w:tcPr>
          <w:p w14:paraId="6CFA463F" w14:textId="6E4140CE"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5865E083" w14:textId="0661FBDB"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Zriadenie komunitných tímov duševného zdravia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regionálnej zdravotnej služby na Madeire</w:t>
            </w:r>
          </w:p>
        </w:tc>
      </w:tr>
      <w:tr w:rsidR="00387C70" w:rsidRPr="003F23AC" w14:paraId="01524A3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7ED4C9A"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1.31</w:t>
            </w:r>
          </w:p>
        </w:tc>
        <w:tc>
          <w:tcPr>
            <w:tcW w:w="1760" w:type="dxa"/>
            <w:tcBorders>
              <w:top w:val="nil"/>
              <w:left w:val="nil"/>
              <w:bottom w:val="single" w:sz="4" w:space="0" w:color="auto"/>
              <w:right w:val="single" w:sz="4" w:space="0" w:color="auto"/>
            </w:tcBorders>
            <w:shd w:val="clear" w:color="auto" w:fill="C4EFCE"/>
            <w:vAlign w:val="center"/>
            <w:hideMark/>
          </w:tcPr>
          <w:p w14:paraId="35A056AF" w14:textId="265E0B1B"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C01-i05-RAM</w:t>
            </w:r>
          </w:p>
        </w:tc>
        <w:tc>
          <w:tcPr>
            <w:tcW w:w="1520" w:type="dxa"/>
            <w:tcBorders>
              <w:top w:val="nil"/>
              <w:left w:val="nil"/>
              <w:bottom w:val="single" w:sz="4" w:space="0" w:color="auto"/>
              <w:right w:val="single" w:sz="4" w:space="0" w:color="auto"/>
            </w:tcBorders>
            <w:shd w:val="clear" w:color="auto" w:fill="C4EFCE"/>
            <w:vAlign w:val="center"/>
            <w:hideMark/>
          </w:tcPr>
          <w:p w14:paraId="632A4DE4" w14:textId="76C24059"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8FB0741" w14:textId="5C8F580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Renovácia služieb primárnej zdravotnej starostlivosti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regionálnej zdravotnej služby na Madeire</w:t>
            </w:r>
          </w:p>
        </w:tc>
      </w:tr>
      <w:tr w:rsidR="00387C70" w:rsidRPr="003F23AC" w14:paraId="5ABD1AFC"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CF6E924"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1.43</w:t>
            </w:r>
          </w:p>
        </w:tc>
        <w:tc>
          <w:tcPr>
            <w:tcW w:w="1760" w:type="dxa"/>
            <w:tcBorders>
              <w:top w:val="nil"/>
              <w:left w:val="nil"/>
              <w:bottom w:val="single" w:sz="4" w:space="0" w:color="auto"/>
              <w:right w:val="single" w:sz="4" w:space="0" w:color="auto"/>
            </w:tcBorders>
            <w:shd w:val="clear" w:color="auto" w:fill="C4EFCE"/>
            <w:vAlign w:val="center"/>
            <w:hideMark/>
          </w:tcPr>
          <w:p w14:paraId="375AE1E5" w14:textId="3436F1BF"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C01-i10</w:t>
            </w:r>
          </w:p>
        </w:tc>
        <w:tc>
          <w:tcPr>
            <w:tcW w:w="1520" w:type="dxa"/>
            <w:tcBorders>
              <w:top w:val="nil"/>
              <w:left w:val="nil"/>
              <w:bottom w:val="single" w:sz="4" w:space="0" w:color="auto"/>
              <w:right w:val="single" w:sz="4" w:space="0" w:color="auto"/>
            </w:tcBorders>
            <w:shd w:val="clear" w:color="auto" w:fill="C4EFCE"/>
            <w:vAlign w:val="center"/>
            <w:hideMark/>
          </w:tcPr>
          <w:p w14:paraId="3498EF00" w14:textId="42778BE5"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A15A08C"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Nákup ťažkého zdravotníckeho vybavenia</w:t>
            </w:r>
          </w:p>
        </w:tc>
      </w:tr>
      <w:tr w:rsidR="00387C70" w:rsidRPr="003F23AC" w14:paraId="6AC77FE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3C1269E"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2.3</w:t>
            </w:r>
          </w:p>
        </w:tc>
        <w:tc>
          <w:tcPr>
            <w:tcW w:w="1760" w:type="dxa"/>
            <w:tcBorders>
              <w:top w:val="nil"/>
              <w:left w:val="nil"/>
              <w:bottom w:val="single" w:sz="4" w:space="0" w:color="auto"/>
              <w:right w:val="single" w:sz="4" w:space="0" w:color="auto"/>
            </w:tcBorders>
            <w:shd w:val="clear" w:color="auto" w:fill="C4EFCE"/>
            <w:vAlign w:val="center"/>
            <w:hideMark/>
          </w:tcPr>
          <w:p w14:paraId="43F3328C" w14:textId="7DD0EBE3"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C02-i01</w:t>
            </w:r>
          </w:p>
        </w:tc>
        <w:tc>
          <w:tcPr>
            <w:tcW w:w="1520" w:type="dxa"/>
            <w:tcBorders>
              <w:top w:val="nil"/>
              <w:left w:val="nil"/>
              <w:bottom w:val="single" w:sz="4" w:space="0" w:color="auto"/>
              <w:right w:val="single" w:sz="4" w:space="0" w:color="auto"/>
            </w:tcBorders>
            <w:shd w:val="clear" w:color="auto" w:fill="C4EFCE"/>
            <w:vAlign w:val="center"/>
            <w:hideMark/>
          </w:tcPr>
          <w:p w14:paraId="63E6F2B5" w14:textId="234CD83A"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DF9FF65" w14:textId="7207169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Program na podporu prístupu</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bývaniu – kúpené, postavené (vysoká energetická efektívnosť) alebo renovované (so zlepšenou energetickou hospodárnosťou) byty poskytované domácnostiam</w:t>
            </w:r>
          </w:p>
        </w:tc>
      </w:tr>
      <w:tr w:rsidR="00387C70" w:rsidRPr="003F23AC" w14:paraId="72A5938F"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282ECA8"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2.7</w:t>
            </w:r>
          </w:p>
        </w:tc>
        <w:tc>
          <w:tcPr>
            <w:tcW w:w="1760" w:type="dxa"/>
            <w:tcBorders>
              <w:top w:val="nil"/>
              <w:left w:val="nil"/>
              <w:bottom w:val="single" w:sz="4" w:space="0" w:color="auto"/>
              <w:right w:val="single" w:sz="4" w:space="0" w:color="auto"/>
            </w:tcBorders>
            <w:shd w:val="clear" w:color="auto" w:fill="C4EFCE"/>
            <w:vAlign w:val="center"/>
            <w:hideMark/>
          </w:tcPr>
          <w:p w14:paraId="73BDA8CB" w14:textId="5379B059"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C02-i02</w:t>
            </w:r>
          </w:p>
        </w:tc>
        <w:tc>
          <w:tcPr>
            <w:tcW w:w="1520" w:type="dxa"/>
            <w:tcBorders>
              <w:top w:val="nil"/>
              <w:left w:val="nil"/>
              <w:bottom w:val="single" w:sz="4" w:space="0" w:color="auto"/>
              <w:right w:val="single" w:sz="4" w:space="0" w:color="auto"/>
            </w:tcBorders>
            <w:shd w:val="clear" w:color="auto" w:fill="C4EFCE"/>
            <w:vAlign w:val="center"/>
            <w:hideMark/>
          </w:tcPr>
          <w:p w14:paraId="4E0163B1" w14:textId="39EE7423"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65A5618" w14:textId="076EB94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Národný grant na núdzové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dočasné ubytovanie – Núdzové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prechodné ubytovanie vytvorené (vybudované alebo zakúpené podľa normy energetickej efektívnosti alebo renovované, vrátane zakúpených</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lepšou energetickou hospodárnosťou)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dodané vývojárom</w:t>
            </w:r>
          </w:p>
        </w:tc>
      </w:tr>
      <w:tr w:rsidR="00387C70" w:rsidRPr="003F23AC" w14:paraId="0F56588C"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51AC1AB"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2.8</w:t>
            </w:r>
          </w:p>
        </w:tc>
        <w:tc>
          <w:tcPr>
            <w:tcW w:w="1760" w:type="dxa"/>
            <w:tcBorders>
              <w:top w:val="nil"/>
              <w:left w:val="nil"/>
              <w:bottom w:val="single" w:sz="4" w:space="0" w:color="auto"/>
              <w:right w:val="single" w:sz="4" w:space="0" w:color="auto"/>
            </w:tcBorders>
            <w:shd w:val="clear" w:color="auto" w:fill="C4EFCE"/>
            <w:vAlign w:val="center"/>
            <w:hideMark/>
          </w:tcPr>
          <w:p w14:paraId="7E84AC89" w14:textId="0C22FC44"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C02-i02</w:t>
            </w:r>
          </w:p>
        </w:tc>
        <w:tc>
          <w:tcPr>
            <w:tcW w:w="1520" w:type="dxa"/>
            <w:tcBorders>
              <w:top w:val="nil"/>
              <w:left w:val="nil"/>
              <w:bottom w:val="single" w:sz="4" w:space="0" w:color="auto"/>
              <w:right w:val="single" w:sz="4" w:space="0" w:color="auto"/>
            </w:tcBorders>
            <w:shd w:val="clear" w:color="auto" w:fill="C4EFCE"/>
            <w:vAlign w:val="center"/>
            <w:hideMark/>
          </w:tcPr>
          <w:p w14:paraId="42DC07CB" w14:textId="3050913B"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E23D2B0" w14:textId="0B4F7C1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Ubytovanie poskytované bezpečnostným silám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dočasné ubytovanie poskytnuté</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humanitárnych alebo bezpečnostných dôvodov</w:t>
            </w:r>
          </w:p>
        </w:tc>
      </w:tr>
      <w:tr w:rsidR="00387C70" w:rsidRPr="003F23AC" w14:paraId="02FF4B3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E8FA595"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2.11</w:t>
            </w:r>
          </w:p>
        </w:tc>
        <w:tc>
          <w:tcPr>
            <w:tcW w:w="1760" w:type="dxa"/>
            <w:tcBorders>
              <w:top w:val="nil"/>
              <w:left w:val="nil"/>
              <w:bottom w:val="single" w:sz="4" w:space="0" w:color="auto"/>
              <w:right w:val="single" w:sz="4" w:space="0" w:color="auto"/>
            </w:tcBorders>
            <w:shd w:val="clear" w:color="auto" w:fill="C4EFCE"/>
            <w:vAlign w:val="center"/>
            <w:hideMark/>
          </w:tcPr>
          <w:p w14:paraId="67D04435" w14:textId="39641380"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C02-i03-RAM</w:t>
            </w:r>
          </w:p>
        </w:tc>
        <w:tc>
          <w:tcPr>
            <w:tcW w:w="1520" w:type="dxa"/>
            <w:tcBorders>
              <w:top w:val="nil"/>
              <w:left w:val="nil"/>
              <w:bottom w:val="single" w:sz="4" w:space="0" w:color="auto"/>
              <w:right w:val="single" w:sz="4" w:space="0" w:color="auto"/>
            </w:tcBorders>
            <w:shd w:val="clear" w:color="auto" w:fill="C4EFCE"/>
            <w:vAlign w:val="center"/>
            <w:hideMark/>
          </w:tcPr>
          <w:p w14:paraId="3BD5817E" w14:textId="40BED56F"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8D58941" w14:textId="4A2C1B89"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Podporované bývanie</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autonómnej oblasti Madeira</w:t>
            </w:r>
          </w:p>
        </w:tc>
      </w:tr>
      <w:tr w:rsidR="00387C70" w:rsidRPr="003F23AC" w14:paraId="29129C5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6F57D8F"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2.12</w:t>
            </w:r>
          </w:p>
        </w:tc>
        <w:tc>
          <w:tcPr>
            <w:tcW w:w="1760" w:type="dxa"/>
            <w:tcBorders>
              <w:top w:val="nil"/>
              <w:left w:val="nil"/>
              <w:bottom w:val="single" w:sz="4" w:space="0" w:color="auto"/>
              <w:right w:val="single" w:sz="4" w:space="0" w:color="auto"/>
            </w:tcBorders>
            <w:shd w:val="clear" w:color="auto" w:fill="C4EFCE"/>
            <w:vAlign w:val="center"/>
            <w:hideMark/>
          </w:tcPr>
          <w:p w14:paraId="62DEA51A" w14:textId="57471A1A"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C02-i03-RAM</w:t>
            </w:r>
          </w:p>
        </w:tc>
        <w:tc>
          <w:tcPr>
            <w:tcW w:w="1520" w:type="dxa"/>
            <w:tcBorders>
              <w:top w:val="nil"/>
              <w:left w:val="nil"/>
              <w:bottom w:val="single" w:sz="4" w:space="0" w:color="auto"/>
              <w:right w:val="single" w:sz="4" w:space="0" w:color="auto"/>
            </w:tcBorders>
            <w:shd w:val="clear" w:color="auto" w:fill="C4EFCE"/>
            <w:vAlign w:val="center"/>
            <w:hideMark/>
          </w:tcPr>
          <w:p w14:paraId="1270B23C" w14:textId="78617046"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8726ED5" w14:textId="3F0AF2E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Počet obydlí obývaných súkromným vlastníkom, ktoré boli renovované,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to aj so zlepšenou energetickou efektívnosťou</w:t>
            </w:r>
          </w:p>
        </w:tc>
      </w:tr>
      <w:tr w:rsidR="00387C70" w:rsidRPr="003F23AC" w14:paraId="18ACBA66"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A04DA4C"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2.30</w:t>
            </w:r>
          </w:p>
        </w:tc>
        <w:tc>
          <w:tcPr>
            <w:tcW w:w="1760" w:type="dxa"/>
            <w:tcBorders>
              <w:top w:val="nil"/>
              <w:left w:val="nil"/>
              <w:bottom w:val="single" w:sz="4" w:space="0" w:color="auto"/>
              <w:right w:val="single" w:sz="4" w:space="0" w:color="auto"/>
            </w:tcBorders>
            <w:shd w:val="clear" w:color="auto" w:fill="C4EFCE"/>
            <w:vAlign w:val="center"/>
            <w:hideMark/>
          </w:tcPr>
          <w:p w14:paraId="373778E4" w14:textId="58DFBFEE"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C02-i07-RAA</w:t>
            </w:r>
          </w:p>
        </w:tc>
        <w:tc>
          <w:tcPr>
            <w:tcW w:w="1520" w:type="dxa"/>
            <w:tcBorders>
              <w:top w:val="nil"/>
              <w:left w:val="nil"/>
              <w:bottom w:val="single" w:sz="4" w:space="0" w:color="auto"/>
              <w:right w:val="single" w:sz="4" w:space="0" w:color="auto"/>
            </w:tcBorders>
            <w:shd w:val="clear" w:color="auto" w:fill="C4EFCE"/>
            <w:vAlign w:val="center"/>
            <w:hideMark/>
          </w:tcPr>
          <w:p w14:paraId="66259027" w14:textId="710B0D03"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A181364"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Infraštruktúra pozemkov</w:t>
            </w:r>
          </w:p>
        </w:tc>
      </w:tr>
      <w:tr w:rsidR="00387C70" w:rsidRPr="003F23AC" w14:paraId="17A4FE4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5779114"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3.1</w:t>
            </w:r>
          </w:p>
        </w:tc>
        <w:tc>
          <w:tcPr>
            <w:tcW w:w="1760" w:type="dxa"/>
            <w:tcBorders>
              <w:top w:val="nil"/>
              <w:left w:val="nil"/>
              <w:bottom w:val="single" w:sz="4" w:space="0" w:color="auto"/>
              <w:right w:val="single" w:sz="4" w:space="0" w:color="auto"/>
            </w:tcBorders>
            <w:shd w:val="clear" w:color="auto" w:fill="C4EFCE"/>
            <w:vAlign w:val="center"/>
            <w:hideMark/>
          </w:tcPr>
          <w:p w14:paraId="470584AE" w14:textId="29CC31F4"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C03-i01</w:t>
            </w:r>
          </w:p>
        </w:tc>
        <w:tc>
          <w:tcPr>
            <w:tcW w:w="1520" w:type="dxa"/>
            <w:tcBorders>
              <w:top w:val="nil"/>
              <w:left w:val="nil"/>
              <w:bottom w:val="single" w:sz="4" w:space="0" w:color="auto"/>
              <w:right w:val="single" w:sz="4" w:space="0" w:color="auto"/>
            </w:tcBorders>
            <w:shd w:val="clear" w:color="auto" w:fill="C4EFCE"/>
            <w:vAlign w:val="center"/>
            <w:hideMark/>
          </w:tcPr>
          <w:p w14:paraId="39BFEDF0" w14:textId="0AFFAED2"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317EB27"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Dodávka elektrických vozidiel</w:t>
            </w:r>
          </w:p>
        </w:tc>
      </w:tr>
      <w:tr w:rsidR="00387C70" w:rsidRPr="003F23AC" w14:paraId="5728D53F"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FBBABBB"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3.4</w:t>
            </w:r>
          </w:p>
        </w:tc>
        <w:tc>
          <w:tcPr>
            <w:tcW w:w="1760" w:type="dxa"/>
            <w:tcBorders>
              <w:top w:val="nil"/>
              <w:left w:val="nil"/>
              <w:bottom w:val="single" w:sz="4" w:space="0" w:color="auto"/>
              <w:right w:val="single" w:sz="4" w:space="0" w:color="auto"/>
            </w:tcBorders>
            <w:shd w:val="clear" w:color="auto" w:fill="C4EFCE"/>
            <w:vAlign w:val="center"/>
            <w:hideMark/>
          </w:tcPr>
          <w:p w14:paraId="4DB7F8C7" w14:textId="7129088B"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C03-i01</w:t>
            </w:r>
          </w:p>
        </w:tc>
        <w:tc>
          <w:tcPr>
            <w:tcW w:w="1520" w:type="dxa"/>
            <w:tcBorders>
              <w:top w:val="nil"/>
              <w:left w:val="nil"/>
              <w:bottom w:val="single" w:sz="4" w:space="0" w:color="auto"/>
              <w:right w:val="single" w:sz="4" w:space="0" w:color="auto"/>
            </w:tcBorders>
            <w:shd w:val="clear" w:color="auto" w:fill="C4EFCE"/>
            <w:vAlign w:val="center"/>
            <w:hideMark/>
          </w:tcPr>
          <w:p w14:paraId="25CFCDF3" w14:textId="437C6EF7"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01CAD15" w14:textId="29935E4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Vytváranie nových miest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obnova existujúcich miest</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sociálnych zariadeniach</w:t>
            </w:r>
          </w:p>
        </w:tc>
      </w:tr>
      <w:tr w:rsidR="00387C70" w:rsidRPr="003F23AC" w14:paraId="7D873F1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489AAD3"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3.5</w:t>
            </w:r>
          </w:p>
        </w:tc>
        <w:tc>
          <w:tcPr>
            <w:tcW w:w="1760" w:type="dxa"/>
            <w:tcBorders>
              <w:top w:val="nil"/>
              <w:left w:val="nil"/>
              <w:bottom w:val="single" w:sz="4" w:space="0" w:color="auto"/>
              <w:right w:val="single" w:sz="4" w:space="0" w:color="auto"/>
            </w:tcBorders>
            <w:shd w:val="clear" w:color="auto" w:fill="C4EFCE"/>
            <w:vAlign w:val="center"/>
            <w:hideMark/>
          </w:tcPr>
          <w:p w14:paraId="406B51CB" w14:textId="17B87466"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C03-i01</w:t>
            </w:r>
          </w:p>
        </w:tc>
        <w:tc>
          <w:tcPr>
            <w:tcW w:w="1520" w:type="dxa"/>
            <w:tcBorders>
              <w:top w:val="nil"/>
              <w:left w:val="nil"/>
              <w:bottom w:val="single" w:sz="4" w:space="0" w:color="auto"/>
              <w:right w:val="single" w:sz="4" w:space="0" w:color="auto"/>
            </w:tcBorders>
            <w:shd w:val="clear" w:color="auto" w:fill="C4EFCE"/>
            <w:vAlign w:val="center"/>
            <w:hideMark/>
          </w:tcPr>
          <w:p w14:paraId="702DBD39" w14:textId="50C524E4"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5C123CD" w14:textId="2534ECA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Používatelia podporných služieb pre domácnosť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zamestnanci, ktorí majú prístup</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tabletom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inému IT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komunikačnému vybaveniu, vybaveniu technickej pomoci alebo odbornej príprave.</w:t>
            </w:r>
          </w:p>
        </w:tc>
      </w:tr>
      <w:tr w:rsidR="00387C70" w:rsidRPr="003F23AC" w14:paraId="221C68F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88D6553"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3.13</w:t>
            </w:r>
          </w:p>
        </w:tc>
        <w:tc>
          <w:tcPr>
            <w:tcW w:w="1760" w:type="dxa"/>
            <w:tcBorders>
              <w:top w:val="nil"/>
              <w:left w:val="nil"/>
              <w:bottom w:val="single" w:sz="4" w:space="0" w:color="auto"/>
              <w:right w:val="single" w:sz="4" w:space="0" w:color="auto"/>
            </w:tcBorders>
            <w:shd w:val="clear" w:color="auto" w:fill="C4EFCE"/>
            <w:vAlign w:val="center"/>
            <w:hideMark/>
          </w:tcPr>
          <w:p w14:paraId="7374EBB4" w14:textId="7630674E"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C03-i04-RAA</w:t>
            </w:r>
          </w:p>
        </w:tc>
        <w:tc>
          <w:tcPr>
            <w:tcW w:w="1520" w:type="dxa"/>
            <w:tcBorders>
              <w:top w:val="nil"/>
              <w:left w:val="nil"/>
              <w:bottom w:val="single" w:sz="4" w:space="0" w:color="auto"/>
              <w:right w:val="single" w:sz="4" w:space="0" w:color="auto"/>
            </w:tcBorders>
            <w:shd w:val="clear" w:color="auto" w:fill="C4EFCE"/>
            <w:vAlign w:val="center"/>
            <w:hideMark/>
          </w:tcPr>
          <w:p w14:paraId="67834E53" w14:textId="466CDE19"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360C2C2" w14:textId="754E87D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Nové miesta pre osoby so zdravotným postihnutím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opatrovateľských centrách podporujúcich osoby so zdravotným postihnutím</w:t>
            </w:r>
          </w:p>
        </w:tc>
      </w:tr>
      <w:tr w:rsidR="00387C70" w:rsidRPr="003F23AC" w14:paraId="4ED34FB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6F29E92"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3.28</w:t>
            </w:r>
          </w:p>
        </w:tc>
        <w:tc>
          <w:tcPr>
            <w:tcW w:w="1760" w:type="dxa"/>
            <w:tcBorders>
              <w:top w:val="nil"/>
              <w:left w:val="nil"/>
              <w:bottom w:val="single" w:sz="4" w:space="0" w:color="auto"/>
              <w:right w:val="single" w:sz="4" w:space="0" w:color="auto"/>
            </w:tcBorders>
            <w:shd w:val="clear" w:color="auto" w:fill="C4EFCE"/>
            <w:vAlign w:val="center"/>
            <w:hideMark/>
          </w:tcPr>
          <w:p w14:paraId="14BA29A6" w14:textId="7F7EA0B4"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C03-i07-RAA</w:t>
            </w:r>
          </w:p>
        </w:tc>
        <w:tc>
          <w:tcPr>
            <w:tcW w:w="1520" w:type="dxa"/>
            <w:tcBorders>
              <w:top w:val="nil"/>
              <w:left w:val="nil"/>
              <w:bottom w:val="single" w:sz="4" w:space="0" w:color="auto"/>
              <w:right w:val="single" w:sz="4" w:space="0" w:color="auto"/>
            </w:tcBorders>
            <w:shd w:val="clear" w:color="auto" w:fill="C4EFCE"/>
            <w:vAlign w:val="center"/>
            <w:hideMark/>
          </w:tcPr>
          <w:p w14:paraId="44DC7A47" w14:textId="33501F1B"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594BDFBE" w14:textId="29D6C85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Rozšírené alebo renovované miesta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domovoch rezidenčnej starostlivosti</w:t>
            </w:r>
          </w:p>
        </w:tc>
      </w:tr>
      <w:tr w:rsidR="00387C70" w:rsidRPr="003F23AC" w14:paraId="52855046"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BA61B90"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3.30</w:t>
            </w:r>
          </w:p>
        </w:tc>
        <w:tc>
          <w:tcPr>
            <w:tcW w:w="1760" w:type="dxa"/>
            <w:tcBorders>
              <w:top w:val="nil"/>
              <w:left w:val="nil"/>
              <w:bottom w:val="single" w:sz="4" w:space="0" w:color="auto"/>
              <w:right w:val="single" w:sz="4" w:space="0" w:color="auto"/>
            </w:tcBorders>
            <w:shd w:val="clear" w:color="auto" w:fill="C4EFCE"/>
            <w:vAlign w:val="center"/>
            <w:hideMark/>
          </w:tcPr>
          <w:p w14:paraId="4E7C355C" w14:textId="5FC5BB8C"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C03-r38</w:t>
            </w:r>
          </w:p>
        </w:tc>
        <w:tc>
          <w:tcPr>
            <w:tcW w:w="1520" w:type="dxa"/>
            <w:tcBorders>
              <w:top w:val="nil"/>
              <w:left w:val="nil"/>
              <w:bottom w:val="single" w:sz="4" w:space="0" w:color="auto"/>
              <w:right w:val="single" w:sz="4" w:space="0" w:color="auto"/>
            </w:tcBorders>
            <w:shd w:val="clear" w:color="auto" w:fill="C4EFCE"/>
            <w:vAlign w:val="center"/>
            <w:hideMark/>
          </w:tcPr>
          <w:p w14:paraId="0E17E04B"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450456DE" w14:textId="5053D2D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jednotnej sociálnej dávky (v rámci systému občianskej sociálnej ochrany)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kódexu sociálnych dávok</w:t>
            </w:r>
          </w:p>
        </w:tc>
      </w:tr>
      <w:tr w:rsidR="00387C70" w:rsidRPr="003F23AC" w14:paraId="3397C6FB"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F656E2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4.4</w:t>
            </w:r>
          </w:p>
        </w:tc>
        <w:tc>
          <w:tcPr>
            <w:tcW w:w="1760" w:type="dxa"/>
            <w:tcBorders>
              <w:top w:val="nil"/>
              <w:left w:val="nil"/>
              <w:bottom w:val="single" w:sz="4" w:space="0" w:color="auto"/>
              <w:right w:val="single" w:sz="4" w:space="0" w:color="auto"/>
            </w:tcBorders>
            <w:shd w:val="clear" w:color="auto" w:fill="C4EFCE"/>
            <w:vAlign w:val="center"/>
            <w:hideMark/>
          </w:tcPr>
          <w:p w14:paraId="514007D7" w14:textId="2E2A1C59"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C04-i01</w:t>
            </w:r>
          </w:p>
        </w:tc>
        <w:tc>
          <w:tcPr>
            <w:tcW w:w="1520" w:type="dxa"/>
            <w:tcBorders>
              <w:top w:val="nil"/>
              <w:left w:val="nil"/>
              <w:bottom w:val="single" w:sz="4" w:space="0" w:color="auto"/>
              <w:right w:val="single" w:sz="4" w:space="0" w:color="auto"/>
            </w:tcBorders>
            <w:shd w:val="clear" w:color="auto" w:fill="C4EFCE"/>
            <w:vAlign w:val="center"/>
            <w:hideMark/>
          </w:tcPr>
          <w:p w14:paraId="2079A0F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7521FA99"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Zabezpečenie modernizovanej technologickej infraštruktúry pre sieť kultúrnych zariadení</w:t>
            </w:r>
          </w:p>
        </w:tc>
      </w:tr>
      <w:tr w:rsidR="00387C70" w:rsidRPr="003F23AC" w14:paraId="22480C7A"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0B9475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4.8</w:t>
            </w:r>
          </w:p>
        </w:tc>
        <w:tc>
          <w:tcPr>
            <w:tcW w:w="1760" w:type="dxa"/>
            <w:tcBorders>
              <w:top w:val="nil"/>
              <w:left w:val="nil"/>
              <w:bottom w:val="single" w:sz="4" w:space="0" w:color="auto"/>
              <w:right w:val="single" w:sz="4" w:space="0" w:color="auto"/>
            </w:tcBorders>
            <w:shd w:val="clear" w:color="auto" w:fill="C4EFCE"/>
            <w:vAlign w:val="center"/>
            <w:hideMark/>
          </w:tcPr>
          <w:p w14:paraId="3EF31C11" w14:textId="0DB85516"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C04-i02</w:t>
            </w:r>
          </w:p>
        </w:tc>
        <w:tc>
          <w:tcPr>
            <w:tcW w:w="1520" w:type="dxa"/>
            <w:tcBorders>
              <w:top w:val="nil"/>
              <w:left w:val="nil"/>
              <w:bottom w:val="single" w:sz="4" w:space="0" w:color="auto"/>
              <w:right w:val="single" w:sz="4" w:space="0" w:color="auto"/>
            </w:tcBorders>
            <w:shd w:val="clear" w:color="auto" w:fill="C4EFCE"/>
            <w:vAlign w:val="center"/>
            <w:hideMark/>
          </w:tcPr>
          <w:p w14:paraId="0F887FE3" w14:textId="04545702"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29ED46D" w14:textId="264AD40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Dokončené práce na obnovu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zachovanie budov kultúrneho dedičstva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národných divadiel</w:t>
            </w:r>
          </w:p>
        </w:tc>
      </w:tr>
      <w:tr w:rsidR="00387C70" w:rsidRPr="003F23AC" w14:paraId="6AE61A9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113649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4.10</w:t>
            </w:r>
          </w:p>
        </w:tc>
        <w:tc>
          <w:tcPr>
            <w:tcW w:w="1760" w:type="dxa"/>
            <w:tcBorders>
              <w:top w:val="nil"/>
              <w:left w:val="nil"/>
              <w:bottom w:val="single" w:sz="4" w:space="0" w:color="auto"/>
              <w:right w:val="single" w:sz="4" w:space="0" w:color="auto"/>
            </w:tcBorders>
            <w:shd w:val="clear" w:color="auto" w:fill="C4EFCE"/>
            <w:vAlign w:val="center"/>
            <w:hideMark/>
          </w:tcPr>
          <w:p w14:paraId="20079FAC" w14:textId="17CB4731"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C04-i01</w:t>
            </w:r>
          </w:p>
        </w:tc>
        <w:tc>
          <w:tcPr>
            <w:tcW w:w="1520" w:type="dxa"/>
            <w:tcBorders>
              <w:top w:val="nil"/>
              <w:left w:val="nil"/>
              <w:bottom w:val="single" w:sz="4" w:space="0" w:color="auto"/>
              <w:right w:val="single" w:sz="4" w:space="0" w:color="auto"/>
            </w:tcBorders>
            <w:shd w:val="clear" w:color="auto" w:fill="C4EFCE"/>
            <w:vAlign w:val="center"/>
            <w:hideMark/>
          </w:tcPr>
          <w:p w14:paraId="5F854BA5" w14:textId="6D7AEB8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7B3E1B2" w14:textId="66E745B9"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Dodávka vybavenia na inštaláciu národného archívu zvuku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na technologickú modernizáciu verejných laboratórií</w:t>
            </w:r>
          </w:p>
        </w:tc>
      </w:tr>
      <w:tr w:rsidR="00387C70" w:rsidRPr="003F23AC" w14:paraId="26B43C5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897042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4.12</w:t>
            </w:r>
          </w:p>
        </w:tc>
        <w:tc>
          <w:tcPr>
            <w:tcW w:w="1760" w:type="dxa"/>
            <w:tcBorders>
              <w:top w:val="nil"/>
              <w:left w:val="nil"/>
              <w:bottom w:val="single" w:sz="4" w:space="0" w:color="auto"/>
              <w:right w:val="single" w:sz="4" w:space="0" w:color="auto"/>
            </w:tcBorders>
            <w:shd w:val="clear" w:color="auto" w:fill="C4EFCE"/>
            <w:vAlign w:val="center"/>
            <w:hideMark/>
          </w:tcPr>
          <w:p w14:paraId="7486F1DB" w14:textId="25B0F759"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C04-i02</w:t>
            </w:r>
          </w:p>
        </w:tc>
        <w:tc>
          <w:tcPr>
            <w:tcW w:w="1520" w:type="dxa"/>
            <w:tcBorders>
              <w:top w:val="nil"/>
              <w:left w:val="nil"/>
              <w:bottom w:val="single" w:sz="4" w:space="0" w:color="auto"/>
              <w:right w:val="single" w:sz="4" w:space="0" w:color="auto"/>
            </w:tcBorders>
            <w:shd w:val="clear" w:color="auto" w:fill="C4EFCE"/>
            <w:vAlign w:val="center"/>
            <w:hideMark/>
          </w:tcPr>
          <w:p w14:paraId="77F9466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310EFAB2"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výstavby národného archívu zvuku</w:t>
            </w:r>
          </w:p>
        </w:tc>
      </w:tr>
      <w:tr w:rsidR="00387C70" w:rsidRPr="003F23AC" w14:paraId="2415A55F"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B7B4F2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5.36</w:t>
            </w:r>
          </w:p>
        </w:tc>
        <w:tc>
          <w:tcPr>
            <w:tcW w:w="1760" w:type="dxa"/>
            <w:tcBorders>
              <w:top w:val="nil"/>
              <w:left w:val="nil"/>
              <w:bottom w:val="single" w:sz="4" w:space="0" w:color="auto"/>
              <w:right w:val="single" w:sz="4" w:space="0" w:color="auto"/>
            </w:tcBorders>
            <w:shd w:val="clear" w:color="auto" w:fill="C4EFCE"/>
            <w:vAlign w:val="center"/>
            <w:hideMark/>
          </w:tcPr>
          <w:p w14:paraId="7498C044" w14:textId="597A7CE7"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C05-i08</w:t>
            </w:r>
          </w:p>
        </w:tc>
        <w:tc>
          <w:tcPr>
            <w:tcW w:w="1520" w:type="dxa"/>
            <w:tcBorders>
              <w:top w:val="nil"/>
              <w:left w:val="nil"/>
              <w:bottom w:val="single" w:sz="4" w:space="0" w:color="auto"/>
              <w:right w:val="single" w:sz="4" w:space="0" w:color="auto"/>
            </w:tcBorders>
            <w:shd w:val="clear" w:color="auto" w:fill="C4EFCE"/>
            <w:vAlign w:val="center"/>
            <w:hideMark/>
          </w:tcPr>
          <w:p w14:paraId="2314F1F5" w14:textId="49AD81AF"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5930437" w14:textId="1121488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Ukončenie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programu výskumu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vývoja vo verejnej správe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nové kurzy na národnej platforme pre hromadné online kurzy (NAU)</w:t>
            </w:r>
          </w:p>
        </w:tc>
      </w:tr>
      <w:tr w:rsidR="00387C70" w:rsidRPr="003F23AC" w14:paraId="3F7C914C"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D75FCD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5.38</w:t>
            </w:r>
          </w:p>
        </w:tc>
        <w:tc>
          <w:tcPr>
            <w:tcW w:w="1760" w:type="dxa"/>
            <w:tcBorders>
              <w:top w:val="nil"/>
              <w:left w:val="nil"/>
              <w:bottom w:val="single" w:sz="4" w:space="0" w:color="auto"/>
              <w:right w:val="single" w:sz="4" w:space="0" w:color="auto"/>
            </w:tcBorders>
            <w:shd w:val="clear" w:color="auto" w:fill="C4EFCE"/>
            <w:vAlign w:val="center"/>
            <w:hideMark/>
          </w:tcPr>
          <w:p w14:paraId="62726B79" w14:textId="3C02A18B"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C05-i08</w:t>
            </w:r>
          </w:p>
        </w:tc>
        <w:tc>
          <w:tcPr>
            <w:tcW w:w="1520" w:type="dxa"/>
            <w:tcBorders>
              <w:top w:val="nil"/>
              <w:left w:val="nil"/>
              <w:bottom w:val="single" w:sz="4" w:space="0" w:color="auto"/>
              <w:right w:val="single" w:sz="4" w:space="0" w:color="auto"/>
            </w:tcBorders>
            <w:shd w:val="clear" w:color="auto" w:fill="C4EFCE"/>
            <w:vAlign w:val="center"/>
            <w:hideMark/>
          </w:tcPr>
          <w:p w14:paraId="5A91DBF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28B193B7" w14:textId="42E3E11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podpornej infraštruktúry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dátového centra pre národné stredisko pre pokročilú výpočtovú techniku</w:t>
            </w:r>
          </w:p>
        </w:tc>
      </w:tr>
      <w:tr w:rsidR="00387C70" w:rsidRPr="003F23AC" w14:paraId="0D66E2EA"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8DEE4D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6.19</w:t>
            </w:r>
          </w:p>
        </w:tc>
        <w:tc>
          <w:tcPr>
            <w:tcW w:w="1760" w:type="dxa"/>
            <w:tcBorders>
              <w:top w:val="nil"/>
              <w:left w:val="nil"/>
              <w:bottom w:val="single" w:sz="4" w:space="0" w:color="auto"/>
              <w:right w:val="single" w:sz="4" w:space="0" w:color="auto"/>
            </w:tcBorders>
            <w:shd w:val="clear" w:color="auto" w:fill="C4EFCE"/>
            <w:vAlign w:val="center"/>
            <w:hideMark/>
          </w:tcPr>
          <w:p w14:paraId="09FD7927" w14:textId="2279668A"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C06-i06</w:t>
            </w:r>
          </w:p>
        </w:tc>
        <w:tc>
          <w:tcPr>
            <w:tcW w:w="1520" w:type="dxa"/>
            <w:tcBorders>
              <w:top w:val="nil"/>
              <w:left w:val="nil"/>
              <w:bottom w:val="single" w:sz="4" w:space="0" w:color="auto"/>
              <w:right w:val="single" w:sz="4" w:space="0" w:color="auto"/>
            </w:tcBorders>
            <w:shd w:val="clear" w:color="auto" w:fill="C4EFCE"/>
            <w:vAlign w:val="center"/>
            <w:hideMark/>
          </w:tcPr>
          <w:p w14:paraId="5C1D825E" w14:textId="73B21A0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31F28A3" w14:textId="7DF16215"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Podpora zmlúv na dobu neurčitú</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doktorandskými výskumnými pracovníkmi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FCT-Ture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podpora výskumných pracovníkov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ERC Portugalsko</w:t>
            </w:r>
          </w:p>
        </w:tc>
      </w:tr>
      <w:tr w:rsidR="00387C70" w:rsidRPr="003F23AC" w14:paraId="00F72F2D"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F1BDB7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6.20</w:t>
            </w:r>
          </w:p>
        </w:tc>
        <w:tc>
          <w:tcPr>
            <w:tcW w:w="1760" w:type="dxa"/>
            <w:tcBorders>
              <w:top w:val="nil"/>
              <w:left w:val="nil"/>
              <w:bottom w:val="single" w:sz="4" w:space="0" w:color="auto"/>
              <w:right w:val="single" w:sz="4" w:space="0" w:color="auto"/>
            </w:tcBorders>
            <w:shd w:val="clear" w:color="auto" w:fill="C4EFCE"/>
            <w:vAlign w:val="center"/>
            <w:hideMark/>
          </w:tcPr>
          <w:p w14:paraId="2AC011E5" w14:textId="38EA2715"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C06-i06</w:t>
            </w:r>
          </w:p>
        </w:tc>
        <w:tc>
          <w:tcPr>
            <w:tcW w:w="1520" w:type="dxa"/>
            <w:tcBorders>
              <w:top w:val="nil"/>
              <w:left w:val="nil"/>
              <w:bottom w:val="single" w:sz="4" w:space="0" w:color="auto"/>
              <w:right w:val="single" w:sz="4" w:space="0" w:color="auto"/>
            </w:tcBorders>
            <w:shd w:val="clear" w:color="auto" w:fill="C4EFCE"/>
            <w:vAlign w:val="center"/>
            <w:hideMark/>
          </w:tcPr>
          <w:p w14:paraId="257B3C9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03D0EBEA" w14:textId="51ECE982"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Medzinárodné partnerstvá</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vedy, technológií</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inovácií: Podporované medzinárodné partnerstvá; Podporované projekty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výskumu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inovácií; Podpora medzinárodnej mobility</w:t>
            </w:r>
          </w:p>
        </w:tc>
      </w:tr>
      <w:tr w:rsidR="00387C70" w:rsidRPr="003F23AC" w14:paraId="1808226D"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5D9898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6.21</w:t>
            </w:r>
          </w:p>
        </w:tc>
        <w:tc>
          <w:tcPr>
            <w:tcW w:w="1760" w:type="dxa"/>
            <w:tcBorders>
              <w:top w:val="nil"/>
              <w:left w:val="nil"/>
              <w:bottom w:val="single" w:sz="4" w:space="0" w:color="auto"/>
              <w:right w:val="single" w:sz="4" w:space="0" w:color="auto"/>
            </w:tcBorders>
            <w:shd w:val="clear" w:color="auto" w:fill="C4EFCE"/>
            <w:vAlign w:val="center"/>
            <w:hideMark/>
          </w:tcPr>
          <w:p w14:paraId="257E7C2E" w14:textId="76919917"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C06-i07</w:t>
            </w:r>
          </w:p>
        </w:tc>
        <w:tc>
          <w:tcPr>
            <w:tcW w:w="1520" w:type="dxa"/>
            <w:tcBorders>
              <w:top w:val="nil"/>
              <w:left w:val="nil"/>
              <w:bottom w:val="single" w:sz="4" w:space="0" w:color="auto"/>
              <w:right w:val="single" w:sz="4" w:space="0" w:color="auto"/>
            </w:tcBorders>
            <w:shd w:val="clear" w:color="auto" w:fill="C4EFCE"/>
            <w:vAlign w:val="center"/>
            <w:hideMark/>
          </w:tcPr>
          <w:p w14:paraId="006EB829" w14:textId="45A5CB67"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29BA4A5" w14:textId="3BA9D355"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Technologická</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digitálna modernizácia poľnohospodárskych vied: Reforma učebných osnov poľnohospodárskych vied, otvorenie poľnohospodárskych škôl študentom stredných škôl</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rekvalifikácia odborníkov</w:t>
            </w:r>
          </w:p>
        </w:tc>
      </w:tr>
      <w:tr w:rsidR="00387C70" w:rsidRPr="003F23AC" w14:paraId="2CF11C7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B1D7A1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6.22</w:t>
            </w:r>
          </w:p>
        </w:tc>
        <w:tc>
          <w:tcPr>
            <w:tcW w:w="1760" w:type="dxa"/>
            <w:tcBorders>
              <w:top w:val="nil"/>
              <w:left w:val="nil"/>
              <w:bottom w:val="single" w:sz="4" w:space="0" w:color="auto"/>
              <w:right w:val="single" w:sz="4" w:space="0" w:color="auto"/>
            </w:tcBorders>
            <w:shd w:val="clear" w:color="auto" w:fill="C4EFCE"/>
            <w:vAlign w:val="center"/>
            <w:hideMark/>
          </w:tcPr>
          <w:p w14:paraId="04E119E0" w14:textId="1F2E009C"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C06-i07</w:t>
            </w:r>
          </w:p>
        </w:tc>
        <w:tc>
          <w:tcPr>
            <w:tcW w:w="1520" w:type="dxa"/>
            <w:tcBorders>
              <w:top w:val="nil"/>
              <w:left w:val="nil"/>
              <w:bottom w:val="single" w:sz="4" w:space="0" w:color="auto"/>
              <w:right w:val="single" w:sz="4" w:space="0" w:color="auto"/>
            </w:tcBorders>
            <w:shd w:val="clear" w:color="auto" w:fill="C4EFCE"/>
            <w:vAlign w:val="center"/>
            <w:hideMark/>
          </w:tcPr>
          <w:p w14:paraId="4AAA5A3A" w14:textId="331633F3"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4543139"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Modernizácia medicíny</w:t>
            </w:r>
          </w:p>
        </w:tc>
      </w:tr>
      <w:tr w:rsidR="00387C70" w:rsidRPr="003F23AC" w14:paraId="59F2330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8DEDDD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6.23</w:t>
            </w:r>
          </w:p>
        </w:tc>
        <w:tc>
          <w:tcPr>
            <w:tcW w:w="1760" w:type="dxa"/>
            <w:tcBorders>
              <w:top w:val="nil"/>
              <w:left w:val="nil"/>
              <w:bottom w:val="single" w:sz="4" w:space="0" w:color="auto"/>
              <w:right w:val="single" w:sz="4" w:space="0" w:color="auto"/>
            </w:tcBorders>
            <w:shd w:val="clear" w:color="auto" w:fill="C4EFCE"/>
            <w:vAlign w:val="center"/>
            <w:hideMark/>
          </w:tcPr>
          <w:p w14:paraId="58F29485" w14:textId="47CFF319"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C06-i07</w:t>
            </w:r>
          </w:p>
        </w:tc>
        <w:tc>
          <w:tcPr>
            <w:tcW w:w="1520" w:type="dxa"/>
            <w:tcBorders>
              <w:top w:val="nil"/>
              <w:left w:val="nil"/>
              <w:bottom w:val="single" w:sz="4" w:space="0" w:color="auto"/>
              <w:right w:val="single" w:sz="4" w:space="0" w:color="auto"/>
            </w:tcBorders>
            <w:shd w:val="clear" w:color="auto" w:fill="C4EFCE"/>
            <w:vAlign w:val="center"/>
            <w:hideMark/>
          </w:tcPr>
          <w:p w14:paraId="6D388A5B" w14:textId="58BF741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D20AF4F"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Posilnenie digitálnych zručností</w:t>
            </w:r>
          </w:p>
        </w:tc>
      </w:tr>
      <w:tr w:rsidR="00387C70" w:rsidRPr="003F23AC" w14:paraId="4628545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B9D734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6.25</w:t>
            </w:r>
          </w:p>
        </w:tc>
        <w:tc>
          <w:tcPr>
            <w:tcW w:w="1760" w:type="dxa"/>
            <w:tcBorders>
              <w:top w:val="nil"/>
              <w:left w:val="nil"/>
              <w:bottom w:val="single" w:sz="4" w:space="0" w:color="auto"/>
              <w:right w:val="single" w:sz="4" w:space="0" w:color="auto"/>
            </w:tcBorders>
            <w:shd w:val="clear" w:color="auto" w:fill="C4EFCE"/>
            <w:vAlign w:val="center"/>
            <w:hideMark/>
          </w:tcPr>
          <w:p w14:paraId="225B7648" w14:textId="1F3A3277"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C06-i07</w:t>
            </w:r>
          </w:p>
        </w:tc>
        <w:tc>
          <w:tcPr>
            <w:tcW w:w="1520" w:type="dxa"/>
            <w:tcBorders>
              <w:top w:val="nil"/>
              <w:left w:val="nil"/>
              <w:bottom w:val="single" w:sz="4" w:space="0" w:color="auto"/>
              <w:right w:val="single" w:sz="4" w:space="0" w:color="auto"/>
            </w:tcBorders>
            <w:shd w:val="clear" w:color="auto" w:fill="C4EFCE"/>
            <w:vAlign w:val="center"/>
            <w:hideMark/>
          </w:tcPr>
          <w:p w14:paraId="29D570B0" w14:textId="784D8BF5"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C50E32E" w14:textId="67B2B80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Inovácia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pedagogická modernizácia vysokoškolského vzdelávania</w:t>
            </w:r>
          </w:p>
        </w:tc>
      </w:tr>
      <w:tr w:rsidR="00387C70" w:rsidRPr="003F23AC" w14:paraId="542E2DD3"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4389EE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6.27</w:t>
            </w:r>
          </w:p>
        </w:tc>
        <w:tc>
          <w:tcPr>
            <w:tcW w:w="1760" w:type="dxa"/>
            <w:tcBorders>
              <w:top w:val="nil"/>
              <w:left w:val="nil"/>
              <w:bottom w:val="single" w:sz="4" w:space="0" w:color="auto"/>
              <w:right w:val="single" w:sz="4" w:space="0" w:color="auto"/>
            </w:tcBorders>
            <w:shd w:val="clear" w:color="auto" w:fill="C4EFCE"/>
            <w:vAlign w:val="center"/>
            <w:hideMark/>
          </w:tcPr>
          <w:p w14:paraId="5B347262" w14:textId="49A85D4B"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C06-i08-RAM</w:t>
            </w:r>
          </w:p>
        </w:tc>
        <w:tc>
          <w:tcPr>
            <w:tcW w:w="1520" w:type="dxa"/>
            <w:tcBorders>
              <w:top w:val="nil"/>
              <w:left w:val="nil"/>
              <w:bottom w:val="single" w:sz="4" w:space="0" w:color="auto"/>
              <w:right w:val="single" w:sz="4" w:space="0" w:color="auto"/>
            </w:tcBorders>
            <w:shd w:val="clear" w:color="auto" w:fill="C4EFCE"/>
            <w:vAlign w:val="center"/>
            <w:hideMark/>
          </w:tcPr>
          <w:p w14:paraId="0615067A" w14:textId="454E3255"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FA626DF"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Dokončili sa práce na rozšírení budovy CITMA</w:t>
            </w:r>
          </w:p>
        </w:tc>
      </w:tr>
      <w:tr w:rsidR="00387C70" w:rsidRPr="003F23AC" w14:paraId="22766E8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AA0D86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7.15</w:t>
            </w:r>
          </w:p>
        </w:tc>
        <w:tc>
          <w:tcPr>
            <w:tcW w:w="1760" w:type="dxa"/>
            <w:tcBorders>
              <w:top w:val="nil"/>
              <w:left w:val="nil"/>
              <w:bottom w:val="single" w:sz="4" w:space="0" w:color="auto"/>
              <w:right w:val="single" w:sz="4" w:space="0" w:color="auto"/>
            </w:tcBorders>
            <w:shd w:val="clear" w:color="auto" w:fill="C4EFCE"/>
            <w:vAlign w:val="center"/>
            <w:hideMark/>
          </w:tcPr>
          <w:p w14:paraId="579A148C" w14:textId="0AD82062"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C07-i05-RAA</w:t>
            </w:r>
          </w:p>
        </w:tc>
        <w:tc>
          <w:tcPr>
            <w:tcW w:w="1520" w:type="dxa"/>
            <w:tcBorders>
              <w:top w:val="nil"/>
              <w:left w:val="nil"/>
              <w:bottom w:val="single" w:sz="4" w:space="0" w:color="auto"/>
              <w:right w:val="single" w:sz="4" w:space="0" w:color="auto"/>
            </w:tcBorders>
            <w:shd w:val="clear" w:color="auto" w:fill="C4EFCE"/>
            <w:vAlign w:val="center"/>
            <w:hideMark/>
          </w:tcPr>
          <w:p w14:paraId="4D131CBE" w14:textId="3086215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14295B7"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Vybudované alebo rekultivované cesty</w:t>
            </w:r>
          </w:p>
        </w:tc>
      </w:tr>
      <w:tr w:rsidR="00387C70" w:rsidRPr="003F23AC" w14:paraId="718FC24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47A7A1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9.2</w:t>
            </w:r>
          </w:p>
        </w:tc>
        <w:tc>
          <w:tcPr>
            <w:tcW w:w="1760" w:type="dxa"/>
            <w:tcBorders>
              <w:top w:val="nil"/>
              <w:left w:val="nil"/>
              <w:bottom w:val="single" w:sz="4" w:space="0" w:color="auto"/>
              <w:right w:val="single" w:sz="4" w:space="0" w:color="auto"/>
            </w:tcBorders>
            <w:shd w:val="clear" w:color="auto" w:fill="C4EFCE"/>
            <w:vAlign w:val="center"/>
            <w:hideMark/>
          </w:tcPr>
          <w:p w14:paraId="59ABCBA1" w14:textId="796D37C5"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C09-i01</w:t>
            </w:r>
          </w:p>
        </w:tc>
        <w:tc>
          <w:tcPr>
            <w:tcW w:w="1520" w:type="dxa"/>
            <w:tcBorders>
              <w:top w:val="nil"/>
              <w:left w:val="nil"/>
              <w:bottom w:val="single" w:sz="4" w:space="0" w:color="auto"/>
              <w:right w:val="single" w:sz="4" w:space="0" w:color="auto"/>
            </w:tcBorders>
            <w:shd w:val="clear" w:color="auto" w:fill="C4EFCE"/>
            <w:vAlign w:val="center"/>
            <w:hideMark/>
          </w:tcPr>
          <w:p w14:paraId="2EAFCD8F" w14:textId="208FE1F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96DBA45"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sieťových zásahov na zníženie strát vody (SM1)</w:t>
            </w:r>
          </w:p>
        </w:tc>
      </w:tr>
      <w:tr w:rsidR="00387C70" w:rsidRPr="003F23AC" w14:paraId="37AC4EF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31E10F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9.3</w:t>
            </w:r>
          </w:p>
        </w:tc>
        <w:tc>
          <w:tcPr>
            <w:tcW w:w="1760" w:type="dxa"/>
            <w:tcBorders>
              <w:top w:val="nil"/>
              <w:left w:val="nil"/>
              <w:bottom w:val="single" w:sz="4" w:space="0" w:color="auto"/>
              <w:right w:val="single" w:sz="4" w:space="0" w:color="auto"/>
            </w:tcBorders>
            <w:shd w:val="clear" w:color="auto" w:fill="C4EFCE"/>
            <w:vAlign w:val="center"/>
            <w:hideMark/>
          </w:tcPr>
          <w:p w14:paraId="237E8E0F" w14:textId="482F147C"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C09-i01</w:t>
            </w:r>
          </w:p>
        </w:tc>
        <w:tc>
          <w:tcPr>
            <w:tcW w:w="1520" w:type="dxa"/>
            <w:tcBorders>
              <w:top w:val="nil"/>
              <w:left w:val="nil"/>
              <w:bottom w:val="single" w:sz="4" w:space="0" w:color="auto"/>
              <w:right w:val="single" w:sz="4" w:space="0" w:color="auto"/>
            </w:tcBorders>
            <w:shd w:val="clear" w:color="auto" w:fill="C4EFCE"/>
            <w:vAlign w:val="center"/>
            <w:hideMark/>
          </w:tcPr>
          <w:p w14:paraId="491C8840" w14:textId="1DFA3737"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6A3DEEE" w14:textId="421B31D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Modernizácia pôdnej plochy kolektívneho využívania vodných zdrojov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individuálneho zavlažovania (SM2)</w:t>
            </w:r>
          </w:p>
        </w:tc>
      </w:tr>
      <w:tr w:rsidR="00387C70" w:rsidRPr="003F23AC" w14:paraId="6F7B778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85D3E6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9.4</w:t>
            </w:r>
          </w:p>
        </w:tc>
        <w:tc>
          <w:tcPr>
            <w:tcW w:w="1760" w:type="dxa"/>
            <w:tcBorders>
              <w:top w:val="nil"/>
              <w:left w:val="nil"/>
              <w:bottom w:val="single" w:sz="4" w:space="0" w:color="auto"/>
              <w:right w:val="single" w:sz="4" w:space="0" w:color="auto"/>
            </w:tcBorders>
            <w:shd w:val="clear" w:color="auto" w:fill="C4EFCE"/>
            <w:vAlign w:val="center"/>
            <w:hideMark/>
          </w:tcPr>
          <w:p w14:paraId="5C2FE0DD" w14:textId="7DAADD79"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C09-i01</w:t>
            </w:r>
          </w:p>
        </w:tc>
        <w:tc>
          <w:tcPr>
            <w:tcW w:w="1520" w:type="dxa"/>
            <w:tcBorders>
              <w:top w:val="nil"/>
              <w:left w:val="nil"/>
              <w:bottom w:val="single" w:sz="4" w:space="0" w:color="auto"/>
              <w:right w:val="single" w:sz="4" w:space="0" w:color="auto"/>
            </w:tcBorders>
            <w:shd w:val="clear" w:color="auto" w:fill="C4EFCE"/>
            <w:vAlign w:val="center"/>
            <w:hideMark/>
          </w:tcPr>
          <w:p w14:paraId="33D26A42" w14:textId="5C4222A5"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A433600" w14:textId="48209AD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Počet čistiarní na zabezpečenie výroby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zjemnenia vyčistenej odpadovej vody (SM4)</w:t>
            </w:r>
          </w:p>
        </w:tc>
      </w:tr>
      <w:tr w:rsidR="00387C70" w:rsidRPr="003F23AC" w14:paraId="1D13C9B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EA5C54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9.6</w:t>
            </w:r>
          </w:p>
        </w:tc>
        <w:tc>
          <w:tcPr>
            <w:tcW w:w="1760" w:type="dxa"/>
            <w:tcBorders>
              <w:top w:val="nil"/>
              <w:left w:val="nil"/>
              <w:bottom w:val="single" w:sz="4" w:space="0" w:color="auto"/>
              <w:right w:val="single" w:sz="4" w:space="0" w:color="auto"/>
            </w:tcBorders>
            <w:shd w:val="clear" w:color="auto" w:fill="C4EFCE"/>
            <w:vAlign w:val="center"/>
            <w:hideMark/>
          </w:tcPr>
          <w:p w14:paraId="688EB844" w14:textId="48E40873"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C09-i01</w:t>
            </w:r>
          </w:p>
        </w:tc>
        <w:tc>
          <w:tcPr>
            <w:tcW w:w="1520" w:type="dxa"/>
            <w:tcBorders>
              <w:top w:val="nil"/>
              <w:left w:val="nil"/>
              <w:bottom w:val="single" w:sz="4" w:space="0" w:color="auto"/>
              <w:right w:val="single" w:sz="4" w:space="0" w:color="auto"/>
            </w:tcBorders>
            <w:shd w:val="clear" w:color="auto" w:fill="C4EFCE"/>
            <w:vAlign w:val="center"/>
            <w:hideMark/>
          </w:tcPr>
          <w:p w14:paraId="464009C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21C4FC67" w14:textId="238C26B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Uvedenie odberu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Guadiane do prevádzky</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plnom 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výsledkami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podmienkami stanovenými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posúdení vplyvov na životné prostredie (SM5)</w:t>
            </w:r>
          </w:p>
        </w:tc>
      </w:tr>
      <w:tr w:rsidR="00387C70" w:rsidRPr="003F23AC" w14:paraId="00AC9B8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B2E6A9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9.8</w:t>
            </w:r>
          </w:p>
        </w:tc>
        <w:tc>
          <w:tcPr>
            <w:tcW w:w="1760" w:type="dxa"/>
            <w:tcBorders>
              <w:top w:val="nil"/>
              <w:left w:val="nil"/>
              <w:bottom w:val="single" w:sz="4" w:space="0" w:color="auto"/>
              <w:right w:val="single" w:sz="4" w:space="0" w:color="auto"/>
            </w:tcBorders>
            <w:shd w:val="clear" w:color="auto" w:fill="C4EFCE"/>
            <w:vAlign w:val="center"/>
            <w:hideMark/>
          </w:tcPr>
          <w:p w14:paraId="5EBB0488" w14:textId="7A5BB9F8"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C09-i01</w:t>
            </w:r>
          </w:p>
        </w:tc>
        <w:tc>
          <w:tcPr>
            <w:tcW w:w="1520" w:type="dxa"/>
            <w:tcBorders>
              <w:top w:val="nil"/>
              <w:left w:val="nil"/>
              <w:bottom w:val="single" w:sz="4" w:space="0" w:color="auto"/>
              <w:right w:val="single" w:sz="4" w:space="0" w:color="auto"/>
            </w:tcBorders>
            <w:shd w:val="clear" w:color="auto" w:fill="C4EFCE"/>
            <w:vAlign w:val="center"/>
            <w:hideMark/>
          </w:tcPr>
          <w:p w14:paraId="47A9B6A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54D168C1" w14:textId="4B794E7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Uvedenie opatrenia odsoľovania do prevádzky pri plnom rešpektovaní výsledkov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podmienok stanovených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posúdení vplyvov na životné prostredie (SM6)</w:t>
            </w:r>
          </w:p>
        </w:tc>
      </w:tr>
      <w:tr w:rsidR="00387C70" w:rsidRPr="003F23AC" w14:paraId="2BDB9146"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8D6E3E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10.10</w:t>
            </w:r>
          </w:p>
        </w:tc>
        <w:tc>
          <w:tcPr>
            <w:tcW w:w="1760" w:type="dxa"/>
            <w:tcBorders>
              <w:top w:val="nil"/>
              <w:left w:val="nil"/>
              <w:bottom w:val="single" w:sz="4" w:space="0" w:color="auto"/>
              <w:right w:val="single" w:sz="4" w:space="0" w:color="auto"/>
            </w:tcBorders>
            <w:shd w:val="clear" w:color="auto" w:fill="C4EFCE"/>
            <w:vAlign w:val="center"/>
            <w:hideMark/>
          </w:tcPr>
          <w:p w14:paraId="66F203A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TC-C10 – i04-RAA</w:t>
            </w:r>
          </w:p>
        </w:tc>
        <w:tc>
          <w:tcPr>
            <w:tcW w:w="1520" w:type="dxa"/>
            <w:tcBorders>
              <w:top w:val="nil"/>
              <w:left w:val="nil"/>
              <w:bottom w:val="single" w:sz="4" w:space="0" w:color="auto"/>
              <w:right w:val="single" w:sz="4" w:space="0" w:color="auto"/>
            </w:tcBorders>
            <w:shd w:val="clear" w:color="auto" w:fill="C4EFCE"/>
            <w:vAlign w:val="center"/>
            <w:hideMark/>
          </w:tcPr>
          <w:p w14:paraId="6D83619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644450C5" w14:textId="5E0A219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Sprevádzkovanie centra experimentálneho výskumu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vývoja spojeného</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 xml:space="preserve">morom na Azorách (stred MARTEC) </w:t>
            </w:r>
          </w:p>
        </w:tc>
      </w:tr>
      <w:tr w:rsidR="00387C70" w:rsidRPr="003F23AC" w14:paraId="12909A0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161000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10.11</w:t>
            </w:r>
          </w:p>
        </w:tc>
        <w:tc>
          <w:tcPr>
            <w:tcW w:w="1760" w:type="dxa"/>
            <w:tcBorders>
              <w:top w:val="nil"/>
              <w:left w:val="nil"/>
              <w:bottom w:val="single" w:sz="4" w:space="0" w:color="auto"/>
              <w:right w:val="single" w:sz="4" w:space="0" w:color="auto"/>
            </w:tcBorders>
            <w:shd w:val="clear" w:color="auto" w:fill="C4EFCE"/>
            <w:vAlign w:val="center"/>
            <w:hideMark/>
          </w:tcPr>
          <w:p w14:paraId="2149C41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TC-C10 – i04-RAA</w:t>
            </w:r>
          </w:p>
        </w:tc>
        <w:tc>
          <w:tcPr>
            <w:tcW w:w="1520" w:type="dxa"/>
            <w:tcBorders>
              <w:top w:val="nil"/>
              <w:left w:val="nil"/>
              <w:bottom w:val="single" w:sz="4" w:space="0" w:color="auto"/>
              <w:right w:val="single" w:sz="4" w:space="0" w:color="auto"/>
            </w:tcBorders>
            <w:shd w:val="clear" w:color="auto" w:fill="C4EFCE"/>
            <w:vAlign w:val="center"/>
            <w:hideMark/>
          </w:tcPr>
          <w:p w14:paraId="25F5444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4D495D64"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Dodanie 2 modulov pre nové výskumné plavidlo</w:t>
            </w:r>
          </w:p>
        </w:tc>
      </w:tr>
      <w:tr w:rsidR="00387C70" w:rsidRPr="003F23AC" w14:paraId="58CCDB4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070AF3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10.12</w:t>
            </w:r>
          </w:p>
        </w:tc>
        <w:tc>
          <w:tcPr>
            <w:tcW w:w="1760" w:type="dxa"/>
            <w:tcBorders>
              <w:top w:val="nil"/>
              <w:left w:val="nil"/>
              <w:bottom w:val="single" w:sz="4" w:space="0" w:color="auto"/>
              <w:right w:val="single" w:sz="4" w:space="0" w:color="auto"/>
            </w:tcBorders>
            <w:shd w:val="clear" w:color="auto" w:fill="C4EFCE"/>
            <w:vAlign w:val="center"/>
            <w:hideMark/>
          </w:tcPr>
          <w:p w14:paraId="0DFEBA2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TC-C10 – i05-RAA</w:t>
            </w:r>
          </w:p>
        </w:tc>
        <w:tc>
          <w:tcPr>
            <w:tcW w:w="1520" w:type="dxa"/>
            <w:tcBorders>
              <w:top w:val="nil"/>
              <w:left w:val="nil"/>
              <w:bottom w:val="single" w:sz="4" w:space="0" w:color="auto"/>
              <w:right w:val="single" w:sz="4" w:space="0" w:color="auto"/>
            </w:tcBorders>
            <w:shd w:val="clear" w:color="auto" w:fill="C4EFCE"/>
            <w:vAlign w:val="center"/>
            <w:hideMark/>
          </w:tcPr>
          <w:p w14:paraId="00395174" w14:textId="3113908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1F68158" w14:textId="4992131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Ukončenie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odvetví rybolovu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 xml:space="preserve">akvakultúry </w:t>
            </w:r>
          </w:p>
        </w:tc>
      </w:tr>
      <w:tr w:rsidR="00387C70" w:rsidRPr="003F23AC" w14:paraId="675CEDE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604C72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10.14</w:t>
            </w:r>
          </w:p>
        </w:tc>
        <w:tc>
          <w:tcPr>
            <w:tcW w:w="1760" w:type="dxa"/>
            <w:tcBorders>
              <w:top w:val="nil"/>
              <w:left w:val="nil"/>
              <w:bottom w:val="single" w:sz="4" w:space="0" w:color="auto"/>
              <w:right w:val="single" w:sz="4" w:space="0" w:color="auto"/>
            </w:tcBorders>
            <w:shd w:val="clear" w:color="auto" w:fill="C4EFCE"/>
            <w:vAlign w:val="center"/>
            <w:hideMark/>
          </w:tcPr>
          <w:p w14:paraId="4059CC6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TC-C10 – i06-RAM</w:t>
            </w:r>
          </w:p>
        </w:tc>
        <w:tc>
          <w:tcPr>
            <w:tcW w:w="1520" w:type="dxa"/>
            <w:tcBorders>
              <w:top w:val="nil"/>
              <w:left w:val="nil"/>
              <w:bottom w:val="single" w:sz="4" w:space="0" w:color="auto"/>
              <w:right w:val="single" w:sz="4" w:space="0" w:color="auto"/>
            </w:tcBorders>
            <w:shd w:val="clear" w:color="auto" w:fill="C4EFCE"/>
            <w:vAlign w:val="center"/>
            <w:hideMark/>
          </w:tcPr>
          <w:p w14:paraId="5003A16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36549ECD"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Dodávka energeticky účinného viacúčelového výskumného plavidla</w:t>
            </w:r>
          </w:p>
        </w:tc>
      </w:tr>
      <w:tr w:rsidR="00387C70" w:rsidRPr="003F23AC" w14:paraId="782F16DA"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731F58B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14.3</w:t>
            </w:r>
          </w:p>
        </w:tc>
        <w:tc>
          <w:tcPr>
            <w:tcW w:w="1760" w:type="dxa"/>
            <w:tcBorders>
              <w:top w:val="nil"/>
              <w:left w:val="nil"/>
              <w:bottom w:val="single" w:sz="4" w:space="0" w:color="auto"/>
              <w:right w:val="single" w:sz="4" w:space="0" w:color="auto"/>
            </w:tcBorders>
            <w:shd w:val="clear" w:color="auto" w:fill="C4EFCE"/>
            <w:vAlign w:val="center"/>
            <w:hideMark/>
          </w:tcPr>
          <w:p w14:paraId="149B14E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TC-C14-i01</w:t>
            </w:r>
          </w:p>
        </w:tc>
        <w:tc>
          <w:tcPr>
            <w:tcW w:w="1520" w:type="dxa"/>
            <w:tcBorders>
              <w:top w:val="nil"/>
              <w:left w:val="nil"/>
              <w:bottom w:val="single" w:sz="4" w:space="0" w:color="auto"/>
              <w:right w:val="single" w:sz="4" w:space="0" w:color="auto"/>
            </w:tcBorders>
            <w:shd w:val="clear" w:color="auto" w:fill="C4EFCE"/>
            <w:vAlign w:val="center"/>
            <w:hideMark/>
          </w:tcPr>
          <w:p w14:paraId="1C7D0921" w14:textId="250B201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3D40777" w14:textId="37B773B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Dodatočná kapacita výroby obnoviteľného vodíka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obnoviteľného plynu</w:t>
            </w:r>
          </w:p>
        </w:tc>
      </w:tr>
      <w:tr w:rsidR="00387C70" w:rsidRPr="003F23AC" w14:paraId="6E3719A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18C92F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14.11</w:t>
            </w:r>
          </w:p>
        </w:tc>
        <w:tc>
          <w:tcPr>
            <w:tcW w:w="1760" w:type="dxa"/>
            <w:tcBorders>
              <w:top w:val="nil"/>
              <w:left w:val="nil"/>
              <w:bottom w:val="single" w:sz="4" w:space="0" w:color="auto"/>
              <w:right w:val="single" w:sz="4" w:space="0" w:color="auto"/>
            </w:tcBorders>
            <w:shd w:val="clear" w:color="auto" w:fill="C4EFCE"/>
            <w:vAlign w:val="center"/>
            <w:hideMark/>
          </w:tcPr>
          <w:p w14:paraId="48F0066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TC-C14 – i03-RAA</w:t>
            </w:r>
          </w:p>
        </w:tc>
        <w:tc>
          <w:tcPr>
            <w:tcW w:w="1520" w:type="dxa"/>
            <w:tcBorders>
              <w:top w:val="nil"/>
              <w:left w:val="nil"/>
              <w:bottom w:val="single" w:sz="4" w:space="0" w:color="auto"/>
              <w:right w:val="single" w:sz="4" w:space="0" w:color="auto"/>
            </w:tcBorders>
            <w:shd w:val="clear" w:color="auto" w:fill="C4EFCE"/>
            <w:vAlign w:val="center"/>
            <w:hideMark/>
          </w:tcPr>
          <w:p w14:paraId="3B322EA7" w14:textId="61FAFD9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F348DF8" w14:textId="13986FA3"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Dodatočná</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obnovená inštalovaná geotermálna výrobná kapacita</w:t>
            </w:r>
          </w:p>
        </w:tc>
      </w:tr>
      <w:tr w:rsidR="00387C70" w:rsidRPr="003F23AC" w14:paraId="5FD8198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2DF8B6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14.13</w:t>
            </w:r>
          </w:p>
        </w:tc>
        <w:tc>
          <w:tcPr>
            <w:tcW w:w="1760" w:type="dxa"/>
            <w:tcBorders>
              <w:top w:val="nil"/>
              <w:left w:val="nil"/>
              <w:bottom w:val="single" w:sz="4" w:space="0" w:color="auto"/>
              <w:right w:val="single" w:sz="4" w:space="0" w:color="auto"/>
            </w:tcBorders>
            <w:shd w:val="clear" w:color="auto" w:fill="C4EFCE"/>
            <w:vAlign w:val="center"/>
            <w:hideMark/>
          </w:tcPr>
          <w:p w14:paraId="64F4051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TC-C14 – i03-RAA</w:t>
            </w:r>
          </w:p>
        </w:tc>
        <w:tc>
          <w:tcPr>
            <w:tcW w:w="1520" w:type="dxa"/>
            <w:tcBorders>
              <w:top w:val="nil"/>
              <w:left w:val="nil"/>
              <w:bottom w:val="single" w:sz="4" w:space="0" w:color="auto"/>
              <w:right w:val="single" w:sz="4" w:space="0" w:color="auto"/>
            </w:tcBorders>
            <w:shd w:val="clear" w:color="auto" w:fill="C4EFCE"/>
            <w:vAlign w:val="center"/>
            <w:hideMark/>
          </w:tcPr>
          <w:p w14:paraId="007474A4" w14:textId="405E2080"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EAB61EA" w14:textId="3A8A020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Nové batériové systémy na uskladňovanie energie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systémy energetického manažérstva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ARA</w:t>
            </w:r>
          </w:p>
        </w:tc>
      </w:tr>
      <w:tr w:rsidR="00387C70" w:rsidRPr="003F23AC" w14:paraId="3D2D7C2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05885B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15.3</w:t>
            </w:r>
          </w:p>
        </w:tc>
        <w:tc>
          <w:tcPr>
            <w:tcW w:w="1760" w:type="dxa"/>
            <w:tcBorders>
              <w:top w:val="nil"/>
              <w:left w:val="nil"/>
              <w:bottom w:val="single" w:sz="4" w:space="0" w:color="auto"/>
              <w:right w:val="single" w:sz="4" w:space="0" w:color="auto"/>
            </w:tcBorders>
            <w:shd w:val="clear" w:color="auto" w:fill="C4EFCE"/>
            <w:vAlign w:val="center"/>
            <w:hideMark/>
          </w:tcPr>
          <w:p w14:paraId="5F0E465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TC-C15-i01</w:t>
            </w:r>
          </w:p>
        </w:tc>
        <w:tc>
          <w:tcPr>
            <w:tcW w:w="1520" w:type="dxa"/>
            <w:tcBorders>
              <w:top w:val="nil"/>
              <w:left w:val="nil"/>
              <w:bottom w:val="single" w:sz="4" w:space="0" w:color="auto"/>
              <w:right w:val="single" w:sz="4" w:space="0" w:color="auto"/>
            </w:tcBorders>
            <w:shd w:val="clear" w:color="auto" w:fill="C4EFCE"/>
            <w:vAlign w:val="center"/>
            <w:hideMark/>
          </w:tcPr>
          <w:p w14:paraId="41ACA244" w14:textId="1BB682D6"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6D9D0D7"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rozšírenia lisabonskej siete Metro</w:t>
            </w:r>
          </w:p>
        </w:tc>
      </w:tr>
      <w:tr w:rsidR="00387C70" w:rsidRPr="003F23AC" w14:paraId="7EB0F83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501D3C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15.6</w:t>
            </w:r>
          </w:p>
        </w:tc>
        <w:tc>
          <w:tcPr>
            <w:tcW w:w="1760" w:type="dxa"/>
            <w:tcBorders>
              <w:top w:val="nil"/>
              <w:left w:val="nil"/>
              <w:bottom w:val="single" w:sz="4" w:space="0" w:color="auto"/>
              <w:right w:val="single" w:sz="4" w:space="0" w:color="auto"/>
            </w:tcBorders>
            <w:shd w:val="clear" w:color="auto" w:fill="C4EFCE"/>
            <w:vAlign w:val="center"/>
            <w:hideMark/>
          </w:tcPr>
          <w:p w14:paraId="0225E4F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TC-C15-i02</w:t>
            </w:r>
          </w:p>
        </w:tc>
        <w:tc>
          <w:tcPr>
            <w:tcW w:w="1520" w:type="dxa"/>
            <w:tcBorders>
              <w:top w:val="nil"/>
              <w:left w:val="nil"/>
              <w:bottom w:val="single" w:sz="4" w:space="0" w:color="auto"/>
              <w:right w:val="single" w:sz="4" w:space="0" w:color="auto"/>
            </w:tcBorders>
            <w:shd w:val="clear" w:color="auto" w:fill="C4EFCE"/>
            <w:vAlign w:val="center"/>
            <w:hideMark/>
          </w:tcPr>
          <w:p w14:paraId="02CE8F23" w14:textId="1F07CB9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955E14C"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rozšírenia siete Porto Metro</w:t>
            </w:r>
          </w:p>
        </w:tc>
      </w:tr>
      <w:tr w:rsidR="00387C70" w:rsidRPr="003F23AC" w14:paraId="3122821F"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62E755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15.16</w:t>
            </w:r>
          </w:p>
        </w:tc>
        <w:tc>
          <w:tcPr>
            <w:tcW w:w="1760" w:type="dxa"/>
            <w:tcBorders>
              <w:top w:val="nil"/>
              <w:left w:val="nil"/>
              <w:bottom w:val="single" w:sz="4" w:space="0" w:color="auto"/>
              <w:right w:val="single" w:sz="4" w:space="0" w:color="auto"/>
            </w:tcBorders>
            <w:shd w:val="clear" w:color="auto" w:fill="C4EFCE"/>
            <w:vAlign w:val="center"/>
            <w:hideMark/>
          </w:tcPr>
          <w:p w14:paraId="1F57BF0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TC-C15 – i06</w:t>
            </w:r>
          </w:p>
        </w:tc>
        <w:tc>
          <w:tcPr>
            <w:tcW w:w="1520" w:type="dxa"/>
            <w:tcBorders>
              <w:top w:val="nil"/>
              <w:left w:val="nil"/>
              <w:bottom w:val="single" w:sz="4" w:space="0" w:color="auto"/>
              <w:right w:val="single" w:sz="4" w:space="0" w:color="auto"/>
            </w:tcBorders>
            <w:shd w:val="clear" w:color="auto" w:fill="C4EFCE"/>
            <w:vAlign w:val="center"/>
            <w:hideMark/>
          </w:tcPr>
          <w:p w14:paraId="044758A4" w14:textId="2A978CC9"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02045CC" w14:textId="504B84FB"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Železničné trate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elektronickými signalizačnými systémami nahradené</w:t>
            </w:r>
          </w:p>
        </w:tc>
      </w:tr>
      <w:tr w:rsidR="00387C70" w:rsidRPr="003F23AC" w14:paraId="702497F6"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2452F7C6" w14:textId="525B27D9"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16.18</w:t>
            </w:r>
          </w:p>
        </w:tc>
        <w:tc>
          <w:tcPr>
            <w:tcW w:w="1760" w:type="dxa"/>
            <w:tcBorders>
              <w:top w:val="nil"/>
              <w:left w:val="nil"/>
              <w:bottom w:val="single" w:sz="4" w:space="0" w:color="auto"/>
              <w:right w:val="single" w:sz="4" w:space="0" w:color="auto"/>
            </w:tcBorders>
            <w:shd w:val="clear" w:color="auto" w:fill="C4EFCE"/>
            <w:vAlign w:val="center"/>
          </w:tcPr>
          <w:p w14:paraId="1DF82366" w14:textId="0E1489C0"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TD-C16 – i05-RAA</w:t>
            </w:r>
          </w:p>
        </w:tc>
        <w:tc>
          <w:tcPr>
            <w:tcW w:w="1520" w:type="dxa"/>
            <w:tcBorders>
              <w:top w:val="nil"/>
              <w:left w:val="nil"/>
              <w:bottom w:val="single" w:sz="4" w:space="0" w:color="auto"/>
              <w:right w:val="single" w:sz="4" w:space="0" w:color="auto"/>
            </w:tcBorders>
            <w:shd w:val="clear" w:color="auto" w:fill="C4EFCE"/>
            <w:vAlign w:val="center"/>
          </w:tcPr>
          <w:p w14:paraId="5372C9EF" w14:textId="1CB18A1F"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tcPr>
          <w:p w14:paraId="75B9B368" w14:textId="61F7EBC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Počet projektov podporovaných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rámci systému stimulov na digitálnu transformáciu podnikov</w:t>
            </w:r>
          </w:p>
        </w:tc>
      </w:tr>
      <w:tr w:rsidR="00387C70" w:rsidRPr="003F23AC" w14:paraId="51C61E8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3E69F0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16.19</w:t>
            </w:r>
          </w:p>
        </w:tc>
        <w:tc>
          <w:tcPr>
            <w:tcW w:w="1760" w:type="dxa"/>
            <w:tcBorders>
              <w:top w:val="nil"/>
              <w:left w:val="nil"/>
              <w:bottom w:val="single" w:sz="4" w:space="0" w:color="auto"/>
              <w:right w:val="single" w:sz="4" w:space="0" w:color="auto"/>
            </w:tcBorders>
            <w:shd w:val="clear" w:color="auto" w:fill="C4EFCE"/>
            <w:vAlign w:val="center"/>
            <w:hideMark/>
          </w:tcPr>
          <w:p w14:paraId="116F9920" w14:textId="147B6CDA"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TD-C16 – i05-RAA</w:t>
            </w:r>
          </w:p>
        </w:tc>
        <w:tc>
          <w:tcPr>
            <w:tcW w:w="1520" w:type="dxa"/>
            <w:tcBorders>
              <w:top w:val="nil"/>
              <w:left w:val="nil"/>
              <w:bottom w:val="single" w:sz="4" w:space="0" w:color="auto"/>
              <w:right w:val="single" w:sz="4" w:space="0" w:color="auto"/>
            </w:tcBorders>
            <w:shd w:val="clear" w:color="auto" w:fill="C4EFCE"/>
            <w:vAlign w:val="center"/>
            <w:hideMark/>
          </w:tcPr>
          <w:p w14:paraId="0152225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46FC228C" w14:textId="3435F37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Rozšírené alebo vybavené vedecké</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technologické parky</w:t>
            </w:r>
          </w:p>
        </w:tc>
      </w:tr>
      <w:tr w:rsidR="00387C70" w:rsidRPr="003F23AC" w14:paraId="2CA2E863"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88D821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17.13</w:t>
            </w:r>
          </w:p>
        </w:tc>
        <w:tc>
          <w:tcPr>
            <w:tcW w:w="1760" w:type="dxa"/>
            <w:tcBorders>
              <w:top w:val="nil"/>
              <w:left w:val="nil"/>
              <w:bottom w:val="single" w:sz="4" w:space="0" w:color="auto"/>
              <w:right w:val="single" w:sz="4" w:space="0" w:color="auto"/>
            </w:tcBorders>
            <w:shd w:val="clear" w:color="auto" w:fill="C4EFCE"/>
            <w:vAlign w:val="center"/>
            <w:hideMark/>
          </w:tcPr>
          <w:p w14:paraId="27C4D24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TD-C17-i01</w:t>
            </w:r>
          </w:p>
        </w:tc>
        <w:tc>
          <w:tcPr>
            <w:tcW w:w="1520" w:type="dxa"/>
            <w:tcBorders>
              <w:top w:val="nil"/>
              <w:left w:val="nil"/>
              <w:bottom w:val="single" w:sz="4" w:space="0" w:color="auto"/>
              <w:right w:val="single" w:sz="4" w:space="0" w:color="auto"/>
            </w:tcBorders>
            <w:shd w:val="clear" w:color="auto" w:fill="C4EFCE"/>
            <w:vAlign w:val="center"/>
            <w:hideMark/>
          </w:tcPr>
          <w:p w14:paraId="44C29A9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78B0AB27" w14:textId="349896E9"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implementácie Sistema de Gestão de Património Imobiliário Público (SIGPIP)</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modernizácia informačných systémov pre vozidlá vo vlastníctve štátu</w:t>
            </w:r>
          </w:p>
        </w:tc>
      </w:tr>
      <w:tr w:rsidR="00387C70" w:rsidRPr="003F23AC" w14:paraId="17F0D9F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0B9E32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17.25</w:t>
            </w:r>
          </w:p>
        </w:tc>
        <w:tc>
          <w:tcPr>
            <w:tcW w:w="1760" w:type="dxa"/>
            <w:tcBorders>
              <w:top w:val="nil"/>
              <w:left w:val="nil"/>
              <w:bottom w:val="single" w:sz="4" w:space="0" w:color="auto"/>
              <w:right w:val="single" w:sz="4" w:space="0" w:color="auto"/>
            </w:tcBorders>
            <w:shd w:val="clear" w:color="auto" w:fill="C4EFCE"/>
            <w:vAlign w:val="center"/>
            <w:hideMark/>
          </w:tcPr>
          <w:p w14:paraId="764B0F33" w14:textId="482904A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TD-C17-r40</w:t>
            </w:r>
          </w:p>
        </w:tc>
        <w:tc>
          <w:tcPr>
            <w:tcW w:w="1520" w:type="dxa"/>
            <w:tcBorders>
              <w:top w:val="nil"/>
              <w:left w:val="nil"/>
              <w:bottom w:val="single" w:sz="4" w:space="0" w:color="auto"/>
              <w:right w:val="single" w:sz="4" w:space="0" w:color="auto"/>
            </w:tcBorders>
            <w:shd w:val="clear" w:color="auto" w:fill="C4EFCE"/>
            <w:vAlign w:val="center"/>
            <w:hideMark/>
          </w:tcPr>
          <w:p w14:paraId="389309C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7BEB9645" w14:textId="34AE39E5"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právneho aktu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daniach – výhody</w:t>
            </w:r>
          </w:p>
        </w:tc>
      </w:tr>
      <w:tr w:rsidR="00387C70" w:rsidRPr="003F23AC" w14:paraId="3C4237BA"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DE7A1B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19.2</w:t>
            </w:r>
          </w:p>
        </w:tc>
        <w:tc>
          <w:tcPr>
            <w:tcW w:w="1760" w:type="dxa"/>
            <w:tcBorders>
              <w:top w:val="nil"/>
              <w:left w:val="nil"/>
              <w:bottom w:val="single" w:sz="4" w:space="0" w:color="auto"/>
              <w:right w:val="single" w:sz="4" w:space="0" w:color="auto"/>
            </w:tcBorders>
            <w:shd w:val="clear" w:color="auto" w:fill="C4EFCE"/>
            <w:vAlign w:val="center"/>
            <w:hideMark/>
          </w:tcPr>
          <w:p w14:paraId="0A34BFE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TD-C19-i01</w:t>
            </w:r>
          </w:p>
        </w:tc>
        <w:tc>
          <w:tcPr>
            <w:tcW w:w="1520" w:type="dxa"/>
            <w:tcBorders>
              <w:top w:val="nil"/>
              <w:left w:val="nil"/>
              <w:bottom w:val="single" w:sz="4" w:space="0" w:color="auto"/>
              <w:right w:val="single" w:sz="4" w:space="0" w:color="auto"/>
            </w:tcBorders>
            <w:shd w:val="clear" w:color="auto" w:fill="C4EFCE"/>
            <w:vAlign w:val="center"/>
            <w:hideMark/>
          </w:tcPr>
          <w:p w14:paraId="24B2DE81" w14:textId="154EA50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D0ECFAE" w14:textId="6FCF98B3"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Verejné služby dostupné zjednodušeným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koherentným spôsobom prostredníctvom rôznych kanálov</w:t>
            </w:r>
          </w:p>
        </w:tc>
      </w:tr>
      <w:tr w:rsidR="00387C70" w:rsidRPr="003F23AC" w14:paraId="30CE9AD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360BB9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19.3</w:t>
            </w:r>
          </w:p>
        </w:tc>
        <w:tc>
          <w:tcPr>
            <w:tcW w:w="1760" w:type="dxa"/>
            <w:tcBorders>
              <w:top w:val="nil"/>
              <w:left w:val="nil"/>
              <w:bottom w:val="single" w:sz="4" w:space="0" w:color="auto"/>
              <w:right w:val="single" w:sz="4" w:space="0" w:color="auto"/>
            </w:tcBorders>
            <w:shd w:val="clear" w:color="auto" w:fill="C4EFCE"/>
            <w:vAlign w:val="center"/>
            <w:hideMark/>
          </w:tcPr>
          <w:p w14:paraId="4109E56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TD-C19-i01</w:t>
            </w:r>
          </w:p>
        </w:tc>
        <w:tc>
          <w:tcPr>
            <w:tcW w:w="1520" w:type="dxa"/>
            <w:tcBorders>
              <w:top w:val="nil"/>
              <w:left w:val="nil"/>
              <w:bottom w:val="single" w:sz="4" w:space="0" w:color="auto"/>
              <w:right w:val="single" w:sz="4" w:space="0" w:color="auto"/>
            </w:tcBorders>
            <w:shd w:val="clear" w:color="auto" w:fill="C4EFCE"/>
            <w:vAlign w:val="center"/>
            <w:hideMark/>
          </w:tcPr>
          <w:p w14:paraId="33B26DD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5F2BDD1D"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Zavedený nový model konzulárneho riadenia</w:t>
            </w:r>
          </w:p>
        </w:tc>
      </w:tr>
      <w:tr w:rsidR="00387C70" w:rsidRPr="003F23AC" w14:paraId="33DF1DAB"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1172D3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19.5</w:t>
            </w:r>
          </w:p>
        </w:tc>
        <w:tc>
          <w:tcPr>
            <w:tcW w:w="1760" w:type="dxa"/>
            <w:tcBorders>
              <w:top w:val="nil"/>
              <w:left w:val="nil"/>
              <w:bottom w:val="single" w:sz="4" w:space="0" w:color="auto"/>
              <w:right w:val="single" w:sz="4" w:space="0" w:color="auto"/>
            </w:tcBorders>
            <w:shd w:val="clear" w:color="auto" w:fill="C4EFCE"/>
            <w:vAlign w:val="center"/>
            <w:hideMark/>
          </w:tcPr>
          <w:p w14:paraId="712F055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TD-C19-i02</w:t>
            </w:r>
          </w:p>
        </w:tc>
        <w:tc>
          <w:tcPr>
            <w:tcW w:w="1520" w:type="dxa"/>
            <w:tcBorders>
              <w:top w:val="nil"/>
              <w:left w:val="nil"/>
              <w:bottom w:val="single" w:sz="4" w:space="0" w:color="auto"/>
              <w:right w:val="single" w:sz="4" w:space="0" w:color="auto"/>
            </w:tcBorders>
            <w:shd w:val="clear" w:color="auto" w:fill="C4EFCE"/>
            <w:vAlign w:val="center"/>
            <w:hideMark/>
          </w:tcPr>
          <w:p w14:paraId="33EC39A4" w14:textId="40084476"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086C0A98" w14:textId="26F92FE5"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Verejné služby bezpečne prístupné prostredníctvom elektronickej identity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rešpektujúce zásadu „jedenkrát</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dosť“</w:t>
            </w:r>
          </w:p>
        </w:tc>
      </w:tr>
      <w:tr w:rsidR="00387C70" w:rsidRPr="003F23AC" w14:paraId="1C29A39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18208A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19.6</w:t>
            </w:r>
          </w:p>
        </w:tc>
        <w:tc>
          <w:tcPr>
            <w:tcW w:w="1760" w:type="dxa"/>
            <w:tcBorders>
              <w:top w:val="nil"/>
              <w:left w:val="nil"/>
              <w:bottom w:val="single" w:sz="4" w:space="0" w:color="auto"/>
              <w:right w:val="single" w:sz="4" w:space="0" w:color="auto"/>
            </w:tcBorders>
            <w:shd w:val="clear" w:color="auto" w:fill="C4EFCE"/>
            <w:vAlign w:val="center"/>
            <w:hideMark/>
          </w:tcPr>
          <w:p w14:paraId="4492DF3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TD-C19-i02</w:t>
            </w:r>
          </w:p>
        </w:tc>
        <w:tc>
          <w:tcPr>
            <w:tcW w:w="1520" w:type="dxa"/>
            <w:tcBorders>
              <w:top w:val="nil"/>
              <w:left w:val="nil"/>
              <w:bottom w:val="single" w:sz="4" w:space="0" w:color="auto"/>
              <w:right w:val="single" w:sz="4" w:space="0" w:color="auto"/>
            </w:tcBorders>
            <w:shd w:val="clear" w:color="auto" w:fill="C4EFCE"/>
            <w:vAlign w:val="center"/>
            <w:hideMark/>
          </w:tcPr>
          <w:p w14:paraId="5189EDB6" w14:textId="1C09677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37149D1"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Územná informačná infraštruktúra</w:t>
            </w:r>
          </w:p>
        </w:tc>
      </w:tr>
      <w:tr w:rsidR="00387C70" w:rsidRPr="003F23AC" w14:paraId="30AE8AED"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47537A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19.7</w:t>
            </w:r>
          </w:p>
        </w:tc>
        <w:tc>
          <w:tcPr>
            <w:tcW w:w="1760" w:type="dxa"/>
            <w:tcBorders>
              <w:top w:val="nil"/>
              <w:left w:val="nil"/>
              <w:bottom w:val="single" w:sz="4" w:space="0" w:color="auto"/>
              <w:right w:val="single" w:sz="4" w:space="0" w:color="auto"/>
            </w:tcBorders>
            <w:shd w:val="clear" w:color="auto" w:fill="C4EFCE"/>
            <w:vAlign w:val="center"/>
            <w:hideMark/>
          </w:tcPr>
          <w:p w14:paraId="1FE43E0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TD-C19-i03</w:t>
            </w:r>
          </w:p>
        </w:tc>
        <w:tc>
          <w:tcPr>
            <w:tcW w:w="1520" w:type="dxa"/>
            <w:tcBorders>
              <w:top w:val="nil"/>
              <w:left w:val="nil"/>
              <w:bottom w:val="single" w:sz="4" w:space="0" w:color="auto"/>
              <w:right w:val="single" w:sz="4" w:space="0" w:color="auto"/>
            </w:tcBorders>
            <w:shd w:val="clear" w:color="auto" w:fill="C4EFCE"/>
            <w:vAlign w:val="center"/>
            <w:hideMark/>
          </w:tcPr>
          <w:p w14:paraId="122BABBF" w14:textId="2C8B159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06869C5" w14:textId="19709E2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Odborná príprava IT špecialistov na posilnenie spôsobilostí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kybernetickej bezpečnosti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informačnej bezpečnosti</w:t>
            </w:r>
          </w:p>
        </w:tc>
      </w:tr>
      <w:tr w:rsidR="00387C70" w:rsidRPr="003F23AC" w14:paraId="1999A626"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314703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19.8</w:t>
            </w:r>
          </w:p>
        </w:tc>
        <w:tc>
          <w:tcPr>
            <w:tcW w:w="1760" w:type="dxa"/>
            <w:tcBorders>
              <w:top w:val="nil"/>
              <w:left w:val="nil"/>
              <w:bottom w:val="single" w:sz="4" w:space="0" w:color="auto"/>
              <w:right w:val="single" w:sz="4" w:space="0" w:color="auto"/>
            </w:tcBorders>
            <w:shd w:val="clear" w:color="auto" w:fill="C4EFCE"/>
            <w:vAlign w:val="center"/>
            <w:hideMark/>
          </w:tcPr>
          <w:p w14:paraId="3221470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TD-C19-i03</w:t>
            </w:r>
          </w:p>
        </w:tc>
        <w:tc>
          <w:tcPr>
            <w:tcW w:w="1520" w:type="dxa"/>
            <w:tcBorders>
              <w:top w:val="nil"/>
              <w:left w:val="nil"/>
              <w:bottom w:val="single" w:sz="4" w:space="0" w:color="auto"/>
              <w:right w:val="single" w:sz="4" w:space="0" w:color="auto"/>
            </w:tcBorders>
            <w:shd w:val="clear" w:color="auto" w:fill="C4EFCE"/>
            <w:vAlign w:val="center"/>
            <w:hideMark/>
          </w:tcPr>
          <w:p w14:paraId="41AE5346" w14:textId="250282A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57BD70B5"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Prijatie portugalského kryptografického riešenia verejnými orgánmi</w:t>
            </w:r>
          </w:p>
        </w:tc>
      </w:tr>
      <w:tr w:rsidR="00387C70" w:rsidRPr="003F23AC" w14:paraId="4419910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687C3D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19.9</w:t>
            </w:r>
          </w:p>
        </w:tc>
        <w:tc>
          <w:tcPr>
            <w:tcW w:w="1760" w:type="dxa"/>
            <w:tcBorders>
              <w:top w:val="nil"/>
              <w:left w:val="nil"/>
              <w:bottom w:val="single" w:sz="4" w:space="0" w:color="auto"/>
              <w:right w:val="single" w:sz="4" w:space="0" w:color="auto"/>
            </w:tcBorders>
            <w:shd w:val="clear" w:color="auto" w:fill="C4EFCE"/>
            <w:vAlign w:val="center"/>
            <w:hideMark/>
          </w:tcPr>
          <w:p w14:paraId="1170E64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TD-C19-i03</w:t>
            </w:r>
          </w:p>
        </w:tc>
        <w:tc>
          <w:tcPr>
            <w:tcW w:w="1520" w:type="dxa"/>
            <w:tcBorders>
              <w:top w:val="nil"/>
              <w:left w:val="nil"/>
              <w:bottom w:val="single" w:sz="4" w:space="0" w:color="auto"/>
              <w:right w:val="single" w:sz="4" w:space="0" w:color="auto"/>
            </w:tcBorders>
            <w:shd w:val="clear" w:color="auto" w:fill="C4EFCE"/>
            <w:vAlign w:val="center"/>
            <w:hideMark/>
          </w:tcPr>
          <w:p w14:paraId="333DE23E" w14:textId="121CD82F"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81D38D1"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Vykonávanie vnútroštátneho rámca kybernetickej bezpečnosti</w:t>
            </w:r>
          </w:p>
        </w:tc>
      </w:tr>
      <w:tr w:rsidR="00387C70" w:rsidRPr="003F23AC" w14:paraId="07AB23E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3DD90F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19.10</w:t>
            </w:r>
          </w:p>
        </w:tc>
        <w:tc>
          <w:tcPr>
            <w:tcW w:w="1760" w:type="dxa"/>
            <w:tcBorders>
              <w:top w:val="nil"/>
              <w:left w:val="nil"/>
              <w:bottom w:val="single" w:sz="4" w:space="0" w:color="auto"/>
              <w:right w:val="single" w:sz="4" w:space="0" w:color="auto"/>
            </w:tcBorders>
            <w:shd w:val="clear" w:color="auto" w:fill="C4EFCE"/>
            <w:vAlign w:val="center"/>
            <w:hideMark/>
          </w:tcPr>
          <w:p w14:paraId="060FEC6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TD-C19-i03</w:t>
            </w:r>
          </w:p>
        </w:tc>
        <w:tc>
          <w:tcPr>
            <w:tcW w:w="1520" w:type="dxa"/>
            <w:tcBorders>
              <w:top w:val="nil"/>
              <w:left w:val="nil"/>
              <w:bottom w:val="single" w:sz="4" w:space="0" w:color="auto"/>
              <w:right w:val="single" w:sz="4" w:space="0" w:color="auto"/>
            </w:tcBorders>
            <w:shd w:val="clear" w:color="auto" w:fill="C4EFCE"/>
            <w:vAlign w:val="center"/>
            <w:hideMark/>
          </w:tcPr>
          <w:p w14:paraId="2BED625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4CE1A606" w14:textId="5EB6B0D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budovania orgánov pre kybernetickú bezpečnosť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informačnú bezpečnosť</w:t>
            </w:r>
          </w:p>
        </w:tc>
      </w:tr>
      <w:tr w:rsidR="00387C70" w:rsidRPr="003F23AC" w14:paraId="760DEC5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B8D01B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19.15</w:t>
            </w:r>
          </w:p>
        </w:tc>
        <w:tc>
          <w:tcPr>
            <w:tcW w:w="1760" w:type="dxa"/>
            <w:tcBorders>
              <w:top w:val="nil"/>
              <w:left w:val="nil"/>
              <w:bottom w:val="single" w:sz="4" w:space="0" w:color="auto"/>
              <w:right w:val="single" w:sz="4" w:space="0" w:color="auto"/>
            </w:tcBorders>
            <w:shd w:val="clear" w:color="auto" w:fill="C4EFCE"/>
            <w:vAlign w:val="center"/>
            <w:hideMark/>
          </w:tcPr>
          <w:p w14:paraId="7B8807D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 – i04</w:t>
            </w:r>
          </w:p>
        </w:tc>
        <w:tc>
          <w:tcPr>
            <w:tcW w:w="1520" w:type="dxa"/>
            <w:tcBorders>
              <w:top w:val="nil"/>
              <w:left w:val="nil"/>
              <w:bottom w:val="single" w:sz="4" w:space="0" w:color="auto"/>
              <w:right w:val="single" w:sz="4" w:space="0" w:color="auto"/>
            </w:tcBorders>
            <w:shd w:val="clear" w:color="auto" w:fill="C4EFCE"/>
            <w:vAlign w:val="center"/>
            <w:hideMark/>
          </w:tcPr>
          <w:p w14:paraId="2CA2E4E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00346B88"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Posilniť vládne centrum riadenia IT siete (RING)</w:t>
            </w:r>
          </w:p>
        </w:tc>
      </w:tr>
      <w:tr w:rsidR="00387C70" w:rsidRPr="003F23AC" w14:paraId="792CC6D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F2FA3D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19.21</w:t>
            </w:r>
          </w:p>
        </w:tc>
        <w:tc>
          <w:tcPr>
            <w:tcW w:w="1760" w:type="dxa"/>
            <w:tcBorders>
              <w:top w:val="nil"/>
              <w:left w:val="nil"/>
              <w:bottom w:val="single" w:sz="4" w:space="0" w:color="auto"/>
              <w:right w:val="single" w:sz="4" w:space="0" w:color="auto"/>
            </w:tcBorders>
            <w:shd w:val="clear" w:color="auto" w:fill="C4EFCE"/>
            <w:vAlign w:val="center"/>
            <w:hideMark/>
          </w:tcPr>
          <w:p w14:paraId="31AD2AD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TD-C19-i07</w:t>
            </w:r>
          </w:p>
        </w:tc>
        <w:tc>
          <w:tcPr>
            <w:tcW w:w="1520" w:type="dxa"/>
            <w:tcBorders>
              <w:top w:val="nil"/>
              <w:left w:val="nil"/>
              <w:bottom w:val="single" w:sz="4" w:space="0" w:color="auto"/>
              <w:right w:val="single" w:sz="4" w:space="0" w:color="auto"/>
            </w:tcBorders>
            <w:shd w:val="clear" w:color="auto" w:fill="C4EFCE"/>
            <w:vAlign w:val="center"/>
            <w:hideMark/>
          </w:tcPr>
          <w:p w14:paraId="5B50B193" w14:textId="0DA4F99F"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1B934D6"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Odborná príprava zamestnancov verejnej správy</w:t>
            </w:r>
          </w:p>
        </w:tc>
      </w:tr>
      <w:tr w:rsidR="00387C70" w:rsidRPr="003F23AC" w14:paraId="4D1F4A1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5D407E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19.26</w:t>
            </w:r>
          </w:p>
        </w:tc>
        <w:tc>
          <w:tcPr>
            <w:tcW w:w="1760" w:type="dxa"/>
            <w:tcBorders>
              <w:top w:val="nil"/>
              <w:left w:val="nil"/>
              <w:bottom w:val="single" w:sz="4" w:space="0" w:color="auto"/>
              <w:right w:val="single" w:sz="4" w:space="0" w:color="auto"/>
            </w:tcBorders>
            <w:shd w:val="clear" w:color="auto" w:fill="C4EFCE"/>
            <w:vAlign w:val="center"/>
            <w:hideMark/>
          </w:tcPr>
          <w:p w14:paraId="724124B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TD-C19-i01</w:t>
            </w:r>
          </w:p>
        </w:tc>
        <w:tc>
          <w:tcPr>
            <w:tcW w:w="1520" w:type="dxa"/>
            <w:tcBorders>
              <w:top w:val="nil"/>
              <w:left w:val="nil"/>
              <w:bottom w:val="single" w:sz="4" w:space="0" w:color="auto"/>
              <w:right w:val="single" w:sz="4" w:space="0" w:color="auto"/>
            </w:tcBorders>
            <w:shd w:val="clear" w:color="auto" w:fill="C4EFCE"/>
            <w:vAlign w:val="center"/>
            <w:hideMark/>
          </w:tcPr>
          <w:p w14:paraId="482AE9A8" w14:textId="2AC7989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3152B610" w14:textId="4B33FAB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Lojas do Cidadão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Espaços cidadão</w:t>
            </w:r>
          </w:p>
        </w:tc>
      </w:tr>
      <w:tr w:rsidR="00387C70" w:rsidRPr="003F23AC" w14:paraId="0A6C1609"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446A631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19.35</w:t>
            </w:r>
          </w:p>
        </w:tc>
        <w:tc>
          <w:tcPr>
            <w:tcW w:w="1760" w:type="dxa"/>
            <w:tcBorders>
              <w:top w:val="nil"/>
              <w:left w:val="nil"/>
              <w:bottom w:val="single" w:sz="4" w:space="0" w:color="auto"/>
              <w:right w:val="single" w:sz="4" w:space="0" w:color="auto"/>
            </w:tcBorders>
            <w:shd w:val="clear" w:color="auto" w:fill="C4EFCE"/>
            <w:vAlign w:val="center"/>
            <w:hideMark/>
          </w:tcPr>
          <w:p w14:paraId="40686A8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TD-C19-i08</w:t>
            </w:r>
          </w:p>
        </w:tc>
        <w:tc>
          <w:tcPr>
            <w:tcW w:w="1520" w:type="dxa"/>
            <w:tcBorders>
              <w:top w:val="nil"/>
              <w:left w:val="nil"/>
              <w:bottom w:val="single" w:sz="4" w:space="0" w:color="auto"/>
              <w:right w:val="single" w:sz="4" w:space="0" w:color="auto"/>
            </w:tcBorders>
            <w:shd w:val="clear" w:color="auto" w:fill="C4EFCE"/>
            <w:vAlign w:val="center"/>
            <w:hideMark/>
          </w:tcPr>
          <w:p w14:paraId="00CBC2F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240261BB" w14:textId="0B0637B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Inteligentné územia: Platformy mestského riadenia, digitálne dvojčatá</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prehľad verejnej politiky</w:t>
            </w:r>
          </w:p>
        </w:tc>
      </w:tr>
      <w:tr w:rsidR="00387C70" w:rsidRPr="003F23AC" w14:paraId="680F3CB4"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F9600B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21.1</w:t>
            </w:r>
          </w:p>
        </w:tc>
        <w:tc>
          <w:tcPr>
            <w:tcW w:w="1760" w:type="dxa"/>
            <w:tcBorders>
              <w:top w:val="nil"/>
              <w:left w:val="nil"/>
              <w:bottom w:val="single" w:sz="4" w:space="0" w:color="auto"/>
              <w:right w:val="single" w:sz="4" w:space="0" w:color="auto"/>
            </w:tcBorders>
            <w:shd w:val="clear" w:color="auto" w:fill="C4EFCE"/>
            <w:vAlign w:val="center"/>
            <w:hideMark/>
          </w:tcPr>
          <w:p w14:paraId="68A7545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RP-C21-i01</w:t>
            </w:r>
          </w:p>
        </w:tc>
        <w:tc>
          <w:tcPr>
            <w:tcW w:w="1520" w:type="dxa"/>
            <w:tcBorders>
              <w:top w:val="nil"/>
              <w:left w:val="nil"/>
              <w:bottom w:val="single" w:sz="4" w:space="0" w:color="auto"/>
              <w:right w:val="single" w:sz="4" w:space="0" w:color="auto"/>
            </w:tcBorders>
            <w:shd w:val="clear" w:color="auto" w:fill="C4EFCE"/>
            <w:vAlign w:val="center"/>
            <w:hideMark/>
          </w:tcPr>
          <w:p w14:paraId="765AC78B" w14:textId="1A39AD1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3A62612"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Finančná podpora projektov na zjednodušenie dekarbonizácie priemyslu</w:t>
            </w:r>
          </w:p>
        </w:tc>
      </w:tr>
      <w:tr w:rsidR="00387C70" w:rsidRPr="003F23AC" w14:paraId="0AB05DDC"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B98C02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21.4</w:t>
            </w:r>
          </w:p>
        </w:tc>
        <w:tc>
          <w:tcPr>
            <w:tcW w:w="1760" w:type="dxa"/>
            <w:tcBorders>
              <w:top w:val="nil"/>
              <w:left w:val="nil"/>
              <w:bottom w:val="single" w:sz="4" w:space="0" w:color="auto"/>
              <w:right w:val="single" w:sz="4" w:space="0" w:color="auto"/>
            </w:tcBorders>
            <w:shd w:val="clear" w:color="auto" w:fill="C4EFCE"/>
            <w:vAlign w:val="center"/>
            <w:hideMark/>
          </w:tcPr>
          <w:p w14:paraId="1E0F535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RP-C21-i03</w:t>
            </w:r>
          </w:p>
        </w:tc>
        <w:tc>
          <w:tcPr>
            <w:tcW w:w="1520" w:type="dxa"/>
            <w:tcBorders>
              <w:top w:val="nil"/>
              <w:left w:val="nil"/>
              <w:bottom w:val="single" w:sz="4" w:space="0" w:color="auto"/>
              <w:right w:val="single" w:sz="4" w:space="0" w:color="auto"/>
            </w:tcBorders>
            <w:shd w:val="clear" w:color="auto" w:fill="C4EFCE"/>
            <w:vAlign w:val="center"/>
            <w:hideMark/>
          </w:tcPr>
          <w:p w14:paraId="4CFCB733" w14:textId="301245F2"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60CF8C5" w14:textId="12D6CA4B"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Obnova budov</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hľadiska energetickej efektívnosti</w:t>
            </w:r>
          </w:p>
        </w:tc>
      </w:tr>
      <w:tr w:rsidR="00387C70" w:rsidRPr="003F23AC" w14:paraId="7AE3C13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2B0D6E8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21.13</w:t>
            </w:r>
          </w:p>
        </w:tc>
        <w:tc>
          <w:tcPr>
            <w:tcW w:w="1760" w:type="dxa"/>
            <w:tcBorders>
              <w:top w:val="nil"/>
              <w:left w:val="nil"/>
              <w:bottom w:val="single" w:sz="4" w:space="0" w:color="auto"/>
              <w:right w:val="single" w:sz="4" w:space="0" w:color="auto"/>
            </w:tcBorders>
            <w:shd w:val="clear" w:color="auto" w:fill="C4EFCE"/>
            <w:vAlign w:val="center"/>
            <w:hideMark/>
          </w:tcPr>
          <w:p w14:paraId="3D5708D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RP-C21-i05</w:t>
            </w:r>
          </w:p>
        </w:tc>
        <w:tc>
          <w:tcPr>
            <w:tcW w:w="1520" w:type="dxa"/>
            <w:tcBorders>
              <w:top w:val="nil"/>
              <w:left w:val="nil"/>
              <w:bottom w:val="single" w:sz="4" w:space="0" w:color="auto"/>
              <w:right w:val="single" w:sz="4" w:space="0" w:color="auto"/>
            </w:tcBorders>
            <w:shd w:val="clear" w:color="auto" w:fill="C4EFCE"/>
            <w:vAlign w:val="center"/>
            <w:hideMark/>
          </w:tcPr>
          <w:p w14:paraId="4EF9FB7D" w14:textId="7A3CCEF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6731C1C6" w14:textId="74C0DA0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5 priemyselných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strategických technológií pre klimatickú transformáciu</w:t>
            </w:r>
          </w:p>
        </w:tc>
      </w:tr>
      <w:tr w:rsidR="00387C70" w:rsidRPr="003F23AC" w14:paraId="46B66D66"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E773CB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21.25</w:t>
            </w:r>
          </w:p>
        </w:tc>
        <w:tc>
          <w:tcPr>
            <w:tcW w:w="1760" w:type="dxa"/>
            <w:tcBorders>
              <w:top w:val="nil"/>
              <w:left w:val="nil"/>
              <w:bottom w:val="single" w:sz="4" w:space="0" w:color="auto"/>
              <w:right w:val="single" w:sz="4" w:space="0" w:color="auto"/>
            </w:tcBorders>
            <w:shd w:val="clear" w:color="auto" w:fill="C4EFCE"/>
            <w:vAlign w:val="center"/>
            <w:hideMark/>
          </w:tcPr>
          <w:p w14:paraId="0F61BA2A" w14:textId="0F7A2382"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 – i06</w:t>
            </w:r>
          </w:p>
        </w:tc>
        <w:tc>
          <w:tcPr>
            <w:tcW w:w="1520" w:type="dxa"/>
            <w:tcBorders>
              <w:top w:val="nil"/>
              <w:left w:val="nil"/>
              <w:bottom w:val="single" w:sz="4" w:space="0" w:color="auto"/>
              <w:right w:val="single" w:sz="4" w:space="0" w:color="auto"/>
            </w:tcBorders>
            <w:shd w:val="clear" w:color="auto" w:fill="C4EFCE"/>
            <w:vAlign w:val="center"/>
            <w:hideMark/>
          </w:tcPr>
          <w:p w14:paraId="332F83C6" w14:textId="538822DD"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40DF0458" w14:textId="6548ACE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Dodatočná kapacita výroby obnoviteľného vodíka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obnoviteľného plynu</w:t>
            </w:r>
          </w:p>
        </w:tc>
      </w:tr>
      <w:tr w:rsidR="00387C70" w:rsidRPr="003F23AC" w14:paraId="7AE9352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F8FBC3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21.27</w:t>
            </w:r>
          </w:p>
        </w:tc>
        <w:tc>
          <w:tcPr>
            <w:tcW w:w="1760" w:type="dxa"/>
            <w:tcBorders>
              <w:top w:val="nil"/>
              <w:left w:val="nil"/>
              <w:bottom w:val="single" w:sz="4" w:space="0" w:color="auto"/>
              <w:right w:val="single" w:sz="4" w:space="0" w:color="auto"/>
            </w:tcBorders>
            <w:shd w:val="clear" w:color="auto" w:fill="C4EFCE"/>
            <w:vAlign w:val="center"/>
            <w:hideMark/>
          </w:tcPr>
          <w:p w14:paraId="28339159" w14:textId="7DD243E3"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RP-C21-i07</w:t>
            </w:r>
          </w:p>
        </w:tc>
        <w:tc>
          <w:tcPr>
            <w:tcW w:w="1520" w:type="dxa"/>
            <w:tcBorders>
              <w:top w:val="nil"/>
              <w:left w:val="nil"/>
              <w:bottom w:val="single" w:sz="4" w:space="0" w:color="auto"/>
              <w:right w:val="single" w:sz="4" w:space="0" w:color="auto"/>
            </w:tcBorders>
            <w:shd w:val="clear" w:color="auto" w:fill="C4EFCE"/>
            <w:vAlign w:val="center"/>
            <w:hideMark/>
          </w:tcPr>
          <w:p w14:paraId="5D5BCC3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25B70FE3" w14:textId="2301AE6C"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technických štúdií týkajúcich sa veternej energie na mori</w:t>
            </w:r>
          </w:p>
        </w:tc>
      </w:tr>
      <w:tr w:rsidR="00387C70" w:rsidRPr="003F23AC" w14:paraId="407BDDCD"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5FA81FA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21.33</w:t>
            </w:r>
          </w:p>
        </w:tc>
        <w:tc>
          <w:tcPr>
            <w:tcW w:w="1760" w:type="dxa"/>
            <w:tcBorders>
              <w:top w:val="nil"/>
              <w:left w:val="nil"/>
              <w:bottom w:val="single" w:sz="4" w:space="0" w:color="auto"/>
              <w:right w:val="single" w:sz="4" w:space="0" w:color="auto"/>
            </w:tcBorders>
            <w:shd w:val="clear" w:color="auto" w:fill="C4EFCE"/>
            <w:vAlign w:val="center"/>
            <w:hideMark/>
          </w:tcPr>
          <w:p w14:paraId="4FD27260" w14:textId="4C1DF38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RP-C21-i11-RAM</w:t>
            </w:r>
          </w:p>
        </w:tc>
        <w:tc>
          <w:tcPr>
            <w:tcW w:w="1520" w:type="dxa"/>
            <w:tcBorders>
              <w:top w:val="nil"/>
              <w:left w:val="nil"/>
              <w:bottom w:val="single" w:sz="4" w:space="0" w:color="auto"/>
              <w:right w:val="single" w:sz="4" w:space="0" w:color="auto"/>
            </w:tcBorders>
            <w:shd w:val="clear" w:color="auto" w:fill="C4EFCE"/>
            <w:vAlign w:val="center"/>
            <w:hideMark/>
          </w:tcPr>
          <w:p w14:paraId="577AB5A0" w14:textId="4318813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996926B" w14:textId="7AC364E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Zvýšenie inštalovaného výkonu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zariadeniach na výrobu energie</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obnoviteľných zdrojov pre vlastnú spotrebu – spotreba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zvýšenie inštalovanej uskladňovacej kapacity na vlastnú spotrebu</w:t>
            </w:r>
          </w:p>
        </w:tc>
      </w:tr>
      <w:tr w:rsidR="00387C70" w:rsidRPr="003F23AC" w14:paraId="40AE930C"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6AF8CD8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21.36</w:t>
            </w:r>
          </w:p>
        </w:tc>
        <w:tc>
          <w:tcPr>
            <w:tcW w:w="1760" w:type="dxa"/>
            <w:tcBorders>
              <w:top w:val="nil"/>
              <w:left w:val="nil"/>
              <w:bottom w:val="single" w:sz="4" w:space="0" w:color="auto"/>
              <w:right w:val="single" w:sz="4" w:space="0" w:color="auto"/>
            </w:tcBorders>
            <w:shd w:val="clear" w:color="auto" w:fill="C4EFCE"/>
            <w:vAlign w:val="center"/>
            <w:hideMark/>
          </w:tcPr>
          <w:p w14:paraId="65F17587" w14:textId="24D99CE2"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RP-C21-i12</w:t>
            </w:r>
          </w:p>
        </w:tc>
        <w:tc>
          <w:tcPr>
            <w:tcW w:w="1520" w:type="dxa"/>
            <w:tcBorders>
              <w:top w:val="nil"/>
              <w:left w:val="nil"/>
              <w:bottom w:val="single" w:sz="4" w:space="0" w:color="auto"/>
              <w:right w:val="single" w:sz="4" w:space="0" w:color="auto"/>
            </w:tcBorders>
            <w:shd w:val="clear" w:color="auto" w:fill="C4EFCE"/>
            <w:vAlign w:val="center"/>
            <w:hideMark/>
          </w:tcPr>
          <w:p w14:paraId="7B36B2F3" w14:textId="1D208FC2"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7C7C1E97" w14:textId="457A32F6"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Nákup nových autobusov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nulovými emisiami (elektrických alebo vodíkových) používaných vo verejnej doprave</w:t>
            </w:r>
          </w:p>
        </w:tc>
      </w:tr>
      <w:tr w:rsidR="00387C70" w:rsidRPr="003F23AC" w14:paraId="4BDD8A3C"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44C078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21.37</w:t>
            </w:r>
          </w:p>
        </w:tc>
        <w:tc>
          <w:tcPr>
            <w:tcW w:w="1760" w:type="dxa"/>
            <w:tcBorders>
              <w:top w:val="nil"/>
              <w:left w:val="nil"/>
              <w:bottom w:val="single" w:sz="4" w:space="0" w:color="auto"/>
              <w:right w:val="single" w:sz="4" w:space="0" w:color="auto"/>
            </w:tcBorders>
            <w:shd w:val="clear" w:color="auto" w:fill="C4EFCE"/>
            <w:vAlign w:val="center"/>
            <w:hideMark/>
          </w:tcPr>
          <w:p w14:paraId="73C8B906" w14:textId="298D8B93"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RP-C21-i13-RAM</w:t>
            </w:r>
          </w:p>
        </w:tc>
        <w:tc>
          <w:tcPr>
            <w:tcW w:w="1520" w:type="dxa"/>
            <w:tcBorders>
              <w:top w:val="nil"/>
              <w:left w:val="nil"/>
              <w:bottom w:val="single" w:sz="4" w:space="0" w:color="auto"/>
              <w:right w:val="single" w:sz="4" w:space="0" w:color="auto"/>
            </w:tcBorders>
            <w:shd w:val="clear" w:color="auto" w:fill="C4EFCE"/>
            <w:vAlign w:val="center"/>
            <w:hideMark/>
          </w:tcPr>
          <w:p w14:paraId="766F2139" w14:textId="4793C53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205A8643" w14:textId="150057D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Nákup nových autobusov</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nulovými emisiami (elektrických alebo vodíkových) používaných vo verejnej doprave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turistických službách</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nákup elektrických vozidiel nahrádzajúcich zošrotované vozidlá</w:t>
            </w:r>
          </w:p>
        </w:tc>
      </w:tr>
      <w:tr w:rsidR="00387C70" w:rsidRPr="003F23AC" w14:paraId="5FC25D8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0D0D0E1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21.39</w:t>
            </w:r>
          </w:p>
        </w:tc>
        <w:tc>
          <w:tcPr>
            <w:tcW w:w="1760" w:type="dxa"/>
            <w:tcBorders>
              <w:top w:val="nil"/>
              <w:left w:val="nil"/>
              <w:bottom w:val="single" w:sz="4" w:space="0" w:color="auto"/>
              <w:right w:val="single" w:sz="4" w:space="0" w:color="auto"/>
            </w:tcBorders>
            <w:shd w:val="clear" w:color="auto" w:fill="C4EFCE"/>
            <w:vAlign w:val="center"/>
            <w:hideMark/>
          </w:tcPr>
          <w:p w14:paraId="48E27095" w14:textId="5DA60FB6"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RP-C21-i14</w:t>
            </w:r>
          </w:p>
        </w:tc>
        <w:tc>
          <w:tcPr>
            <w:tcW w:w="1520" w:type="dxa"/>
            <w:tcBorders>
              <w:top w:val="nil"/>
              <w:left w:val="nil"/>
              <w:bottom w:val="single" w:sz="4" w:space="0" w:color="auto"/>
              <w:right w:val="single" w:sz="4" w:space="0" w:color="auto"/>
            </w:tcBorders>
            <w:shd w:val="clear" w:color="auto" w:fill="C4EFCE"/>
            <w:vAlign w:val="center"/>
            <w:hideMark/>
          </w:tcPr>
          <w:p w14:paraId="3205D10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hideMark/>
          </w:tcPr>
          <w:p w14:paraId="242FFB24" w14:textId="2284E8D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Výstavba dvoch liniek rýchlej prepravy autobusmi</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Brage</w:t>
            </w:r>
          </w:p>
        </w:tc>
      </w:tr>
      <w:tr w:rsidR="00387C70" w:rsidRPr="003F23AC" w14:paraId="3E530F0E"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3E8A1E5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21.43</w:t>
            </w:r>
          </w:p>
        </w:tc>
        <w:tc>
          <w:tcPr>
            <w:tcW w:w="1760" w:type="dxa"/>
            <w:tcBorders>
              <w:top w:val="nil"/>
              <w:left w:val="nil"/>
              <w:bottom w:val="single" w:sz="4" w:space="0" w:color="auto"/>
              <w:right w:val="single" w:sz="4" w:space="0" w:color="auto"/>
            </w:tcBorders>
            <w:shd w:val="clear" w:color="auto" w:fill="C4EFCE"/>
            <w:vAlign w:val="center"/>
            <w:hideMark/>
          </w:tcPr>
          <w:p w14:paraId="53BBC354" w14:textId="6D59C203"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RP-C21 – i16</w:t>
            </w:r>
          </w:p>
        </w:tc>
        <w:tc>
          <w:tcPr>
            <w:tcW w:w="1520" w:type="dxa"/>
            <w:tcBorders>
              <w:top w:val="nil"/>
              <w:left w:val="nil"/>
              <w:bottom w:val="single" w:sz="4" w:space="0" w:color="auto"/>
              <w:right w:val="single" w:sz="4" w:space="0" w:color="auto"/>
            </w:tcBorders>
            <w:shd w:val="clear" w:color="auto" w:fill="C4EFCE"/>
            <w:vAlign w:val="center"/>
            <w:hideMark/>
          </w:tcPr>
          <w:p w14:paraId="65415CC8" w14:textId="7375896A"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hideMark/>
          </w:tcPr>
          <w:p w14:paraId="17915ABF" w14:textId="06792565"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 xml:space="preserve">Konštrukcia </w:t>
            </w:r>
            <w:r w:rsidR="00F218FC" w:rsidRPr="003F23AC">
              <w:rPr>
                <w:rFonts w:ascii="Times New Roman" w:hAnsi="Times New Roman" w:cs="Times New Roman"/>
                <w:noProof/>
                <w:lang w:val="sk-SK"/>
              </w:rPr>
              <w:t>lanovky</w:t>
            </w:r>
          </w:p>
        </w:tc>
      </w:tr>
      <w:tr w:rsidR="00387C70" w:rsidRPr="003F23AC" w14:paraId="69534CE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hideMark/>
          </w:tcPr>
          <w:p w14:paraId="1375525F" w14:textId="77777777" w:rsidR="00387C70" w:rsidRPr="003F23AC" w:rsidRDefault="00387C70" w:rsidP="003F23AC">
            <w:pPr>
              <w:spacing w:after="0"/>
              <w:jc w:val="center"/>
              <w:rPr>
                <w:rFonts w:ascii="Times New Roman" w:eastAsia="Calibri" w:hAnsi="Times New Roman" w:cs="Times New Roman"/>
                <w:noProof/>
                <w:sz w:val="16"/>
                <w:lang w:val="sk-SK"/>
              </w:rPr>
            </w:pPr>
          </w:p>
        </w:tc>
        <w:tc>
          <w:tcPr>
            <w:tcW w:w="1760" w:type="dxa"/>
            <w:tcBorders>
              <w:top w:val="nil"/>
              <w:left w:val="nil"/>
              <w:bottom w:val="single" w:sz="4" w:space="0" w:color="auto"/>
              <w:right w:val="single" w:sz="4" w:space="0" w:color="auto"/>
            </w:tcBorders>
            <w:shd w:val="clear" w:color="auto" w:fill="C4EFCE"/>
            <w:vAlign w:val="center"/>
            <w:hideMark/>
          </w:tcPr>
          <w:p w14:paraId="16E5C887" w14:textId="77777777" w:rsidR="00387C70" w:rsidRPr="003F23AC" w:rsidRDefault="00387C70" w:rsidP="003F23AC">
            <w:pPr>
              <w:spacing w:after="0"/>
              <w:jc w:val="center"/>
              <w:rPr>
                <w:rFonts w:ascii="Times New Roman" w:eastAsia="Calibri" w:hAnsi="Times New Roman" w:cs="Times New Roman"/>
                <w:noProof/>
                <w:sz w:val="16"/>
                <w:lang w:val="sk-SK"/>
              </w:rPr>
            </w:pPr>
          </w:p>
        </w:tc>
        <w:tc>
          <w:tcPr>
            <w:tcW w:w="1520" w:type="dxa"/>
            <w:tcBorders>
              <w:top w:val="nil"/>
              <w:left w:val="nil"/>
              <w:bottom w:val="single" w:sz="4" w:space="0" w:color="auto"/>
              <w:right w:val="single" w:sz="4" w:space="0" w:color="auto"/>
            </w:tcBorders>
            <w:shd w:val="clear" w:color="auto" w:fill="C4EFCE"/>
            <w:vAlign w:val="center"/>
            <w:hideMark/>
          </w:tcPr>
          <w:p w14:paraId="084A977F" w14:textId="77777777" w:rsidR="00387C70" w:rsidRPr="003F23AC" w:rsidRDefault="000F5AA4" w:rsidP="003F23AC">
            <w:pPr>
              <w:pStyle w:val="P68B1DB1-Normal24"/>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Suma splátky</w:t>
            </w:r>
          </w:p>
        </w:tc>
        <w:tc>
          <w:tcPr>
            <w:tcW w:w="5060" w:type="dxa"/>
            <w:tcBorders>
              <w:top w:val="nil"/>
              <w:left w:val="nil"/>
              <w:bottom w:val="single" w:sz="4" w:space="0" w:color="auto"/>
              <w:right w:val="single" w:sz="4" w:space="0" w:color="auto"/>
            </w:tcBorders>
            <w:shd w:val="clear" w:color="auto" w:fill="C4EFCE"/>
            <w:vAlign w:val="center"/>
            <w:hideMark/>
          </w:tcPr>
          <w:p w14:paraId="30A29C4F" w14:textId="799A965C" w:rsidR="00387C70" w:rsidRPr="003F23AC" w:rsidRDefault="003A06C1" w:rsidP="003F23AC">
            <w:pPr>
              <w:pStyle w:val="P68B1DB1-Normal25"/>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EUR 2 030 690 350</w:t>
            </w:r>
          </w:p>
        </w:tc>
      </w:tr>
    </w:tbl>
    <w:p w14:paraId="4422C564" w14:textId="77777777" w:rsidR="00387C70" w:rsidRPr="003F23AC" w:rsidRDefault="00387C70" w:rsidP="003F23AC">
      <w:pPr>
        <w:spacing w:before="40" w:after="0" w:line="259" w:lineRule="auto"/>
        <w:ind w:left="360"/>
        <w:jc w:val="both"/>
        <w:outlineLvl w:val="1"/>
        <w:rPr>
          <w:rFonts w:ascii="Times New Roman" w:eastAsiaTheme="majorEastAsia" w:hAnsi="Times New Roman" w:cs="Times New Roman"/>
          <w:b/>
          <w:noProof/>
          <w:sz w:val="24"/>
          <w:u w:val="single"/>
          <w:lang w:val="sk-SK"/>
        </w:rPr>
      </w:pPr>
    </w:p>
    <w:p w14:paraId="1199558F" w14:textId="77777777" w:rsidR="00A75B3C" w:rsidRPr="003F23AC" w:rsidRDefault="000F5AA4" w:rsidP="003F23AC">
      <w:pPr>
        <w:pStyle w:val="P68B1DB1-Normal3"/>
        <w:numPr>
          <w:ilvl w:val="0"/>
          <w:numId w:val="19"/>
        </w:numPr>
        <w:spacing w:before="40" w:after="0" w:line="259" w:lineRule="auto"/>
        <w:jc w:val="both"/>
        <w:outlineLvl w:val="1"/>
        <w:rPr>
          <w:rFonts w:cs="Times New Roman"/>
          <w:noProof/>
          <w:lang w:val="sk-SK"/>
        </w:rPr>
      </w:pPr>
      <w:r w:rsidRPr="003F23AC">
        <w:rPr>
          <w:rFonts w:cs="Times New Roman"/>
          <w:noProof/>
          <w:lang w:val="sk-SK"/>
        </w:rPr>
        <w:t>Pôžička</w:t>
      </w:r>
    </w:p>
    <w:p w14:paraId="6BCD5950" w14:textId="071D7EE2" w:rsidR="00387C70" w:rsidRPr="003F23AC" w:rsidRDefault="000F5AA4" w:rsidP="003F23AC">
      <w:pPr>
        <w:pStyle w:val="P68B1DB1-Normal4"/>
        <w:spacing w:before="40" w:after="0" w:line="259" w:lineRule="auto"/>
        <w:jc w:val="both"/>
        <w:rPr>
          <w:rFonts w:eastAsiaTheme="minorEastAsia" w:cs="Times New Roman"/>
          <w:noProof/>
          <w:lang w:val="sk-SK"/>
        </w:rPr>
      </w:pPr>
      <w:r w:rsidRPr="003F23AC">
        <w:rPr>
          <w:rFonts w:cs="Times New Roman"/>
          <w:noProof/>
          <w:lang w:val="sk-SK"/>
        </w:rPr>
        <w:t>Splátky uvedené</w:t>
      </w:r>
      <w:r w:rsidR="00A75B3C" w:rsidRPr="003F23AC">
        <w:rPr>
          <w:rFonts w:cs="Times New Roman"/>
          <w:noProof/>
          <w:lang w:val="sk-SK"/>
        </w:rPr>
        <w:t xml:space="preserve"> v </w:t>
      </w:r>
      <w:r w:rsidRPr="003F23AC">
        <w:rPr>
          <w:rFonts w:cs="Times New Roman"/>
          <w:noProof/>
          <w:lang w:val="sk-SK"/>
        </w:rPr>
        <w:t>článku 3 ods. 2 sa organizujú takto:</w:t>
      </w:r>
    </w:p>
    <w:p w14:paraId="3FE85171" w14:textId="77777777" w:rsidR="00387C70" w:rsidRPr="003F23AC" w:rsidRDefault="00387C70" w:rsidP="003F23AC">
      <w:pPr>
        <w:spacing w:after="160" w:line="259" w:lineRule="auto"/>
        <w:ind w:left="360"/>
        <w:contextualSpacing/>
        <w:jc w:val="both"/>
        <w:rPr>
          <w:rFonts w:ascii="Times New Roman" w:eastAsiaTheme="minorEastAsia" w:hAnsi="Times New Roman" w:cs="Times New Roman"/>
          <w:noProof/>
          <w:sz w:val="24"/>
          <w:lang w:val="sk-SK"/>
        </w:rPr>
      </w:pPr>
    </w:p>
    <w:p w14:paraId="4E892DCC" w14:textId="7F8C5A6A" w:rsidR="00387C70" w:rsidRPr="003F23AC" w:rsidRDefault="000F5AA4" w:rsidP="003F23AC">
      <w:pPr>
        <w:pStyle w:val="P68B1DB1-Normal4"/>
        <w:numPr>
          <w:ilvl w:val="1"/>
          <w:numId w:val="19"/>
        </w:numPr>
        <w:spacing w:before="40" w:after="160" w:line="259" w:lineRule="auto"/>
        <w:contextualSpacing/>
        <w:jc w:val="both"/>
        <w:rPr>
          <w:rFonts w:eastAsiaTheme="minorEastAsia" w:cs="Times New Roman"/>
          <w:noProof/>
          <w:lang w:val="sk-SK"/>
        </w:rPr>
      </w:pPr>
      <w:r w:rsidRPr="003F23AC">
        <w:rPr>
          <w:rFonts w:cs="Times New Roman"/>
          <w:noProof/>
          <w:lang w:val="sk-SK"/>
        </w:rPr>
        <w:t>Prvá žiadosť</w:t>
      </w:r>
      <w:r w:rsidR="00A75B3C" w:rsidRPr="003F23AC">
        <w:rPr>
          <w:rFonts w:cs="Times New Roman"/>
          <w:noProof/>
          <w:lang w:val="sk-SK"/>
        </w:rPr>
        <w:t xml:space="preserve"> o </w:t>
      </w:r>
      <w:r w:rsidRPr="003F23AC">
        <w:rPr>
          <w:rFonts w:cs="Times New Roman"/>
          <w:noProof/>
          <w:lang w:val="sk-SK"/>
        </w:rPr>
        <w:t>platbu (úverová podpora):</w:t>
      </w:r>
    </w:p>
    <w:p w14:paraId="7FAECB77" w14:textId="77777777"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760"/>
        <w:gridCol w:w="1520"/>
        <w:gridCol w:w="5060"/>
      </w:tblGrid>
      <w:tr w:rsidR="00387C70" w:rsidRPr="003F23AC" w14:paraId="074834ED" w14:textId="77777777">
        <w:trPr>
          <w:trHeight w:val="509"/>
          <w:tblHeader/>
        </w:trPr>
        <w:tc>
          <w:tcPr>
            <w:tcW w:w="1200" w:type="dxa"/>
            <w:vMerge w:val="restart"/>
            <w:shd w:val="clear" w:color="auto" w:fill="BDD7EE"/>
            <w:vAlign w:val="center"/>
            <w:hideMark/>
          </w:tcPr>
          <w:p w14:paraId="6FC084B2"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vMerge w:val="restart"/>
            <w:shd w:val="clear" w:color="auto" w:fill="BDD7EE"/>
            <w:vAlign w:val="center"/>
            <w:hideMark/>
          </w:tcPr>
          <w:p w14:paraId="47AF933B"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vMerge w:val="restart"/>
            <w:shd w:val="clear" w:color="auto" w:fill="BDD7EE"/>
            <w:vAlign w:val="center"/>
            <w:hideMark/>
          </w:tcPr>
          <w:p w14:paraId="35B00DEF"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vMerge w:val="restart"/>
            <w:shd w:val="clear" w:color="auto" w:fill="BDD7EE"/>
            <w:vAlign w:val="center"/>
            <w:hideMark/>
          </w:tcPr>
          <w:p w14:paraId="3E1358F3"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69B5D785" w14:textId="77777777">
        <w:trPr>
          <w:trHeight w:val="509"/>
        </w:trPr>
        <w:tc>
          <w:tcPr>
            <w:tcW w:w="1200" w:type="dxa"/>
            <w:vMerge/>
            <w:vAlign w:val="center"/>
            <w:hideMark/>
          </w:tcPr>
          <w:p w14:paraId="782328FC"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1760" w:type="dxa"/>
            <w:vMerge/>
            <w:vAlign w:val="center"/>
            <w:hideMark/>
          </w:tcPr>
          <w:p w14:paraId="77E830EC"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1520" w:type="dxa"/>
            <w:vMerge/>
            <w:vAlign w:val="center"/>
            <w:hideMark/>
          </w:tcPr>
          <w:p w14:paraId="21A9C4CC"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5060" w:type="dxa"/>
            <w:vMerge/>
            <w:vAlign w:val="center"/>
            <w:hideMark/>
          </w:tcPr>
          <w:p w14:paraId="08EF91B7"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r>
      <w:tr w:rsidR="00387C70" w:rsidRPr="003F23AC" w14:paraId="231581F7" w14:textId="77777777">
        <w:trPr>
          <w:trHeight w:val="440"/>
        </w:trPr>
        <w:tc>
          <w:tcPr>
            <w:tcW w:w="1200" w:type="dxa"/>
            <w:shd w:val="clear" w:color="auto" w:fill="C4EFCE"/>
            <w:vAlign w:val="center"/>
            <w:hideMark/>
          </w:tcPr>
          <w:p w14:paraId="0019F272" w14:textId="77777777" w:rsidR="00387C70" w:rsidRPr="003F23AC" w:rsidRDefault="000F5AA4"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5.23</w:t>
            </w:r>
          </w:p>
        </w:tc>
        <w:tc>
          <w:tcPr>
            <w:tcW w:w="1760" w:type="dxa"/>
            <w:shd w:val="clear" w:color="auto" w:fill="C4EFCE"/>
            <w:vAlign w:val="center"/>
            <w:hideMark/>
          </w:tcPr>
          <w:p w14:paraId="7E76ACD1" w14:textId="40C4A5BC" w:rsidR="00387C70" w:rsidRPr="003F23AC" w:rsidRDefault="00F218FC"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C05-r10 </w:t>
            </w:r>
          </w:p>
        </w:tc>
        <w:tc>
          <w:tcPr>
            <w:tcW w:w="1520" w:type="dxa"/>
            <w:shd w:val="clear" w:color="auto" w:fill="C4EFCE"/>
            <w:vAlign w:val="center"/>
            <w:hideMark/>
          </w:tcPr>
          <w:p w14:paraId="29D0D0FA" w14:textId="77777777" w:rsidR="00387C70" w:rsidRPr="003F23AC" w:rsidRDefault="000F5AA4"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4AEDE275" w14:textId="5DCFE4C0" w:rsidR="00387C70" w:rsidRPr="003F23AC" w:rsidRDefault="000F5AA4" w:rsidP="003F23AC">
            <w:pPr>
              <w:pStyle w:val="P68B1DB1-Normal23"/>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Nadobudnutie účinnosti nariadenia, ktorým sa stanovujú činnosti</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stanovy Banco Português de Fomento (BPF)</w:t>
            </w:r>
          </w:p>
        </w:tc>
      </w:tr>
      <w:tr w:rsidR="00387C70" w:rsidRPr="003F23AC" w14:paraId="31564C75" w14:textId="77777777">
        <w:trPr>
          <w:trHeight w:val="440"/>
        </w:trPr>
        <w:tc>
          <w:tcPr>
            <w:tcW w:w="1200" w:type="dxa"/>
            <w:shd w:val="clear" w:color="auto" w:fill="C4EFCE"/>
            <w:vAlign w:val="center"/>
            <w:hideMark/>
          </w:tcPr>
          <w:p w14:paraId="0B27A3F2" w14:textId="77777777" w:rsidR="00387C70" w:rsidRPr="003F23AC" w:rsidRDefault="000F5AA4"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5.27</w:t>
            </w:r>
          </w:p>
        </w:tc>
        <w:tc>
          <w:tcPr>
            <w:tcW w:w="1760" w:type="dxa"/>
            <w:shd w:val="clear" w:color="auto" w:fill="C4EFCE"/>
            <w:vAlign w:val="center"/>
            <w:hideMark/>
          </w:tcPr>
          <w:p w14:paraId="0AC92BC5" w14:textId="315BFF2D" w:rsidR="00387C70" w:rsidRPr="003F23AC" w:rsidRDefault="00F218FC"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C05-i06 </w:t>
            </w:r>
          </w:p>
        </w:tc>
        <w:tc>
          <w:tcPr>
            <w:tcW w:w="1520" w:type="dxa"/>
            <w:shd w:val="clear" w:color="auto" w:fill="C4EFCE"/>
            <w:vAlign w:val="center"/>
            <w:hideMark/>
          </w:tcPr>
          <w:p w14:paraId="62A0E886" w14:textId="77777777" w:rsidR="00387C70" w:rsidRPr="003F23AC" w:rsidRDefault="000F5AA4"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52055337" w14:textId="77777777" w:rsidR="00387C70" w:rsidRPr="003F23AC" w:rsidRDefault="000F5AA4" w:rsidP="003F23AC">
            <w:pPr>
              <w:pStyle w:val="P68B1DB1-Normal23"/>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 xml:space="preserve">Nadobudnutie účinnosti zákonného dekrétu, ktorým sa upravuje kapitalizačné opatrenie BPF </w:t>
            </w:r>
          </w:p>
        </w:tc>
      </w:tr>
      <w:tr w:rsidR="00387C70" w:rsidRPr="003F23AC" w14:paraId="5DC5E664" w14:textId="77777777">
        <w:trPr>
          <w:trHeight w:val="440"/>
        </w:trPr>
        <w:tc>
          <w:tcPr>
            <w:tcW w:w="1200" w:type="dxa"/>
            <w:shd w:val="clear" w:color="auto" w:fill="C4EFCE"/>
            <w:vAlign w:val="center"/>
            <w:hideMark/>
          </w:tcPr>
          <w:p w14:paraId="56BFF86C" w14:textId="77777777" w:rsidR="00387C70" w:rsidRPr="003F23AC" w:rsidRDefault="000F5AA4"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5.28</w:t>
            </w:r>
          </w:p>
        </w:tc>
        <w:tc>
          <w:tcPr>
            <w:tcW w:w="1760" w:type="dxa"/>
            <w:shd w:val="clear" w:color="auto" w:fill="C4EFCE"/>
            <w:vAlign w:val="center"/>
            <w:hideMark/>
          </w:tcPr>
          <w:p w14:paraId="1DAA31DC" w14:textId="43F07843" w:rsidR="00387C70" w:rsidRPr="003F23AC" w:rsidRDefault="00F218FC"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C05-i06 </w:t>
            </w:r>
          </w:p>
        </w:tc>
        <w:tc>
          <w:tcPr>
            <w:tcW w:w="1520" w:type="dxa"/>
            <w:shd w:val="clear" w:color="auto" w:fill="C4EFCE"/>
            <w:vAlign w:val="center"/>
            <w:hideMark/>
          </w:tcPr>
          <w:p w14:paraId="25478A9B" w14:textId="77777777" w:rsidR="00387C70" w:rsidRPr="003F23AC" w:rsidRDefault="000F5AA4"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449D334D" w14:textId="6672D923" w:rsidR="00387C70" w:rsidRPr="003F23AC" w:rsidRDefault="000F5AA4" w:rsidP="003F23AC">
            <w:pPr>
              <w:pStyle w:val="P68B1DB1-Normal23"/>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Rozvoj investičnej politiky (kapitalizácia)</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prijatie správcom nástroja</w:t>
            </w:r>
          </w:p>
        </w:tc>
      </w:tr>
      <w:tr w:rsidR="00387C70" w:rsidRPr="003F23AC" w14:paraId="3FD88BF5" w14:textId="77777777">
        <w:trPr>
          <w:trHeight w:val="440"/>
        </w:trPr>
        <w:tc>
          <w:tcPr>
            <w:tcW w:w="1200" w:type="dxa"/>
            <w:shd w:val="clear" w:color="auto" w:fill="C4EFCE"/>
            <w:vAlign w:val="center"/>
            <w:hideMark/>
          </w:tcPr>
          <w:p w14:paraId="0C2466D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760" w:type="dxa"/>
            <w:shd w:val="clear" w:color="auto" w:fill="C4EFCE"/>
            <w:vAlign w:val="center"/>
            <w:hideMark/>
          </w:tcPr>
          <w:p w14:paraId="6B8B12A3"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520" w:type="dxa"/>
            <w:shd w:val="clear" w:color="auto" w:fill="C4EFCE"/>
            <w:vAlign w:val="center"/>
            <w:hideMark/>
          </w:tcPr>
          <w:p w14:paraId="5156D5B3" w14:textId="77777777" w:rsidR="00387C70" w:rsidRPr="003F23AC" w:rsidRDefault="000F5AA4" w:rsidP="003F23AC">
            <w:pPr>
              <w:pStyle w:val="P68B1DB1-Normal24"/>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Suma splátky</w:t>
            </w:r>
          </w:p>
        </w:tc>
        <w:tc>
          <w:tcPr>
            <w:tcW w:w="5060" w:type="dxa"/>
            <w:shd w:val="clear" w:color="auto" w:fill="C4EFCE"/>
            <w:vAlign w:val="center"/>
            <w:hideMark/>
          </w:tcPr>
          <w:p w14:paraId="0B510FD1" w14:textId="42A0B35C" w:rsidR="00387C70" w:rsidRPr="003F23AC" w:rsidRDefault="003A06C1" w:rsidP="003F23AC">
            <w:pPr>
              <w:pStyle w:val="P68B1DB1-Normal25"/>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EUR 700 000 000</w:t>
            </w:r>
          </w:p>
        </w:tc>
      </w:tr>
    </w:tbl>
    <w:p w14:paraId="717E1755" w14:textId="77777777" w:rsidR="00387C70" w:rsidRPr="003F23AC" w:rsidRDefault="00387C70" w:rsidP="003F23AC">
      <w:pPr>
        <w:spacing w:after="160" w:line="259" w:lineRule="auto"/>
        <w:contextualSpacing/>
        <w:jc w:val="both"/>
        <w:rPr>
          <w:rFonts w:ascii="Times New Roman" w:eastAsiaTheme="minorEastAsia" w:hAnsi="Times New Roman" w:cs="Times New Roman"/>
          <w:noProof/>
          <w:sz w:val="24"/>
          <w:lang w:val="sk-SK"/>
        </w:rPr>
      </w:pPr>
    </w:p>
    <w:p w14:paraId="0D521636" w14:textId="77777777" w:rsidR="00387C70" w:rsidRPr="003F23AC" w:rsidRDefault="00387C70" w:rsidP="003F23AC">
      <w:pPr>
        <w:spacing w:after="160" w:line="259" w:lineRule="auto"/>
        <w:contextualSpacing/>
        <w:jc w:val="both"/>
        <w:rPr>
          <w:rFonts w:ascii="Times New Roman" w:eastAsiaTheme="minorEastAsia" w:hAnsi="Times New Roman" w:cs="Times New Roman"/>
          <w:noProof/>
          <w:sz w:val="24"/>
          <w:lang w:val="sk-SK"/>
        </w:rPr>
      </w:pPr>
    </w:p>
    <w:p w14:paraId="2E52CF2B" w14:textId="269AAA17" w:rsidR="00A75B3C" w:rsidRPr="003F23AC" w:rsidRDefault="000F5AA4" w:rsidP="003F23AC">
      <w:pPr>
        <w:pStyle w:val="P68B1DB1-Normal4"/>
        <w:numPr>
          <w:ilvl w:val="1"/>
          <w:numId w:val="19"/>
        </w:numPr>
        <w:spacing w:before="40" w:after="160" w:line="259" w:lineRule="auto"/>
        <w:contextualSpacing/>
        <w:jc w:val="both"/>
        <w:rPr>
          <w:rFonts w:cs="Times New Roman"/>
          <w:noProof/>
          <w:lang w:val="sk-SK"/>
        </w:rPr>
      </w:pPr>
      <w:r w:rsidRPr="003F23AC">
        <w:rPr>
          <w:rFonts w:cs="Times New Roman"/>
          <w:noProof/>
          <w:lang w:val="sk-SK"/>
        </w:rPr>
        <w:t>Druhá žiadosť</w:t>
      </w:r>
      <w:r w:rsidR="00A75B3C" w:rsidRPr="003F23AC">
        <w:rPr>
          <w:rFonts w:cs="Times New Roman"/>
          <w:noProof/>
          <w:lang w:val="sk-SK"/>
        </w:rPr>
        <w:t xml:space="preserve"> o </w:t>
      </w:r>
      <w:r w:rsidRPr="003F23AC">
        <w:rPr>
          <w:rFonts w:cs="Times New Roman"/>
          <w:noProof/>
          <w:lang w:val="sk-SK"/>
        </w:rPr>
        <w:t>platbu (úverová podpora)</w:t>
      </w:r>
      <w:r w:rsidR="00A75B3C" w:rsidRPr="003F23AC">
        <w:rPr>
          <w:rFonts w:cs="Times New Roman"/>
          <w:noProof/>
          <w:lang w:val="sk-SK"/>
        </w:rPr>
        <w:t>:</w:t>
      </w:r>
    </w:p>
    <w:p w14:paraId="02E15ED7" w14:textId="72331FAB"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760"/>
        <w:gridCol w:w="1520"/>
        <w:gridCol w:w="5060"/>
      </w:tblGrid>
      <w:tr w:rsidR="00387C70" w:rsidRPr="003F23AC" w14:paraId="0EB2FB8A" w14:textId="77777777">
        <w:trPr>
          <w:trHeight w:val="509"/>
        </w:trPr>
        <w:tc>
          <w:tcPr>
            <w:tcW w:w="1200" w:type="dxa"/>
            <w:vMerge w:val="restart"/>
            <w:shd w:val="clear" w:color="auto" w:fill="BDD7EE"/>
            <w:vAlign w:val="center"/>
            <w:hideMark/>
          </w:tcPr>
          <w:p w14:paraId="1B001ABA"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vMerge w:val="restart"/>
            <w:shd w:val="clear" w:color="auto" w:fill="BDD7EE"/>
            <w:vAlign w:val="center"/>
            <w:hideMark/>
          </w:tcPr>
          <w:p w14:paraId="6E0E0306"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vMerge w:val="restart"/>
            <w:shd w:val="clear" w:color="auto" w:fill="BDD7EE"/>
            <w:vAlign w:val="center"/>
            <w:hideMark/>
          </w:tcPr>
          <w:p w14:paraId="2A96E987"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vMerge w:val="restart"/>
            <w:shd w:val="clear" w:color="auto" w:fill="BDD7EE"/>
            <w:vAlign w:val="center"/>
            <w:hideMark/>
          </w:tcPr>
          <w:p w14:paraId="7A89ACB1"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23B562DF" w14:textId="77777777">
        <w:trPr>
          <w:trHeight w:val="509"/>
        </w:trPr>
        <w:tc>
          <w:tcPr>
            <w:tcW w:w="1200" w:type="dxa"/>
            <w:vMerge/>
            <w:vAlign w:val="center"/>
            <w:hideMark/>
          </w:tcPr>
          <w:p w14:paraId="03688CB7"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1760" w:type="dxa"/>
            <w:vMerge/>
            <w:vAlign w:val="center"/>
            <w:hideMark/>
          </w:tcPr>
          <w:p w14:paraId="5CEB0911"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1520" w:type="dxa"/>
            <w:vMerge/>
            <w:vAlign w:val="center"/>
            <w:hideMark/>
          </w:tcPr>
          <w:p w14:paraId="3FC7C10B"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5060" w:type="dxa"/>
            <w:vMerge/>
            <w:vAlign w:val="center"/>
            <w:hideMark/>
          </w:tcPr>
          <w:p w14:paraId="6D45A41A"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r>
      <w:tr w:rsidR="00387C70" w:rsidRPr="003F23AC" w14:paraId="1570ABB6" w14:textId="77777777">
        <w:trPr>
          <w:trHeight w:val="440"/>
        </w:trPr>
        <w:tc>
          <w:tcPr>
            <w:tcW w:w="1200" w:type="dxa"/>
            <w:shd w:val="clear" w:color="auto" w:fill="C4EFCE"/>
            <w:vAlign w:val="center"/>
            <w:hideMark/>
          </w:tcPr>
          <w:p w14:paraId="009ECE5F" w14:textId="77777777" w:rsidR="00387C70" w:rsidRPr="003F23AC" w:rsidRDefault="000F5AA4"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5.30</w:t>
            </w:r>
          </w:p>
        </w:tc>
        <w:tc>
          <w:tcPr>
            <w:tcW w:w="1760" w:type="dxa"/>
            <w:shd w:val="clear" w:color="auto" w:fill="C4EFCE"/>
            <w:vAlign w:val="center"/>
            <w:hideMark/>
          </w:tcPr>
          <w:p w14:paraId="675FBF51" w14:textId="3EC877B9" w:rsidR="00387C70" w:rsidRPr="003F23AC" w:rsidRDefault="00F218FC"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C05-i06 </w:t>
            </w:r>
          </w:p>
        </w:tc>
        <w:tc>
          <w:tcPr>
            <w:tcW w:w="1520" w:type="dxa"/>
            <w:shd w:val="clear" w:color="auto" w:fill="C4EFCE"/>
            <w:vAlign w:val="center"/>
            <w:hideMark/>
          </w:tcPr>
          <w:p w14:paraId="5F3B7817" w14:textId="77777777" w:rsidR="00387C70" w:rsidRPr="003F23AC" w:rsidRDefault="000F5AA4"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077B04B8" w14:textId="302546BE" w:rsidR="00387C70" w:rsidRPr="003F23AC" w:rsidRDefault="000F5AA4" w:rsidP="003F23AC">
            <w:pPr>
              <w:pStyle w:val="P68B1DB1-Normal23"/>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Oznámenie Európskej komisii</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úspešnom absolvovaní posúdenia pilierov pre BPF</w:t>
            </w:r>
          </w:p>
        </w:tc>
      </w:tr>
      <w:tr w:rsidR="00387C70" w:rsidRPr="003F23AC" w14:paraId="4F63CB2A" w14:textId="77777777">
        <w:trPr>
          <w:trHeight w:val="440"/>
        </w:trPr>
        <w:tc>
          <w:tcPr>
            <w:tcW w:w="1200" w:type="dxa"/>
            <w:shd w:val="clear" w:color="auto" w:fill="C4EFCE"/>
            <w:vAlign w:val="center"/>
            <w:hideMark/>
          </w:tcPr>
          <w:p w14:paraId="1E7826AF" w14:textId="77777777" w:rsidR="00387C70" w:rsidRPr="003F23AC" w:rsidRDefault="000F5AA4"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5.31</w:t>
            </w:r>
          </w:p>
        </w:tc>
        <w:tc>
          <w:tcPr>
            <w:tcW w:w="1760" w:type="dxa"/>
            <w:shd w:val="clear" w:color="auto" w:fill="C4EFCE"/>
            <w:vAlign w:val="center"/>
            <w:hideMark/>
          </w:tcPr>
          <w:p w14:paraId="0270B895" w14:textId="113AC6EA" w:rsidR="00387C70" w:rsidRPr="003F23AC" w:rsidRDefault="00F218FC"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C05-i06 </w:t>
            </w:r>
          </w:p>
        </w:tc>
        <w:tc>
          <w:tcPr>
            <w:tcW w:w="1520" w:type="dxa"/>
            <w:shd w:val="clear" w:color="auto" w:fill="C4EFCE"/>
            <w:vAlign w:val="center"/>
            <w:hideMark/>
          </w:tcPr>
          <w:p w14:paraId="3965D7AA" w14:textId="77777777" w:rsidR="00387C70" w:rsidRPr="003F23AC" w:rsidRDefault="000F5AA4"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130F5CB2" w14:textId="457A6628" w:rsidR="00387C70" w:rsidRPr="003F23AC" w:rsidRDefault="000F5AA4" w:rsidP="003F23AC">
            <w:pPr>
              <w:pStyle w:val="P68B1DB1-Normal23"/>
              <w:spacing w:after="0" w:line="240" w:lineRule="auto"/>
              <w:jc w:val="both"/>
              <w:rPr>
                <w:rFonts w:ascii="Times New Roman" w:eastAsia="Times New Roman" w:hAnsi="Times New Roman" w:cs="Times New Roman"/>
                <w:noProof/>
                <w:lang w:val="sk-SK"/>
              </w:rPr>
            </w:pPr>
            <w:r w:rsidRPr="003F23AC">
              <w:rPr>
                <w:rFonts w:ascii="Times New Roman" w:hAnsi="Times New Roman" w:cs="Times New Roman"/>
                <w:noProof/>
                <w:lang w:val="sk-SK"/>
              </w:rPr>
              <w:t>Prevod kapitálu vo výške 250 000 000 EUR od portugalskej vlády do BPF</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prijatie investičnej politiky pre BPF</w:t>
            </w:r>
          </w:p>
        </w:tc>
      </w:tr>
      <w:tr w:rsidR="00387C70" w:rsidRPr="003F23AC" w14:paraId="5DF0FC8C" w14:textId="77777777">
        <w:trPr>
          <w:trHeight w:val="440"/>
        </w:trPr>
        <w:tc>
          <w:tcPr>
            <w:tcW w:w="1200" w:type="dxa"/>
            <w:shd w:val="clear" w:color="auto" w:fill="C4EFCE"/>
            <w:vAlign w:val="center"/>
            <w:hideMark/>
          </w:tcPr>
          <w:p w14:paraId="4275F46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760" w:type="dxa"/>
            <w:shd w:val="clear" w:color="auto" w:fill="C4EFCE"/>
            <w:vAlign w:val="center"/>
            <w:hideMark/>
          </w:tcPr>
          <w:p w14:paraId="422F0890"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520" w:type="dxa"/>
            <w:shd w:val="clear" w:color="auto" w:fill="C4EFCE"/>
            <w:vAlign w:val="center"/>
            <w:hideMark/>
          </w:tcPr>
          <w:p w14:paraId="216845AB" w14:textId="77777777" w:rsidR="00387C70" w:rsidRPr="003F23AC" w:rsidRDefault="000F5AA4" w:rsidP="003F23AC">
            <w:pPr>
              <w:pStyle w:val="P68B1DB1-Normal24"/>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Suma splátky</w:t>
            </w:r>
          </w:p>
        </w:tc>
        <w:tc>
          <w:tcPr>
            <w:tcW w:w="5060" w:type="dxa"/>
            <w:shd w:val="clear" w:color="auto" w:fill="C4EFCE"/>
            <w:vAlign w:val="center"/>
            <w:hideMark/>
          </w:tcPr>
          <w:p w14:paraId="3845844B" w14:textId="0BAAED69" w:rsidR="00387C70" w:rsidRPr="003F23AC" w:rsidRDefault="003A06C1" w:rsidP="003F23AC">
            <w:pPr>
              <w:pStyle w:val="P68B1DB1-Normal25"/>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EUR 125 000 000</w:t>
            </w:r>
          </w:p>
        </w:tc>
      </w:tr>
    </w:tbl>
    <w:p w14:paraId="011575C2" w14:textId="77777777"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p w14:paraId="2F53405C" w14:textId="77777777"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p w14:paraId="40B2CB32" w14:textId="25D06129" w:rsidR="00A75B3C" w:rsidRPr="003F23AC" w:rsidRDefault="000F5AA4" w:rsidP="003F23AC">
      <w:pPr>
        <w:pStyle w:val="P68B1DB1-Normal4"/>
        <w:numPr>
          <w:ilvl w:val="1"/>
          <w:numId w:val="19"/>
        </w:numPr>
        <w:spacing w:before="40" w:after="160" w:line="259" w:lineRule="auto"/>
        <w:contextualSpacing/>
        <w:jc w:val="both"/>
        <w:rPr>
          <w:rFonts w:cs="Times New Roman"/>
          <w:noProof/>
          <w:lang w:val="sk-SK"/>
        </w:rPr>
      </w:pPr>
      <w:r w:rsidRPr="003F23AC">
        <w:rPr>
          <w:rFonts w:cs="Times New Roman"/>
          <w:noProof/>
          <w:lang w:val="sk-SK"/>
        </w:rPr>
        <w:t>Tretia žiadosť</w:t>
      </w:r>
      <w:r w:rsidR="00A75B3C" w:rsidRPr="003F23AC">
        <w:rPr>
          <w:rFonts w:cs="Times New Roman"/>
          <w:noProof/>
          <w:lang w:val="sk-SK"/>
        </w:rPr>
        <w:t xml:space="preserve"> o </w:t>
      </w:r>
      <w:r w:rsidRPr="003F23AC">
        <w:rPr>
          <w:rFonts w:cs="Times New Roman"/>
          <w:noProof/>
          <w:lang w:val="sk-SK"/>
        </w:rPr>
        <w:t>platbu (úverová podpora)</w:t>
      </w:r>
      <w:r w:rsidR="00A75B3C" w:rsidRPr="003F23AC">
        <w:rPr>
          <w:rFonts w:cs="Times New Roman"/>
          <w:noProof/>
          <w:lang w:val="sk-SK"/>
        </w:rPr>
        <w:t>:</w:t>
      </w:r>
    </w:p>
    <w:p w14:paraId="45710B93" w14:textId="39E27BC3"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760"/>
        <w:gridCol w:w="1520"/>
        <w:gridCol w:w="5060"/>
      </w:tblGrid>
      <w:tr w:rsidR="00387C70" w:rsidRPr="003F23AC" w14:paraId="56F1D039" w14:textId="77777777">
        <w:trPr>
          <w:trHeight w:val="509"/>
          <w:tblHeader/>
        </w:trPr>
        <w:tc>
          <w:tcPr>
            <w:tcW w:w="1200" w:type="dxa"/>
            <w:vMerge w:val="restart"/>
            <w:shd w:val="clear" w:color="auto" w:fill="BDD7EE"/>
            <w:vAlign w:val="center"/>
            <w:hideMark/>
          </w:tcPr>
          <w:p w14:paraId="1CD5E8AC"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vMerge w:val="restart"/>
            <w:shd w:val="clear" w:color="auto" w:fill="BDD7EE"/>
            <w:vAlign w:val="center"/>
            <w:hideMark/>
          </w:tcPr>
          <w:p w14:paraId="554BDD9C"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vMerge w:val="restart"/>
            <w:shd w:val="clear" w:color="auto" w:fill="BDD7EE"/>
            <w:vAlign w:val="center"/>
            <w:hideMark/>
          </w:tcPr>
          <w:p w14:paraId="5A817C51"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vMerge w:val="restart"/>
            <w:shd w:val="clear" w:color="auto" w:fill="BDD7EE"/>
            <w:vAlign w:val="center"/>
            <w:hideMark/>
          </w:tcPr>
          <w:p w14:paraId="348B16AE"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54C48B88" w14:textId="77777777">
        <w:trPr>
          <w:trHeight w:val="509"/>
          <w:tblHeader/>
        </w:trPr>
        <w:tc>
          <w:tcPr>
            <w:tcW w:w="1200" w:type="dxa"/>
            <w:vMerge/>
            <w:vAlign w:val="center"/>
            <w:hideMark/>
          </w:tcPr>
          <w:p w14:paraId="15CE11B2"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1760" w:type="dxa"/>
            <w:vMerge/>
            <w:vAlign w:val="center"/>
            <w:hideMark/>
          </w:tcPr>
          <w:p w14:paraId="1D899E3A"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1520" w:type="dxa"/>
            <w:vMerge/>
            <w:vAlign w:val="center"/>
            <w:hideMark/>
          </w:tcPr>
          <w:p w14:paraId="4387D244"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5060" w:type="dxa"/>
            <w:vMerge/>
            <w:vAlign w:val="center"/>
            <w:hideMark/>
          </w:tcPr>
          <w:p w14:paraId="4C9A4136"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r>
      <w:tr w:rsidR="00387C70" w:rsidRPr="003F23AC" w14:paraId="30E391F9" w14:textId="77777777">
        <w:trPr>
          <w:trHeight w:val="440"/>
        </w:trPr>
        <w:tc>
          <w:tcPr>
            <w:tcW w:w="1200" w:type="dxa"/>
            <w:shd w:val="clear" w:color="auto" w:fill="C4EFCE"/>
            <w:vAlign w:val="center"/>
          </w:tcPr>
          <w:p w14:paraId="1329D539"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2.20</w:t>
            </w:r>
          </w:p>
        </w:tc>
        <w:tc>
          <w:tcPr>
            <w:tcW w:w="1760" w:type="dxa"/>
            <w:shd w:val="clear" w:color="auto" w:fill="C4EFCE"/>
            <w:vAlign w:val="center"/>
          </w:tcPr>
          <w:p w14:paraId="46E5A600" w14:textId="3BC1E43B"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C02-i05</w:t>
            </w:r>
          </w:p>
        </w:tc>
        <w:tc>
          <w:tcPr>
            <w:tcW w:w="1520" w:type="dxa"/>
            <w:shd w:val="clear" w:color="auto" w:fill="C4EFCE"/>
            <w:vAlign w:val="center"/>
          </w:tcPr>
          <w:p w14:paraId="731E33FA" w14:textId="60B9F8CB"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tcPr>
          <w:p w14:paraId="68BCDFD3" w14:textId="37A2F6DF" w:rsidR="00387C70" w:rsidRPr="003F23AC" w:rsidRDefault="000F5AA4" w:rsidP="003F23AC">
            <w:pPr>
              <w:pStyle w:val="P68B1DB1-Normal23"/>
              <w:spacing w:after="0"/>
              <w:jc w:val="both"/>
              <w:rPr>
                <w:rFonts w:ascii="Times New Roman" w:hAnsi="Times New Roman" w:cs="Times New Roman"/>
                <w:noProof/>
                <w:lang w:val="sk-SK"/>
              </w:rPr>
            </w:pPr>
            <w:r w:rsidRPr="003F23AC">
              <w:rPr>
                <w:rFonts w:ascii="Times New Roman" w:hAnsi="Times New Roman" w:cs="Times New Roman"/>
                <w:noProof/>
                <w:lang w:val="sk-SK"/>
              </w:rPr>
              <w:t>Fond cenovo dostupného verejného bývania – obydlia so začiatkom práce (vybudované</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vysokou energetickou účinnosťou alebo renovované so zlepšenou energetickou hospodárnosťou)</w:t>
            </w:r>
          </w:p>
        </w:tc>
      </w:tr>
      <w:tr w:rsidR="00387C70" w:rsidRPr="003F23AC" w14:paraId="74203895" w14:textId="77777777">
        <w:trPr>
          <w:trHeight w:val="440"/>
        </w:trPr>
        <w:tc>
          <w:tcPr>
            <w:tcW w:w="1200" w:type="dxa"/>
            <w:shd w:val="clear" w:color="auto" w:fill="C4EFCE"/>
            <w:vAlign w:val="center"/>
            <w:hideMark/>
          </w:tcPr>
          <w:p w14:paraId="2563BBA6"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2.25</w:t>
            </w:r>
          </w:p>
        </w:tc>
        <w:tc>
          <w:tcPr>
            <w:tcW w:w="1760" w:type="dxa"/>
            <w:shd w:val="clear" w:color="auto" w:fill="C4EFCE"/>
            <w:vAlign w:val="center"/>
            <w:hideMark/>
          </w:tcPr>
          <w:p w14:paraId="7E22A000" w14:textId="57025DC6"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C02-i06</w:t>
            </w:r>
          </w:p>
        </w:tc>
        <w:tc>
          <w:tcPr>
            <w:tcW w:w="1520" w:type="dxa"/>
            <w:shd w:val="clear" w:color="auto" w:fill="C4EFCE"/>
            <w:vAlign w:val="center"/>
            <w:hideMark/>
          </w:tcPr>
          <w:p w14:paraId="116111E5" w14:textId="2F20738A" w:rsidR="00387C70" w:rsidRPr="003F23AC" w:rsidRDefault="00C32C63"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53F83543" w14:textId="77777777" w:rsidR="00387C70" w:rsidRPr="003F23AC" w:rsidRDefault="000F5AA4" w:rsidP="003F23AC">
            <w:pPr>
              <w:pStyle w:val="P68B1DB1-Normal23"/>
              <w:spacing w:after="0"/>
              <w:jc w:val="both"/>
              <w:rPr>
                <w:rFonts w:ascii="Times New Roman" w:hAnsi="Times New Roman" w:cs="Times New Roman"/>
                <w:noProof/>
                <w:lang w:val="sk-SK"/>
              </w:rPr>
            </w:pPr>
            <w:r w:rsidRPr="003F23AC">
              <w:rPr>
                <w:rFonts w:ascii="Times New Roman" w:hAnsi="Times New Roman" w:cs="Times New Roman"/>
                <w:noProof/>
                <w:lang w:val="sk-SK"/>
              </w:rPr>
              <w:t>Ubytovanie pre študentov za prijateľné ceny – počet ubytovacích miest pre študentov so začatou verejnou súťažou</w:t>
            </w:r>
          </w:p>
        </w:tc>
      </w:tr>
      <w:tr w:rsidR="00387C70" w:rsidRPr="003F23AC" w14:paraId="30722990" w14:textId="77777777">
        <w:trPr>
          <w:trHeight w:val="440"/>
        </w:trPr>
        <w:tc>
          <w:tcPr>
            <w:tcW w:w="1200" w:type="dxa"/>
            <w:shd w:val="clear" w:color="auto" w:fill="C4EFCE"/>
            <w:vAlign w:val="center"/>
            <w:hideMark/>
          </w:tcPr>
          <w:p w14:paraId="1327A5E4"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5.24</w:t>
            </w:r>
          </w:p>
        </w:tc>
        <w:tc>
          <w:tcPr>
            <w:tcW w:w="1760" w:type="dxa"/>
            <w:shd w:val="clear" w:color="auto" w:fill="C4EFCE"/>
            <w:vAlign w:val="center"/>
            <w:hideMark/>
          </w:tcPr>
          <w:p w14:paraId="7313D5BF" w14:textId="3C2F299E"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 </w:t>
            </w:r>
            <w:r w:rsidR="00F218FC" w:rsidRPr="003F23AC">
              <w:rPr>
                <w:rFonts w:ascii="Times New Roman" w:hAnsi="Times New Roman" w:cs="Times New Roman"/>
                <w:noProof/>
                <w:lang w:val="sk-SK"/>
              </w:rPr>
              <w:t>RE-</w:t>
            </w:r>
            <w:r w:rsidRPr="003F23AC">
              <w:rPr>
                <w:rFonts w:ascii="Times New Roman" w:hAnsi="Times New Roman" w:cs="Times New Roman"/>
                <w:noProof/>
                <w:lang w:val="sk-SK"/>
              </w:rPr>
              <w:t>C05-r13</w:t>
            </w:r>
          </w:p>
        </w:tc>
        <w:tc>
          <w:tcPr>
            <w:tcW w:w="1520" w:type="dxa"/>
            <w:shd w:val="clear" w:color="auto" w:fill="C4EFCE"/>
            <w:vAlign w:val="center"/>
            <w:hideMark/>
          </w:tcPr>
          <w:p w14:paraId="5AFBE9E2"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0D4879B7" w14:textId="77777777" w:rsidR="00387C70" w:rsidRPr="003F23AC" w:rsidRDefault="000F5AA4" w:rsidP="003F23AC">
            <w:pPr>
              <w:pStyle w:val="P68B1DB1-Normal23"/>
              <w:spacing w:after="0"/>
              <w:jc w:val="both"/>
              <w:rPr>
                <w:rFonts w:ascii="Times New Roman" w:hAnsi="Times New Roman" w:cs="Times New Roman"/>
                <w:noProof/>
                <w:lang w:val="sk-SK"/>
              </w:rPr>
            </w:pPr>
            <w:r w:rsidRPr="003F23AC">
              <w:rPr>
                <w:rFonts w:ascii="Times New Roman" w:hAnsi="Times New Roman" w:cs="Times New Roman"/>
                <w:noProof/>
                <w:lang w:val="sk-SK"/>
              </w:rPr>
              <w:t>Nadobudnutie účinnosti revízie právneho rámca pre podniky kolektívneho investovania</w:t>
            </w:r>
          </w:p>
        </w:tc>
      </w:tr>
      <w:tr w:rsidR="00387C70" w:rsidRPr="003F23AC" w14:paraId="37C006F7" w14:textId="77777777">
        <w:trPr>
          <w:trHeight w:val="440"/>
        </w:trPr>
        <w:tc>
          <w:tcPr>
            <w:tcW w:w="1200" w:type="dxa"/>
            <w:shd w:val="clear" w:color="auto" w:fill="C4EFCE"/>
            <w:vAlign w:val="center"/>
            <w:hideMark/>
          </w:tcPr>
          <w:p w14:paraId="26B1491D"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5.25</w:t>
            </w:r>
          </w:p>
        </w:tc>
        <w:tc>
          <w:tcPr>
            <w:tcW w:w="1760" w:type="dxa"/>
            <w:shd w:val="clear" w:color="auto" w:fill="C4EFCE"/>
            <w:vAlign w:val="center"/>
            <w:hideMark/>
          </w:tcPr>
          <w:p w14:paraId="7A4EA22B" w14:textId="0C947321"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 xml:space="preserve"> </w:t>
            </w:r>
            <w:r w:rsidR="00F218FC" w:rsidRPr="003F23AC">
              <w:rPr>
                <w:rFonts w:ascii="Times New Roman" w:hAnsi="Times New Roman" w:cs="Times New Roman"/>
                <w:noProof/>
                <w:lang w:val="sk-SK"/>
              </w:rPr>
              <w:t>RE-</w:t>
            </w:r>
            <w:r w:rsidRPr="003F23AC">
              <w:rPr>
                <w:rFonts w:ascii="Times New Roman" w:hAnsi="Times New Roman" w:cs="Times New Roman"/>
                <w:noProof/>
                <w:lang w:val="sk-SK"/>
              </w:rPr>
              <w:t>C05-r13</w:t>
            </w:r>
          </w:p>
        </w:tc>
        <w:tc>
          <w:tcPr>
            <w:tcW w:w="1520" w:type="dxa"/>
            <w:shd w:val="clear" w:color="auto" w:fill="C4EFCE"/>
            <w:vAlign w:val="center"/>
            <w:hideMark/>
          </w:tcPr>
          <w:p w14:paraId="35B03426"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43CD5844" w14:textId="25D1FCF3" w:rsidR="00387C70" w:rsidRPr="003F23AC" w:rsidRDefault="000F5AA4" w:rsidP="003F23AC">
            <w:pPr>
              <w:pStyle w:val="P68B1DB1-Normal23"/>
              <w:spacing w:after="0"/>
              <w:jc w:val="both"/>
              <w:rPr>
                <w:rFonts w:ascii="Times New Roman" w:hAnsi="Times New Roman" w:cs="Times New Roman"/>
                <w:noProof/>
                <w:lang w:val="sk-SK"/>
              </w:rPr>
            </w:pPr>
            <w:r w:rsidRPr="003F23AC">
              <w:rPr>
                <w:rFonts w:ascii="Times New Roman" w:hAnsi="Times New Roman" w:cs="Times New Roman"/>
                <w:noProof/>
                <w:lang w:val="sk-SK"/>
              </w:rPr>
              <w:t>Nadobudnutie účinnosti revízie zákona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kódexe cenných papierov</w:t>
            </w:r>
          </w:p>
        </w:tc>
      </w:tr>
      <w:tr w:rsidR="00387C70" w:rsidRPr="003F23AC" w14:paraId="3107CF2B" w14:textId="77777777">
        <w:trPr>
          <w:trHeight w:val="440"/>
        </w:trPr>
        <w:tc>
          <w:tcPr>
            <w:tcW w:w="1200" w:type="dxa"/>
            <w:shd w:val="clear" w:color="auto" w:fill="C4EFCE"/>
            <w:vAlign w:val="center"/>
            <w:hideMark/>
          </w:tcPr>
          <w:p w14:paraId="5CD7F889"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7.9</w:t>
            </w:r>
          </w:p>
        </w:tc>
        <w:tc>
          <w:tcPr>
            <w:tcW w:w="1760" w:type="dxa"/>
            <w:shd w:val="clear" w:color="auto" w:fill="C4EFCE"/>
            <w:vAlign w:val="center"/>
            <w:hideMark/>
          </w:tcPr>
          <w:p w14:paraId="6466928F" w14:textId="55D6DEC3" w:rsidR="00387C70" w:rsidRPr="003F23AC" w:rsidRDefault="00F218FC"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C07-i03 </w:t>
            </w:r>
          </w:p>
        </w:tc>
        <w:tc>
          <w:tcPr>
            <w:tcW w:w="1520" w:type="dxa"/>
            <w:shd w:val="clear" w:color="auto" w:fill="C4EFCE"/>
            <w:vAlign w:val="center"/>
            <w:hideMark/>
          </w:tcPr>
          <w:p w14:paraId="4E115C47" w14:textId="77777777" w:rsidR="00387C70" w:rsidRPr="003F23AC" w:rsidRDefault="000F5AA4" w:rsidP="003F23AC">
            <w:pPr>
              <w:pStyle w:val="P68B1DB1-Normal23"/>
              <w:spacing w:after="0"/>
              <w:jc w:val="center"/>
              <w:rPr>
                <w:rFonts w:ascii="Times New Roman"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0B0DF1F4" w14:textId="77777777" w:rsidR="00387C70" w:rsidRPr="003F23AC" w:rsidRDefault="000F5AA4" w:rsidP="003F23AC">
            <w:pPr>
              <w:pStyle w:val="P68B1DB1-Normal23"/>
              <w:spacing w:after="0"/>
              <w:jc w:val="both"/>
              <w:rPr>
                <w:rFonts w:ascii="Times New Roman" w:hAnsi="Times New Roman" w:cs="Times New Roman"/>
                <w:noProof/>
                <w:lang w:val="sk-SK"/>
              </w:rPr>
            </w:pPr>
            <w:r w:rsidRPr="003F23AC">
              <w:rPr>
                <w:rFonts w:ascii="Times New Roman" w:hAnsi="Times New Roman" w:cs="Times New Roman"/>
                <w:noProof/>
                <w:lang w:val="sk-SK"/>
              </w:rPr>
              <w:t>Prvé posúdenie vplyvov na životné prostredie dokončené</w:t>
            </w:r>
          </w:p>
        </w:tc>
      </w:tr>
      <w:tr w:rsidR="00387C70" w:rsidRPr="003F23AC" w14:paraId="652BE136" w14:textId="77777777">
        <w:trPr>
          <w:trHeight w:val="440"/>
        </w:trPr>
        <w:tc>
          <w:tcPr>
            <w:tcW w:w="1200" w:type="dxa"/>
            <w:shd w:val="clear" w:color="auto" w:fill="C4EFCE"/>
            <w:vAlign w:val="center"/>
            <w:hideMark/>
          </w:tcPr>
          <w:p w14:paraId="13A380F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760" w:type="dxa"/>
            <w:shd w:val="clear" w:color="auto" w:fill="C4EFCE"/>
            <w:vAlign w:val="center"/>
            <w:hideMark/>
          </w:tcPr>
          <w:p w14:paraId="02962246"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520" w:type="dxa"/>
            <w:shd w:val="clear" w:color="auto" w:fill="C4EFCE"/>
            <w:vAlign w:val="center"/>
            <w:hideMark/>
          </w:tcPr>
          <w:p w14:paraId="54AD9BEA" w14:textId="77777777" w:rsidR="00387C70" w:rsidRPr="003F23AC" w:rsidRDefault="000F5AA4" w:rsidP="003F23AC">
            <w:pPr>
              <w:pStyle w:val="P68B1DB1-Normal24"/>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Suma splátky</w:t>
            </w:r>
          </w:p>
        </w:tc>
        <w:tc>
          <w:tcPr>
            <w:tcW w:w="5060" w:type="dxa"/>
            <w:shd w:val="clear" w:color="auto" w:fill="C4EFCE"/>
            <w:vAlign w:val="center"/>
            <w:hideMark/>
          </w:tcPr>
          <w:p w14:paraId="23433A9A" w14:textId="2653F7EC" w:rsidR="00387C70" w:rsidRPr="003F23AC" w:rsidRDefault="003A06C1" w:rsidP="003F23AC">
            <w:pPr>
              <w:pStyle w:val="P68B1DB1-Normal25"/>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EUR 379 431 726</w:t>
            </w:r>
          </w:p>
        </w:tc>
      </w:tr>
    </w:tbl>
    <w:p w14:paraId="5F6BC874"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44F6034D"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36EC9C9B" w14:textId="08110B0D" w:rsidR="00A75B3C" w:rsidRPr="003F23AC" w:rsidRDefault="000F5AA4" w:rsidP="003F23AC">
      <w:pPr>
        <w:pStyle w:val="P68B1DB1-Normal4"/>
        <w:numPr>
          <w:ilvl w:val="1"/>
          <w:numId w:val="19"/>
        </w:numPr>
        <w:spacing w:before="40" w:after="160" w:line="259" w:lineRule="auto"/>
        <w:contextualSpacing/>
        <w:jc w:val="both"/>
        <w:rPr>
          <w:rFonts w:cs="Times New Roman"/>
          <w:noProof/>
          <w:lang w:val="sk-SK"/>
        </w:rPr>
      </w:pPr>
      <w:r w:rsidRPr="003F23AC">
        <w:rPr>
          <w:rFonts w:cs="Times New Roman"/>
          <w:noProof/>
          <w:lang w:val="sk-SK"/>
        </w:rPr>
        <w:t>Štvrtá žiadosť</w:t>
      </w:r>
      <w:r w:rsidR="00A75B3C" w:rsidRPr="003F23AC">
        <w:rPr>
          <w:rFonts w:cs="Times New Roman"/>
          <w:noProof/>
          <w:lang w:val="sk-SK"/>
        </w:rPr>
        <w:t xml:space="preserve"> o </w:t>
      </w:r>
      <w:r w:rsidRPr="003F23AC">
        <w:rPr>
          <w:rFonts w:cs="Times New Roman"/>
          <w:noProof/>
          <w:lang w:val="sk-SK"/>
        </w:rPr>
        <w:t>platbu (úverová podpora)</w:t>
      </w:r>
      <w:r w:rsidR="00A75B3C" w:rsidRPr="003F23AC">
        <w:rPr>
          <w:rFonts w:cs="Times New Roman"/>
          <w:noProof/>
          <w:lang w:val="sk-SK"/>
        </w:rPr>
        <w:t>:</w:t>
      </w:r>
    </w:p>
    <w:p w14:paraId="1272C240" w14:textId="262A1176"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760"/>
        <w:gridCol w:w="1520"/>
        <w:gridCol w:w="5060"/>
      </w:tblGrid>
      <w:tr w:rsidR="00387C70" w:rsidRPr="003F23AC" w14:paraId="238EAFDB" w14:textId="77777777">
        <w:trPr>
          <w:trHeight w:val="1018"/>
        </w:trPr>
        <w:tc>
          <w:tcPr>
            <w:tcW w:w="1200" w:type="dxa"/>
            <w:shd w:val="clear" w:color="auto" w:fill="BDD7EE"/>
            <w:vAlign w:val="center"/>
            <w:hideMark/>
          </w:tcPr>
          <w:p w14:paraId="5792BC42"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shd w:val="clear" w:color="auto" w:fill="BDD7EE"/>
            <w:vAlign w:val="center"/>
            <w:hideMark/>
          </w:tcPr>
          <w:p w14:paraId="334D13DB"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shd w:val="clear" w:color="auto" w:fill="BDD7EE"/>
            <w:vAlign w:val="center"/>
            <w:hideMark/>
          </w:tcPr>
          <w:p w14:paraId="2EFF9745"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shd w:val="clear" w:color="auto" w:fill="BDD7EE"/>
            <w:vAlign w:val="center"/>
            <w:hideMark/>
          </w:tcPr>
          <w:p w14:paraId="1E5AFC53"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2B0F91C7" w14:textId="77777777">
        <w:trPr>
          <w:trHeight w:val="440"/>
        </w:trPr>
        <w:tc>
          <w:tcPr>
            <w:tcW w:w="1200" w:type="dxa"/>
            <w:shd w:val="clear" w:color="auto" w:fill="C4EFCE"/>
            <w:vAlign w:val="center"/>
            <w:hideMark/>
          </w:tcPr>
          <w:p w14:paraId="33FD24C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5.44</w:t>
            </w:r>
          </w:p>
        </w:tc>
        <w:tc>
          <w:tcPr>
            <w:tcW w:w="1760" w:type="dxa"/>
            <w:shd w:val="clear" w:color="auto" w:fill="C4EFCE"/>
            <w:vAlign w:val="center"/>
            <w:hideMark/>
          </w:tcPr>
          <w:p w14:paraId="11788CF6" w14:textId="64E05869"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 xml:space="preserve">C05-i11 </w:t>
            </w:r>
          </w:p>
        </w:tc>
        <w:tc>
          <w:tcPr>
            <w:tcW w:w="1520" w:type="dxa"/>
            <w:shd w:val="clear" w:color="auto" w:fill="C4EFCE"/>
            <w:vAlign w:val="center"/>
            <w:hideMark/>
          </w:tcPr>
          <w:p w14:paraId="58C4625A" w14:textId="3321B440"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00FDFE40" w14:textId="6126413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Uzatváranie zmlúv na vývoj nových produktov, procesov alebo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príslušných strategických oblastiach (inovačné programy).</w:t>
            </w:r>
          </w:p>
        </w:tc>
      </w:tr>
      <w:tr w:rsidR="00387C70" w:rsidRPr="003F23AC" w14:paraId="7151D914" w14:textId="77777777">
        <w:trPr>
          <w:trHeight w:val="440"/>
        </w:trPr>
        <w:tc>
          <w:tcPr>
            <w:tcW w:w="1200" w:type="dxa"/>
            <w:shd w:val="clear" w:color="auto" w:fill="C4EFCE"/>
            <w:vAlign w:val="center"/>
            <w:hideMark/>
          </w:tcPr>
          <w:p w14:paraId="0F583F7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7.11</w:t>
            </w:r>
          </w:p>
        </w:tc>
        <w:tc>
          <w:tcPr>
            <w:tcW w:w="1760" w:type="dxa"/>
            <w:shd w:val="clear" w:color="auto" w:fill="C4EFCE"/>
            <w:vAlign w:val="center"/>
            <w:hideMark/>
          </w:tcPr>
          <w:p w14:paraId="478656E2" w14:textId="045D33FA"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C07-i04</w:t>
            </w:r>
            <w:r w:rsidR="00A75B3C" w:rsidRPr="003F23AC">
              <w:rPr>
                <w:rFonts w:ascii="Times New Roman" w:hAnsi="Times New Roman" w:cs="Times New Roman"/>
                <w:noProof/>
                <w:lang w:val="sk-SK"/>
              </w:rPr>
              <w:t xml:space="preserve"> </w:t>
            </w:r>
          </w:p>
        </w:tc>
        <w:tc>
          <w:tcPr>
            <w:tcW w:w="1520" w:type="dxa"/>
            <w:shd w:val="clear" w:color="auto" w:fill="C4EFCE"/>
            <w:vAlign w:val="center"/>
            <w:hideMark/>
          </w:tcPr>
          <w:p w14:paraId="07BFFE3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6B8891E4" w14:textId="20D99FA6"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Zmluva podpísaná pre 10 projektov</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cestnej dopravy</w:t>
            </w:r>
          </w:p>
        </w:tc>
      </w:tr>
      <w:tr w:rsidR="00387C70" w:rsidRPr="003F23AC" w14:paraId="2C020E91" w14:textId="77777777">
        <w:trPr>
          <w:trHeight w:val="440"/>
        </w:trPr>
        <w:tc>
          <w:tcPr>
            <w:tcW w:w="1200" w:type="dxa"/>
            <w:shd w:val="clear" w:color="auto" w:fill="C4EFCE"/>
            <w:vAlign w:val="center"/>
            <w:hideMark/>
          </w:tcPr>
          <w:p w14:paraId="6C01BAD7"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760" w:type="dxa"/>
            <w:shd w:val="clear" w:color="auto" w:fill="C4EFCE"/>
            <w:vAlign w:val="center"/>
            <w:hideMark/>
          </w:tcPr>
          <w:p w14:paraId="1969BD93"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520" w:type="dxa"/>
            <w:shd w:val="clear" w:color="auto" w:fill="C4EFCE"/>
            <w:vAlign w:val="center"/>
            <w:hideMark/>
          </w:tcPr>
          <w:p w14:paraId="089A606F" w14:textId="77777777" w:rsidR="00387C70" w:rsidRPr="003F23AC" w:rsidRDefault="000F5AA4" w:rsidP="003F23AC">
            <w:pPr>
              <w:pStyle w:val="P68B1DB1-Normal24"/>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Suma splátky</w:t>
            </w:r>
          </w:p>
        </w:tc>
        <w:tc>
          <w:tcPr>
            <w:tcW w:w="5060" w:type="dxa"/>
            <w:shd w:val="clear" w:color="auto" w:fill="C4EFCE"/>
            <w:vAlign w:val="center"/>
            <w:hideMark/>
          </w:tcPr>
          <w:p w14:paraId="2572465C" w14:textId="20835CFD" w:rsidR="00387C70" w:rsidRPr="003F23AC" w:rsidRDefault="003A06C1" w:rsidP="003F23AC">
            <w:pPr>
              <w:pStyle w:val="P68B1DB1-Normal25"/>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EUR 235 337 423</w:t>
            </w:r>
          </w:p>
        </w:tc>
      </w:tr>
    </w:tbl>
    <w:p w14:paraId="04BC479E" w14:textId="39C25BC3" w:rsidR="00A75B3C" w:rsidRPr="003F23AC" w:rsidRDefault="000F5AA4" w:rsidP="003F23AC">
      <w:pPr>
        <w:pStyle w:val="P68B1DB1-Normal4"/>
        <w:numPr>
          <w:ilvl w:val="1"/>
          <w:numId w:val="19"/>
        </w:numPr>
        <w:spacing w:before="40" w:after="160" w:line="259" w:lineRule="auto"/>
        <w:contextualSpacing/>
        <w:jc w:val="both"/>
        <w:rPr>
          <w:rFonts w:cs="Times New Roman"/>
          <w:noProof/>
          <w:lang w:val="sk-SK"/>
        </w:rPr>
      </w:pPr>
      <w:r w:rsidRPr="003F23AC">
        <w:rPr>
          <w:rFonts w:cs="Times New Roman"/>
          <w:noProof/>
          <w:lang w:val="sk-SK"/>
        </w:rPr>
        <w:t>Piata žiadosť</w:t>
      </w:r>
      <w:r w:rsidR="00A75B3C" w:rsidRPr="003F23AC">
        <w:rPr>
          <w:rFonts w:cs="Times New Roman"/>
          <w:noProof/>
          <w:lang w:val="sk-SK"/>
        </w:rPr>
        <w:t xml:space="preserve"> o </w:t>
      </w:r>
      <w:r w:rsidRPr="003F23AC">
        <w:rPr>
          <w:rFonts w:cs="Times New Roman"/>
          <w:noProof/>
          <w:lang w:val="sk-SK"/>
        </w:rPr>
        <w:t>platbu (úverová podpora)</w:t>
      </w:r>
      <w:r w:rsidR="00A75B3C" w:rsidRPr="003F23AC">
        <w:rPr>
          <w:rFonts w:cs="Times New Roman"/>
          <w:noProof/>
          <w:lang w:val="sk-SK"/>
        </w:rPr>
        <w:t>:</w:t>
      </w:r>
    </w:p>
    <w:p w14:paraId="3731A29C" w14:textId="2E40BDC0"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760"/>
        <w:gridCol w:w="1520"/>
        <w:gridCol w:w="5060"/>
      </w:tblGrid>
      <w:tr w:rsidR="00387C70" w:rsidRPr="003F23AC" w14:paraId="0A22D6D8" w14:textId="77777777">
        <w:trPr>
          <w:trHeight w:val="509"/>
        </w:trPr>
        <w:tc>
          <w:tcPr>
            <w:tcW w:w="1200" w:type="dxa"/>
            <w:vMerge w:val="restart"/>
            <w:shd w:val="clear" w:color="auto" w:fill="BDD7EE"/>
            <w:vAlign w:val="center"/>
            <w:hideMark/>
          </w:tcPr>
          <w:p w14:paraId="0638121E"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vMerge w:val="restart"/>
            <w:shd w:val="clear" w:color="auto" w:fill="BDD7EE"/>
            <w:vAlign w:val="center"/>
            <w:hideMark/>
          </w:tcPr>
          <w:p w14:paraId="301BBB67"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vMerge w:val="restart"/>
            <w:shd w:val="clear" w:color="auto" w:fill="BDD7EE"/>
            <w:vAlign w:val="center"/>
            <w:hideMark/>
          </w:tcPr>
          <w:p w14:paraId="32F1223B"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vMerge w:val="restart"/>
            <w:shd w:val="clear" w:color="auto" w:fill="BDD7EE"/>
            <w:vAlign w:val="center"/>
            <w:hideMark/>
          </w:tcPr>
          <w:p w14:paraId="67BAF3AB"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655C06D0" w14:textId="77777777">
        <w:trPr>
          <w:trHeight w:val="509"/>
        </w:trPr>
        <w:tc>
          <w:tcPr>
            <w:tcW w:w="1200" w:type="dxa"/>
            <w:vMerge/>
            <w:vAlign w:val="center"/>
            <w:hideMark/>
          </w:tcPr>
          <w:p w14:paraId="7598C946"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1760" w:type="dxa"/>
            <w:vMerge/>
            <w:vAlign w:val="center"/>
            <w:hideMark/>
          </w:tcPr>
          <w:p w14:paraId="016E741A"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1520" w:type="dxa"/>
            <w:vMerge/>
            <w:vAlign w:val="center"/>
            <w:hideMark/>
          </w:tcPr>
          <w:p w14:paraId="0568ABB1"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5060" w:type="dxa"/>
            <w:vMerge/>
            <w:vAlign w:val="center"/>
            <w:hideMark/>
          </w:tcPr>
          <w:p w14:paraId="1B8F5928"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r>
      <w:tr w:rsidR="00387C70" w:rsidRPr="003F23AC" w14:paraId="31A58DED" w14:textId="77777777">
        <w:trPr>
          <w:trHeight w:val="440"/>
        </w:trPr>
        <w:tc>
          <w:tcPr>
            <w:tcW w:w="1200" w:type="dxa"/>
            <w:shd w:val="clear" w:color="auto" w:fill="C4EFCE"/>
            <w:vAlign w:val="center"/>
            <w:hideMark/>
          </w:tcPr>
          <w:p w14:paraId="167E4BB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5.26</w:t>
            </w:r>
          </w:p>
        </w:tc>
        <w:tc>
          <w:tcPr>
            <w:tcW w:w="1760" w:type="dxa"/>
            <w:shd w:val="clear" w:color="auto" w:fill="C4EFCE"/>
            <w:vAlign w:val="center"/>
            <w:hideMark/>
          </w:tcPr>
          <w:p w14:paraId="062B8E17" w14:textId="564C69B5"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C05-r13</w:t>
            </w:r>
          </w:p>
        </w:tc>
        <w:tc>
          <w:tcPr>
            <w:tcW w:w="1520" w:type="dxa"/>
            <w:shd w:val="clear" w:color="auto" w:fill="C4EFCE"/>
            <w:vAlign w:val="center"/>
            <w:hideMark/>
          </w:tcPr>
          <w:p w14:paraId="4FF6BD5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47CA2977"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Rozvoj kapitálových trhov – nadobudnutie účinnosti právnych predpisov</w:t>
            </w:r>
          </w:p>
        </w:tc>
      </w:tr>
      <w:tr w:rsidR="00387C70" w:rsidRPr="003F23AC" w14:paraId="71DDD36A" w14:textId="77777777">
        <w:trPr>
          <w:trHeight w:val="440"/>
        </w:trPr>
        <w:tc>
          <w:tcPr>
            <w:tcW w:w="1200" w:type="dxa"/>
            <w:shd w:val="clear" w:color="auto" w:fill="C4EFCE"/>
            <w:vAlign w:val="center"/>
            <w:hideMark/>
          </w:tcPr>
          <w:p w14:paraId="374292D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5.43</w:t>
            </w:r>
          </w:p>
        </w:tc>
        <w:tc>
          <w:tcPr>
            <w:tcW w:w="1760" w:type="dxa"/>
            <w:shd w:val="clear" w:color="auto" w:fill="C4EFCE"/>
            <w:vAlign w:val="center"/>
            <w:hideMark/>
          </w:tcPr>
          <w:p w14:paraId="10072DFA" w14:textId="69DD81FE"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C05-i06</w:t>
            </w:r>
          </w:p>
        </w:tc>
        <w:tc>
          <w:tcPr>
            <w:tcW w:w="1520" w:type="dxa"/>
            <w:shd w:val="clear" w:color="auto" w:fill="C4EFCE"/>
            <w:vAlign w:val="center"/>
            <w:hideMark/>
          </w:tcPr>
          <w:p w14:paraId="7E7B7F52" w14:textId="18FEB48D"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62D07322" w14:textId="4379A48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Poskytnutie kapitálovej podpory portugalským nefinančným korporáciám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vlastného</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kvázi vlastného kapitálu</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celkovej výške 650 000 000 EUR</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ich investičnou politikou</w:t>
            </w:r>
          </w:p>
        </w:tc>
      </w:tr>
      <w:tr w:rsidR="00387C70" w:rsidRPr="003F23AC" w14:paraId="67BDDC9F" w14:textId="77777777">
        <w:trPr>
          <w:trHeight w:val="440"/>
        </w:trPr>
        <w:tc>
          <w:tcPr>
            <w:tcW w:w="1200" w:type="dxa"/>
            <w:shd w:val="clear" w:color="auto" w:fill="C4EFCE"/>
            <w:vAlign w:val="center"/>
            <w:hideMark/>
          </w:tcPr>
          <w:p w14:paraId="6604713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5.46</w:t>
            </w:r>
          </w:p>
        </w:tc>
        <w:tc>
          <w:tcPr>
            <w:tcW w:w="1760" w:type="dxa"/>
            <w:shd w:val="clear" w:color="auto" w:fill="C4EFCE"/>
            <w:vAlign w:val="center"/>
            <w:hideMark/>
          </w:tcPr>
          <w:p w14:paraId="5377E714" w14:textId="74B50FB3"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C05-i12</w:t>
            </w:r>
          </w:p>
        </w:tc>
        <w:tc>
          <w:tcPr>
            <w:tcW w:w="1520" w:type="dxa"/>
            <w:shd w:val="clear" w:color="auto" w:fill="C4EFCE"/>
            <w:vAlign w:val="center"/>
            <w:hideMark/>
          </w:tcPr>
          <w:p w14:paraId="39E8C887" w14:textId="7216C4B7"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3261A9DA" w14:textId="7467488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Uzatváranie zmlúv na vývoj nových produktov, procesov alebo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strategických oblastiach relevantných pre nízkouhlíkové hospodárstvo, 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adaptáciu na zmenu klímy.</w:t>
            </w:r>
          </w:p>
        </w:tc>
      </w:tr>
      <w:tr w:rsidR="00387C70" w:rsidRPr="003F23AC" w14:paraId="783646DD" w14:textId="77777777">
        <w:trPr>
          <w:trHeight w:val="440"/>
        </w:trPr>
        <w:tc>
          <w:tcPr>
            <w:tcW w:w="1200" w:type="dxa"/>
            <w:shd w:val="clear" w:color="auto" w:fill="C4EFCE"/>
            <w:vAlign w:val="center"/>
            <w:hideMark/>
          </w:tcPr>
          <w:p w14:paraId="79C5A41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9.10</w:t>
            </w:r>
          </w:p>
        </w:tc>
        <w:tc>
          <w:tcPr>
            <w:tcW w:w="1760" w:type="dxa"/>
            <w:shd w:val="clear" w:color="auto" w:fill="C4EFCE"/>
            <w:vAlign w:val="center"/>
            <w:hideMark/>
          </w:tcPr>
          <w:p w14:paraId="2E34E883" w14:textId="6029A20B"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C09-i02</w:t>
            </w:r>
          </w:p>
        </w:tc>
        <w:tc>
          <w:tcPr>
            <w:tcW w:w="1520" w:type="dxa"/>
            <w:shd w:val="clear" w:color="auto" w:fill="C4EFCE"/>
            <w:vAlign w:val="center"/>
            <w:hideMark/>
          </w:tcPr>
          <w:p w14:paraId="3EC8C1A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36B927BD" w14:textId="7F2C633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Podmienené pozitívnym posúdením vplyvov na životné prostredie, ktoré úplne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vecne spĺňa právne kritériá, prijatím aktualizovaného návrhu priehrady, výroby vodnej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solárnej energie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zavlažovania, pričom sa</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plnej miere zohľadnia všetky výsledky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podmienky</w:t>
            </w:r>
            <w:r w:rsidR="00A75B3C" w:rsidRPr="003F23AC">
              <w:rPr>
                <w:rFonts w:ascii="Times New Roman" w:hAnsi="Times New Roman" w:cs="Times New Roman"/>
                <w:noProof/>
                <w:lang w:val="sk-SK"/>
              </w:rPr>
              <w:t xml:space="preserve"> z </w:t>
            </w:r>
            <w:r w:rsidRPr="003F23AC">
              <w:rPr>
                <w:rFonts w:ascii="Times New Roman" w:hAnsi="Times New Roman" w:cs="Times New Roman"/>
                <w:noProof/>
                <w:lang w:val="sk-SK"/>
              </w:rPr>
              <w:t>EIA.</w:t>
            </w:r>
          </w:p>
        </w:tc>
      </w:tr>
      <w:tr w:rsidR="00387C70" w:rsidRPr="003F23AC" w14:paraId="4044B104" w14:textId="77777777">
        <w:trPr>
          <w:trHeight w:val="440"/>
        </w:trPr>
        <w:tc>
          <w:tcPr>
            <w:tcW w:w="1200" w:type="dxa"/>
            <w:shd w:val="clear" w:color="auto" w:fill="C4EFCE"/>
            <w:vAlign w:val="center"/>
            <w:hideMark/>
          </w:tcPr>
          <w:p w14:paraId="554977E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10.5</w:t>
            </w:r>
          </w:p>
        </w:tc>
        <w:tc>
          <w:tcPr>
            <w:tcW w:w="1760" w:type="dxa"/>
            <w:shd w:val="clear" w:color="auto" w:fill="C4EFCE"/>
            <w:vAlign w:val="center"/>
            <w:hideMark/>
          </w:tcPr>
          <w:p w14:paraId="7E88ECA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TC-C10-i03</w:t>
            </w:r>
          </w:p>
        </w:tc>
        <w:tc>
          <w:tcPr>
            <w:tcW w:w="1520" w:type="dxa"/>
            <w:shd w:val="clear" w:color="auto" w:fill="C4EFCE"/>
            <w:vAlign w:val="center"/>
            <w:hideMark/>
          </w:tcPr>
          <w:p w14:paraId="65EB641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126B7A6F" w14:textId="6C5031B8"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zmluvy na „viacfunkčnú námornú platformu“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„Operačné centrum“</w:t>
            </w:r>
          </w:p>
        </w:tc>
      </w:tr>
      <w:tr w:rsidR="00387C70" w:rsidRPr="003F23AC" w14:paraId="2B9DFF49" w14:textId="77777777">
        <w:trPr>
          <w:trHeight w:val="440"/>
        </w:trPr>
        <w:tc>
          <w:tcPr>
            <w:tcW w:w="1200" w:type="dxa"/>
            <w:shd w:val="clear" w:color="auto" w:fill="C4EFCE"/>
            <w:vAlign w:val="center"/>
            <w:hideMark/>
          </w:tcPr>
          <w:p w14:paraId="2647C53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10.6</w:t>
            </w:r>
          </w:p>
        </w:tc>
        <w:tc>
          <w:tcPr>
            <w:tcW w:w="1760" w:type="dxa"/>
            <w:shd w:val="clear" w:color="auto" w:fill="C4EFCE"/>
            <w:vAlign w:val="center"/>
            <w:hideMark/>
          </w:tcPr>
          <w:p w14:paraId="2A66866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TC-C10-i03</w:t>
            </w:r>
          </w:p>
        </w:tc>
        <w:tc>
          <w:tcPr>
            <w:tcW w:w="1520" w:type="dxa"/>
            <w:shd w:val="clear" w:color="auto" w:fill="C4EFCE"/>
            <w:vAlign w:val="center"/>
            <w:hideMark/>
          </w:tcPr>
          <w:p w14:paraId="3A3E338C"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7F4C4272"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Akadémie Alfeite Arsenal Academy</w:t>
            </w:r>
          </w:p>
        </w:tc>
      </w:tr>
      <w:tr w:rsidR="00387C70" w:rsidRPr="003F23AC" w14:paraId="6D18500A" w14:textId="77777777">
        <w:trPr>
          <w:trHeight w:val="440"/>
        </w:trPr>
        <w:tc>
          <w:tcPr>
            <w:tcW w:w="1200" w:type="dxa"/>
            <w:shd w:val="clear" w:color="auto" w:fill="C4EFCE"/>
            <w:vAlign w:val="center"/>
            <w:hideMark/>
          </w:tcPr>
          <w:p w14:paraId="67574E5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10.17</w:t>
            </w:r>
          </w:p>
        </w:tc>
        <w:tc>
          <w:tcPr>
            <w:tcW w:w="1760" w:type="dxa"/>
            <w:shd w:val="clear" w:color="auto" w:fill="C4EFCE"/>
            <w:vAlign w:val="center"/>
            <w:hideMark/>
          </w:tcPr>
          <w:p w14:paraId="1B6529A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TC-C10-i07</w:t>
            </w:r>
          </w:p>
        </w:tc>
        <w:tc>
          <w:tcPr>
            <w:tcW w:w="1520" w:type="dxa"/>
            <w:shd w:val="clear" w:color="auto" w:fill="C4EFCE"/>
            <w:vAlign w:val="center"/>
            <w:hideMark/>
          </w:tcPr>
          <w:p w14:paraId="12FB176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45BC8A74"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Vyhlásenie výzvy na predkladanie ponúk na dekarbonizáciu plavidiel</w:t>
            </w:r>
          </w:p>
        </w:tc>
      </w:tr>
      <w:tr w:rsidR="00387C70" w:rsidRPr="003F23AC" w14:paraId="433CADC7" w14:textId="77777777">
        <w:trPr>
          <w:trHeight w:val="440"/>
        </w:trPr>
        <w:tc>
          <w:tcPr>
            <w:tcW w:w="1200" w:type="dxa"/>
            <w:shd w:val="clear" w:color="auto" w:fill="C4EFCE"/>
            <w:vAlign w:val="center"/>
            <w:hideMark/>
          </w:tcPr>
          <w:p w14:paraId="58C38FE9"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760" w:type="dxa"/>
            <w:shd w:val="clear" w:color="auto" w:fill="C4EFCE"/>
            <w:vAlign w:val="center"/>
            <w:hideMark/>
          </w:tcPr>
          <w:p w14:paraId="6174B648"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520" w:type="dxa"/>
            <w:shd w:val="clear" w:color="auto" w:fill="C4EFCE"/>
            <w:vAlign w:val="center"/>
            <w:hideMark/>
          </w:tcPr>
          <w:p w14:paraId="5581E3C9" w14:textId="77777777" w:rsidR="00387C70" w:rsidRPr="003F23AC" w:rsidRDefault="000F5AA4" w:rsidP="003F23AC">
            <w:pPr>
              <w:pStyle w:val="P68B1DB1-Normal24"/>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Suma splátky</w:t>
            </w:r>
          </w:p>
        </w:tc>
        <w:tc>
          <w:tcPr>
            <w:tcW w:w="5060" w:type="dxa"/>
            <w:shd w:val="clear" w:color="auto" w:fill="C4EFCE"/>
            <w:vAlign w:val="center"/>
            <w:hideMark/>
          </w:tcPr>
          <w:p w14:paraId="730C8AFB" w14:textId="37851C6C" w:rsidR="00387C70" w:rsidRPr="003F23AC" w:rsidRDefault="003A06C1" w:rsidP="003F23AC">
            <w:pPr>
              <w:pStyle w:val="P68B1DB1-Normal25"/>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EUR 1 313 054 513</w:t>
            </w:r>
          </w:p>
        </w:tc>
      </w:tr>
    </w:tbl>
    <w:p w14:paraId="1156A5DB" w14:textId="74487D5A" w:rsidR="00A75B3C" w:rsidRPr="003F23AC" w:rsidRDefault="000F5AA4" w:rsidP="003F23AC">
      <w:pPr>
        <w:pStyle w:val="P68B1DB1-Normal4"/>
        <w:numPr>
          <w:ilvl w:val="1"/>
          <w:numId w:val="19"/>
        </w:numPr>
        <w:spacing w:before="40" w:after="160" w:line="259" w:lineRule="auto"/>
        <w:contextualSpacing/>
        <w:jc w:val="both"/>
        <w:rPr>
          <w:rFonts w:cs="Times New Roman"/>
          <w:noProof/>
          <w:lang w:val="sk-SK"/>
        </w:rPr>
      </w:pPr>
      <w:r w:rsidRPr="003F23AC">
        <w:rPr>
          <w:rFonts w:cs="Times New Roman"/>
          <w:noProof/>
          <w:lang w:val="sk-SK"/>
        </w:rPr>
        <w:t>Šiesta žiadosť</w:t>
      </w:r>
      <w:r w:rsidR="00A75B3C" w:rsidRPr="003F23AC">
        <w:rPr>
          <w:rFonts w:cs="Times New Roman"/>
          <w:noProof/>
          <w:lang w:val="sk-SK"/>
        </w:rPr>
        <w:t xml:space="preserve"> o </w:t>
      </w:r>
      <w:r w:rsidRPr="003F23AC">
        <w:rPr>
          <w:rFonts w:cs="Times New Roman"/>
          <w:noProof/>
          <w:lang w:val="sk-SK"/>
        </w:rPr>
        <w:t>platbu (úverová podpora)</w:t>
      </w:r>
      <w:r w:rsidR="00A75B3C" w:rsidRPr="003F23AC">
        <w:rPr>
          <w:rFonts w:cs="Times New Roman"/>
          <w:noProof/>
          <w:lang w:val="sk-SK"/>
        </w:rPr>
        <w:t>:</w:t>
      </w:r>
    </w:p>
    <w:p w14:paraId="4627AFE2" w14:textId="46143C35"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760"/>
        <w:gridCol w:w="1520"/>
        <w:gridCol w:w="5060"/>
      </w:tblGrid>
      <w:tr w:rsidR="00387C70" w:rsidRPr="003F23AC" w14:paraId="472DF692" w14:textId="77777777">
        <w:trPr>
          <w:trHeight w:val="1018"/>
        </w:trPr>
        <w:tc>
          <w:tcPr>
            <w:tcW w:w="1200" w:type="dxa"/>
            <w:shd w:val="clear" w:color="auto" w:fill="BDD7EE"/>
            <w:vAlign w:val="center"/>
            <w:hideMark/>
          </w:tcPr>
          <w:p w14:paraId="7B934C96"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shd w:val="clear" w:color="auto" w:fill="BDD7EE"/>
            <w:vAlign w:val="center"/>
            <w:hideMark/>
          </w:tcPr>
          <w:p w14:paraId="5CEE0E60"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shd w:val="clear" w:color="auto" w:fill="BDD7EE"/>
            <w:vAlign w:val="center"/>
            <w:hideMark/>
          </w:tcPr>
          <w:p w14:paraId="33AA6AB1"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shd w:val="clear" w:color="auto" w:fill="BDD7EE"/>
            <w:vAlign w:val="center"/>
            <w:hideMark/>
          </w:tcPr>
          <w:p w14:paraId="2BCBDEC5"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248D56A1" w14:textId="77777777">
        <w:trPr>
          <w:trHeight w:val="440"/>
        </w:trPr>
        <w:tc>
          <w:tcPr>
            <w:tcW w:w="1200" w:type="dxa"/>
            <w:shd w:val="clear" w:color="auto" w:fill="C4EFCE"/>
            <w:vAlign w:val="center"/>
            <w:hideMark/>
          </w:tcPr>
          <w:p w14:paraId="4959120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15.7</w:t>
            </w:r>
          </w:p>
        </w:tc>
        <w:tc>
          <w:tcPr>
            <w:tcW w:w="1760" w:type="dxa"/>
            <w:shd w:val="clear" w:color="auto" w:fill="C4EFCE"/>
            <w:vAlign w:val="center"/>
            <w:hideMark/>
          </w:tcPr>
          <w:p w14:paraId="7916AD2D" w14:textId="27F376C2"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TC-C15-i03</w:t>
            </w:r>
          </w:p>
        </w:tc>
        <w:tc>
          <w:tcPr>
            <w:tcW w:w="1520" w:type="dxa"/>
            <w:shd w:val="clear" w:color="auto" w:fill="C4EFCE"/>
            <w:vAlign w:val="center"/>
            <w:hideMark/>
          </w:tcPr>
          <w:p w14:paraId="75FE8E7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41ACFDB1" w14:textId="4BBBE9C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zmluvy</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výstavbe tranzitnej trate pre ľahké železnice medzi Odivelasom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Loures</w:t>
            </w:r>
          </w:p>
        </w:tc>
      </w:tr>
      <w:tr w:rsidR="00387C70" w:rsidRPr="003F23AC" w14:paraId="258C3A70" w14:textId="77777777">
        <w:trPr>
          <w:trHeight w:val="440"/>
        </w:trPr>
        <w:tc>
          <w:tcPr>
            <w:tcW w:w="1200" w:type="dxa"/>
            <w:shd w:val="clear" w:color="auto" w:fill="C4EFCE"/>
            <w:vAlign w:val="center"/>
          </w:tcPr>
          <w:p w14:paraId="0AE9FA9B" w14:textId="260E9AD6"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19.31</w:t>
            </w:r>
          </w:p>
        </w:tc>
        <w:tc>
          <w:tcPr>
            <w:tcW w:w="1760" w:type="dxa"/>
            <w:shd w:val="clear" w:color="auto" w:fill="C4EFCE"/>
            <w:vAlign w:val="center"/>
          </w:tcPr>
          <w:p w14:paraId="4D3FC2B5" w14:textId="35B255AE"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TD-C19-r42</w:t>
            </w:r>
            <w:r w:rsidR="00A75B3C" w:rsidRPr="003F23AC">
              <w:rPr>
                <w:rFonts w:ascii="Times New Roman" w:hAnsi="Times New Roman" w:cs="Times New Roman"/>
                <w:noProof/>
                <w:lang w:val="sk-SK"/>
              </w:rPr>
              <w:t xml:space="preserve"> </w:t>
            </w:r>
          </w:p>
        </w:tc>
        <w:tc>
          <w:tcPr>
            <w:tcW w:w="1520" w:type="dxa"/>
            <w:shd w:val="clear" w:color="auto" w:fill="C4EFCE"/>
            <w:vAlign w:val="center"/>
          </w:tcPr>
          <w:p w14:paraId="221D6EA6" w14:textId="332C3E10"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tcPr>
          <w:p w14:paraId="5E2AA86D" w14:textId="4355B8C4"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legislatívneho aktu, ktorým sa reviduje SIADAP</w:t>
            </w:r>
          </w:p>
        </w:tc>
      </w:tr>
      <w:tr w:rsidR="00387C70" w:rsidRPr="003F23AC" w14:paraId="32B276DA" w14:textId="77777777">
        <w:trPr>
          <w:trHeight w:val="440"/>
        </w:trPr>
        <w:tc>
          <w:tcPr>
            <w:tcW w:w="1200" w:type="dxa"/>
            <w:shd w:val="clear" w:color="auto" w:fill="C4EFCE"/>
            <w:vAlign w:val="center"/>
          </w:tcPr>
          <w:p w14:paraId="762889A1" w14:textId="4A9DFF95"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19.32</w:t>
            </w:r>
          </w:p>
        </w:tc>
        <w:tc>
          <w:tcPr>
            <w:tcW w:w="1760" w:type="dxa"/>
            <w:shd w:val="clear" w:color="auto" w:fill="C4EFCE"/>
            <w:vAlign w:val="center"/>
          </w:tcPr>
          <w:p w14:paraId="0C34D2D0" w14:textId="7CBC13AB"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TD-C19-r42</w:t>
            </w:r>
            <w:r w:rsidR="00A75B3C" w:rsidRPr="003F23AC">
              <w:rPr>
                <w:rFonts w:ascii="Times New Roman" w:hAnsi="Times New Roman" w:cs="Times New Roman"/>
                <w:noProof/>
                <w:lang w:val="sk-SK"/>
              </w:rPr>
              <w:t xml:space="preserve"> </w:t>
            </w:r>
          </w:p>
        </w:tc>
        <w:tc>
          <w:tcPr>
            <w:tcW w:w="1520" w:type="dxa"/>
            <w:shd w:val="clear" w:color="auto" w:fill="C4EFCE"/>
            <w:vAlign w:val="center"/>
          </w:tcPr>
          <w:p w14:paraId="618829A3" w14:textId="2EA3ACFD"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tcPr>
          <w:p w14:paraId="3FB23545" w14:textId="58302992"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legislatívneho aktu, ktorým sa reviduje profil kompetencií verejnej správy</w:t>
            </w:r>
          </w:p>
        </w:tc>
      </w:tr>
      <w:tr w:rsidR="00387C70" w:rsidRPr="003F23AC" w14:paraId="383E267E" w14:textId="77777777">
        <w:trPr>
          <w:trHeight w:val="440"/>
        </w:trPr>
        <w:tc>
          <w:tcPr>
            <w:tcW w:w="1200" w:type="dxa"/>
            <w:shd w:val="clear" w:color="auto" w:fill="C4EFCE"/>
            <w:vAlign w:val="center"/>
            <w:hideMark/>
          </w:tcPr>
          <w:p w14:paraId="5D412478" w14:textId="77777777" w:rsidR="00387C70" w:rsidRPr="003F23AC" w:rsidRDefault="000F5AA4"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760" w:type="dxa"/>
            <w:shd w:val="clear" w:color="auto" w:fill="C4EFCE"/>
            <w:vAlign w:val="center"/>
            <w:hideMark/>
          </w:tcPr>
          <w:p w14:paraId="27210276" w14:textId="77777777" w:rsidR="00387C70" w:rsidRPr="003F23AC" w:rsidRDefault="000F5AA4" w:rsidP="003F23AC">
            <w:pPr>
              <w:pStyle w:val="P68B1DB1-Normal23"/>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520" w:type="dxa"/>
            <w:shd w:val="clear" w:color="auto" w:fill="C4EFCE"/>
            <w:vAlign w:val="center"/>
            <w:hideMark/>
          </w:tcPr>
          <w:p w14:paraId="38682DCD" w14:textId="77777777" w:rsidR="00387C70" w:rsidRPr="003F23AC" w:rsidRDefault="000F5AA4" w:rsidP="003F23AC">
            <w:pPr>
              <w:pStyle w:val="P68B1DB1-Normal23"/>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Suma splátky</w:t>
            </w:r>
          </w:p>
        </w:tc>
        <w:tc>
          <w:tcPr>
            <w:tcW w:w="5060" w:type="dxa"/>
            <w:shd w:val="clear" w:color="auto" w:fill="C4EFCE"/>
            <w:vAlign w:val="center"/>
            <w:hideMark/>
          </w:tcPr>
          <w:p w14:paraId="0FB1EF83" w14:textId="7A32FF00" w:rsidR="00387C70" w:rsidRPr="003F23AC" w:rsidRDefault="003A06C1" w:rsidP="003F23AC">
            <w:pPr>
              <w:pStyle w:val="P68B1DB1-Normal25"/>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EUR 366 243 120</w:t>
            </w:r>
          </w:p>
        </w:tc>
      </w:tr>
    </w:tbl>
    <w:p w14:paraId="43578890" w14:textId="77777777"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0B71B7AD" w14:textId="75C3CAE8" w:rsidR="00387C70" w:rsidRPr="003F23AC" w:rsidRDefault="000F5AA4" w:rsidP="003F23AC">
      <w:pPr>
        <w:pStyle w:val="P68B1DB1-Normal4"/>
        <w:numPr>
          <w:ilvl w:val="1"/>
          <w:numId w:val="19"/>
        </w:numPr>
        <w:spacing w:before="40" w:after="160" w:line="259" w:lineRule="auto"/>
        <w:contextualSpacing/>
        <w:jc w:val="both"/>
        <w:rPr>
          <w:rFonts w:eastAsiaTheme="minorEastAsia" w:cs="Times New Roman"/>
          <w:noProof/>
          <w:lang w:val="sk-SK"/>
        </w:rPr>
      </w:pPr>
      <w:r w:rsidRPr="003F23AC">
        <w:rPr>
          <w:rFonts w:cs="Times New Roman"/>
          <w:noProof/>
          <w:lang w:val="sk-SK"/>
        </w:rPr>
        <w:t>Siedma žiadosť</w:t>
      </w:r>
      <w:r w:rsidR="00A75B3C" w:rsidRPr="003F23AC">
        <w:rPr>
          <w:rFonts w:cs="Times New Roman"/>
          <w:noProof/>
          <w:lang w:val="sk-SK"/>
        </w:rPr>
        <w:t xml:space="preserve"> o </w:t>
      </w:r>
      <w:r w:rsidRPr="003F23AC">
        <w:rPr>
          <w:rFonts w:cs="Times New Roman"/>
          <w:noProof/>
          <w:lang w:val="sk-SK"/>
        </w:rPr>
        <w:t>platbu (úverová podpora):</w:t>
      </w:r>
    </w:p>
    <w:p w14:paraId="24A030D4" w14:textId="77777777" w:rsidR="00387C70" w:rsidRPr="003F23AC" w:rsidRDefault="00387C70" w:rsidP="003F23AC">
      <w:pPr>
        <w:spacing w:before="40" w:after="160" w:line="259" w:lineRule="auto"/>
        <w:contextualSpacing/>
        <w:jc w:val="both"/>
        <w:rPr>
          <w:rFonts w:ascii="Times New Roman" w:eastAsiaTheme="minorEastAsia" w:hAnsi="Times New Roman" w:cs="Times New Roman"/>
          <w:noProof/>
          <w:sz w:val="24"/>
          <w:lang w:val="sk-SK"/>
        </w:rPr>
      </w:pPr>
    </w:p>
    <w:tbl>
      <w:tblPr>
        <w:tblW w:w="0" w:type="auto"/>
        <w:tblInd w:w="108" w:type="dxa"/>
        <w:tblLook w:val="04A0" w:firstRow="1" w:lastRow="0" w:firstColumn="1" w:lastColumn="0" w:noHBand="0" w:noVBand="1"/>
      </w:tblPr>
      <w:tblGrid>
        <w:gridCol w:w="1200"/>
        <w:gridCol w:w="1760"/>
        <w:gridCol w:w="1520"/>
        <w:gridCol w:w="5060"/>
      </w:tblGrid>
      <w:tr w:rsidR="00387C70" w:rsidRPr="003F23AC" w14:paraId="29B816DE" w14:textId="77777777">
        <w:trPr>
          <w:trHeight w:val="1018"/>
          <w:tblHeader/>
        </w:trPr>
        <w:tc>
          <w:tcPr>
            <w:tcW w:w="1200" w:type="dxa"/>
            <w:tcBorders>
              <w:top w:val="single" w:sz="4" w:space="0" w:color="auto"/>
              <w:left w:val="single" w:sz="4" w:space="0" w:color="auto"/>
              <w:bottom w:val="single" w:sz="4" w:space="0" w:color="auto"/>
              <w:right w:val="single" w:sz="4" w:space="0" w:color="auto"/>
            </w:tcBorders>
            <w:shd w:val="clear" w:color="auto" w:fill="BDD7EE"/>
            <w:vAlign w:val="center"/>
          </w:tcPr>
          <w:p w14:paraId="307E0BB5"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tcBorders>
              <w:top w:val="single" w:sz="4" w:space="0" w:color="auto"/>
              <w:left w:val="single" w:sz="4" w:space="0" w:color="auto"/>
              <w:bottom w:val="single" w:sz="4" w:space="0" w:color="auto"/>
              <w:right w:val="single" w:sz="4" w:space="0" w:color="auto"/>
            </w:tcBorders>
            <w:shd w:val="clear" w:color="auto" w:fill="BDD7EE"/>
            <w:vAlign w:val="center"/>
          </w:tcPr>
          <w:p w14:paraId="6E93FEA9"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tcBorders>
              <w:top w:val="single" w:sz="4" w:space="0" w:color="auto"/>
              <w:left w:val="single" w:sz="4" w:space="0" w:color="auto"/>
              <w:bottom w:val="single" w:sz="4" w:space="0" w:color="auto"/>
              <w:right w:val="single" w:sz="4" w:space="0" w:color="auto"/>
            </w:tcBorders>
            <w:shd w:val="clear" w:color="auto" w:fill="BDD7EE"/>
            <w:vAlign w:val="center"/>
          </w:tcPr>
          <w:p w14:paraId="3E9D866A"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tcBorders>
              <w:top w:val="single" w:sz="4" w:space="0" w:color="auto"/>
              <w:left w:val="single" w:sz="4" w:space="0" w:color="auto"/>
              <w:bottom w:val="single" w:sz="4" w:space="0" w:color="auto"/>
              <w:right w:val="single" w:sz="4" w:space="0" w:color="auto"/>
            </w:tcBorders>
            <w:shd w:val="clear" w:color="auto" w:fill="BDD7EE"/>
            <w:vAlign w:val="center"/>
          </w:tcPr>
          <w:p w14:paraId="3C3A7570"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582BD1F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1651F99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2.21</w:t>
            </w:r>
          </w:p>
        </w:tc>
        <w:tc>
          <w:tcPr>
            <w:tcW w:w="1760" w:type="dxa"/>
            <w:tcBorders>
              <w:top w:val="nil"/>
              <w:left w:val="nil"/>
              <w:bottom w:val="single" w:sz="4" w:space="0" w:color="auto"/>
              <w:right w:val="single" w:sz="4" w:space="0" w:color="auto"/>
            </w:tcBorders>
            <w:shd w:val="clear" w:color="auto" w:fill="C4EFCE"/>
            <w:vAlign w:val="center"/>
          </w:tcPr>
          <w:p w14:paraId="61E03559" w14:textId="32B1CB9D"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C02-i05</w:t>
            </w:r>
          </w:p>
        </w:tc>
        <w:tc>
          <w:tcPr>
            <w:tcW w:w="1520" w:type="dxa"/>
            <w:tcBorders>
              <w:top w:val="nil"/>
              <w:left w:val="nil"/>
              <w:bottom w:val="single" w:sz="4" w:space="0" w:color="auto"/>
              <w:right w:val="single" w:sz="4" w:space="0" w:color="auto"/>
            </w:tcBorders>
            <w:shd w:val="clear" w:color="auto" w:fill="C4EFCE"/>
            <w:vAlign w:val="center"/>
          </w:tcPr>
          <w:p w14:paraId="716B72F7" w14:textId="156CC29A"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tcPr>
          <w:p w14:paraId="4226738D" w14:textId="773BC4B6"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Fond cenovo dostupného verejného bývania – obydlia so začiatkom práce (vybudované</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vysokou energetickou účinnosťou alebo renovované so zlepšenou energetickou hospodárnosťou)</w:t>
            </w:r>
          </w:p>
        </w:tc>
      </w:tr>
      <w:tr w:rsidR="00387C70" w:rsidRPr="003F23AC" w14:paraId="0BF1C5FC"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2422161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2.22</w:t>
            </w:r>
          </w:p>
        </w:tc>
        <w:tc>
          <w:tcPr>
            <w:tcW w:w="1760" w:type="dxa"/>
            <w:tcBorders>
              <w:top w:val="nil"/>
              <w:left w:val="nil"/>
              <w:bottom w:val="single" w:sz="4" w:space="0" w:color="auto"/>
              <w:right w:val="single" w:sz="4" w:space="0" w:color="auto"/>
            </w:tcBorders>
            <w:shd w:val="clear" w:color="auto" w:fill="C4EFCE"/>
            <w:vAlign w:val="center"/>
          </w:tcPr>
          <w:p w14:paraId="4AB56C42" w14:textId="5F6530DA"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C02-i05</w:t>
            </w:r>
          </w:p>
        </w:tc>
        <w:tc>
          <w:tcPr>
            <w:tcW w:w="1520" w:type="dxa"/>
            <w:tcBorders>
              <w:top w:val="nil"/>
              <w:left w:val="nil"/>
              <w:bottom w:val="single" w:sz="4" w:space="0" w:color="auto"/>
              <w:right w:val="single" w:sz="4" w:space="0" w:color="auto"/>
            </w:tcBorders>
            <w:shd w:val="clear" w:color="auto" w:fill="C4EFCE"/>
            <w:vAlign w:val="center"/>
          </w:tcPr>
          <w:p w14:paraId="2D06F0E7" w14:textId="252FFC49"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tcPr>
          <w:p w14:paraId="7E5487FC" w14:textId="6ABFC48E"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Cenovo dostupný verejný bytový fond – Priradené obydlia (vybudované</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vysokou energetickou účinnosťou alebo renovované so zlepšenou energetickou hospodárnosťou)</w:t>
            </w:r>
          </w:p>
        </w:tc>
      </w:tr>
      <w:tr w:rsidR="00387C70" w:rsidRPr="003F23AC" w14:paraId="3D12777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55451CB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2.26</w:t>
            </w:r>
          </w:p>
        </w:tc>
        <w:tc>
          <w:tcPr>
            <w:tcW w:w="1760" w:type="dxa"/>
            <w:tcBorders>
              <w:top w:val="nil"/>
              <w:left w:val="nil"/>
              <w:bottom w:val="single" w:sz="4" w:space="0" w:color="auto"/>
              <w:right w:val="single" w:sz="4" w:space="0" w:color="auto"/>
            </w:tcBorders>
            <w:shd w:val="clear" w:color="auto" w:fill="C4EFCE"/>
            <w:vAlign w:val="center"/>
          </w:tcPr>
          <w:p w14:paraId="576AFC28" w14:textId="2A5A27DC"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C02-i06</w:t>
            </w:r>
          </w:p>
        </w:tc>
        <w:tc>
          <w:tcPr>
            <w:tcW w:w="1520" w:type="dxa"/>
            <w:tcBorders>
              <w:top w:val="nil"/>
              <w:left w:val="nil"/>
              <w:bottom w:val="single" w:sz="4" w:space="0" w:color="auto"/>
              <w:right w:val="single" w:sz="4" w:space="0" w:color="auto"/>
            </w:tcBorders>
            <w:shd w:val="clear" w:color="auto" w:fill="C4EFCE"/>
            <w:vAlign w:val="center"/>
          </w:tcPr>
          <w:p w14:paraId="3E587169" w14:textId="190A576E"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tcPr>
          <w:p w14:paraId="62038BAE"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Ubytovanie pre študentov za prijateľné náklady</w:t>
            </w:r>
          </w:p>
        </w:tc>
      </w:tr>
      <w:tr w:rsidR="00387C70" w:rsidRPr="003F23AC" w14:paraId="295142D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087CECB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6.28</w:t>
            </w:r>
          </w:p>
        </w:tc>
        <w:tc>
          <w:tcPr>
            <w:tcW w:w="1760" w:type="dxa"/>
            <w:tcBorders>
              <w:top w:val="nil"/>
              <w:left w:val="nil"/>
              <w:bottom w:val="single" w:sz="4" w:space="0" w:color="auto"/>
              <w:right w:val="single" w:sz="4" w:space="0" w:color="auto"/>
            </w:tcBorders>
            <w:shd w:val="clear" w:color="auto" w:fill="C4EFCE"/>
            <w:vAlign w:val="center"/>
          </w:tcPr>
          <w:p w14:paraId="3B92DB76" w14:textId="30827559"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C06-i09</w:t>
            </w:r>
          </w:p>
        </w:tc>
        <w:tc>
          <w:tcPr>
            <w:tcW w:w="1520" w:type="dxa"/>
            <w:tcBorders>
              <w:top w:val="nil"/>
              <w:left w:val="nil"/>
              <w:bottom w:val="nil"/>
              <w:right w:val="single" w:sz="4" w:space="0" w:color="auto"/>
            </w:tcBorders>
            <w:shd w:val="clear" w:color="auto" w:fill="C4EFCE"/>
            <w:vAlign w:val="center"/>
          </w:tcPr>
          <w:p w14:paraId="0BFA1EAE" w14:textId="0271C9A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nil"/>
              <w:right w:val="single" w:sz="4" w:space="0" w:color="auto"/>
            </w:tcBorders>
            <w:shd w:val="clear" w:color="auto" w:fill="C4EFCE"/>
            <w:vAlign w:val="center"/>
          </w:tcPr>
          <w:p w14:paraId="1577A067" w14:textId="78CBF961"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Podpísanie zmlúv na výstavbu</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renováciu verejných škôl</w:t>
            </w:r>
          </w:p>
        </w:tc>
      </w:tr>
      <w:tr w:rsidR="00387C70" w:rsidRPr="003F23AC" w14:paraId="1EF6CC4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2D7D3CFE"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760" w:type="dxa"/>
            <w:tcBorders>
              <w:top w:val="nil"/>
              <w:left w:val="nil"/>
              <w:bottom w:val="single" w:sz="4" w:space="0" w:color="auto"/>
              <w:right w:val="single" w:sz="4" w:space="0" w:color="auto"/>
            </w:tcBorders>
            <w:shd w:val="clear" w:color="auto" w:fill="C4EFCE"/>
            <w:vAlign w:val="center"/>
          </w:tcPr>
          <w:p w14:paraId="3899B9C9"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520" w:type="dxa"/>
            <w:tcBorders>
              <w:top w:val="single" w:sz="4" w:space="0" w:color="auto"/>
              <w:left w:val="nil"/>
              <w:bottom w:val="single" w:sz="4" w:space="0" w:color="auto"/>
              <w:right w:val="single" w:sz="4" w:space="0" w:color="auto"/>
            </w:tcBorders>
            <w:shd w:val="clear" w:color="auto" w:fill="C4EFCE"/>
            <w:vAlign w:val="center"/>
          </w:tcPr>
          <w:p w14:paraId="7C7921DE" w14:textId="77777777" w:rsidR="00387C70" w:rsidRPr="003F23AC" w:rsidRDefault="000F5AA4" w:rsidP="003F23AC">
            <w:pPr>
              <w:pStyle w:val="P68B1DB1-Normal24"/>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Suma splátky</w:t>
            </w:r>
          </w:p>
        </w:tc>
        <w:tc>
          <w:tcPr>
            <w:tcW w:w="5060" w:type="dxa"/>
            <w:tcBorders>
              <w:top w:val="single" w:sz="4" w:space="0" w:color="auto"/>
              <w:left w:val="nil"/>
              <w:bottom w:val="single" w:sz="4" w:space="0" w:color="auto"/>
              <w:right w:val="single" w:sz="4" w:space="0" w:color="auto"/>
            </w:tcBorders>
            <w:shd w:val="clear" w:color="auto" w:fill="C4EFCE"/>
            <w:vAlign w:val="center"/>
          </w:tcPr>
          <w:p w14:paraId="4E153749" w14:textId="65494E3D" w:rsidR="00387C70" w:rsidRPr="003F23AC" w:rsidRDefault="003A06C1" w:rsidP="003F23AC">
            <w:pPr>
              <w:pStyle w:val="P68B1DB1-Normal25"/>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EUR 689 431 726</w:t>
            </w:r>
          </w:p>
        </w:tc>
      </w:tr>
    </w:tbl>
    <w:p w14:paraId="7D06A031" w14:textId="77777777" w:rsidR="00387C70" w:rsidRPr="00FA6988" w:rsidRDefault="00387C70" w:rsidP="00FA6988">
      <w:pPr>
        <w:spacing w:after="0" w:line="240" w:lineRule="auto"/>
        <w:jc w:val="both"/>
        <w:rPr>
          <w:rFonts w:ascii="Times New Roman" w:eastAsiaTheme="minorEastAsia" w:hAnsi="Times New Roman" w:cs="Times New Roman"/>
          <w:noProof/>
          <w:sz w:val="16"/>
          <w:szCs w:val="16"/>
          <w:lang w:val="sk-SK"/>
        </w:rPr>
      </w:pPr>
    </w:p>
    <w:p w14:paraId="656FC920" w14:textId="4A56616A" w:rsidR="00387C70" w:rsidRPr="003F23AC" w:rsidRDefault="000F5AA4" w:rsidP="003F23AC">
      <w:pPr>
        <w:pStyle w:val="P68B1DB1-Normal4"/>
        <w:numPr>
          <w:ilvl w:val="1"/>
          <w:numId w:val="19"/>
        </w:numPr>
        <w:spacing w:before="40" w:after="160" w:line="259" w:lineRule="auto"/>
        <w:contextualSpacing/>
        <w:jc w:val="both"/>
        <w:rPr>
          <w:rFonts w:eastAsiaTheme="minorEastAsia" w:cs="Times New Roman"/>
          <w:noProof/>
          <w:lang w:val="sk-SK"/>
        </w:rPr>
      </w:pPr>
      <w:r w:rsidRPr="003F23AC">
        <w:rPr>
          <w:rFonts w:cs="Times New Roman"/>
          <w:noProof/>
          <w:lang w:val="sk-SK"/>
        </w:rPr>
        <w:t>Ôsma žiadosť</w:t>
      </w:r>
      <w:r w:rsidR="00A75B3C" w:rsidRPr="003F23AC">
        <w:rPr>
          <w:rFonts w:cs="Times New Roman"/>
          <w:noProof/>
          <w:lang w:val="sk-SK"/>
        </w:rPr>
        <w:t xml:space="preserve"> o </w:t>
      </w:r>
      <w:r w:rsidRPr="003F23AC">
        <w:rPr>
          <w:rFonts w:cs="Times New Roman"/>
          <w:noProof/>
          <w:lang w:val="sk-SK"/>
        </w:rPr>
        <w:t>platbu (úverová podpora):</w:t>
      </w:r>
    </w:p>
    <w:p w14:paraId="0C83B8A2" w14:textId="77777777" w:rsidR="00387C70" w:rsidRPr="00FA6988" w:rsidRDefault="00387C70" w:rsidP="00FA6988">
      <w:pPr>
        <w:spacing w:after="0" w:line="240" w:lineRule="auto"/>
        <w:ind w:left="360"/>
        <w:jc w:val="both"/>
        <w:rPr>
          <w:rFonts w:ascii="Times New Roman" w:eastAsiaTheme="minorEastAsia" w:hAnsi="Times New Roman" w:cs="Times New Roman"/>
          <w:noProof/>
          <w:sz w:val="16"/>
          <w:szCs w:val="16"/>
          <w:lang w:val="sk-SK"/>
        </w:rPr>
      </w:pPr>
    </w:p>
    <w:tbl>
      <w:tblPr>
        <w:tblW w:w="0" w:type="auto"/>
        <w:tblInd w:w="108" w:type="dxa"/>
        <w:tblLook w:val="04A0" w:firstRow="1" w:lastRow="0" w:firstColumn="1" w:lastColumn="0" w:noHBand="0" w:noVBand="1"/>
      </w:tblPr>
      <w:tblGrid>
        <w:gridCol w:w="1200"/>
        <w:gridCol w:w="1760"/>
        <w:gridCol w:w="1520"/>
        <w:gridCol w:w="5060"/>
      </w:tblGrid>
      <w:tr w:rsidR="00387C70" w:rsidRPr="003F23AC" w14:paraId="1EB3D4C6" w14:textId="77777777">
        <w:trPr>
          <w:trHeight w:val="1018"/>
        </w:trPr>
        <w:tc>
          <w:tcPr>
            <w:tcW w:w="1200" w:type="dxa"/>
            <w:tcBorders>
              <w:top w:val="single" w:sz="4" w:space="0" w:color="auto"/>
              <w:left w:val="single" w:sz="4" w:space="0" w:color="auto"/>
              <w:bottom w:val="single" w:sz="4" w:space="0" w:color="auto"/>
              <w:right w:val="single" w:sz="4" w:space="0" w:color="auto"/>
            </w:tcBorders>
            <w:shd w:val="clear" w:color="auto" w:fill="BDD7EE"/>
            <w:vAlign w:val="center"/>
          </w:tcPr>
          <w:p w14:paraId="344EC777"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tcBorders>
              <w:top w:val="single" w:sz="4" w:space="0" w:color="auto"/>
              <w:left w:val="single" w:sz="4" w:space="0" w:color="auto"/>
              <w:bottom w:val="single" w:sz="4" w:space="0" w:color="auto"/>
              <w:right w:val="single" w:sz="4" w:space="0" w:color="auto"/>
            </w:tcBorders>
            <w:shd w:val="clear" w:color="auto" w:fill="BDD7EE"/>
            <w:vAlign w:val="center"/>
          </w:tcPr>
          <w:p w14:paraId="4D46E4F0"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tcBorders>
              <w:top w:val="single" w:sz="4" w:space="0" w:color="auto"/>
              <w:left w:val="single" w:sz="4" w:space="0" w:color="auto"/>
              <w:bottom w:val="single" w:sz="4" w:space="0" w:color="auto"/>
              <w:right w:val="single" w:sz="4" w:space="0" w:color="auto"/>
            </w:tcBorders>
            <w:shd w:val="clear" w:color="auto" w:fill="BDD7EE"/>
            <w:vAlign w:val="center"/>
          </w:tcPr>
          <w:p w14:paraId="33C9BAAF"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tcBorders>
              <w:top w:val="single" w:sz="4" w:space="0" w:color="auto"/>
              <w:left w:val="single" w:sz="4" w:space="0" w:color="auto"/>
              <w:bottom w:val="single" w:sz="4" w:space="0" w:color="auto"/>
              <w:right w:val="single" w:sz="4" w:space="0" w:color="auto"/>
            </w:tcBorders>
            <w:shd w:val="clear" w:color="auto" w:fill="BDD7EE"/>
            <w:vAlign w:val="center"/>
          </w:tcPr>
          <w:p w14:paraId="5D0B89D7"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329A16C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73F6775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15.8</w:t>
            </w:r>
          </w:p>
        </w:tc>
        <w:tc>
          <w:tcPr>
            <w:tcW w:w="1760" w:type="dxa"/>
            <w:tcBorders>
              <w:top w:val="nil"/>
              <w:left w:val="nil"/>
              <w:bottom w:val="single" w:sz="4" w:space="0" w:color="auto"/>
              <w:right w:val="single" w:sz="4" w:space="0" w:color="auto"/>
            </w:tcBorders>
            <w:shd w:val="clear" w:color="auto" w:fill="C4EFCE"/>
            <w:vAlign w:val="center"/>
          </w:tcPr>
          <w:p w14:paraId="514CFC0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TC-C15-i03</w:t>
            </w:r>
          </w:p>
        </w:tc>
        <w:tc>
          <w:tcPr>
            <w:tcW w:w="1520" w:type="dxa"/>
            <w:tcBorders>
              <w:top w:val="nil"/>
              <w:left w:val="nil"/>
              <w:bottom w:val="single" w:sz="4" w:space="0" w:color="auto"/>
              <w:right w:val="single" w:sz="4" w:space="0" w:color="auto"/>
            </w:tcBorders>
            <w:shd w:val="clear" w:color="auto" w:fill="C4EFCE"/>
            <w:vAlign w:val="center"/>
          </w:tcPr>
          <w:p w14:paraId="116E687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nil"/>
              <w:left w:val="nil"/>
              <w:bottom w:val="single" w:sz="4" w:space="0" w:color="auto"/>
              <w:right w:val="single" w:sz="4" w:space="0" w:color="auto"/>
            </w:tcBorders>
            <w:shd w:val="clear" w:color="auto" w:fill="C4EFCE"/>
            <w:vAlign w:val="center"/>
          </w:tcPr>
          <w:p w14:paraId="53A9C291" w14:textId="405BFEB5"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Správa</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pokroku pri výstavbe tranzitnej trate pre ľahké železnice medzi Odivelasom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Loures</w:t>
            </w:r>
          </w:p>
        </w:tc>
      </w:tr>
      <w:tr w:rsidR="00387C70" w:rsidRPr="003F23AC" w14:paraId="06662A9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618904BF" w14:textId="74BC30D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19.33</w:t>
            </w:r>
          </w:p>
        </w:tc>
        <w:tc>
          <w:tcPr>
            <w:tcW w:w="1760" w:type="dxa"/>
            <w:tcBorders>
              <w:top w:val="nil"/>
              <w:left w:val="nil"/>
              <w:bottom w:val="single" w:sz="4" w:space="0" w:color="auto"/>
              <w:right w:val="single" w:sz="4" w:space="0" w:color="auto"/>
            </w:tcBorders>
            <w:shd w:val="clear" w:color="auto" w:fill="C4EFCE"/>
            <w:vAlign w:val="center"/>
          </w:tcPr>
          <w:p w14:paraId="608803B4" w14:textId="72AAAB61"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TD-C19-r42</w:t>
            </w:r>
          </w:p>
        </w:tc>
        <w:tc>
          <w:tcPr>
            <w:tcW w:w="1520" w:type="dxa"/>
            <w:tcBorders>
              <w:top w:val="nil"/>
              <w:left w:val="nil"/>
              <w:bottom w:val="single" w:sz="4" w:space="0" w:color="auto"/>
              <w:right w:val="single" w:sz="4" w:space="0" w:color="auto"/>
            </w:tcBorders>
            <w:shd w:val="clear" w:color="auto" w:fill="C4EFCE"/>
            <w:vAlign w:val="center"/>
          </w:tcPr>
          <w:p w14:paraId="5D02F4F1" w14:textId="0B6B7F47"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tcPr>
          <w:p w14:paraId="557BB89C" w14:textId="234CFB7F"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Uvedenie nového systému SIADAP do prevádzky</w:t>
            </w:r>
          </w:p>
        </w:tc>
      </w:tr>
      <w:tr w:rsidR="00387C70" w:rsidRPr="003F23AC" w14:paraId="564D14EA"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5C67E166" w14:textId="77777777" w:rsidR="00387C70" w:rsidRPr="003F23AC" w:rsidRDefault="00387C70" w:rsidP="003F23AC">
            <w:pPr>
              <w:spacing w:after="0" w:line="240" w:lineRule="auto"/>
              <w:jc w:val="center"/>
              <w:rPr>
                <w:rFonts w:ascii="Times New Roman" w:eastAsia="Times New Roman" w:hAnsi="Times New Roman" w:cs="Times New Roman"/>
                <w:noProof/>
                <w:sz w:val="16"/>
                <w:lang w:val="sk-SK"/>
              </w:rPr>
            </w:pPr>
          </w:p>
        </w:tc>
        <w:tc>
          <w:tcPr>
            <w:tcW w:w="1760" w:type="dxa"/>
            <w:tcBorders>
              <w:top w:val="nil"/>
              <w:left w:val="nil"/>
              <w:bottom w:val="single" w:sz="4" w:space="0" w:color="auto"/>
              <w:right w:val="single" w:sz="4" w:space="0" w:color="auto"/>
            </w:tcBorders>
            <w:shd w:val="clear" w:color="auto" w:fill="C4EFCE"/>
            <w:vAlign w:val="center"/>
          </w:tcPr>
          <w:p w14:paraId="183EE67D" w14:textId="77777777" w:rsidR="00387C70" w:rsidRPr="003F23AC" w:rsidRDefault="00387C70" w:rsidP="003F23AC">
            <w:pPr>
              <w:spacing w:after="0" w:line="240" w:lineRule="auto"/>
              <w:rPr>
                <w:rFonts w:ascii="Times New Roman" w:eastAsia="Times New Roman" w:hAnsi="Times New Roman" w:cs="Times New Roman"/>
                <w:noProof/>
                <w:sz w:val="16"/>
                <w:lang w:val="sk-SK"/>
              </w:rPr>
            </w:pPr>
          </w:p>
        </w:tc>
        <w:tc>
          <w:tcPr>
            <w:tcW w:w="1520" w:type="dxa"/>
            <w:tcBorders>
              <w:top w:val="single" w:sz="4" w:space="0" w:color="auto"/>
              <w:left w:val="nil"/>
              <w:bottom w:val="single" w:sz="4" w:space="0" w:color="auto"/>
              <w:right w:val="single" w:sz="4" w:space="0" w:color="auto"/>
            </w:tcBorders>
            <w:shd w:val="clear" w:color="auto" w:fill="C4EFCE"/>
            <w:vAlign w:val="center"/>
          </w:tcPr>
          <w:p w14:paraId="401D1A7C" w14:textId="77777777" w:rsidR="00387C70" w:rsidRPr="003F23AC" w:rsidRDefault="000F5AA4" w:rsidP="003F23AC">
            <w:pPr>
              <w:pStyle w:val="P68B1DB1-Normal24"/>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Suma splátky</w:t>
            </w:r>
          </w:p>
        </w:tc>
        <w:tc>
          <w:tcPr>
            <w:tcW w:w="5060" w:type="dxa"/>
            <w:tcBorders>
              <w:top w:val="single" w:sz="4" w:space="0" w:color="auto"/>
              <w:left w:val="nil"/>
              <w:bottom w:val="single" w:sz="4" w:space="0" w:color="auto"/>
              <w:right w:val="single" w:sz="4" w:space="0" w:color="auto"/>
            </w:tcBorders>
            <w:shd w:val="clear" w:color="auto" w:fill="C4EFCE"/>
            <w:vAlign w:val="center"/>
          </w:tcPr>
          <w:p w14:paraId="378DCF0E" w14:textId="2723B47A" w:rsidR="00387C70" w:rsidRPr="003F23AC" w:rsidRDefault="00A75B3C" w:rsidP="003F23AC">
            <w:pPr>
              <w:pStyle w:val="P68B1DB1-Normal25"/>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 xml:space="preserve"> </w:t>
            </w:r>
            <w:r w:rsidR="003A06C1" w:rsidRPr="003F23AC">
              <w:rPr>
                <w:rFonts w:ascii="Times New Roman" w:hAnsi="Times New Roman" w:cs="Times New Roman"/>
                <w:noProof/>
                <w:lang w:val="sk-SK"/>
              </w:rPr>
              <w:t>EUR 235 337 423</w:t>
            </w:r>
          </w:p>
        </w:tc>
      </w:tr>
    </w:tbl>
    <w:p w14:paraId="66284420" w14:textId="567F52B7" w:rsidR="00387C70" w:rsidRPr="00FA6988" w:rsidRDefault="00387C70" w:rsidP="00FA6988">
      <w:pPr>
        <w:spacing w:after="0" w:line="240" w:lineRule="auto"/>
        <w:jc w:val="both"/>
        <w:rPr>
          <w:rFonts w:ascii="Times New Roman" w:eastAsiaTheme="minorEastAsia" w:hAnsi="Times New Roman" w:cs="Times New Roman"/>
          <w:noProof/>
          <w:sz w:val="16"/>
          <w:szCs w:val="16"/>
          <w:lang w:val="sk-SK"/>
        </w:rPr>
      </w:pPr>
    </w:p>
    <w:p w14:paraId="6D952C31" w14:textId="0ECD3B5B" w:rsidR="00387C70" w:rsidRPr="00FA6988" w:rsidRDefault="00387C70" w:rsidP="00FA6988">
      <w:pPr>
        <w:spacing w:after="0" w:line="240" w:lineRule="auto"/>
        <w:jc w:val="both"/>
        <w:rPr>
          <w:rFonts w:ascii="Times New Roman" w:eastAsiaTheme="minorEastAsia" w:hAnsi="Times New Roman" w:cs="Times New Roman"/>
          <w:noProof/>
          <w:sz w:val="16"/>
          <w:szCs w:val="16"/>
          <w:lang w:val="sk-SK"/>
        </w:rPr>
      </w:pPr>
    </w:p>
    <w:p w14:paraId="726AC6BB" w14:textId="77777777" w:rsidR="00387C70" w:rsidRPr="00FA6988" w:rsidRDefault="00387C70" w:rsidP="00FA6988">
      <w:pPr>
        <w:spacing w:after="0" w:line="240" w:lineRule="auto"/>
        <w:jc w:val="both"/>
        <w:rPr>
          <w:rFonts w:ascii="Times New Roman" w:eastAsiaTheme="minorEastAsia" w:hAnsi="Times New Roman" w:cs="Times New Roman"/>
          <w:noProof/>
          <w:sz w:val="16"/>
          <w:szCs w:val="16"/>
          <w:lang w:val="sk-SK"/>
        </w:rPr>
      </w:pPr>
    </w:p>
    <w:p w14:paraId="3CFC0334" w14:textId="4D3B0A8F" w:rsidR="00387C70" w:rsidRPr="003F23AC" w:rsidRDefault="000F5AA4" w:rsidP="003F23AC">
      <w:pPr>
        <w:pStyle w:val="ListParagraph"/>
        <w:keepNext w:val="0"/>
        <w:numPr>
          <w:ilvl w:val="1"/>
          <w:numId w:val="19"/>
        </w:numPr>
        <w:spacing w:before="40" w:line="259" w:lineRule="auto"/>
        <w:rPr>
          <w:noProof/>
          <w:lang w:val="sk-SK"/>
        </w:rPr>
      </w:pPr>
      <w:r w:rsidRPr="003F23AC">
        <w:rPr>
          <w:noProof/>
          <w:lang w:val="sk-SK"/>
        </w:rPr>
        <w:t xml:space="preserve"> Deviata žiadosť</w:t>
      </w:r>
      <w:r w:rsidR="00A75B3C" w:rsidRPr="003F23AC">
        <w:rPr>
          <w:noProof/>
          <w:lang w:val="sk-SK"/>
        </w:rPr>
        <w:t xml:space="preserve"> o </w:t>
      </w:r>
      <w:r w:rsidRPr="003F23AC">
        <w:rPr>
          <w:noProof/>
          <w:lang w:val="sk-SK"/>
        </w:rPr>
        <w:t>platbu (úverová podpora):</w:t>
      </w:r>
    </w:p>
    <w:tbl>
      <w:tblPr>
        <w:tblW w:w="0" w:type="auto"/>
        <w:tblInd w:w="108" w:type="dxa"/>
        <w:tblLook w:val="04A0" w:firstRow="1" w:lastRow="0" w:firstColumn="1" w:lastColumn="0" w:noHBand="0" w:noVBand="1"/>
      </w:tblPr>
      <w:tblGrid>
        <w:gridCol w:w="1200"/>
        <w:gridCol w:w="1760"/>
        <w:gridCol w:w="1520"/>
        <w:gridCol w:w="5060"/>
      </w:tblGrid>
      <w:tr w:rsidR="00387C70" w:rsidRPr="003F23AC" w14:paraId="1494D25F" w14:textId="77777777">
        <w:trPr>
          <w:trHeight w:val="1018"/>
        </w:trPr>
        <w:tc>
          <w:tcPr>
            <w:tcW w:w="1200" w:type="dxa"/>
            <w:tcBorders>
              <w:top w:val="single" w:sz="4" w:space="0" w:color="auto"/>
              <w:left w:val="single" w:sz="4" w:space="0" w:color="auto"/>
              <w:bottom w:val="single" w:sz="4" w:space="0" w:color="auto"/>
              <w:right w:val="single" w:sz="4" w:space="0" w:color="auto"/>
            </w:tcBorders>
            <w:shd w:val="clear" w:color="auto" w:fill="BDD7EE"/>
            <w:vAlign w:val="center"/>
          </w:tcPr>
          <w:p w14:paraId="2B13A76D"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tcBorders>
              <w:top w:val="single" w:sz="4" w:space="0" w:color="auto"/>
              <w:left w:val="single" w:sz="4" w:space="0" w:color="auto"/>
              <w:bottom w:val="single" w:sz="4" w:space="0" w:color="auto"/>
              <w:right w:val="single" w:sz="4" w:space="0" w:color="auto"/>
            </w:tcBorders>
            <w:shd w:val="clear" w:color="auto" w:fill="BDD7EE"/>
            <w:vAlign w:val="center"/>
          </w:tcPr>
          <w:p w14:paraId="2C0AC9A7"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tcBorders>
              <w:top w:val="single" w:sz="4" w:space="0" w:color="auto"/>
              <w:left w:val="single" w:sz="4" w:space="0" w:color="auto"/>
              <w:bottom w:val="single" w:sz="4" w:space="0" w:color="auto"/>
              <w:right w:val="single" w:sz="4" w:space="0" w:color="auto"/>
            </w:tcBorders>
            <w:shd w:val="clear" w:color="auto" w:fill="BDD7EE"/>
            <w:vAlign w:val="center"/>
          </w:tcPr>
          <w:p w14:paraId="34E6E954"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tcBorders>
              <w:top w:val="single" w:sz="4" w:space="0" w:color="auto"/>
              <w:left w:val="single" w:sz="4" w:space="0" w:color="auto"/>
              <w:bottom w:val="single" w:sz="4" w:space="0" w:color="auto"/>
              <w:right w:val="single" w:sz="4" w:space="0" w:color="auto"/>
            </w:tcBorders>
            <w:shd w:val="clear" w:color="auto" w:fill="BDD7EE"/>
            <w:vAlign w:val="center"/>
          </w:tcPr>
          <w:p w14:paraId="1992174E"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78D3922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2C57417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2.23</w:t>
            </w:r>
          </w:p>
        </w:tc>
        <w:tc>
          <w:tcPr>
            <w:tcW w:w="1760" w:type="dxa"/>
            <w:tcBorders>
              <w:top w:val="nil"/>
              <w:left w:val="nil"/>
              <w:bottom w:val="single" w:sz="4" w:space="0" w:color="auto"/>
              <w:right w:val="single" w:sz="4" w:space="0" w:color="auto"/>
            </w:tcBorders>
            <w:shd w:val="clear" w:color="auto" w:fill="C4EFCE"/>
            <w:vAlign w:val="center"/>
          </w:tcPr>
          <w:p w14:paraId="2A77E3A7" w14:textId="08A5553D"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C02-i05</w:t>
            </w:r>
          </w:p>
        </w:tc>
        <w:tc>
          <w:tcPr>
            <w:tcW w:w="1520" w:type="dxa"/>
            <w:tcBorders>
              <w:top w:val="nil"/>
              <w:left w:val="nil"/>
              <w:bottom w:val="single" w:sz="4" w:space="0" w:color="auto"/>
              <w:right w:val="single" w:sz="4" w:space="0" w:color="auto"/>
            </w:tcBorders>
            <w:shd w:val="clear" w:color="auto" w:fill="C4EFCE"/>
            <w:vAlign w:val="center"/>
          </w:tcPr>
          <w:p w14:paraId="54653A95" w14:textId="00128A51"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tcPr>
          <w:p w14:paraId="4A8559D1" w14:textId="295A550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Cenovo dostupný verejný bytový fond – Priradené obydlia (vybudované</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vysokou energetickou účinnosťou alebo renovované so zlepšenou energetickou hospodárnosťou)</w:t>
            </w:r>
          </w:p>
        </w:tc>
      </w:tr>
      <w:tr w:rsidR="00387C70" w:rsidRPr="003F23AC" w14:paraId="78375D28"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679A92D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2.27</w:t>
            </w:r>
          </w:p>
        </w:tc>
        <w:tc>
          <w:tcPr>
            <w:tcW w:w="1760" w:type="dxa"/>
            <w:tcBorders>
              <w:top w:val="nil"/>
              <w:left w:val="nil"/>
              <w:bottom w:val="single" w:sz="4" w:space="0" w:color="auto"/>
              <w:right w:val="single" w:sz="4" w:space="0" w:color="auto"/>
            </w:tcBorders>
            <w:shd w:val="clear" w:color="auto" w:fill="C4EFCE"/>
            <w:vAlign w:val="center"/>
          </w:tcPr>
          <w:p w14:paraId="3001518D" w14:textId="737283B0"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C02-i06</w:t>
            </w:r>
          </w:p>
        </w:tc>
        <w:tc>
          <w:tcPr>
            <w:tcW w:w="1520" w:type="dxa"/>
            <w:tcBorders>
              <w:top w:val="nil"/>
              <w:left w:val="nil"/>
              <w:bottom w:val="single" w:sz="4" w:space="0" w:color="auto"/>
              <w:right w:val="single" w:sz="4" w:space="0" w:color="auto"/>
            </w:tcBorders>
            <w:shd w:val="clear" w:color="auto" w:fill="C4EFCE"/>
            <w:vAlign w:val="center"/>
          </w:tcPr>
          <w:p w14:paraId="3DA24E36" w14:textId="596650B3"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tcPr>
          <w:p w14:paraId="169F4C1B"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Ubytovanie pre študentov za prijateľné náklady</w:t>
            </w:r>
          </w:p>
        </w:tc>
      </w:tr>
      <w:tr w:rsidR="00387C70" w:rsidRPr="003F23AC" w14:paraId="67D25657"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7EFDADF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5.29</w:t>
            </w:r>
          </w:p>
        </w:tc>
        <w:tc>
          <w:tcPr>
            <w:tcW w:w="1760" w:type="dxa"/>
            <w:tcBorders>
              <w:top w:val="nil"/>
              <w:left w:val="nil"/>
              <w:bottom w:val="single" w:sz="4" w:space="0" w:color="auto"/>
              <w:right w:val="single" w:sz="4" w:space="0" w:color="auto"/>
            </w:tcBorders>
            <w:shd w:val="clear" w:color="auto" w:fill="C4EFCE"/>
            <w:vAlign w:val="center"/>
          </w:tcPr>
          <w:p w14:paraId="65077588" w14:textId="3B152ADC"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C05-i06</w:t>
            </w:r>
          </w:p>
        </w:tc>
        <w:tc>
          <w:tcPr>
            <w:tcW w:w="1520" w:type="dxa"/>
            <w:tcBorders>
              <w:top w:val="nil"/>
              <w:left w:val="nil"/>
              <w:bottom w:val="single" w:sz="4" w:space="0" w:color="auto"/>
              <w:right w:val="single" w:sz="4" w:space="0" w:color="auto"/>
            </w:tcBorders>
            <w:shd w:val="clear" w:color="auto" w:fill="C4EFCE"/>
            <w:vAlign w:val="center"/>
          </w:tcPr>
          <w:p w14:paraId="6A34C10A" w14:textId="486A2C77"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tcPr>
          <w:p w14:paraId="04DE8649" w14:textId="5A90B0B6"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Poskytnutie kapitálovej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kvázi kapitálovej podpory portugalským nefinančným korporáciám</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celkovej výške 1 300 000 000 EUR</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súlade</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ich investičnou politikou</w:t>
            </w:r>
          </w:p>
        </w:tc>
      </w:tr>
      <w:tr w:rsidR="00387C70" w:rsidRPr="003F23AC" w14:paraId="50C64ABA"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0B472DD0"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5.32</w:t>
            </w:r>
          </w:p>
        </w:tc>
        <w:tc>
          <w:tcPr>
            <w:tcW w:w="1760" w:type="dxa"/>
            <w:tcBorders>
              <w:top w:val="nil"/>
              <w:left w:val="nil"/>
              <w:bottom w:val="single" w:sz="4" w:space="0" w:color="auto"/>
              <w:right w:val="single" w:sz="4" w:space="0" w:color="auto"/>
            </w:tcBorders>
            <w:shd w:val="clear" w:color="auto" w:fill="C4EFCE"/>
            <w:vAlign w:val="center"/>
          </w:tcPr>
          <w:p w14:paraId="44B52EBF" w14:textId="21F08BF4"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C05-i06</w:t>
            </w:r>
          </w:p>
        </w:tc>
        <w:tc>
          <w:tcPr>
            <w:tcW w:w="1520" w:type="dxa"/>
            <w:tcBorders>
              <w:top w:val="nil"/>
              <w:left w:val="nil"/>
              <w:bottom w:val="single" w:sz="4" w:space="0" w:color="auto"/>
              <w:right w:val="single" w:sz="4" w:space="0" w:color="auto"/>
            </w:tcBorders>
            <w:shd w:val="clear" w:color="auto" w:fill="C4EFCE"/>
            <w:vAlign w:val="center"/>
          </w:tcPr>
          <w:p w14:paraId="75CF3957" w14:textId="14134E35"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tcPr>
          <w:p w14:paraId="29D7A449" w14:textId="117D804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Podpísalo sa 100</w:t>
            </w:r>
            <w:r w:rsidR="00A75B3C" w:rsidRPr="003F23AC">
              <w:rPr>
                <w:rFonts w:ascii="Times New Roman" w:hAnsi="Times New Roman" w:cs="Times New Roman"/>
                <w:noProof/>
                <w:lang w:val="sk-SK"/>
              </w:rPr>
              <w:t> %</w:t>
            </w:r>
            <w:r w:rsidRPr="003F23AC">
              <w:rPr>
                <w:rFonts w:ascii="Times New Roman" w:hAnsi="Times New Roman" w:cs="Times New Roman"/>
                <w:noProof/>
                <w:lang w:val="sk-SK"/>
              </w:rPr>
              <w:t xml:space="preserve"> záruk poskytnutých zvýšením kapitálu.</w:t>
            </w:r>
          </w:p>
        </w:tc>
      </w:tr>
      <w:tr w:rsidR="00387C70" w:rsidRPr="003F23AC" w14:paraId="382C66B1"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622DA2F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5.45</w:t>
            </w:r>
          </w:p>
        </w:tc>
        <w:tc>
          <w:tcPr>
            <w:tcW w:w="1760" w:type="dxa"/>
            <w:tcBorders>
              <w:top w:val="nil"/>
              <w:left w:val="nil"/>
              <w:bottom w:val="single" w:sz="4" w:space="0" w:color="auto"/>
              <w:right w:val="single" w:sz="4" w:space="0" w:color="auto"/>
            </w:tcBorders>
            <w:shd w:val="clear" w:color="auto" w:fill="C4EFCE"/>
            <w:vAlign w:val="center"/>
          </w:tcPr>
          <w:p w14:paraId="0BD22FC2" w14:textId="3FAA6F21"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C05-i11</w:t>
            </w:r>
          </w:p>
        </w:tc>
        <w:tc>
          <w:tcPr>
            <w:tcW w:w="1520" w:type="dxa"/>
            <w:tcBorders>
              <w:top w:val="nil"/>
              <w:left w:val="nil"/>
              <w:bottom w:val="single" w:sz="4" w:space="0" w:color="auto"/>
              <w:right w:val="single" w:sz="4" w:space="0" w:color="auto"/>
            </w:tcBorders>
            <w:shd w:val="clear" w:color="auto" w:fill="C4EFCE"/>
            <w:vAlign w:val="center"/>
          </w:tcPr>
          <w:p w14:paraId="197EDE46" w14:textId="386E01B8"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tcPr>
          <w:p w14:paraId="3321F122"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446 výrobkov, procesov alebo služieb.</w:t>
            </w:r>
          </w:p>
        </w:tc>
      </w:tr>
      <w:tr w:rsidR="00387C70" w:rsidRPr="003F23AC" w14:paraId="75A43AF5"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1A6C56C4"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5.47</w:t>
            </w:r>
          </w:p>
        </w:tc>
        <w:tc>
          <w:tcPr>
            <w:tcW w:w="1760" w:type="dxa"/>
            <w:tcBorders>
              <w:top w:val="nil"/>
              <w:left w:val="nil"/>
              <w:bottom w:val="single" w:sz="4" w:space="0" w:color="auto"/>
              <w:right w:val="single" w:sz="4" w:space="0" w:color="auto"/>
            </w:tcBorders>
            <w:shd w:val="clear" w:color="auto" w:fill="C4EFCE"/>
            <w:vAlign w:val="center"/>
          </w:tcPr>
          <w:p w14:paraId="49495519" w14:textId="34BAB183"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C05-i12</w:t>
            </w:r>
          </w:p>
        </w:tc>
        <w:tc>
          <w:tcPr>
            <w:tcW w:w="1520" w:type="dxa"/>
            <w:tcBorders>
              <w:top w:val="nil"/>
              <w:left w:val="nil"/>
              <w:bottom w:val="single" w:sz="4" w:space="0" w:color="auto"/>
              <w:right w:val="single" w:sz="4" w:space="0" w:color="auto"/>
            </w:tcBorders>
            <w:shd w:val="clear" w:color="auto" w:fill="C4EFCE"/>
            <w:vAlign w:val="center"/>
          </w:tcPr>
          <w:p w14:paraId="1D528D41" w14:textId="39BB559F"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tcPr>
          <w:p w14:paraId="0301C30B" w14:textId="2C89C8E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Uzatváranie zmlúv na vývoj nových produktov, procesov alebo služieb</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strategických oblastiach relevantných pre nízkouhlíkové hospodárstvo, odolnosť</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adaptáciu na zmenu klímy.</w:t>
            </w:r>
          </w:p>
        </w:tc>
      </w:tr>
      <w:tr w:rsidR="00387C70" w:rsidRPr="003F23AC" w14:paraId="14F0C662"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3876D187"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7.10</w:t>
            </w:r>
          </w:p>
        </w:tc>
        <w:tc>
          <w:tcPr>
            <w:tcW w:w="1760" w:type="dxa"/>
            <w:tcBorders>
              <w:top w:val="nil"/>
              <w:left w:val="nil"/>
              <w:bottom w:val="single" w:sz="4" w:space="0" w:color="auto"/>
              <w:right w:val="single" w:sz="4" w:space="0" w:color="auto"/>
            </w:tcBorders>
            <w:shd w:val="clear" w:color="auto" w:fill="C4EFCE"/>
            <w:vAlign w:val="center"/>
          </w:tcPr>
          <w:p w14:paraId="4150F0A6" w14:textId="0E4F0519"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C07-i03</w:t>
            </w:r>
          </w:p>
        </w:tc>
        <w:tc>
          <w:tcPr>
            <w:tcW w:w="1520" w:type="dxa"/>
            <w:tcBorders>
              <w:top w:val="nil"/>
              <w:left w:val="nil"/>
              <w:bottom w:val="single" w:sz="4" w:space="0" w:color="auto"/>
              <w:right w:val="single" w:sz="4" w:space="0" w:color="auto"/>
            </w:tcBorders>
            <w:shd w:val="clear" w:color="auto" w:fill="C4EFCE"/>
            <w:vAlign w:val="center"/>
          </w:tcPr>
          <w:p w14:paraId="592CEA84" w14:textId="762F3949"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nil"/>
              <w:left w:val="nil"/>
              <w:bottom w:val="single" w:sz="4" w:space="0" w:color="auto"/>
              <w:right w:val="single" w:sz="4" w:space="0" w:color="auto"/>
            </w:tcBorders>
            <w:shd w:val="clear" w:color="auto" w:fill="C4EFCE"/>
            <w:vAlign w:val="center"/>
          </w:tcPr>
          <w:p w14:paraId="2B2DBE78"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Vybudované alebo rekultivované cesty</w:t>
            </w:r>
          </w:p>
        </w:tc>
      </w:tr>
      <w:tr w:rsidR="00387C70" w:rsidRPr="003F23AC" w14:paraId="7DB20DEC"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73F74755"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7.12</w:t>
            </w:r>
          </w:p>
        </w:tc>
        <w:tc>
          <w:tcPr>
            <w:tcW w:w="1760" w:type="dxa"/>
            <w:tcBorders>
              <w:top w:val="single" w:sz="4" w:space="0" w:color="auto"/>
              <w:left w:val="nil"/>
              <w:bottom w:val="single" w:sz="4" w:space="0" w:color="auto"/>
              <w:right w:val="single" w:sz="4" w:space="0" w:color="auto"/>
            </w:tcBorders>
            <w:shd w:val="clear" w:color="auto" w:fill="C4EFCE"/>
            <w:vAlign w:val="center"/>
          </w:tcPr>
          <w:p w14:paraId="70788EBF" w14:textId="3124FB35"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C07-i04</w:t>
            </w:r>
          </w:p>
        </w:tc>
        <w:tc>
          <w:tcPr>
            <w:tcW w:w="1520" w:type="dxa"/>
            <w:tcBorders>
              <w:top w:val="single" w:sz="4" w:space="0" w:color="auto"/>
              <w:left w:val="nil"/>
              <w:bottom w:val="single" w:sz="4" w:space="0" w:color="auto"/>
              <w:right w:val="single" w:sz="4" w:space="0" w:color="auto"/>
            </w:tcBorders>
            <w:shd w:val="clear" w:color="auto" w:fill="C4EFCE"/>
            <w:vAlign w:val="center"/>
          </w:tcPr>
          <w:p w14:paraId="5C0933CA" w14:textId="2FF3F855"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tcBorders>
              <w:top w:val="single" w:sz="4" w:space="0" w:color="auto"/>
              <w:left w:val="nil"/>
              <w:bottom w:val="single" w:sz="4" w:space="0" w:color="auto"/>
              <w:right w:val="single" w:sz="4" w:space="0" w:color="auto"/>
            </w:tcBorders>
            <w:shd w:val="clear" w:color="auto" w:fill="C4EFCE"/>
            <w:vAlign w:val="center"/>
          </w:tcPr>
          <w:p w14:paraId="6814B6B4"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Vybudované alebo rekultivované cesty</w:t>
            </w:r>
          </w:p>
        </w:tc>
      </w:tr>
      <w:tr w:rsidR="00387C70" w:rsidRPr="003F23AC" w14:paraId="2FF9C22D"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2DAA1A82" w14:textId="66BEC41C"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19.30</w:t>
            </w:r>
          </w:p>
        </w:tc>
        <w:tc>
          <w:tcPr>
            <w:tcW w:w="1760" w:type="dxa"/>
            <w:tcBorders>
              <w:top w:val="single" w:sz="4" w:space="0" w:color="auto"/>
              <w:left w:val="nil"/>
              <w:bottom w:val="single" w:sz="4" w:space="0" w:color="auto"/>
              <w:right w:val="single" w:sz="4" w:space="0" w:color="auto"/>
            </w:tcBorders>
            <w:shd w:val="clear" w:color="auto" w:fill="C4EFCE"/>
            <w:vAlign w:val="center"/>
          </w:tcPr>
          <w:p w14:paraId="71C7B993" w14:textId="3F7646E8"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TD-C19-r41</w:t>
            </w:r>
          </w:p>
        </w:tc>
        <w:tc>
          <w:tcPr>
            <w:tcW w:w="1520" w:type="dxa"/>
            <w:tcBorders>
              <w:top w:val="single" w:sz="4" w:space="0" w:color="auto"/>
              <w:left w:val="nil"/>
              <w:bottom w:val="nil"/>
              <w:right w:val="single" w:sz="4" w:space="0" w:color="auto"/>
            </w:tcBorders>
            <w:shd w:val="clear" w:color="auto" w:fill="C4EFCE"/>
            <w:vAlign w:val="center"/>
          </w:tcPr>
          <w:p w14:paraId="16274021" w14:textId="378AF8DD"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tcBorders>
              <w:top w:val="single" w:sz="4" w:space="0" w:color="auto"/>
              <w:left w:val="nil"/>
              <w:bottom w:val="nil"/>
              <w:right w:val="single" w:sz="4" w:space="0" w:color="auto"/>
            </w:tcBorders>
            <w:shd w:val="clear" w:color="auto" w:fill="C4EFCE"/>
            <w:vAlign w:val="center"/>
          </w:tcPr>
          <w:p w14:paraId="7AD3F20C" w14:textId="56E8B510"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Nadobudnutie účinnosti legislatívneho aktu</w:t>
            </w:r>
            <w:r w:rsidR="00A75B3C" w:rsidRPr="003F23AC">
              <w:rPr>
                <w:rFonts w:ascii="Times New Roman" w:hAnsi="Times New Roman" w:cs="Times New Roman"/>
                <w:noProof/>
                <w:lang w:val="sk-SK"/>
              </w:rPr>
              <w:t xml:space="preserve"> o </w:t>
            </w:r>
            <w:r w:rsidRPr="003F23AC">
              <w:rPr>
                <w:rFonts w:ascii="Times New Roman" w:hAnsi="Times New Roman" w:cs="Times New Roman"/>
                <w:noProof/>
                <w:lang w:val="sk-SK"/>
              </w:rPr>
              <w:t>prístupe</w:t>
            </w:r>
            <w:r w:rsidR="00A75B3C" w:rsidRPr="003F23AC">
              <w:rPr>
                <w:rFonts w:ascii="Times New Roman" w:hAnsi="Times New Roman" w:cs="Times New Roman"/>
                <w:noProof/>
                <w:lang w:val="sk-SK"/>
              </w:rPr>
              <w:t xml:space="preserve"> k </w:t>
            </w:r>
            <w:r w:rsidRPr="003F23AC">
              <w:rPr>
                <w:rFonts w:ascii="Times New Roman" w:hAnsi="Times New Roman" w:cs="Times New Roman"/>
                <w:noProof/>
                <w:lang w:val="sk-SK"/>
              </w:rPr>
              <w:t>verejným službám</w:t>
            </w:r>
          </w:p>
        </w:tc>
      </w:tr>
      <w:tr w:rsidR="00387C70" w:rsidRPr="003F23AC" w14:paraId="2DA41D00" w14:textId="77777777">
        <w:trPr>
          <w:trHeight w:val="440"/>
        </w:trPr>
        <w:tc>
          <w:tcPr>
            <w:tcW w:w="1200" w:type="dxa"/>
            <w:tcBorders>
              <w:top w:val="nil"/>
              <w:left w:val="single" w:sz="4" w:space="0" w:color="auto"/>
              <w:bottom w:val="single" w:sz="4" w:space="0" w:color="auto"/>
              <w:right w:val="single" w:sz="4" w:space="0" w:color="auto"/>
            </w:tcBorders>
            <w:shd w:val="clear" w:color="auto" w:fill="C4EFCE"/>
            <w:vAlign w:val="center"/>
          </w:tcPr>
          <w:p w14:paraId="32CD2493"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760" w:type="dxa"/>
            <w:tcBorders>
              <w:top w:val="nil"/>
              <w:left w:val="nil"/>
              <w:bottom w:val="single" w:sz="4" w:space="0" w:color="auto"/>
              <w:right w:val="single" w:sz="4" w:space="0" w:color="auto"/>
            </w:tcBorders>
            <w:shd w:val="clear" w:color="auto" w:fill="C4EFCE"/>
            <w:vAlign w:val="center"/>
          </w:tcPr>
          <w:p w14:paraId="0300EF67"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520" w:type="dxa"/>
            <w:tcBorders>
              <w:top w:val="single" w:sz="4" w:space="0" w:color="auto"/>
              <w:left w:val="nil"/>
              <w:bottom w:val="single" w:sz="4" w:space="0" w:color="auto"/>
              <w:right w:val="single" w:sz="4" w:space="0" w:color="auto"/>
            </w:tcBorders>
            <w:shd w:val="clear" w:color="auto" w:fill="C4EFCE"/>
            <w:vAlign w:val="center"/>
          </w:tcPr>
          <w:p w14:paraId="55ECE748" w14:textId="77777777" w:rsidR="00387C70" w:rsidRPr="003F23AC" w:rsidRDefault="000F5AA4" w:rsidP="003F23AC">
            <w:pPr>
              <w:pStyle w:val="P68B1DB1-Normal24"/>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Suma splátky</w:t>
            </w:r>
          </w:p>
        </w:tc>
        <w:tc>
          <w:tcPr>
            <w:tcW w:w="5060" w:type="dxa"/>
            <w:tcBorders>
              <w:top w:val="single" w:sz="4" w:space="0" w:color="auto"/>
              <w:left w:val="nil"/>
              <w:bottom w:val="single" w:sz="4" w:space="0" w:color="auto"/>
              <w:right w:val="single" w:sz="4" w:space="0" w:color="auto"/>
            </w:tcBorders>
            <w:shd w:val="clear" w:color="auto" w:fill="C4EFCE"/>
            <w:vAlign w:val="center"/>
          </w:tcPr>
          <w:p w14:paraId="7C719D15" w14:textId="791E6BB2" w:rsidR="00387C70" w:rsidRPr="003F23AC" w:rsidRDefault="003A06C1" w:rsidP="003F23AC">
            <w:pPr>
              <w:pStyle w:val="P68B1DB1-Normal25"/>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EUR 938 960 210</w:t>
            </w:r>
          </w:p>
        </w:tc>
      </w:tr>
    </w:tbl>
    <w:p w14:paraId="2594BF65" w14:textId="77777777" w:rsidR="00387C70" w:rsidRPr="00FA6988" w:rsidRDefault="00387C70" w:rsidP="00FA6988">
      <w:pPr>
        <w:spacing w:after="0" w:line="240" w:lineRule="auto"/>
        <w:jc w:val="both"/>
        <w:rPr>
          <w:rFonts w:ascii="Times New Roman" w:eastAsiaTheme="minorEastAsia" w:hAnsi="Times New Roman" w:cs="Times New Roman"/>
          <w:noProof/>
          <w:sz w:val="16"/>
          <w:szCs w:val="16"/>
          <w:lang w:val="sk-SK"/>
        </w:rPr>
      </w:pPr>
    </w:p>
    <w:p w14:paraId="76C80100" w14:textId="47C84370" w:rsidR="00387C70" w:rsidRPr="003F23AC" w:rsidRDefault="000F5AA4" w:rsidP="003F23AC">
      <w:pPr>
        <w:pStyle w:val="P68B1DB1-Normal4"/>
        <w:spacing w:before="40" w:after="160" w:line="259" w:lineRule="auto"/>
        <w:contextualSpacing/>
        <w:jc w:val="both"/>
        <w:rPr>
          <w:rFonts w:eastAsia="Yu Mincho" w:cs="Times New Roman"/>
          <w:noProof/>
          <w:lang w:val="sk-SK"/>
        </w:rPr>
      </w:pPr>
      <w:r w:rsidRPr="003F23AC">
        <w:rPr>
          <w:rFonts w:cs="Times New Roman"/>
          <w:noProof/>
          <w:lang w:val="sk-SK"/>
        </w:rPr>
        <w:t>2.10. Desiata žiadosť</w:t>
      </w:r>
      <w:r w:rsidR="00A75B3C" w:rsidRPr="003F23AC">
        <w:rPr>
          <w:rFonts w:cs="Times New Roman"/>
          <w:noProof/>
          <w:lang w:val="sk-SK"/>
        </w:rPr>
        <w:t xml:space="preserve"> o </w:t>
      </w:r>
      <w:r w:rsidRPr="003F23AC">
        <w:rPr>
          <w:rFonts w:cs="Times New Roman"/>
          <w:noProof/>
          <w:lang w:val="sk-SK"/>
        </w:rPr>
        <w:t>platbu (úverová podpora):</w:t>
      </w:r>
    </w:p>
    <w:p w14:paraId="71DB6764" w14:textId="77777777" w:rsidR="00387C70" w:rsidRPr="00FA6988" w:rsidRDefault="00387C70" w:rsidP="00FA6988">
      <w:pPr>
        <w:spacing w:after="0" w:line="240" w:lineRule="auto"/>
        <w:jc w:val="both"/>
        <w:rPr>
          <w:rFonts w:ascii="Times New Roman" w:eastAsiaTheme="minorEastAsia" w:hAnsi="Times New Roman" w:cs="Times New Roman"/>
          <w:noProof/>
          <w:sz w:val="16"/>
          <w:szCs w:val="16"/>
          <w:lang w:val="sk-SK"/>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760"/>
        <w:gridCol w:w="1520"/>
        <w:gridCol w:w="5060"/>
      </w:tblGrid>
      <w:tr w:rsidR="00387C70" w:rsidRPr="003F23AC" w14:paraId="6B7C20FE" w14:textId="77777777">
        <w:trPr>
          <w:trHeight w:val="509"/>
          <w:tblHeader/>
        </w:trPr>
        <w:tc>
          <w:tcPr>
            <w:tcW w:w="1200" w:type="dxa"/>
            <w:vMerge w:val="restart"/>
            <w:shd w:val="clear" w:color="auto" w:fill="BDD7EE"/>
            <w:vAlign w:val="center"/>
            <w:hideMark/>
          </w:tcPr>
          <w:p w14:paraId="091A540E"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Poradové číslo</w:t>
            </w:r>
          </w:p>
        </w:tc>
        <w:tc>
          <w:tcPr>
            <w:tcW w:w="1760" w:type="dxa"/>
            <w:vMerge w:val="restart"/>
            <w:shd w:val="clear" w:color="auto" w:fill="BDD7EE"/>
            <w:vAlign w:val="center"/>
            <w:hideMark/>
          </w:tcPr>
          <w:p w14:paraId="52173FC7"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Súvisiace opatrenie (reforma alebo investícia)</w:t>
            </w:r>
          </w:p>
        </w:tc>
        <w:tc>
          <w:tcPr>
            <w:tcW w:w="1520" w:type="dxa"/>
            <w:vMerge w:val="restart"/>
            <w:shd w:val="clear" w:color="auto" w:fill="BDD7EE"/>
            <w:vAlign w:val="center"/>
            <w:hideMark/>
          </w:tcPr>
          <w:p w14:paraId="60F692F4"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Míľnik/cieľ</w:t>
            </w:r>
          </w:p>
        </w:tc>
        <w:tc>
          <w:tcPr>
            <w:tcW w:w="5060" w:type="dxa"/>
            <w:vMerge w:val="restart"/>
            <w:shd w:val="clear" w:color="auto" w:fill="BDD7EE"/>
            <w:vAlign w:val="center"/>
            <w:hideMark/>
          </w:tcPr>
          <w:p w14:paraId="6E70766D" w14:textId="77777777" w:rsidR="00387C70" w:rsidRPr="003F23AC" w:rsidRDefault="000F5AA4" w:rsidP="003F23AC">
            <w:pPr>
              <w:pStyle w:val="P68B1DB1-Normal22"/>
              <w:spacing w:after="0" w:line="240" w:lineRule="auto"/>
              <w:jc w:val="center"/>
              <w:rPr>
                <w:rFonts w:eastAsia="Times New Roman" w:cs="Times New Roman"/>
                <w:noProof/>
                <w:lang w:val="sk-SK"/>
              </w:rPr>
            </w:pPr>
            <w:r w:rsidRPr="003F23AC">
              <w:rPr>
                <w:rFonts w:cs="Times New Roman"/>
                <w:noProof/>
                <w:lang w:val="sk-SK"/>
              </w:rPr>
              <w:t>Názov</w:t>
            </w:r>
          </w:p>
        </w:tc>
      </w:tr>
      <w:tr w:rsidR="00387C70" w:rsidRPr="003F23AC" w14:paraId="5EC6EC37" w14:textId="77777777">
        <w:trPr>
          <w:trHeight w:val="509"/>
          <w:tblHeader/>
        </w:trPr>
        <w:tc>
          <w:tcPr>
            <w:tcW w:w="1200" w:type="dxa"/>
            <w:vMerge/>
            <w:vAlign w:val="center"/>
            <w:hideMark/>
          </w:tcPr>
          <w:p w14:paraId="140A919C"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1760" w:type="dxa"/>
            <w:vMerge/>
            <w:vAlign w:val="center"/>
            <w:hideMark/>
          </w:tcPr>
          <w:p w14:paraId="7480BF59"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1520" w:type="dxa"/>
            <w:vMerge/>
            <w:vAlign w:val="center"/>
            <w:hideMark/>
          </w:tcPr>
          <w:p w14:paraId="0A39A395"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c>
          <w:tcPr>
            <w:tcW w:w="5060" w:type="dxa"/>
            <w:vMerge/>
            <w:vAlign w:val="center"/>
            <w:hideMark/>
          </w:tcPr>
          <w:p w14:paraId="6045547B" w14:textId="77777777" w:rsidR="00387C70" w:rsidRPr="003F23AC" w:rsidRDefault="00387C70" w:rsidP="003F23AC">
            <w:pPr>
              <w:spacing w:after="0" w:line="240" w:lineRule="auto"/>
              <w:rPr>
                <w:rFonts w:ascii="Times New Roman" w:eastAsia="Times New Roman" w:hAnsi="Times New Roman" w:cs="Times New Roman"/>
                <w:noProof/>
                <w:sz w:val="20"/>
                <w:lang w:val="sk-SK"/>
              </w:rPr>
            </w:pPr>
          </w:p>
        </w:tc>
      </w:tr>
      <w:tr w:rsidR="00387C70" w:rsidRPr="003F23AC" w14:paraId="43A9225B" w14:textId="77777777">
        <w:trPr>
          <w:trHeight w:val="440"/>
        </w:trPr>
        <w:tc>
          <w:tcPr>
            <w:tcW w:w="1200" w:type="dxa"/>
            <w:shd w:val="clear" w:color="auto" w:fill="C4EFCE"/>
            <w:vAlign w:val="center"/>
            <w:hideMark/>
          </w:tcPr>
          <w:p w14:paraId="1060EBA6"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2.24</w:t>
            </w:r>
          </w:p>
        </w:tc>
        <w:tc>
          <w:tcPr>
            <w:tcW w:w="1760" w:type="dxa"/>
            <w:shd w:val="clear" w:color="auto" w:fill="C4EFCE"/>
            <w:vAlign w:val="center"/>
            <w:hideMark/>
          </w:tcPr>
          <w:p w14:paraId="713D07D5" w14:textId="2B94B062"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C02-i05</w:t>
            </w:r>
          </w:p>
        </w:tc>
        <w:tc>
          <w:tcPr>
            <w:tcW w:w="1520" w:type="dxa"/>
            <w:shd w:val="clear" w:color="auto" w:fill="C4EFCE"/>
            <w:vAlign w:val="center"/>
            <w:hideMark/>
          </w:tcPr>
          <w:p w14:paraId="4D626FFD" w14:textId="0D4C2FC9"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546F0F41" w14:textId="251607F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Cenovo dostupný verejný bytový fond – Priradené obydlia (vybudované</w:t>
            </w:r>
            <w:r w:rsidR="00A75B3C" w:rsidRPr="003F23AC">
              <w:rPr>
                <w:rFonts w:ascii="Times New Roman" w:hAnsi="Times New Roman" w:cs="Times New Roman"/>
                <w:noProof/>
                <w:lang w:val="sk-SK"/>
              </w:rPr>
              <w:t xml:space="preserve"> s </w:t>
            </w:r>
            <w:r w:rsidRPr="003F23AC">
              <w:rPr>
                <w:rFonts w:ascii="Times New Roman" w:hAnsi="Times New Roman" w:cs="Times New Roman"/>
                <w:noProof/>
                <w:lang w:val="sk-SK"/>
              </w:rPr>
              <w:t>vysokou energetickou účinnosťou alebo renovované so zlepšenou energetickou hospodárnosťou)</w:t>
            </w:r>
          </w:p>
        </w:tc>
      </w:tr>
      <w:tr w:rsidR="00387C70" w:rsidRPr="003F23AC" w14:paraId="6ACD318C" w14:textId="77777777">
        <w:trPr>
          <w:trHeight w:val="440"/>
        </w:trPr>
        <w:tc>
          <w:tcPr>
            <w:tcW w:w="1200" w:type="dxa"/>
            <w:shd w:val="clear" w:color="auto" w:fill="C4EFCE"/>
            <w:vAlign w:val="center"/>
            <w:hideMark/>
          </w:tcPr>
          <w:p w14:paraId="4A97CC8F"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2.28</w:t>
            </w:r>
          </w:p>
        </w:tc>
        <w:tc>
          <w:tcPr>
            <w:tcW w:w="1760" w:type="dxa"/>
            <w:shd w:val="clear" w:color="auto" w:fill="C4EFCE"/>
            <w:vAlign w:val="center"/>
            <w:hideMark/>
          </w:tcPr>
          <w:p w14:paraId="3C8F5913" w14:textId="535FEC8E"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C02-i06</w:t>
            </w:r>
          </w:p>
        </w:tc>
        <w:tc>
          <w:tcPr>
            <w:tcW w:w="1520" w:type="dxa"/>
            <w:shd w:val="clear" w:color="auto" w:fill="C4EFCE"/>
            <w:vAlign w:val="center"/>
            <w:hideMark/>
          </w:tcPr>
          <w:p w14:paraId="6259008C" w14:textId="15C86607"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0B76E21D"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Ubytovanie pre študentov za prijateľné náklady</w:t>
            </w:r>
          </w:p>
        </w:tc>
      </w:tr>
      <w:tr w:rsidR="00387C70" w:rsidRPr="003F23AC" w14:paraId="0BC09961" w14:textId="77777777">
        <w:trPr>
          <w:trHeight w:val="440"/>
        </w:trPr>
        <w:tc>
          <w:tcPr>
            <w:tcW w:w="1200" w:type="dxa"/>
            <w:shd w:val="clear" w:color="auto" w:fill="C4EFCE"/>
            <w:vAlign w:val="center"/>
            <w:hideMark/>
          </w:tcPr>
          <w:p w14:paraId="5CF2BED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2.32</w:t>
            </w:r>
          </w:p>
        </w:tc>
        <w:tc>
          <w:tcPr>
            <w:tcW w:w="1760" w:type="dxa"/>
            <w:shd w:val="clear" w:color="auto" w:fill="C4EFCE"/>
            <w:vAlign w:val="center"/>
            <w:hideMark/>
          </w:tcPr>
          <w:p w14:paraId="67904F64" w14:textId="660923D6"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C02-i01</w:t>
            </w:r>
          </w:p>
        </w:tc>
        <w:tc>
          <w:tcPr>
            <w:tcW w:w="1520" w:type="dxa"/>
            <w:shd w:val="clear" w:color="auto" w:fill="C4EFCE"/>
            <w:vAlign w:val="center"/>
            <w:hideMark/>
          </w:tcPr>
          <w:p w14:paraId="264290E3" w14:textId="21468696"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62BD1AF8" w14:textId="480D7C17" w:rsidR="00387C70" w:rsidRPr="00FA6988" w:rsidRDefault="000F5AA4" w:rsidP="003F23AC">
            <w:pPr>
              <w:pStyle w:val="P68B1DB1-Normal23"/>
              <w:spacing w:after="0"/>
              <w:jc w:val="both"/>
              <w:rPr>
                <w:rFonts w:ascii="Times New Roman" w:eastAsia="Calibri" w:hAnsi="Times New Roman" w:cs="Times New Roman"/>
                <w:noProof/>
                <w:spacing w:val="-4"/>
                <w:lang w:val="sk-SK"/>
              </w:rPr>
            </w:pPr>
            <w:r w:rsidRPr="00FA6988">
              <w:rPr>
                <w:rFonts w:ascii="Times New Roman" w:hAnsi="Times New Roman" w:cs="Times New Roman"/>
                <w:noProof/>
                <w:spacing w:val="-4"/>
                <w:lang w:val="sk-SK"/>
              </w:rPr>
              <w:t>Program na podporu prístupu</w:t>
            </w:r>
            <w:r w:rsidR="00A75B3C" w:rsidRPr="00FA6988">
              <w:rPr>
                <w:rFonts w:ascii="Times New Roman" w:hAnsi="Times New Roman" w:cs="Times New Roman"/>
                <w:noProof/>
                <w:spacing w:val="-4"/>
                <w:lang w:val="sk-SK"/>
              </w:rPr>
              <w:t xml:space="preserve"> k </w:t>
            </w:r>
            <w:r w:rsidRPr="00FA6988">
              <w:rPr>
                <w:rFonts w:ascii="Times New Roman" w:hAnsi="Times New Roman" w:cs="Times New Roman"/>
                <w:noProof/>
                <w:spacing w:val="-4"/>
                <w:lang w:val="sk-SK"/>
              </w:rPr>
              <w:t>bývaniu (úveru) – Kúpané, postavené (vysoká energetická efektívnosť) alebo renovované (so zlepšenou energetickou hospodárnosťou) byty poskytované domácnostiam</w:t>
            </w:r>
          </w:p>
        </w:tc>
      </w:tr>
      <w:tr w:rsidR="00387C70" w:rsidRPr="003F23AC" w14:paraId="0E1519F3" w14:textId="77777777">
        <w:trPr>
          <w:trHeight w:val="440"/>
        </w:trPr>
        <w:tc>
          <w:tcPr>
            <w:tcW w:w="1200" w:type="dxa"/>
            <w:shd w:val="clear" w:color="auto" w:fill="C4EFCE"/>
            <w:vAlign w:val="center"/>
            <w:hideMark/>
          </w:tcPr>
          <w:p w14:paraId="76C8C652"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6.29</w:t>
            </w:r>
          </w:p>
        </w:tc>
        <w:tc>
          <w:tcPr>
            <w:tcW w:w="1760" w:type="dxa"/>
            <w:shd w:val="clear" w:color="auto" w:fill="C4EFCE"/>
            <w:vAlign w:val="center"/>
            <w:hideMark/>
          </w:tcPr>
          <w:p w14:paraId="0F6D3ED0" w14:textId="202E8AB9"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C06-i09</w:t>
            </w:r>
          </w:p>
        </w:tc>
        <w:tc>
          <w:tcPr>
            <w:tcW w:w="1520" w:type="dxa"/>
            <w:shd w:val="clear" w:color="auto" w:fill="C4EFCE"/>
            <w:vAlign w:val="center"/>
            <w:hideMark/>
          </w:tcPr>
          <w:p w14:paraId="6D0F7153" w14:textId="5C505B1E"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047B6D19" w14:textId="77777777"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Vybudované alebo renovované školy</w:t>
            </w:r>
          </w:p>
        </w:tc>
      </w:tr>
      <w:tr w:rsidR="00387C70" w:rsidRPr="003F23AC" w14:paraId="5238DA6D" w14:textId="77777777">
        <w:trPr>
          <w:trHeight w:val="440"/>
        </w:trPr>
        <w:tc>
          <w:tcPr>
            <w:tcW w:w="1200" w:type="dxa"/>
            <w:shd w:val="clear" w:color="auto" w:fill="C4EFCE"/>
            <w:vAlign w:val="center"/>
            <w:hideMark/>
          </w:tcPr>
          <w:p w14:paraId="5A9125CA"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9.11</w:t>
            </w:r>
          </w:p>
        </w:tc>
        <w:tc>
          <w:tcPr>
            <w:tcW w:w="1760" w:type="dxa"/>
            <w:shd w:val="clear" w:color="auto" w:fill="C4EFCE"/>
            <w:vAlign w:val="center"/>
            <w:hideMark/>
          </w:tcPr>
          <w:p w14:paraId="0D639E29" w14:textId="120AE190" w:rsidR="00387C70" w:rsidRPr="003F23AC" w:rsidRDefault="00F218FC"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RE-</w:t>
            </w:r>
            <w:r w:rsidR="000F5AA4" w:rsidRPr="003F23AC">
              <w:rPr>
                <w:rFonts w:ascii="Times New Roman" w:hAnsi="Times New Roman" w:cs="Times New Roman"/>
                <w:noProof/>
                <w:lang w:val="sk-SK"/>
              </w:rPr>
              <w:t>C09-i02</w:t>
            </w:r>
          </w:p>
        </w:tc>
        <w:tc>
          <w:tcPr>
            <w:tcW w:w="1520" w:type="dxa"/>
            <w:shd w:val="clear" w:color="auto" w:fill="C4EFCE"/>
            <w:vAlign w:val="center"/>
            <w:hideMark/>
          </w:tcPr>
          <w:p w14:paraId="41B75453"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312ACE4B" w14:textId="3EED152A"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Uvedenie do prevádzky priehrady, výroby vodnej</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slnečnej energie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zavlažovania pri plnom rešpektovaní výsledkov</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podmienok stanovených</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posúdení vplyvov na životné prostredie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dosiahnutie dobrého stavu príslušných vodných útvarov</w:t>
            </w:r>
          </w:p>
        </w:tc>
      </w:tr>
      <w:tr w:rsidR="00387C70" w:rsidRPr="003F23AC" w14:paraId="19AB668B" w14:textId="77777777">
        <w:trPr>
          <w:trHeight w:val="440"/>
        </w:trPr>
        <w:tc>
          <w:tcPr>
            <w:tcW w:w="1200" w:type="dxa"/>
            <w:shd w:val="clear" w:color="auto" w:fill="C4EFCE"/>
            <w:vAlign w:val="center"/>
            <w:hideMark/>
          </w:tcPr>
          <w:p w14:paraId="6A2076D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10.7</w:t>
            </w:r>
          </w:p>
        </w:tc>
        <w:tc>
          <w:tcPr>
            <w:tcW w:w="1760" w:type="dxa"/>
            <w:shd w:val="clear" w:color="auto" w:fill="C4EFCE"/>
            <w:vAlign w:val="center"/>
            <w:hideMark/>
          </w:tcPr>
          <w:p w14:paraId="7A7CF25E"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TC-C10-i03</w:t>
            </w:r>
          </w:p>
        </w:tc>
        <w:tc>
          <w:tcPr>
            <w:tcW w:w="1520" w:type="dxa"/>
            <w:shd w:val="clear" w:color="auto" w:fill="C4EFCE"/>
            <w:vAlign w:val="center"/>
            <w:hideMark/>
          </w:tcPr>
          <w:p w14:paraId="266B0A8B"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M</w:t>
            </w:r>
          </w:p>
        </w:tc>
        <w:tc>
          <w:tcPr>
            <w:tcW w:w="5060" w:type="dxa"/>
            <w:shd w:val="clear" w:color="auto" w:fill="C4EFCE"/>
            <w:vAlign w:val="center"/>
            <w:hideMark/>
          </w:tcPr>
          <w:p w14:paraId="73803CDA" w14:textId="052D33DD"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Prijatie</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prijatie „viacfunkčnej námornej platformy“</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„operačného centra“</w:t>
            </w:r>
          </w:p>
        </w:tc>
      </w:tr>
      <w:tr w:rsidR="00387C70" w:rsidRPr="003F23AC" w14:paraId="057D473A" w14:textId="77777777">
        <w:trPr>
          <w:trHeight w:val="440"/>
        </w:trPr>
        <w:tc>
          <w:tcPr>
            <w:tcW w:w="1200" w:type="dxa"/>
            <w:shd w:val="clear" w:color="auto" w:fill="C4EFCE"/>
            <w:vAlign w:val="center"/>
            <w:hideMark/>
          </w:tcPr>
          <w:p w14:paraId="5F8992F9"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10.18</w:t>
            </w:r>
          </w:p>
        </w:tc>
        <w:tc>
          <w:tcPr>
            <w:tcW w:w="1760" w:type="dxa"/>
            <w:shd w:val="clear" w:color="auto" w:fill="C4EFCE"/>
            <w:vAlign w:val="center"/>
            <w:hideMark/>
          </w:tcPr>
          <w:p w14:paraId="3BD8484D"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TC-10-i07</w:t>
            </w:r>
          </w:p>
        </w:tc>
        <w:tc>
          <w:tcPr>
            <w:tcW w:w="1520" w:type="dxa"/>
            <w:shd w:val="clear" w:color="auto" w:fill="C4EFCE"/>
            <w:vAlign w:val="center"/>
            <w:hideMark/>
          </w:tcPr>
          <w:p w14:paraId="735A96C0" w14:textId="36BE2FFB"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7556295A" w14:textId="0344F79B"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Dokončenie intervencií</w:t>
            </w:r>
            <w:r w:rsidR="00A75B3C" w:rsidRPr="003F23AC">
              <w:rPr>
                <w:rFonts w:ascii="Times New Roman" w:hAnsi="Times New Roman" w:cs="Times New Roman"/>
                <w:noProof/>
                <w:lang w:val="sk-SK"/>
              </w:rPr>
              <w:t xml:space="preserve"> v </w:t>
            </w:r>
            <w:r w:rsidRPr="003F23AC">
              <w:rPr>
                <w:rFonts w:ascii="Times New Roman" w:hAnsi="Times New Roman" w:cs="Times New Roman"/>
                <w:noProof/>
                <w:lang w:val="sk-SK"/>
              </w:rPr>
              <w:t>oblasti energetickej efektívnosti plavidiel</w:t>
            </w:r>
          </w:p>
        </w:tc>
      </w:tr>
      <w:tr w:rsidR="00387C70" w:rsidRPr="003F23AC" w14:paraId="4F144B9C" w14:textId="77777777">
        <w:trPr>
          <w:trHeight w:val="440"/>
        </w:trPr>
        <w:tc>
          <w:tcPr>
            <w:tcW w:w="1200" w:type="dxa"/>
            <w:shd w:val="clear" w:color="auto" w:fill="C4EFCE"/>
            <w:vAlign w:val="center"/>
            <w:hideMark/>
          </w:tcPr>
          <w:p w14:paraId="32223458"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15.9</w:t>
            </w:r>
          </w:p>
        </w:tc>
        <w:tc>
          <w:tcPr>
            <w:tcW w:w="1760" w:type="dxa"/>
            <w:shd w:val="clear" w:color="auto" w:fill="C4EFCE"/>
            <w:vAlign w:val="center"/>
            <w:hideMark/>
          </w:tcPr>
          <w:p w14:paraId="653ED741" w14:textId="77777777" w:rsidR="00387C70" w:rsidRPr="003F23AC" w:rsidRDefault="000F5AA4"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TC-C15-i03</w:t>
            </w:r>
          </w:p>
        </w:tc>
        <w:tc>
          <w:tcPr>
            <w:tcW w:w="1520" w:type="dxa"/>
            <w:shd w:val="clear" w:color="auto" w:fill="C4EFCE"/>
            <w:vAlign w:val="center"/>
            <w:hideMark/>
          </w:tcPr>
          <w:p w14:paraId="36D4B6CD" w14:textId="6C585946" w:rsidR="00387C70" w:rsidRPr="003F23AC" w:rsidRDefault="00C32C63" w:rsidP="003F23AC">
            <w:pPr>
              <w:pStyle w:val="P68B1DB1-Normal23"/>
              <w:spacing w:after="0"/>
              <w:jc w:val="center"/>
              <w:rPr>
                <w:rFonts w:ascii="Times New Roman" w:eastAsia="Calibri" w:hAnsi="Times New Roman" w:cs="Times New Roman"/>
                <w:noProof/>
                <w:lang w:val="sk-SK"/>
              </w:rPr>
            </w:pPr>
            <w:r w:rsidRPr="003F23AC">
              <w:rPr>
                <w:rFonts w:ascii="Times New Roman" w:hAnsi="Times New Roman" w:cs="Times New Roman"/>
                <w:noProof/>
                <w:lang w:val="sk-SK"/>
              </w:rPr>
              <w:t>C</w:t>
            </w:r>
          </w:p>
        </w:tc>
        <w:tc>
          <w:tcPr>
            <w:tcW w:w="5060" w:type="dxa"/>
            <w:shd w:val="clear" w:color="auto" w:fill="C4EFCE"/>
            <w:vAlign w:val="center"/>
            <w:hideMark/>
          </w:tcPr>
          <w:p w14:paraId="19759650" w14:textId="41751F7B" w:rsidR="00387C70" w:rsidRPr="003F23AC" w:rsidRDefault="000F5AA4" w:rsidP="003F23AC">
            <w:pPr>
              <w:pStyle w:val="P68B1DB1-Normal23"/>
              <w:spacing w:after="0"/>
              <w:jc w:val="both"/>
              <w:rPr>
                <w:rFonts w:ascii="Times New Roman" w:eastAsia="Calibri" w:hAnsi="Times New Roman" w:cs="Times New Roman"/>
                <w:noProof/>
                <w:lang w:val="sk-SK"/>
              </w:rPr>
            </w:pPr>
            <w:r w:rsidRPr="003F23AC">
              <w:rPr>
                <w:rFonts w:ascii="Times New Roman" w:hAnsi="Times New Roman" w:cs="Times New Roman"/>
                <w:noProof/>
                <w:lang w:val="sk-SK"/>
              </w:rPr>
              <w:t>Dokončená výstavba tranzitnej trate pre ľahké železnice medzi Odivelasom</w:t>
            </w:r>
            <w:r w:rsidR="00A75B3C" w:rsidRPr="003F23AC">
              <w:rPr>
                <w:rFonts w:ascii="Times New Roman" w:hAnsi="Times New Roman" w:cs="Times New Roman"/>
                <w:noProof/>
                <w:lang w:val="sk-SK"/>
              </w:rPr>
              <w:t xml:space="preserve"> a </w:t>
            </w:r>
            <w:r w:rsidRPr="003F23AC">
              <w:rPr>
                <w:rFonts w:ascii="Times New Roman" w:hAnsi="Times New Roman" w:cs="Times New Roman"/>
                <w:noProof/>
                <w:lang w:val="sk-SK"/>
              </w:rPr>
              <w:t>Louresom</w:t>
            </w:r>
          </w:p>
        </w:tc>
      </w:tr>
      <w:tr w:rsidR="00387C70" w:rsidRPr="003F23AC" w14:paraId="4C01CA89" w14:textId="77777777">
        <w:trPr>
          <w:trHeight w:val="440"/>
        </w:trPr>
        <w:tc>
          <w:tcPr>
            <w:tcW w:w="1200" w:type="dxa"/>
            <w:shd w:val="clear" w:color="auto" w:fill="C4EFCE"/>
            <w:vAlign w:val="center"/>
            <w:hideMark/>
          </w:tcPr>
          <w:p w14:paraId="58A583A0" w14:textId="77777777" w:rsidR="00387C70" w:rsidRPr="003F23AC" w:rsidRDefault="000F5AA4" w:rsidP="003F23AC">
            <w:pPr>
              <w:pStyle w:val="P68B1DB1-Normal8"/>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760" w:type="dxa"/>
            <w:shd w:val="clear" w:color="auto" w:fill="C4EFCE"/>
            <w:vAlign w:val="center"/>
            <w:hideMark/>
          </w:tcPr>
          <w:p w14:paraId="60B776CD" w14:textId="77777777" w:rsidR="00387C70" w:rsidRPr="003F23AC" w:rsidRDefault="000F5AA4" w:rsidP="003F23AC">
            <w:pPr>
              <w:pStyle w:val="P68B1DB1-Normal8"/>
              <w:spacing w:after="0" w:line="240" w:lineRule="auto"/>
              <w:rPr>
                <w:rFonts w:ascii="Times New Roman" w:eastAsia="Times New Roman" w:hAnsi="Times New Roman" w:cs="Times New Roman"/>
                <w:noProof/>
                <w:lang w:val="sk-SK"/>
              </w:rPr>
            </w:pPr>
            <w:r w:rsidRPr="003F23AC">
              <w:rPr>
                <w:rFonts w:ascii="Times New Roman" w:hAnsi="Times New Roman" w:cs="Times New Roman"/>
                <w:noProof/>
                <w:lang w:val="sk-SK"/>
              </w:rPr>
              <w:t> </w:t>
            </w:r>
          </w:p>
        </w:tc>
        <w:tc>
          <w:tcPr>
            <w:tcW w:w="1520" w:type="dxa"/>
            <w:shd w:val="clear" w:color="auto" w:fill="C4EFCE"/>
            <w:vAlign w:val="center"/>
            <w:hideMark/>
          </w:tcPr>
          <w:p w14:paraId="795582F7" w14:textId="77777777" w:rsidR="00387C70" w:rsidRPr="003F23AC" w:rsidRDefault="000F5AA4" w:rsidP="003F23AC">
            <w:pPr>
              <w:pStyle w:val="P68B1DB1-Normal24"/>
              <w:spacing w:after="0" w:line="240" w:lineRule="auto"/>
              <w:jc w:val="center"/>
              <w:rPr>
                <w:rFonts w:ascii="Times New Roman" w:eastAsia="Times New Roman" w:hAnsi="Times New Roman" w:cs="Times New Roman"/>
                <w:noProof/>
                <w:lang w:val="sk-SK"/>
              </w:rPr>
            </w:pPr>
            <w:r w:rsidRPr="003F23AC">
              <w:rPr>
                <w:rFonts w:ascii="Times New Roman" w:hAnsi="Times New Roman" w:cs="Times New Roman"/>
                <w:noProof/>
                <w:lang w:val="sk-SK"/>
              </w:rPr>
              <w:t>Suma splátky</w:t>
            </w:r>
          </w:p>
        </w:tc>
        <w:tc>
          <w:tcPr>
            <w:tcW w:w="5060" w:type="dxa"/>
            <w:shd w:val="clear" w:color="auto" w:fill="C4EFCE"/>
            <w:vAlign w:val="center"/>
            <w:hideMark/>
          </w:tcPr>
          <w:p w14:paraId="608E3E88" w14:textId="252C3F92" w:rsidR="00387C70" w:rsidRPr="003F23AC" w:rsidRDefault="003A06C1" w:rsidP="003F23AC">
            <w:pPr>
              <w:pStyle w:val="P68B1DB1-Normal25"/>
              <w:spacing w:after="0" w:line="240" w:lineRule="auto"/>
              <w:jc w:val="center"/>
              <w:rPr>
                <w:rFonts w:ascii="Times New Roman" w:hAnsi="Times New Roman" w:cs="Times New Roman"/>
                <w:noProof/>
                <w:lang w:val="sk-SK"/>
              </w:rPr>
            </w:pPr>
            <w:r w:rsidRPr="003F23AC">
              <w:rPr>
                <w:rFonts w:ascii="Times New Roman" w:hAnsi="Times New Roman" w:cs="Times New Roman"/>
                <w:noProof/>
                <w:lang w:val="sk-SK"/>
              </w:rPr>
              <w:t>EUR 907 960 212</w:t>
            </w:r>
          </w:p>
        </w:tc>
      </w:tr>
    </w:tbl>
    <w:p w14:paraId="1317C313" w14:textId="77777777" w:rsidR="00387C70" w:rsidRPr="00FA6988" w:rsidRDefault="00387C70" w:rsidP="00FA6988">
      <w:pPr>
        <w:tabs>
          <w:tab w:val="num" w:pos="850"/>
        </w:tabs>
        <w:spacing w:after="0" w:line="259" w:lineRule="auto"/>
        <w:ind w:left="851" w:hanging="851"/>
        <w:jc w:val="both"/>
        <w:outlineLvl w:val="0"/>
        <w:rPr>
          <w:rFonts w:ascii="Times New Roman" w:eastAsiaTheme="majorEastAsia" w:hAnsi="Times New Roman" w:cs="Times New Roman"/>
          <w:b/>
          <w:smallCaps/>
          <w:noProof/>
          <w:sz w:val="2"/>
          <w:szCs w:val="2"/>
          <w:lang w:val="sk-SK"/>
        </w:rPr>
      </w:pPr>
    </w:p>
    <w:p w14:paraId="76E16907" w14:textId="77777777" w:rsidR="00A75B3C" w:rsidRPr="003F23AC" w:rsidRDefault="000F5AA4" w:rsidP="00FA6988">
      <w:pPr>
        <w:tabs>
          <w:tab w:val="num" w:pos="850"/>
        </w:tabs>
        <w:spacing w:after="0" w:line="259" w:lineRule="auto"/>
        <w:ind w:left="851" w:hanging="851"/>
        <w:jc w:val="both"/>
        <w:outlineLvl w:val="0"/>
        <w:rPr>
          <w:rFonts w:ascii="Times New Roman" w:hAnsi="Times New Roman" w:cs="Times New Roman"/>
          <w:b/>
          <w:smallCaps/>
          <w:noProof/>
          <w:sz w:val="24"/>
          <w:lang w:val="sk-SK"/>
        </w:rPr>
      </w:pPr>
      <w:r w:rsidRPr="00FA6988">
        <w:rPr>
          <w:rFonts w:ascii="Times New Roman" w:hAnsi="Times New Roman" w:cs="Times New Roman"/>
          <w:noProof/>
          <w:sz w:val="2"/>
          <w:szCs w:val="2"/>
          <w:lang w:val="sk-SK"/>
        </w:rPr>
        <w:br w:type="page"/>
      </w:r>
      <w:r w:rsidRPr="003F23AC">
        <w:rPr>
          <w:rFonts w:ascii="Times New Roman" w:hAnsi="Times New Roman" w:cs="Times New Roman"/>
          <w:b/>
          <w:smallCaps/>
          <w:noProof/>
          <w:sz w:val="24"/>
          <w:lang w:val="sk-SK"/>
        </w:rPr>
        <w:t>ODDIEL 3: ĎALŠIE OPATRENIA</w:t>
      </w:r>
    </w:p>
    <w:p w14:paraId="21FD14C8" w14:textId="4273FDEE" w:rsidR="00387C70" w:rsidRPr="003F23AC" w:rsidRDefault="000F5AA4" w:rsidP="003F23AC">
      <w:pPr>
        <w:pStyle w:val="P68B1DB1-Normal3"/>
        <w:numPr>
          <w:ilvl w:val="1"/>
          <w:numId w:val="49"/>
        </w:numPr>
        <w:spacing w:before="40" w:after="0" w:line="259" w:lineRule="auto"/>
        <w:ind w:left="357" w:hanging="357"/>
        <w:jc w:val="both"/>
        <w:outlineLvl w:val="1"/>
        <w:rPr>
          <w:rFonts w:eastAsiaTheme="majorEastAsia" w:cs="Times New Roman"/>
          <w:noProof/>
          <w:lang w:val="sk-SK"/>
        </w:rPr>
      </w:pPr>
      <w:r w:rsidRPr="003F23AC">
        <w:rPr>
          <w:rFonts w:cs="Times New Roman"/>
          <w:noProof/>
          <w:lang w:val="sk-SK"/>
        </w:rPr>
        <w:t>Opatrenia na monitorovanie</w:t>
      </w:r>
      <w:r w:rsidR="00A75B3C" w:rsidRPr="003F23AC">
        <w:rPr>
          <w:rFonts w:cs="Times New Roman"/>
          <w:noProof/>
          <w:lang w:val="sk-SK"/>
        </w:rPr>
        <w:t xml:space="preserve"> a </w:t>
      </w:r>
      <w:r w:rsidRPr="003F23AC">
        <w:rPr>
          <w:rFonts w:cs="Times New Roman"/>
          <w:noProof/>
          <w:lang w:val="sk-SK"/>
        </w:rPr>
        <w:t>realizáciu plánu obnovy</w:t>
      </w:r>
      <w:r w:rsidR="00A75B3C" w:rsidRPr="003F23AC">
        <w:rPr>
          <w:rFonts w:cs="Times New Roman"/>
          <w:noProof/>
          <w:lang w:val="sk-SK"/>
        </w:rPr>
        <w:t xml:space="preserve"> a </w:t>
      </w:r>
      <w:r w:rsidRPr="003F23AC">
        <w:rPr>
          <w:rFonts w:cs="Times New Roman"/>
          <w:noProof/>
          <w:lang w:val="sk-SK"/>
        </w:rPr>
        <w:t>odolnosti</w:t>
      </w:r>
    </w:p>
    <w:p w14:paraId="6F75632D" w14:textId="5DE329CE"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Monitorovanie</w:t>
      </w:r>
      <w:r w:rsidR="00A75B3C" w:rsidRPr="003F23AC">
        <w:rPr>
          <w:rFonts w:cs="Times New Roman"/>
          <w:noProof/>
          <w:lang w:val="sk-SK"/>
        </w:rPr>
        <w:t xml:space="preserve"> a </w:t>
      </w:r>
      <w:r w:rsidRPr="003F23AC">
        <w:rPr>
          <w:rFonts w:cs="Times New Roman"/>
          <w:noProof/>
          <w:lang w:val="sk-SK"/>
        </w:rPr>
        <w:t>vykonávanie plánu obnovy</w:t>
      </w:r>
      <w:r w:rsidR="00A75B3C" w:rsidRPr="003F23AC">
        <w:rPr>
          <w:rFonts w:cs="Times New Roman"/>
          <w:noProof/>
          <w:lang w:val="sk-SK"/>
        </w:rPr>
        <w:t xml:space="preserve"> a </w:t>
      </w:r>
      <w:r w:rsidRPr="003F23AC">
        <w:rPr>
          <w:rFonts w:cs="Times New Roman"/>
          <w:noProof/>
          <w:lang w:val="sk-SK"/>
        </w:rPr>
        <w:t>odolnosti Portugalska sa uskutočňuje</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týmito opatreniami</w:t>
      </w:r>
      <w:r w:rsidR="00A75B3C" w:rsidRPr="003F23AC">
        <w:rPr>
          <w:rFonts w:cs="Times New Roman"/>
          <w:noProof/>
          <w:lang w:val="sk-SK"/>
        </w:rPr>
        <w:t>:</w:t>
      </w:r>
    </w:p>
    <w:p w14:paraId="67960D0E" w14:textId="398E1F04"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 xml:space="preserve">Zákonným dekrétom </w:t>
      </w:r>
      <w:r w:rsidR="00A75B3C" w:rsidRPr="003F23AC">
        <w:rPr>
          <w:rFonts w:cs="Times New Roman"/>
          <w:noProof/>
          <w:lang w:val="sk-SK"/>
        </w:rPr>
        <w:t>č. </w:t>
      </w:r>
      <w:r w:rsidRPr="003F23AC">
        <w:rPr>
          <w:rFonts w:cs="Times New Roman"/>
          <w:noProof/>
          <w:lang w:val="sk-SK"/>
        </w:rPr>
        <w:t xml:space="preserve">29-B/2021 zmeneným zákonným dekrétom </w:t>
      </w:r>
      <w:r w:rsidR="00A75B3C" w:rsidRPr="003F23AC">
        <w:rPr>
          <w:rFonts w:cs="Times New Roman"/>
          <w:noProof/>
          <w:lang w:val="sk-SK"/>
        </w:rPr>
        <w:t>č. </w:t>
      </w:r>
      <w:r w:rsidRPr="003F23AC">
        <w:rPr>
          <w:rFonts w:cs="Times New Roman"/>
          <w:noProof/>
          <w:lang w:val="sk-SK"/>
        </w:rPr>
        <w:t>61/2023</w:t>
      </w:r>
      <w:r w:rsidR="00A75B3C" w:rsidRPr="003F23AC">
        <w:rPr>
          <w:rFonts w:cs="Times New Roman"/>
          <w:noProof/>
          <w:lang w:val="sk-SK"/>
        </w:rPr>
        <w:t xml:space="preserve"> z </w:t>
      </w:r>
      <w:r w:rsidRPr="003F23AC">
        <w:rPr>
          <w:rFonts w:cs="Times New Roman"/>
          <w:noProof/>
          <w:lang w:val="sk-SK"/>
        </w:rPr>
        <w:t>24</w:t>
      </w:r>
      <w:r w:rsidR="00A75B3C" w:rsidRPr="003F23AC">
        <w:rPr>
          <w:rFonts w:cs="Times New Roman"/>
          <w:noProof/>
          <w:lang w:val="sk-SK"/>
        </w:rPr>
        <w:t>. júla</w:t>
      </w:r>
      <w:r w:rsidRPr="003F23AC">
        <w:rPr>
          <w:rFonts w:cs="Times New Roman"/>
          <w:noProof/>
          <w:lang w:val="sk-SK"/>
        </w:rPr>
        <w:t xml:space="preserve"> sa stanovuje štvorúrovňový model riadenia</w:t>
      </w:r>
      <w:r w:rsidR="00A75B3C" w:rsidRPr="003F23AC">
        <w:rPr>
          <w:rFonts w:cs="Times New Roman"/>
          <w:noProof/>
          <w:lang w:val="sk-SK"/>
        </w:rPr>
        <w:t>:</w:t>
      </w:r>
    </w:p>
    <w:p w14:paraId="3D489590" w14:textId="19715614" w:rsidR="00A75B3C" w:rsidRPr="003F23AC" w:rsidRDefault="000F5AA4" w:rsidP="003F23AC">
      <w:pPr>
        <w:pStyle w:val="P68B1DB1-Normal4"/>
        <w:numPr>
          <w:ilvl w:val="0"/>
          <w:numId w:val="54"/>
        </w:numPr>
        <w:spacing w:before="40" w:after="160" w:line="259" w:lineRule="auto"/>
        <w:contextualSpacing/>
        <w:jc w:val="both"/>
        <w:rPr>
          <w:rFonts w:cs="Times New Roman"/>
          <w:noProof/>
          <w:lang w:val="sk-SK"/>
        </w:rPr>
      </w:pPr>
      <w:r w:rsidRPr="003F23AC">
        <w:rPr>
          <w:rFonts w:cs="Times New Roman"/>
          <w:noProof/>
          <w:lang w:val="sk-SK"/>
        </w:rPr>
        <w:t>Medzirezortná komisia, ktorej predsedá predseda vlády</w:t>
      </w:r>
      <w:r w:rsidR="00A75B3C" w:rsidRPr="003F23AC">
        <w:rPr>
          <w:rFonts w:cs="Times New Roman"/>
          <w:noProof/>
          <w:lang w:val="sk-SK"/>
        </w:rPr>
        <w:t xml:space="preserve"> a </w:t>
      </w:r>
      <w:r w:rsidRPr="003F23AC">
        <w:rPr>
          <w:rFonts w:cs="Times New Roman"/>
          <w:noProof/>
          <w:lang w:val="sk-SK"/>
        </w:rPr>
        <w:t>ktorá je zodpovedná za strategickú koordináciu</w:t>
      </w:r>
      <w:r w:rsidR="00A75B3C" w:rsidRPr="003F23AC">
        <w:rPr>
          <w:rFonts w:cs="Times New Roman"/>
          <w:noProof/>
          <w:lang w:val="sk-SK"/>
        </w:rPr>
        <w:t xml:space="preserve"> a </w:t>
      </w:r>
      <w:r w:rsidRPr="003F23AC">
        <w:rPr>
          <w:rFonts w:cs="Times New Roman"/>
          <w:noProof/>
          <w:lang w:val="sk-SK"/>
        </w:rPr>
        <w:t>koordináciu politík</w:t>
      </w:r>
      <w:r w:rsidR="00A75B3C" w:rsidRPr="003F23AC">
        <w:rPr>
          <w:rFonts w:cs="Times New Roman"/>
          <w:noProof/>
          <w:lang w:val="sk-SK"/>
        </w:rPr>
        <w:t xml:space="preserve"> a </w:t>
      </w:r>
      <w:r w:rsidRPr="003F23AC">
        <w:rPr>
          <w:rFonts w:cs="Times New Roman"/>
          <w:noProof/>
          <w:lang w:val="sk-SK"/>
        </w:rPr>
        <w:t>celkové politické riadenie</w:t>
      </w:r>
      <w:r w:rsidR="00A75B3C" w:rsidRPr="003F23AC">
        <w:rPr>
          <w:rFonts w:cs="Times New Roman"/>
          <w:noProof/>
          <w:lang w:val="sk-SK"/>
        </w:rPr>
        <w:t>;</w:t>
      </w:r>
    </w:p>
    <w:p w14:paraId="70C16A07" w14:textId="30BE3E6A" w:rsidR="00A75B3C" w:rsidRPr="003F23AC" w:rsidRDefault="000F5AA4" w:rsidP="003F23AC">
      <w:pPr>
        <w:pStyle w:val="P68B1DB1-Normal4"/>
        <w:numPr>
          <w:ilvl w:val="0"/>
          <w:numId w:val="54"/>
        </w:numPr>
        <w:spacing w:before="40" w:after="160" w:line="259" w:lineRule="auto"/>
        <w:contextualSpacing/>
        <w:jc w:val="both"/>
        <w:rPr>
          <w:rFonts w:cs="Times New Roman"/>
          <w:noProof/>
          <w:lang w:val="sk-SK"/>
        </w:rPr>
      </w:pPr>
      <w:r w:rsidRPr="003F23AC">
        <w:rPr>
          <w:rFonts w:cs="Times New Roman"/>
          <w:noProof/>
          <w:lang w:val="sk-SK"/>
        </w:rPr>
        <w:t>Národná monitorovacia komisia zložená zo zástupcov rôznych sociálnych</w:t>
      </w:r>
      <w:r w:rsidR="00A75B3C" w:rsidRPr="003F23AC">
        <w:rPr>
          <w:rFonts w:cs="Times New Roman"/>
          <w:noProof/>
          <w:lang w:val="sk-SK"/>
        </w:rPr>
        <w:t xml:space="preserve"> a </w:t>
      </w:r>
      <w:r w:rsidRPr="003F23AC">
        <w:rPr>
          <w:rFonts w:cs="Times New Roman"/>
          <w:noProof/>
          <w:lang w:val="sk-SK"/>
        </w:rPr>
        <w:t>hospodárskych partnerov</w:t>
      </w:r>
      <w:r w:rsidR="00A75B3C" w:rsidRPr="003F23AC">
        <w:rPr>
          <w:rFonts w:cs="Times New Roman"/>
          <w:noProof/>
          <w:lang w:val="sk-SK"/>
        </w:rPr>
        <w:t xml:space="preserve"> a </w:t>
      </w:r>
      <w:r w:rsidRPr="003F23AC">
        <w:rPr>
          <w:rFonts w:cs="Times New Roman"/>
          <w:noProof/>
          <w:lang w:val="sk-SK"/>
        </w:rPr>
        <w:t>kľúčových osobností občianskej spoločnosti, ktorej predsedá nezávislá osoba,</w:t>
      </w:r>
      <w:r w:rsidR="00A75B3C" w:rsidRPr="003F23AC">
        <w:rPr>
          <w:rFonts w:cs="Times New Roman"/>
          <w:noProof/>
          <w:lang w:val="sk-SK"/>
        </w:rPr>
        <w:t xml:space="preserve"> s </w:t>
      </w:r>
      <w:r w:rsidRPr="003F23AC">
        <w:rPr>
          <w:rFonts w:cs="Times New Roman"/>
          <w:noProof/>
          <w:lang w:val="sk-SK"/>
        </w:rPr>
        <w:t>cieľom monitorovať vykonávanie plánu podpory obnovy</w:t>
      </w:r>
      <w:r w:rsidR="00A75B3C" w:rsidRPr="003F23AC">
        <w:rPr>
          <w:rFonts w:cs="Times New Roman"/>
          <w:noProof/>
          <w:lang w:val="sk-SK"/>
        </w:rPr>
        <w:t xml:space="preserve"> a </w:t>
      </w:r>
      <w:r w:rsidRPr="003F23AC">
        <w:rPr>
          <w:rFonts w:cs="Times New Roman"/>
          <w:noProof/>
          <w:lang w:val="sk-SK"/>
        </w:rPr>
        <w:t>odolnosti</w:t>
      </w:r>
      <w:r w:rsidR="00A75B3C" w:rsidRPr="003F23AC">
        <w:rPr>
          <w:rFonts w:cs="Times New Roman"/>
          <w:noProof/>
          <w:lang w:val="sk-SK"/>
        </w:rPr>
        <w:t xml:space="preserve"> a </w:t>
      </w:r>
      <w:r w:rsidRPr="003F23AC">
        <w:rPr>
          <w:rFonts w:cs="Times New Roman"/>
          <w:noProof/>
          <w:lang w:val="sk-SK"/>
        </w:rPr>
        <w:t>jeho výsledky, podporovať jeho riadne šírenie medzi občanmi, podnikmi</w:t>
      </w:r>
      <w:r w:rsidR="00A75B3C" w:rsidRPr="003F23AC">
        <w:rPr>
          <w:rFonts w:cs="Times New Roman"/>
          <w:noProof/>
          <w:lang w:val="sk-SK"/>
        </w:rPr>
        <w:t xml:space="preserve"> a </w:t>
      </w:r>
      <w:r w:rsidRPr="003F23AC">
        <w:rPr>
          <w:rFonts w:cs="Times New Roman"/>
          <w:noProof/>
          <w:lang w:val="sk-SK"/>
        </w:rPr>
        <w:t>inými organizáciami</w:t>
      </w:r>
      <w:r w:rsidR="00A75B3C" w:rsidRPr="003F23AC">
        <w:rPr>
          <w:rFonts w:cs="Times New Roman"/>
          <w:noProof/>
          <w:lang w:val="sk-SK"/>
        </w:rPr>
        <w:t xml:space="preserve"> a </w:t>
      </w:r>
      <w:r w:rsidRPr="003F23AC">
        <w:rPr>
          <w:rFonts w:cs="Times New Roman"/>
          <w:noProof/>
          <w:lang w:val="sk-SK"/>
        </w:rPr>
        <w:t>skúmať všetky otázky, ktoré majú vplyv na jej výkonnosť,</w:t>
      </w:r>
      <w:r w:rsidR="00A75B3C" w:rsidRPr="003F23AC">
        <w:rPr>
          <w:rFonts w:cs="Times New Roman"/>
          <w:noProof/>
          <w:lang w:val="sk-SK"/>
        </w:rPr>
        <w:t xml:space="preserve"> a </w:t>
      </w:r>
      <w:r w:rsidRPr="003F23AC">
        <w:rPr>
          <w:rFonts w:cs="Times New Roman"/>
          <w:noProof/>
          <w:lang w:val="sk-SK"/>
        </w:rPr>
        <w:t>navrhovať odporúčania</w:t>
      </w:r>
      <w:r w:rsidR="00A75B3C" w:rsidRPr="003F23AC">
        <w:rPr>
          <w:rFonts w:cs="Times New Roman"/>
          <w:noProof/>
          <w:lang w:val="sk-SK"/>
        </w:rPr>
        <w:t>;</w:t>
      </w:r>
    </w:p>
    <w:p w14:paraId="39701269" w14:textId="2B1BFD37" w:rsidR="00387C70" w:rsidRPr="003F23AC" w:rsidRDefault="000F5AA4" w:rsidP="003F23AC">
      <w:pPr>
        <w:pStyle w:val="P68B1DB1-Normal4"/>
        <w:numPr>
          <w:ilvl w:val="0"/>
          <w:numId w:val="54"/>
        </w:numPr>
        <w:spacing w:before="40" w:after="160" w:line="259" w:lineRule="auto"/>
        <w:contextualSpacing/>
        <w:jc w:val="both"/>
        <w:rPr>
          <w:rFonts w:eastAsiaTheme="minorEastAsia" w:cs="Times New Roman"/>
          <w:noProof/>
          <w:lang w:val="sk-SK"/>
        </w:rPr>
      </w:pPr>
      <w:r w:rsidRPr="003F23AC">
        <w:rPr>
          <w:rFonts w:cs="Times New Roman"/>
          <w:noProof/>
          <w:lang w:val="sk-SK"/>
        </w:rPr>
        <w:t>Za vykonávanie plánu obnovy</w:t>
      </w:r>
      <w:r w:rsidR="00A75B3C" w:rsidRPr="003F23AC">
        <w:rPr>
          <w:rFonts w:cs="Times New Roman"/>
          <w:noProof/>
          <w:lang w:val="sk-SK"/>
        </w:rPr>
        <w:t xml:space="preserve"> a </w:t>
      </w:r>
      <w:r w:rsidRPr="003F23AC">
        <w:rPr>
          <w:rFonts w:cs="Times New Roman"/>
          <w:i/>
          <w:noProof/>
          <w:lang w:val="sk-SK"/>
        </w:rPr>
        <w:t>odolnosti je zodpovedná administratívna štruktúra Estrutura de missao Recuperar Portugal</w:t>
      </w:r>
      <w:r w:rsidRPr="003F23AC">
        <w:rPr>
          <w:rFonts w:cs="Times New Roman"/>
          <w:noProof/>
          <w:lang w:val="sk-SK"/>
        </w:rPr>
        <w:t xml:space="preserve"> (ďalej len „pracovná skupina“) zriadená uznesením Rady ministrov </w:t>
      </w:r>
      <w:r w:rsidR="00A75B3C" w:rsidRPr="003F23AC">
        <w:rPr>
          <w:rFonts w:cs="Times New Roman"/>
          <w:noProof/>
          <w:lang w:val="sk-SK"/>
        </w:rPr>
        <w:t>č. </w:t>
      </w:r>
      <w:r w:rsidRPr="003F23AC">
        <w:rPr>
          <w:rFonts w:cs="Times New Roman"/>
          <w:noProof/>
          <w:lang w:val="sk-SK"/>
        </w:rPr>
        <w:t>46-B/2021 spolu</w:t>
      </w:r>
      <w:r w:rsidR="00A75B3C" w:rsidRPr="003F23AC">
        <w:rPr>
          <w:rFonts w:cs="Times New Roman"/>
          <w:noProof/>
          <w:lang w:val="sk-SK"/>
        </w:rPr>
        <w:t xml:space="preserve"> s </w:t>
      </w:r>
      <w:r w:rsidRPr="003F23AC">
        <w:rPr>
          <w:rFonts w:cs="Times New Roman"/>
          <w:noProof/>
          <w:lang w:val="sk-SK"/>
        </w:rPr>
        <w:t>Agentúrou pre rozvoj</w:t>
      </w:r>
      <w:r w:rsidR="00A75B3C" w:rsidRPr="003F23AC">
        <w:rPr>
          <w:rFonts w:cs="Times New Roman"/>
          <w:noProof/>
          <w:lang w:val="sk-SK"/>
        </w:rPr>
        <w:t xml:space="preserve"> a </w:t>
      </w:r>
      <w:r w:rsidRPr="003F23AC">
        <w:rPr>
          <w:rFonts w:cs="Times New Roman"/>
          <w:noProof/>
          <w:lang w:val="sk-SK"/>
        </w:rPr>
        <w:t>súdržnosť (dozeranie nad využívaním kombinácie finančných prostriedkov EÚ, kontrola rizika dvojitého financovania</w:t>
      </w:r>
      <w:r w:rsidR="00A75B3C" w:rsidRPr="003F23AC">
        <w:rPr>
          <w:rFonts w:cs="Times New Roman"/>
          <w:noProof/>
          <w:lang w:val="sk-SK"/>
        </w:rPr>
        <w:t xml:space="preserve"> a </w:t>
      </w:r>
      <w:r w:rsidRPr="003F23AC">
        <w:rPr>
          <w:rFonts w:cs="Times New Roman"/>
          <w:noProof/>
          <w:lang w:val="sk-SK"/>
        </w:rPr>
        <w:t>súlad</w:t>
      </w:r>
      <w:r w:rsidR="00A75B3C" w:rsidRPr="003F23AC">
        <w:rPr>
          <w:rFonts w:cs="Times New Roman"/>
          <w:noProof/>
          <w:lang w:val="sk-SK"/>
        </w:rPr>
        <w:t xml:space="preserve"> s </w:t>
      </w:r>
      <w:r w:rsidRPr="003F23AC">
        <w:rPr>
          <w:rFonts w:cs="Times New Roman"/>
          <w:noProof/>
          <w:lang w:val="sk-SK"/>
        </w:rPr>
        <w:t>inými iniciatívami)</w:t>
      </w:r>
      <w:r w:rsidR="00A75B3C" w:rsidRPr="003F23AC">
        <w:rPr>
          <w:rFonts w:cs="Times New Roman"/>
          <w:noProof/>
          <w:lang w:val="sk-SK"/>
        </w:rPr>
        <w:t xml:space="preserve"> a </w:t>
      </w:r>
      <w:r w:rsidRPr="003F23AC">
        <w:rPr>
          <w:rFonts w:cs="Times New Roman"/>
          <w:noProof/>
          <w:lang w:val="sk-SK"/>
        </w:rPr>
        <w:t>ministerstvom financií;</w:t>
      </w:r>
    </w:p>
    <w:p w14:paraId="1B7F06E3" w14:textId="30624FAB" w:rsidR="00387C70" w:rsidRPr="003F23AC" w:rsidRDefault="000F5AA4" w:rsidP="003F23AC">
      <w:pPr>
        <w:pStyle w:val="P68B1DB1-Normal4"/>
        <w:numPr>
          <w:ilvl w:val="0"/>
          <w:numId w:val="54"/>
        </w:numPr>
        <w:spacing w:before="40" w:after="160" w:line="259" w:lineRule="auto"/>
        <w:contextualSpacing/>
        <w:jc w:val="both"/>
        <w:rPr>
          <w:rFonts w:eastAsiaTheme="minorEastAsia" w:cs="Times New Roman"/>
          <w:noProof/>
          <w:lang w:val="sk-SK"/>
        </w:rPr>
      </w:pPr>
      <w:r w:rsidRPr="003F23AC">
        <w:rPr>
          <w:rFonts w:cs="Times New Roman"/>
          <w:noProof/>
          <w:lang w:val="sk-SK"/>
        </w:rPr>
        <w:t>Výbor pre audit</w:t>
      </w:r>
      <w:r w:rsidR="00A75B3C" w:rsidRPr="003F23AC">
        <w:rPr>
          <w:rFonts w:cs="Times New Roman"/>
          <w:noProof/>
          <w:lang w:val="sk-SK"/>
        </w:rPr>
        <w:t xml:space="preserve"> a </w:t>
      </w:r>
      <w:r w:rsidRPr="003F23AC">
        <w:rPr>
          <w:rFonts w:cs="Times New Roman"/>
          <w:noProof/>
          <w:lang w:val="sk-SK"/>
        </w:rPr>
        <w:t>kontrolu (CAC), ktorému predsedá generálny finančný inšpektorát (IGF), zodpovedný za audítorské</w:t>
      </w:r>
      <w:r w:rsidR="00A75B3C" w:rsidRPr="003F23AC">
        <w:rPr>
          <w:rFonts w:cs="Times New Roman"/>
          <w:noProof/>
          <w:lang w:val="sk-SK"/>
        </w:rPr>
        <w:t xml:space="preserve"> a </w:t>
      </w:r>
      <w:r w:rsidRPr="003F23AC">
        <w:rPr>
          <w:rFonts w:cs="Times New Roman"/>
          <w:noProof/>
          <w:lang w:val="sk-SK"/>
        </w:rPr>
        <w:t>kontrolné činnosti.</w:t>
      </w:r>
    </w:p>
    <w:p w14:paraId="338DEEF0" w14:textId="7E73E760" w:rsidR="00A75B3C" w:rsidRPr="003F23AC" w:rsidRDefault="000F5AA4" w:rsidP="003F23AC">
      <w:pPr>
        <w:pStyle w:val="P68B1DB1-Normal4"/>
        <w:spacing w:before="40" w:after="0" w:line="259" w:lineRule="auto"/>
        <w:jc w:val="both"/>
        <w:rPr>
          <w:rFonts w:cs="Times New Roman"/>
          <w:noProof/>
          <w:lang w:val="sk-SK"/>
        </w:rPr>
      </w:pPr>
      <w:r w:rsidRPr="003F23AC">
        <w:rPr>
          <w:rFonts w:cs="Times New Roman"/>
          <w:noProof/>
          <w:lang w:val="sk-SK"/>
        </w:rPr>
        <w:t>Portugalsko zriadilo inštitucionálnych aktérov, ktorí sú zodpovední za vykonávanie jednotlivých reforiem</w:t>
      </w:r>
      <w:r w:rsidR="00A75B3C" w:rsidRPr="003F23AC">
        <w:rPr>
          <w:rFonts w:cs="Times New Roman"/>
          <w:noProof/>
          <w:lang w:val="sk-SK"/>
        </w:rPr>
        <w:t xml:space="preserve"> a </w:t>
      </w:r>
      <w:r w:rsidRPr="003F23AC">
        <w:rPr>
          <w:rFonts w:cs="Times New Roman"/>
          <w:noProof/>
          <w:lang w:val="sk-SK"/>
        </w:rPr>
        <w:t>investícií na úrovni zložiek. Zodpovedné ministerstvá alebo subjekty zapojené do vykonávania každej reformy</w:t>
      </w:r>
      <w:r w:rsidR="00A75B3C" w:rsidRPr="003F23AC">
        <w:rPr>
          <w:rFonts w:cs="Times New Roman"/>
          <w:noProof/>
          <w:lang w:val="sk-SK"/>
        </w:rPr>
        <w:t xml:space="preserve"> a </w:t>
      </w:r>
      <w:r w:rsidRPr="003F23AC">
        <w:rPr>
          <w:rFonts w:cs="Times New Roman"/>
          <w:noProof/>
          <w:lang w:val="sk-SK"/>
        </w:rPr>
        <w:t>investície pravidelne spolupracujú</w:t>
      </w:r>
      <w:r w:rsidR="00A75B3C" w:rsidRPr="003F23AC">
        <w:rPr>
          <w:rFonts w:cs="Times New Roman"/>
          <w:noProof/>
          <w:lang w:val="sk-SK"/>
        </w:rPr>
        <w:t xml:space="preserve"> s </w:t>
      </w:r>
      <w:r w:rsidRPr="003F23AC">
        <w:rPr>
          <w:rFonts w:cs="Times New Roman"/>
          <w:noProof/>
          <w:lang w:val="sk-SK"/>
        </w:rPr>
        <w:t>pracovnou skupinou, ktorá je štruktúrou zodpovednou za koordináciu práce na pláne podpory obnovy</w:t>
      </w:r>
      <w:r w:rsidR="00A75B3C" w:rsidRPr="003F23AC">
        <w:rPr>
          <w:rFonts w:cs="Times New Roman"/>
          <w:noProof/>
          <w:lang w:val="sk-SK"/>
        </w:rPr>
        <w:t xml:space="preserve"> a </w:t>
      </w:r>
      <w:r w:rsidRPr="003F23AC">
        <w:rPr>
          <w:rFonts w:cs="Times New Roman"/>
          <w:noProof/>
          <w:lang w:val="sk-SK"/>
        </w:rPr>
        <w:t>odolnosti, podpisovanie zmlúv</w:t>
      </w:r>
      <w:r w:rsidR="00A75B3C" w:rsidRPr="003F23AC">
        <w:rPr>
          <w:rFonts w:cs="Times New Roman"/>
          <w:noProof/>
          <w:lang w:val="sk-SK"/>
        </w:rPr>
        <w:t xml:space="preserve"> s </w:t>
      </w:r>
      <w:r w:rsidRPr="003F23AC">
        <w:rPr>
          <w:rFonts w:cs="Times New Roman"/>
          <w:noProof/>
          <w:lang w:val="sk-SK"/>
        </w:rPr>
        <w:t>priamymi</w:t>
      </w:r>
      <w:r w:rsidR="00A75B3C" w:rsidRPr="003F23AC">
        <w:rPr>
          <w:rFonts w:cs="Times New Roman"/>
          <w:noProof/>
          <w:lang w:val="sk-SK"/>
        </w:rPr>
        <w:t xml:space="preserve"> a </w:t>
      </w:r>
      <w:r w:rsidRPr="003F23AC">
        <w:rPr>
          <w:rFonts w:cs="Times New Roman"/>
          <w:noProof/>
          <w:lang w:val="sk-SK"/>
        </w:rPr>
        <w:t>sprostredkovateľskými prijímateľmi, overovanie plnenia míľnikov</w:t>
      </w:r>
      <w:r w:rsidR="00A75B3C" w:rsidRPr="003F23AC">
        <w:rPr>
          <w:rFonts w:cs="Times New Roman"/>
          <w:noProof/>
          <w:lang w:val="sk-SK"/>
        </w:rPr>
        <w:t xml:space="preserve"> a </w:t>
      </w:r>
      <w:r w:rsidRPr="003F23AC">
        <w:rPr>
          <w:rFonts w:cs="Times New Roman"/>
          <w:noProof/>
          <w:lang w:val="sk-SK"/>
        </w:rPr>
        <w:t>cieľov</w:t>
      </w:r>
      <w:r w:rsidR="00A75B3C" w:rsidRPr="003F23AC">
        <w:rPr>
          <w:rFonts w:cs="Times New Roman"/>
          <w:noProof/>
          <w:lang w:val="sk-SK"/>
        </w:rPr>
        <w:t xml:space="preserve"> a </w:t>
      </w:r>
      <w:r w:rsidRPr="003F23AC">
        <w:rPr>
          <w:rFonts w:cs="Times New Roman"/>
          <w:noProof/>
          <w:lang w:val="sk-SK"/>
        </w:rPr>
        <w:t>zasielanie žiadostí</w:t>
      </w:r>
      <w:r w:rsidR="00A75B3C" w:rsidRPr="003F23AC">
        <w:rPr>
          <w:rFonts w:cs="Times New Roman"/>
          <w:noProof/>
          <w:lang w:val="sk-SK"/>
        </w:rPr>
        <w:t xml:space="preserve"> o </w:t>
      </w:r>
      <w:r w:rsidRPr="003F23AC">
        <w:rPr>
          <w:rFonts w:cs="Times New Roman"/>
          <w:noProof/>
          <w:lang w:val="sk-SK"/>
        </w:rPr>
        <w:t>platbu Európskej komisii</w:t>
      </w:r>
      <w:r w:rsidR="00A75B3C" w:rsidRPr="003F23AC">
        <w:rPr>
          <w:rFonts w:cs="Times New Roman"/>
          <w:noProof/>
          <w:lang w:val="sk-SK"/>
        </w:rPr>
        <w:t>.</w:t>
      </w:r>
    </w:p>
    <w:p w14:paraId="4221245C" w14:textId="4503883A" w:rsidR="00387C70" w:rsidRPr="003F23AC" w:rsidRDefault="00387C70" w:rsidP="003F23AC">
      <w:pPr>
        <w:spacing w:before="40" w:after="0" w:line="259" w:lineRule="auto"/>
        <w:jc w:val="both"/>
        <w:rPr>
          <w:rFonts w:ascii="Times New Roman" w:eastAsiaTheme="minorEastAsia" w:hAnsi="Times New Roman" w:cs="Times New Roman"/>
          <w:noProof/>
          <w:sz w:val="24"/>
          <w:lang w:val="sk-SK"/>
        </w:rPr>
      </w:pPr>
    </w:p>
    <w:p w14:paraId="0C7CC7C0" w14:textId="6702A0FB" w:rsidR="00387C70" w:rsidRPr="003F23AC" w:rsidRDefault="000F5AA4" w:rsidP="003F23AC">
      <w:pPr>
        <w:pStyle w:val="P68B1DB1-Normal3"/>
        <w:numPr>
          <w:ilvl w:val="1"/>
          <w:numId w:val="49"/>
        </w:numPr>
        <w:spacing w:before="40" w:after="0" w:line="259" w:lineRule="auto"/>
        <w:ind w:left="357" w:hanging="357"/>
        <w:jc w:val="both"/>
        <w:outlineLvl w:val="1"/>
        <w:rPr>
          <w:rFonts w:eastAsiaTheme="minorEastAsia" w:cs="Times New Roman"/>
          <w:noProof/>
          <w:lang w:val="sk-SK"/>
        </w:rPr>
      </w:pPr>
      <w:r w:rsidRPr="003F23AC">
        <w:rPr>
          <w:rFonts w:cs="Times New Roman"/>
          <w:noProof/>
          <w:lang w:val="sk-SK"/>
        </w:rPr>
        <w:t>Opatrenia na poskytnutie plného prístupu</w:t>
      </w:r>
      <w:r w:rsidR="00A75B3C" w:rsidRPr="003F23AC">
        <w:rPr>
          <w:rFonts w:cs="Times New Roman"/>
          <w:noProof/>
          <w:lang w:val="sk-SK"/>
        </w:rPr>
        <w:t xml:space="preserve"> k </w:t>
      </w:r>
      <w:r w:rsidRPr="003F23AC">
        <w:rPr>
          <w:rFonts w:cs="Times New Roman"/>
          <w:noProof/>
          <w:lang w:val="sk-SK"/>
        </w:rPr>
        <w:t>podkladovým údajom Komisii</w:t>
      </w:r>
    </w:p>
    <w:p w14:paraId="2A07BA90" w14:textId="77777777" w:rsidR="00387C70" w:rsidRPr="003F23AC" w:rsidRDefault="00387C70" w:rsidP="003F23AC">
      <w:pPr>
        <w:spacing w:before="40" w:after="0" w:line="259" w:lineRule="auto"/>
        <w:ind w:left="357"/>
        <w:jc w:val="both"/>
        <w:outlineLvl w:val="1"/>
        <w:rPr>
          <w:rFonts w:ascii="Times New Roman" w:eastAsiaTheme="minorEastAsia" w:hAnsi="Times New Roman" w:cs="Times New Roman"/>
          <w:b/>
          <w:noProof/>
          <w:sz w:val="24"/>
          <w:u w:val="single"/>
          <w:lang w:val="sk-SK"/>
        </w:rPr>
      </w:pPr>
    </w:p>
    <w:p w14:paraId="058CE76E" w14:textId="6253A78C" w:rsidR="00387C70" w:rsidRPr="003F23AC" w:rsidRDefault="000F5AA4" w:rsidP="003F23AC">
      <w:pPr>
        <w:pStyle w:val="P68B1DB1-Normal4"/>
        <w:numPr>
          <w:ilvl w:val="0"/>
          <w:numId w:val="69"/>
        </w:numPr>
        <w:spacing w:before="120" w:after="0" w:line="240" w:lineRule="auto"/>
        <w:ind w:left="714" w:hanging="357"/>
        <w:contextualSpacing/>
        <w:jc w:val="both"/>
        <w:rPr>
          <w:rFonts w:cs="Times New Roman"/>
          <w:noProof/>
          <w:lang w:val="sk-SK"/>
        </w:rPr>
      </w:pPr>
      <w:r w:rsidRPr="003F23AC">
        <w:rPr>
          <w:rFonts w:cs="Times New Roman"/>
          <w:noProof/>
          <w:lang w:val="sk-SK"/>
        </w:rPr>
        <w:t>Pracovná skupina „Estrutura de missao Recuperar Portugal“ ako ústredný koordinačný orgán pre plán obnovy</w:t>
      </w:r>
      <w:r w:rsidR="00A75B3C" w:rsidRPr="003F23AC">
        <w:rPr>
          <w:rFonts w:cs="Times New Roman"/>
          <w:noProof/>
          <w:lang w:val="sk-SK"/>
        </w:rPr>
        <w:t xml:space="preserve"> a </w:t>
      </w:r>
      <w:r w:rsidRPr="003F23AC">
        <w:rPr>
          <w:rFonts w:cs="Times New Roman"/>
          <w:noProof/>
          <w:lang w:val="sk-SK"/>
        </w:rPr>
        <w:t>odolnosti Portugalska</w:t>
      </w:r>
      <w:r w:rsidR="00A75B3C" w:rsidRPr="003F23AC">
        <w:rPr>
          <w:rFonts w:cs="Times New Roman"/>
          <w:noProof/>
          <w:lang w:val="sk-SK"/>
        </w:rPr>
        <w:t xml:space="preserve"> a </w:t>
      </w:r>
      <w:r w:rsidRPr="003F23AC">
        <w:rPr>
          <w:rFonts w:cs="Times New Roman"/>
          <w:noProof/>
          <w:lang w:val="sk-SK"/>
        </w:rPr>
        <w:t>jeho vykonávanie je spolu</w:t>
      </w:r>
      <w:r w:rsidR="00A75B3C" w:rsidRPr="003F23AC">
        <w:rPr>
          <w:rFonts w:cs="Times New Roman"/>
          <w:noProof/>
          <w:lang w:val="sk-SK"/>
        </w:rPr>
        <w:t xml:space="preserve"> s </w:t>
      </w:r>
      <w:r w:rsidRPr="003F23AC">
        <w:rPr>
          <w:rFonts w:cs="Times New Roman"/>
          <w:noProof/>
          <w:lang w:val="sk-SK"/>
        </w:rPr>
        <w:t>Agentúrou pre rozvoj</w:t>
      </w:r>
      <w:r w:rsidR="00A75B3C" w:rsidRPr="003F23AC">
        <w:rPr>
          <w:rFonts w:cs="Times New Roman"/>
          <w:noProof/>
          <w:lang w:val="sk-SK"/>
        </w:rPr>
        <w:t xml:space="preserve"> a </w:t>
      </w:r>
      <w:r w:rsidRPr="003F23AC">
        <w:rPr>
          <w:rFonts w:cs="Times New Roman"/>
          <w:noProof/>
          <w:lang w:val="sk-SK"/>
        </w:rPr>
        <w:t>súdržnosť</w:t>
      </w:r>
      <w:r w:rsidR="00A75B3C" w:rsidRPr="003F23AC">
        <w:rPr>
          <w:rFonts w:cs="Times New Roman"/>
          <w:noProof/>
          <w:lang w:val="sk-SK"/>
        </w:rPr>
        <w:t xml:space="preserve"> a </w:t>
      </w:r>
      <w:r w:rsidRPr="003F23AC">
        <w:rPr>
          <w:rFonts w:cs="Times New Roman"/>
          <w:noProof/>
          <w:lang w:val="sk-SK"/>
        </w:rPr>
        <w:t>ministerstvom financií zodpovedná za celkovú koordináciu</w:t>
      </w:r>
      <w:r w:rsidR="00A75B3C" w:rsidRPr="003F23AC">
        <w:rPr>
          <w:rFonts w:cs="Times New Roman"/>
          <w:noProof/>
          <w:lang w:val="sk-SK"/>
        </w:rPr>
        <w:t xml:space="preserve"> a </w:t>
      </w:r>
      <w:r w:rsidRPr="003F23AC">
        <w:rPr>
          <w:rFonts w:cs="Times New Roman"/>
          <w:noProof/>
          <w:lang w:val="sk-SK"/>
        </w:rPr>
        <w:t>monitorovanie plánu. Pôsobí najmä ako koordinačný orgán na monitorovanie pokroku pri dosahovaní míľnikov</w:t>
      </w:r>
      <w:r w:rsidR="00A75B3C" w:rsidRPr="003F23AC">
        <w:rPr>
          <w:rFonts w:cs="Times New Roman"/>
          <w:noProof/>
          <w:lang w:val="sk-SK"/>
        </w:rPr>
        <w:t xml:space="preserve"> a </w:t>
      </w:r>
      <w:r w:rsidRPr="003F23AC">
        <w:rPr>
          <w:rFonts w:cs="Times New Roman"/>
          <w:noProof/>
          <w:lang w:val="sk-SK"/>
        </w:rPr>
        <w:t>cieľov, na monitorovanie</w:t>
      </w:r>
      <w:r w:rsidR="00A75B3C" w:rsidRPr="003F23AC">
        <w:rPr>
          <w:rFonts w:cs="Times New Roman"/>
          <w:noProof/>
          <w:lang w:val="sk-SK"/>
        </w:rPr>
        <w:t xml:space="preserve"> a v </w:t>
      </w:r>
      <w:r w:rsidRPr="003F23AC">
        <w:rPr>
          <w:rFonts w:cs="Times New Roman"/>
          <w:noProof/>
          <w:lang w:val="sk-SK"/>
        </w:rPr>
        <w:t>prípade potreby na vykonávanie kontrolných</w:t>
      </w:r>
      <w:r w:rsidR="00A75B3C" w:rsidRPr="003F23AC">
        <w:rPr>
          <w:rFonts w:cs="Times New Roman"/>
          <w:noProof/>
          <w:lang w:val="sk-SK"/>
        </w:rPr>
        <w:t xml:space="preserve"> a </w:t>
      </w:r>
      <w:r w:rsidRPr="003F23AC">
        <w:rPr>
          <w:rFonts w:cs="Times New Roman"/>
          <w:noProof/>
          <w:lang w:val="sk-SK"/>
        </w:rPr>
        <w:t>audítorských činností</w:t>
      </w:r>
      <w:r w:rsidR="00A75B3C" w:rsidRPr="003F23AC">
        <w:rPr>
          <w:rFonts w:cs="Times New Roman"/>
          <w:noProof/>
          <w:lang w:val="sk-SK"/>
        </w:rPr>
        <w:t xml:space="preserve"> a </w:t>
      </w:r>
      <w:r w:rsidRPr="003F23AC">
        <w:rPr>
          <w:rFonts w:cs="Times New Roman"/>
          <w:noProof/>
          <w:lang w:val="sk-SK"/>
        </w:rPr>
        <w:t>na poskytovanie správ</w:t>
      </w:r>
      <w:r w:rsidR="00A75B3C" w:rsidRPr="003F23AC">
        <w:rPr>
          <w:rFonts w:cs="Times New Roman"/>
          <w:noProof/>
          <w:lang w:val="sk-SK"/>
        </w:rPr>
        <w:t xml:space="preserve"> a </w:t>
      </w:r>
      <w:r w:rsidRPr="003F23AC">
        <w:rPr>
          <w:rFonts w:cs="Times New Roman"/>
          <w:noProof/>
          <w:lang w:val="sk-SK"/>
        </w:rPr>
        <w:t>žiadostí</w:t>
      </w:r>
      <w:r w:rsidR="00A75B3C" w:rsidRPr="003F23AC">
        <w:rPr>
          <w:rFonts w:cs="Times New Roman"/>
          <w:noProof/>
          <w:lang w:val="sk-SK"/>
        </w:rPr>
        <w:t xml:space="preserve"> o </w:t>
      </w:r>
      <w:r w:rsidRPr="003F23AC">
        <w:rPr>
          <w:rFonts w:cs="Times New Roman"/>
          <w:noProof/>
          <w:lang w:val="sk-SK"/>
        </w:rPr>
        <w:t>platby. Koordinuje podávanie správ</w:t>
      </w:r>
      <w:r w:rsidR="00A75B3C" w:rsidRPr="003F23AC">
        <w:rPr>
          <w:rFonts w:cs="Times New Roman"/>
          <w:noProof/>
          <w:lang w:val="sk-SK"/>
        </w:rPr>
        <w:t xml:space="preserve"> o </w:t>
      </w:r>
      <w:r w:rsidRPr="003F23AC">
        <w:rPr>
          <w:rFonts w:cs="Times New Roman"/>
          <w:noProof/>
          <w:lang w:val="sk-SK"/>
        </w:rPr>
        <w:t>míľnikoch</w:t>
      </w:r>
      <w:r w:rsidR="00A75B3C" w:rsidRPr="003F23AC">
        <w:rPr>
          <w:rFonts w:cs="Times New Roman"/>
          <w:noProof/>
          <w:lang w:val="sk-SK"/>
        </w:rPr>
        <w:t xml:space="preserve"> a </w:t>
      </w:r>
      <w:r w:rsidRPr="003F23AC">
        <w:rPr>
          <w:rFonts w:cs="Times New Roman"/>
          <w:noProof/>
          <w:lang w:val="sk-SK"/>
        </w:rPr>
        <w:t>cieľoch, príslušných ukazovateľoch, ale aj kvalitatívnych finančných informáciách</w:t>
      </w:r>
      <w:r w:rsidR="00A75B3C" w:rsidRPr="003F23AC">
        <w:rPr>
          <w:rFonts w:cs="Times New Roman"/>
          <w:noProof/>
          <w:lang w:val="sk-SK"/>
        </w:rPr>
        <w:t xml:space="preserve"> a </w:t>
      </w:r>
      <w:r w:rsidRPr="003F23AC">
        <w:rPr>
          <w:rFonts w:cs="Times New Roman"/>
          <w:noProof/>
          <w:lang w:val="sk-SK"/>
        </w:rPr>
        <w:t>iných údajoch, napríklad</w:t>
      </w:r>
      <w:r w:rsidR="00A75B3C" w:rsidRPr="003F23AC">
        <w:rPr>
          <w:rFonts w:cs="Times New Roman"/>
          <w:noProof/>
          <w:lang w:val="sk-SK"/>
        </w:rPr>
        <w:t xml:space="preserve"> o </w:t>
      </w:r>
      <w:r w:rsidRPr="003F23AC">
        <w:rPr>
          <w:rFonts w:cs="Times New Roman"/>
          <w:noProof/>
          <w:lang w:val="sk-SK"/>
        </w:rPr>
        <w:t>konečných príjemcoch. Kódovanie údajov prebieha</w:t>
      </w:r>
      <w:r w:rsidR="00A75B3C" w:rsidRPr="003F23AC">
        <w:rPr>
          <w:rFonts w:cs="Times New Roman"/>
          <w:noProof/>
          <w:lang w:val="sk-SK"/>
        </w:rPr>
        <w:t xml:space="preserve"> v </w:t>
      </w:r>
      <w:r w:rsidRPr="003F23AC">
        <w:rPr>
          <w:rFonts w:cs="Times New Roman"/>
          <w:noProof/>
          <w:lang w:val="sk-SK"/>
        </w:rPr>
        <w:t>centralizovanom informačnom systéme.</w:t>
      </w:r>
    </w:p>
    <w:p w14:paraId="10E15E9D" w14:textId="0FF07554" w:rsidR="00A75B3C" w:rsidRPr="003F23AC" w:rsidRDefault="000F5AA4" w:rsidP="003F23AC">
      <w:pPr>
        <w:pStyle w:val="P68B1DB1-Normal4"/>
        <w:numPr>
          <w:ilvl w:val="0"/>
          <w:numId w:val="69"/>
        </w:numPr>
        <w:spacing w:before="120" w:after="120" w:line="240" w:lineRule="auto"/>
        <w:contextualSpacing/>
        <w:jc w:val="both"/>
        <w:rPr>
          <w:rFonts w:cs="Times New Roman"/>
          <w:noProof/>
          <w:lang w:val="sk-SK"/>
        </w:rPr>
      </w:pPr>
      <w:r w:rsidRPr="003F23AC">
        <w:rPr>
          <w:rFonts w:cs="Times New Roman"/>
          <w:noProof/>
          <w:lang w:val="sk-SK"/>
        </w:rPr>
        <w:t>V súlade</w:t>
      </w:r>
      <w:r w:rsidR="00A75B3C" w:rsidRPr="003F23AC">
        <w:rPr>
          <w:rFonts w:cs="Times New Roman"/>
          <w:noProof/>
          <w:lang w:val="sk-SK"/>
        </w:rPr>
        <w:t xml:space="preserve"> s </w:t>
      </w:r>
      <w:r w:rsidRPr="003F23AC">
        <w:rPr>
          <w:rFonts w:cs="Times New Roman"/>
          <w:noProof/>
          <w:lang w:val="sk-SK"/>
        </w:rPr>
        <w:t>článkom 24 ods. 2 nariadenia (EÚ) 2021/241 Portugalsko po splnení príslušných dohodnutých míľnikov</w:t>
      </w:r>
      <w:r w:rsidR="00A75B3C" w:rsidRPr="003F23AC">
        <w:rPr>
          <w:rFonts w:cs="Times New Roman"/>
          <w:noProof/>
          <w:lang w:val="sk-SK"/>
        </w:rPr>
        <w:t xml:space="preserve"> a </w:t>
      </w:r>
      <w:r w:rsidRPr="003F23AC">
        <w:rPr>
          <w:rFonts w:cs="Times New Roman"/>
          <w:noProof/>
          <w:lang w:val="sk-SK"/>
        </w:rPr>
        <w:t>cieľov uvedených</w:t>
      </w:r>
      <w:r w:rsidR="00A75B3C" w:rsidRPr="003F23AC">
        <w:rPr>
          <w:rFonts w:cs="Times New Roman"/>
          <w:noProof/>
          <w:lang w:val="sk-SK"/>
        </w:rPr>
        <w:t xml:space="preserve"> v </w:t>
      </w:r>
      <w:r w:rsidRPr="003F23AC">
        <w:rPr>
          <w:rFonts w:cs="Times New Roman"/>
          <w:noProof/>
          <w:lang w:val="sk-SK"/>
        </w:rPr>
        <w:t>oddiele 2.1 tejto prílohy predloží Komisii riadne odôvodnenú žiadosť</w:t>
      </w:r>
      <w:r w:rsidR="00A75B3C" w:rsidRPr="003F23AC">
        <w:rPr>
          <w:rFonts w:cs="Times New Roman"/>
          <w:noProof/>
          <w:lang w:val="sk-SK"/>
        </w:rPr>
        <w:t xml:space="preserve"> o </w:t>
      </w:r>
      <w:r w:rsidRPr="003F23AC">
        <w:rPr>
          <w:rFonts w:cs="Times New Roman"/>
          <w:noProof/>
          <w:lang w:val="sk-SK"/>
        </w:rPr>
        <w:t>platbu finančného príspevku</w:t>
      </w:r>
      <w:r w:rsidR="00A75B3C" w:rsidRPr="003F23AC">
        <w:rPr>
          <w:rFonts w:cs="Times New Roman"/>
          <w:noProof/>
          <w:lang w:val="sk-SK"/>
        </w:rPr>
        <w:t xml:space="preserve"> a </w:t>
      </w:r>
      <w:r w:rsidRPr="003F23AC">
        <w:rPr>
          <w:rFonts w:cs="Times New Roman"/>
          <w:noProof/>
          <w:lang w:val="sk-SK"/>
        </w:rPr>
        <w:t>prípadne úveru. Portugalsko zabezpečí, aby Komisia mala na požiadanie úplný prístup</w:t>
      </w:r>
      <w:r w:rsidR="00A75B3C" w:rsidRPr="003F23AC">
        <w:rPr>
          <w:rFonts w:cs="Times New Roman"/>
          <w:noProof/>
          <w:lang w:val="sk-SK"/>
        </w:rPr>
        <w:t xml:space="preserve"> k </w:t>
      </w:r>
      <w:r w:rsidRPr="003F23AC">
        <w:rPr>
          <w:rFonts w:cs="Times New Roman"/>
          <w:noProof/>
          <w:lang w:val="sk-SK"/>
        </w:rPr>
        <w:t>podkladovým relevantným údajom, ktoré podporujú riadne odôvodnenie žiadosti</w:t>
      </w:r>
      <w:r w:rsidR="00A75B3C" w:rsidRPr="003F23AC">
        <w:rPr>
          <w:rFonts w:cs="Times New Roman"/>
          <w:noProof/>
          <w:lang w:val="sk-SK"/>
        </w:rPr>
        <w:t xml:space="preserve"> o </w:t>
      </w:r>
      <w:r w:rsidRPr="003F23AC">
        <w:rPr>
          <w:rFonts w:cs="Times New Roman"/>
          <w:noProof/>
          <w:lang w:val="sk-SK"/>
        </w:rPr>
        <w:t>platbu,</w:t>
      </w:r>
      <w:r w:rsidR="00A75B3C" w:rsidRPr="003F23AC">
        <w:rPr>
          <w:rFonts w:cs="Times New Roman"/>
          <w:noProof/>
          <w:lang w:val="sk-SK"/>
        </w:rPr>
        <w:t xml:space="preserve"> a </w:t>
      </w:r>
      <w:r w:rsidRPr="003F23AC">
        <w:rPr>
          <w:rFonts w:cs="Times New Roman"/>
          <w:noProof/>
          <w:lang w:val="sk-SK"/>
        </w:rPr>
        <w:t>to tak na účely posúdenia žiadosti</w:t>
      </w:r>
      <w:r w:rsidR="00A75B3C" w:rsidRPr="003F23AC">
        <w:rPr>
          <w:rFonts w:cs="Times New Roman"/>
          <w:noProof/>
          <w:lang w:val="sk-SK"/>
        </w:rPr>
        <w:t xml:space="preserve"> o </w:t>
      </w:r>
      <w:r w:rsidRPr="003F23AC">
        <w:rPr>
          <w:rFonts w:cs="Times New Roman"/>
          <w:noProof/>
          <w:lang w:val="sk-SK"/>
        </w:rPr>
        <w:t>platbu</w:t>
      </w:r>
      <w:r w:rsidR="00A75B3C" w:rsidRPr="003F23AC">
        <w:rPr>
          <w:rFonts w:cs="Times New Roman"/>
          <w:noProof/>
          <w:lang w:val="sk-SK"/>
        </w:rPr>
        <w:t xml:space="preserve"> v </w:t>
      </w:r>
      <w:r w:rsidRPr="003F23AC">
        <w:rPr>
          <w:rFonts w:cs="Times New Roman"/>
          <w:noProof/>
          <w:lang w:val="sk-SK"/>
        </w:rPr>
        <w:t>súlade</w:t>
      </w:r>
      <w:r w:rsidR="00A75B3C" w:rsidRPr="003F23AC">
        <w:rPr>
          <w:rFonts w:cs="Times New Roman"/>
          <w:noProof/>
          <w:lang w:val="sk-SK"/>
        </w:rPr>
        <w:t xml:space="preserve"> s </w:t>
      </w:r>
      <w:r w:rsidRPr="003F23AC">
        <w:rPr>
          <w:rFonts w:cs="Times New Roman"/>
          <w:noProof/>
          <w:lang w:val="sk-SK"/>
        </w:rPr>
        <w:t>článkom 24 ods. 3 nariadenia (EÚ) 2021/241, ako aj na účely auditu</w:t>
      </w:r>
      <w:r w:rsidR="00A75B3C" w:rsidRPr="003F23AC">
        <w:rPr>
          <w:rFonts w:cs="Times New Roman"/>
          <w:noProof/>
          <w:lang w:val="sk-SK"/>
        </w:rPr>
        <w:t xml:space="preserve"> a </w:t>
      </w:r>
      <w:r w:rsidRPr="003F23AC">
        <w:rPr>
          <w:rFonts w:cs="Times New Roman"/>
          <w:noProof/>
          <w:lang w:val="sk-SK"/>
        </w:rPr>
        <w:t>kontroly</w:t>
      </w:r>
      <w:r w:rsidR="00A75B3C" w:rsidRPr="003F23AC">
        <w:rPr>
          <w:rFonts w:cs="Times New Roman"/>
          <w:noProof/>
          <w:lang w:val="sk-SK"/>
        </w:rPr>
        <w:t>.</w:t>
      </w:r>
    </w:p>
    <w:p w14:paraId="03FAF694" w14:textId="67144D2B" w:rsidR="00387C70" w:rsidRPr="003F23AC" w:rsidRDefault="00387C70" w:rsidP="003F23AC">
      <w:pPr>
        <w:rPr>
          <w:rFonts w:ascii="Times New Roman" w:hAnsi="Times New Roman" w:cs="Times New Roman"/>
          <w:noProof/>
          <w:lang w:val="sk-SK"/>
        </w:rPr>
      </w:pPr>
    </w:p>
    <w:sectPr w:rsidR="00387C70" w:rsidRPr="003F23AC">
      <w:headerReference w:type="even" r:id="rId392"/>
      <w:headerReference w:type="default" r:id="rId393"/>
      <w:footerReference w:type="even" r:id="rId394"/>
      <w:footerReference w:type="default" r:id="rId395"/>
      <w:headerReference w:type="first" r:id="rId396"/>
      <w:footerReference w:type="first" r:id="rId397"/>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32B37" w14:textId="77777777" w:rsidR="009553E3" w:rsidRDefault="009553E3">
      <w:pPr>
        <w:spacing w:after="0" w:line="240" w:lineRule="auto"/>
      </w:pPr>
      <w:r>
        <w:separator/>
      </w:r>
    </w:p>
  </w:endnote>
  <w:endnote w:type="continuationSeparator" w:id="0">
    <w:p w14:paraId="0948226B" w14:textId="77777777" w:rsidR="009553E3" w:rsidRDefault="009553E3">
      <w:pPr>
        <w:spacing w:after="0" w:line="240" w:lineRule="auto"/>
      </w:pPr>
      <w:r>
        <w:continuationSeparator/>
      </w:r>
    </w:p>
  </w:endnote>
  <w:endnote w:type="continuationNotice" w:id="1">
    <w:p w14:paraId="244E420E" w14:textId="77777777" w:rsidR="009553E3" w:rsidRDefault="009553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Yu Mincho Light">
    <w:altName w:val="MS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Times New Roman félkövér">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86043" w14:textId="77777777" w:rsidR="00485811" w:rsidRPr="00485811" w:rsidRDefault="00485811" w:rsidP="0048581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8DB1E" w14:textId="77777777" w:rsidR="00C32C63" w:rsidRDefault="00C32C63">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A1D25" w14:textId="77777777" w:rsidR="00387C70" w:rsidRDefault="00387C70">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9812415"/>
      <w:docPartObj>
        <w:docPartGallery w:val="Page Numbers (Bottom of Page)"/>
        <w:docPartUnique/>
      </w:docPartObj>
    </w:sdtPr>
    <w:sdtEndPr>
      <w:rPr>
        <w:noProof/>
      </w:rPr>
    </w:sdtEndPr>
    <w:sdtContent>
      <w:p w14:paraId="5C35590C" w14:textId="38FA2857"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3AB594E4" w14:textId="77777777" w:rsidR="00387C70" w:rsidRDefault="00387C70">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8387E" w14:textId="77777777" w:rsidR="00387C70" w:rsidRDefault="00387C70">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33C40" w14:textId="77777777" w:rsidR="00387C70" w:rsidRDefault="00387C70">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005438"/>
      <w:docPartObj>
        <w:docPartGallery w:val="Page Numbers (Bottom of Page)"/>
        <w:docPartUnique/>
      </w:docPartObj>
    </w:sdtPr>
    <w:sdtEndPr>
      <w:rPr>
        <w:noProof/>
      </w:rPr>
    </w:sdtEndPr>
    <w:sdtContent>
      <w:p w14:paraId="6CE76736" w14:textId="62189A6B"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0E47A84D" w14:textId="77777777" w:rsidR="00387C70" w:rsidRDefault="00387C70">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EA711" w14:textId="77777777" w:rsidR="00387C70" w:rsidRDefault="00387C70">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A7546" w14:textId="77777777" w:rsidR="00387C70" w:rsidRDefault="00387C70">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537083"/>
      <w:docPartObj>
        <w:docPartGallery w:val="Page Numbers (Bottom of Page)"/>
        <w:docPartUnique/>
      </w:docPartObj>
    </w:sdtPr>
    <w:sdtEndPr>
      <w:rPr>
        <w:noProof/>
      </w:rPr>
    </w:sdtEndPr>
    <w:sdtContent>
      <w:p w14:paraId="400B67AA" w14:textId="0E52DA81"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09B88E92" w14:textId="77777777" w:rsidR="00387C70" w:rsidRDefault="00387C70">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266A6" w14:textId="77777777" w:rsidR="00387C70" w:rsidRDefault="00387C70">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2032C" w14:textId="77777777" w:rsidR="00387C70" w:rsidRDefault="00387C7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854842"/>
      <w:docPartObj>
        <w:docPartGallery w:val="Page Numbers (Bottom of Page)"/>
        <w:docPartUnique/>
      </w:docPartObj>
    </w:sdtPr>
    <w:sdtEndPr>
      <w:rPr>
        <w:noProof/>
      </w:rPr>
    </w:sdtEndPr>
    <w:sdtContent>
      <w:p w14:paraId="03F5A4F7" w14:textId="2E990826" w:rsidR="00C32C63" w:rsidRDefault="00C32C63">
        <w:pPr>
          <w:pStyle w:val="Footer"/>
          <w:jc w:val="center"/>
        </w:pPr>
        <w:r>
          <w:fldChar w:fldCharType="begin"/>
        </w:r>
        <w:r>
          <w:instrText xml:space="preserve"> PAGE   \* MERGEFORMAT </w:instrText>
        </w:r>
        <w:r>
          <w:fldChar w:fldCharType="separate"/>
        </w:r>
        <w:r w:rsidR="00485811">
          <w:rPr>
            <w:noProof/>
          </w:rPr>
          <w:t>8</w:t>
        </w:r>
        <w:r>
          <w:fldChar w:fldCharType="end"/>
        </w:r>
      </w:p>
    </w:sdtContent>
  </w:sdt>
  <w:p w14:paraId="01C64285" w14:textId="77777777" w:rsidR="00C32C63" w:rsidRDefault="00C32C63">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141652"/>
      <w:docPartObj>
        <w:docPartGallery w:val="Page Numbers (Bottom of Page)"/>
        <w:docPartUnique/>
      </w:docPartObj>
    </w:sdtPr>
    <w:sdtEndPr>
      <w:rPr>
        <w:noProof/>
      </w:rPr>
    </w:sdtEndPr>
    <w:sdtContent>
      <w:p w14:paraId="64BE41A1" w14:textId="4418F725"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0CCA67FB" w14:textId="77777777" w:rsidR="00387C70" w:rsidRDefault="00387C70">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3F1F5" w14:textId="77777777" w:rsidR="00387C70" w:rsidRDefault="00387C70">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4C986" w14:textId="77777777" w:rsidR="00387C70" w:rsidRDefault="00387C70">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802795"/>
      <w:docPartObj>
        <w:docPartGallery w:val="Page Numbers (Bottom of Page)"/>
        <w:docPartUnique/>
      </w:docPartObj>
    </w:sdtPr>
    <w:sdtEndPr>
      <w:rPr>
        <w:noProof/>
      </w:rPr>
    </w:sdtEndPr>
    <w:sdtContent>
      <w:p w14:paraId="3F6CD9B0" w14:textId="2B432A40"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685FDF4B" w14:textId="77777777" w:rsidR="00387C70" w:rsidRDefault="00387C70">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F3878" w14:textId="77777777" w:rsidR="00387C70" w:rsidRDefault="00387C70">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0DCE7" w14:textId="77777777" w:rsidR="00387C70" w:rsidRDefault="00387C70">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881091"/>
      <w:docPartObj>
        <w:docPartGallery w:val="Page Numbers (Bottom of Page)"/>
        <w:docPartUnique/>
      </w:docPartObj>
    </w:sdtPr>
    <w:sdtEndPr>
      <w:rPr>
        <w:noProof/>
      </w:rPr>
    </w:sdtEndPr>
    <w:sdtContent>
      <w:p w14:paraId="75178E5C" w14:textId="7FB31806"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08422C38" w14:textId="77777777" w:rsidR="00387C70" w:rsidRDefault="00387C70">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5B6C7" w14:textId="77777777" w:rsidR="00387C70" w:rsidRDefault="00387C70">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2ECB7" w14:textId="77777777" w:rsidR="00387C70" w:rsidRDefault="00387C70">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7032258"/>
      <w:docPartObj>
        <w:docPartGallery w:val="Page Numbers (Bottom of Page)"/>
        <w:docPartUnique/>
      </w:docPartObj>
    </w:sdtPr>
    <w:sdtEndPr>
      <w:rPr>
        <w:noProof/>
      </w:rPr>
    </w:sdtEndPr>
    <w:sdtContent>
      <w:p w14:paraId="2727D672" w14:textId="46A37415"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01BA5E86" w14:textId="77777777" w:rsidR="00387C70" w:rsidRDefault="00387C70">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8D6FE" w14:textId="77777777" w:rsidR="00C32C63" w:rsidRDefault="00C32C63">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35423" w14:textId="77777777" w:rsidR="00387C70" w:rsidRDefault="00387C70">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82A79" w14:textId="77777777" w:rsidR="00387C70" w:rsidRDefault="00387C70">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1292644"/>
      <w:docPartObj>
        <w:docPartGallery w:val="Page Numbers (Bottom of Page)"/>
        <w:docPartUnique/>
      </w:docPartObj>
    </w:sdtPr>
    <w:sdtEndPr>
      <w:rPr>
        <w:noProof/>
      </w:rPr>
    </w:sdtEndPr>
    <w:sdtContent>
      <w:p w14:paraId="1A732953" w14:textId="0EAA12DF"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0F3FCFDE" w14:textId="77777777" w:rsidR="00387C70" w:rsidRDefault="00387C70">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FEE08" w14:textId="77777777" w:rsidR="00387C70" w:rsidRDefault="00387C70">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6D009" w14:textId="77777777" w:rsidR="00387C70" w:rsidRDefault="00387C70">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8412636"/>
      <w:docPartObj>
        <w:docPartGallery w:val="Page Numbers (Bottom of Page)"/>
        <w:docPartUnique/>
      </w:docPartObj>
    </w:sdtPr>
    <w:sdtEndPr>
      <w:rPr>
        <w:noProof/>
      </w:rPr>
    </w:sdtEndPr>
    <w:sdtContent>
      <w:p w14:paraId="5F31BC2C" w14:textId="25CE31BF"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098CD17C" w14:textId="77777777" w:rsidR="00387C70" w:rsidRDefault="00387C70">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6D655" w14:textId="77777777" w:rsidR="00387C70" w:rsidRDefault="00387C70">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AFCCA" w14:textId="77777777" w:rsidR="00387C70" w:rsidRDefault="00387C70">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9565869"/>
      <w:docPartObj>
        <w:docPartGallery w:val="Page Numbers (Bottom of Page)"/>
        <w:docPartUnique/>
      </w:docPartObj>
    </w:sdtPr>
    <w:sdtEndPr>
      <w:rPr>
        <w:noProof/>
      </w:rPr>
    </w:sdtEndPr>
    <w:sdtContent>
      <w:p w14:paraId="2A025F3F" w14:textId="7ED8BDBE"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44331C35" w14:textId="77777777" w:rsidR="00387C70" w:rsidRDefault="00387C70">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58598" w14:textId="77777777" w:rsidR="00387C70" w:rsidRDefault="00387C7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757A0" w14:textId="77777777" w:rsidR="00387C70" w:rsidRDefault="00387C70">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E4A3A" w14:textId="77777777" w:rsidR="00387C70" w:rsidRDefault="00387C70">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0366933"/>
      <w:docPartObj>
        <w:docPartGallery w:val="Page Numbers (Bottom of Page)"/>
        <w:docPartUnique/>
      </w:docPartObj>
    </w:sdtPr>
    <w:sdtEndPr>
      <w:rPr>
        <w:noProof/>
      </w:rPr>
    </w:sdtEndPr>
    <w:sdtContent>
      <w:p w14:paraId="6946F91E" w14:textId="65DB2926"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3317CAD5" w14:textId="77777777" w:rsidR="00387C70" w:rsidRDefault="00387C70">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C9999" w14:textId="77777777" w:rsidR="00387C70" w:rsidRDefault="00387C70">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4FC7C" w14:textId="77777777" w:rsidR="00387C70" w:rsidRDefault="00387C70">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154876"/>
      <w:docPartObj>
        <w:docPartGallery w:val="Page Numbers (Bottom of Page)"/>
        <w:docPartUnique/>
      </w:docPartObj>
    </w:sdtPr>
    <w:sdtEndPr>
      <w:rPr>
        <w:noProof/>
      </w:rPr>
    </w:sdtEndPr>
    <w:sdtContent>
      <w:p w14:paraId="5182A1D9" w14:textId="3F40DCD6"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79915F40" w14:textId="77777777" w:rsidR="00387C70" w:rsidRDefault="00387C70">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0047F" w14:textId="77777777" w:rsidR="00387C70" w:rsidRDefault="00387C70">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DA06D" w14:textId="77777777" w:rsidR="00387C70" w:rsidRDefault="00387C70">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1989003"/>
      <w:docPartObj>
        <w:docPartGallery w:val="Page Numbers (Bottom of Page)"/>
        <w:docPartUnique/>
      </w:docPartObj>
    </w:sdtPr>
    <w:sdtEndPr>
      <w:rPr>
        <w:noProof/>
      </w:rPr>
    </w:sdtEndPr>
    <w:sdtContent>
      <w:p w14:paraId="70C4F1F4" w14:textId="71FC3837"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5A4C2D26" w14:textId="77777777" w:rsidR="00387C70" w:rsidRDefault="00387C70">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01873" w14:textId="77777777" w:rsidR="00387C70" w:rsidRDefault="00387C70">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2903F" w14:textId="77777777" w:rsidR="00387C70" w:rsidRDefault="00387C7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5949075"/>
      <w:docPartObj>
        <w:docPartGallery w:val="Page Numbers (Bottom of Page)"/>
        <w:docPartUnique/>
      </w:docPartObj>
    </w:sdtPr>
    <w:sdtEndPr>
      <w:rPr>
        <w:noProof/>
      </w:rPr>
    </w:sdtEndPr>
    <w:sdtContent>
      <w:p w14:paraId="697ADC4C" w14:textId="1455A17F" w:rsidR="00387C70" w:rsidRDefault="000F5AA4">
        <w:pPr>
          <w:pStyle w:val="Footer"/>
          <w:jc w:val="center"/>
        </w:pPr>
        <w:r>
          <w:fldChar w:fldCharType="begin"/>
        </w:r>
        <w:r>
          <w:instrText xml:space="preserve"> PAGE   \* MERGEFORMAT </w:instrText>
        </w:r>
        <w:r>
          <w:fldChar w:fldCharType="separate"/>
        </w:r>
        <w:r w:rsidR="000A4A42">
          <w:rPr>
            <w:noProof/>
          </w:rPr>
          <w:t>19</w:t>
        </w:r>
        <w:r>
          <w:fldChar w:fldCharType="end"/>
        </w:r>
      </w:p>
    </w:sdtContent>
  </w:sdt>
  <w:p w14:paraId="2F25493B" w14:textId="77777777" w:rsidR="00387C70" w:rsidRDefault="00387C70">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8059084"/>
      <w:docPartObj>
        <w:docPartGallery w:val="Page Numbers (Bottom of Page)"/>
        <w:docPartUnique/>
      </w:docPartObj>
    </w:sdtPr>
    <w:sdtEndPr>
      <w:rPr>
        <w:noProof/>
      </w:rPr>
    </w:sdtEndPr>
    <w:sdtContent>
      <w:p w14:paraId="09FF84C0" w14:textId="371DBF66"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7689A89B" w14:textId="77777777" w:rsidR="00387C70" w:rsidRDefault="00387C70">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7F905" w14:textId="77777777" w:rsidR="00387C70" w:rsidRDefault="00387C70">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66487" w14:textId="77777777" w:rsidR="00387C70" w:rsidRDefault="00387C70">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668119"/>
      <w:docPartObj>
        <w:docPartGallery w:val="Page Numbers (Bottom of Page)"/>
        <w:docPartUnique/>
      </w:docPartObj>
    </w:sdtPr>
    <w:sdtEndPr>
      <w:rPr>
        <w:noProof/>
      </w:rPr>
    </w:sdtEndPr>
    <w:sdtContent>
      <w:p w14:paraId="197EF205" w14:textId="4FAF66C8"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51BFF986" w14:textId="77777777" w:rsidR="00387C70" w:rsidRDefault="00387C70">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CC769" w14:textId="77777777" w:rsidR="00387C70" w:rsidRDefault="00387C70">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E304A" w14:textId="77777777" w:rsidR="00387C70" w:rsidRDefault="00387C70">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942259"/>
      <w:docPartObj>
        <w:docPartGallery w:val="Page Numbers (Bottom of Page)"/>
        <w:docPartUnique/>
      </w:docPartObj>
    </w:sdtPr>
    <w:sdtEndPr>
      <w:rPr>
        <w:noProof/>
      </w:rPr>
    </w:sdtEndPr>
    <w:sdtContent>
      <w:p w14:paraId="6B70ED90" w14:textId="4C8D18B1"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005AB191" w14:textId="77777777" w:rsidR="00387C70" w:rsidRDefault="00387C70">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79200" w14:textId="77777777" w:rsidR="00387C70" w:rsidRDefault="00387C70">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8C958" w14:textId="77777777" w:rsidR="00387C70" w:rsidRDefault="00387C70">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377877"/>
      <w:docPartObj>
        <w:docPartGallery w:val="Page Numbers (Bottom of Page)"/>
        <w:docPartUnique/>
      </w:docPartObj>
    </w:sdtPr>
    <w:sdtEndPr>
      <w:rPr>
        <w:noProof/>
      </w:rPr>
    </w:sdtEndPr>
    <w:sdtContent>
      <w:p w14:paraId="3EFC1F34" w14:textId="60F5F0D7"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4170B67A" w14:textId="77777777" w:rsidR="00387C70" w:rsidRDefault="00387C70">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BB398" w14:textId="77777777" w:rsidR="00387C70" w:rsidRDefault="00387C70">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382C2" w14:textId="77777777" w:rsidR="00387C70" w:rsidRDefault="00387C70">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4BE4B" w14:textId="77777777" w:rsidR="00387C70" w:rsidRDefault="00387C70">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3968927"/>
      <w:docPartObj>
        <w:docPartGallery w:val="Page Numbers (Bottom of Page)"/>
        <w:docPartUnique/>
      </w:docPartObj>
    </w:sdtPr>
    <w:sdtEndPr>
      <w:rPr>
        <w:noProof/>
      </w:rPr>
    </w:sdtEndPr>
    <w:sdtContent>
      <w:p w14:paraId="1B2ED277" w14:textId="35738820"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76B25FDC" w14:textId="77777777" w:rsidR="00387C70" w:rsidRDefault="00387C70">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17671" w14:textId="77777777" w:rsidR="00387C70" w:rsidRDefault="00387C70">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D973B" w14:textId="77777777" w:rsidR="00387C70" w:rsidRDefault="00387C70">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1835111"/>
      <w:docPartObj>
        <w:docPartGallery w:val="Page Numbers (Bottom of Page)"/>
        <w:docPartUnique/>
      </w:docPartObj>
    </w:sdtPr>
    <w:sdtEndPr>
      <w:rPr>
        <w:noProof/>
      </w:rPr>
    </w:sdtEndPr>
    <w:sdtContent>
      <w:p w14:paraId="4CF811EF" w14:textId="78EE14FB"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21E2B198" w14:textId="77777777" w:rsidR="00387C70" w:rsidRDefault="00387C70">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47961" w14:textId="77777777" w:rsidR="00387C70" w:rsidRDefault="00387C70">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B7371" w14:textId="77777777" w:rsidR="00387C70" w:rsidRDefault="00387C70">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091529"/>
      <w:docPartObj>
        <w:docPartGallery w:val="Page Numbers (Bottom of Page)"/>
        <w:docPartUnique/>
      </w:docPartObj>
    </w:sdtPr>
    <w:sdtEndPr>
      <w:rPr>
        <w:noProof/>
      </w:rPr>
    </w:sdtEndPr>
    <w:sdtContent>
      <w:p w14:paraId="126DF290" w14:textId="395CA58A"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2D623DEB" w14:textId="77777777" w:rsidR="00387C70" w:rsidRDefault="00387C70">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F51D7" w14:textId="77777777" w:rsidR="00387C70" w:rsidRDefault="00387C7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D0C83" w14:textId="77777777" w:rsidR="00387C70" w:rsidRDefault="00387C70">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99E64" w14:textId="77777777" w:rsidR="00387C70" w:rsidRDefault="00387C70">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550509"/>
      <w:docPartObj>
        <w:docPartGallery w:val="Page Numbers (Bottom of Page)"/>
        <w:docPartUnique/>
      </w:docPartObj>
    </w:sdtPr>
    <w:sdtEndPr>
      <w:rPr>
        <w:noProof/>
      </w:rPr>
    </w:sdtEndPr>
    <w:sdtContent>
      <w:p w14:paraId="398E9E99" w14:textId="20945DC3"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1EBDB67F" w14:textId="77777777" w:rsidR="00387C70" w:rsidRDefault="00387C70">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22AB5" w14:textId="77777777" w:rsidR="00387C70" w:rsidRDefault="00387C70">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9CDF8" w14:textId="77777777" w:rsidR="00387C70" w:rsidRDefault="00387C70">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571365"/>
      <w:docPartObj>
        <w:docPartGallery w:val="Page Numbers (Bottom of Page)"/>
        <w:docPartUnique/>
      </w:docPartObj>
    </w:sdtPr>
    <w:sdtEndPr>
      <w:rPr>
        <w:noProof/>
      </w:rPr>
    </w:sdtEndPr>
    <w:sdtContent>
      <w:p w14:paraId="62055C4B" w14:textId="19453D9B"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3DFBE96B" w14:textId="77777777" w:rsidR="00387C70" w:rsidRDefault="00387C70">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3A32A" w14:textId="77777777" w:rsidR="00387C70" w:rsidRDefault="00387C70">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47CC1" w14:textId="77777777" w:rsidR="00387C70" w:rsidRDefault="00387C70">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636313"/>
      <w:docPartObj>
        <w:docPartGallery w:val="Page Numbers (Bottom of Page)"/>
        <w:docPartUnique/>
      </w:docPartObj>
    </w:sdtPr>
    <w:sdtEndPr>
      <w:rPr>
        <w:noProof/>
      </w:rPr>
    </w:sdtEndPr>
    <w:sdtContent>
      <w:p w14:paraId="4B6FA002" w14:textId="6A34B5C3"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6B1E739A" w14:textId="77777777" w:rsidR="00387C70" w:rsidRDefault="00387C70">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DDC62" w14:textId="77777777" w:rsidR="00387C70" w:rsidRDefault="00387C70">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671EE" w14:textId="77777777" w:rsidR="00387C70" w:rsidRDefault="00387C7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44112"/>
      <w:docPartObj>
        <w:docPartGallery w:val="Page Numbers (Bottom of Page)"/>
        <w:docPartUnique/>
      </w:docPartObj>
    </w:sdtPr>
    <w:sdtEndPr>
      <w:rPr>
        <w:noProof/>
      </w:rPr>
    </w:sdtEndPr>
    <w:sdtContent>
      <w:p w14:paraId="12CB0D27" w14:textId="6BF9ACBD" w:rsidR="00387C70" w:rsidRDefault="000F5AA4">
        <w:pPr>
          <w:pStyle w:val="Footer"/>
          <w:jc w:val="center"/>
        </w:pPr>
        <w:r>
          <w:fldChar w:fldCharType="begin"/>
        </w:r>
        <w:r>
          <w:instrText xml:space="preserve"> PAGE   \* MERGEFORMAT </w:instrText>
        </w:r>
        <w:r>
          <w:fldChar w:fldCharType="separate"/>
        </w:r>
        <w:r w:rsidR="000A4A42">
          <w:rPr>
            <w:noProof/>
          </w:rPr>
          <w:t>21</w:t>
        </w:r>
        <w:r>
          <w:fldChar w:fldCharType="end"/>
        </w:r>
      </w:p>
    </w:sdtContent>
  </w:sdt>
  <w:p w14:paraId="0B5F64D9" w14:textId="77777777" w:rsidR="00387C70" w:rsidRDefault="00387C70">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006568"/>
      <w:docPartObj>
        <w:docPartGallery w:val="Page Numbers (Bottom of Page)"/>
        <w:docPartUnique/>
      </w:docPartObj>
    </w:sdtPr>
    <w:sdtEndPr>
      <w:rPr>
        <w:noProof/>
      </w:rPr>
    </w:sdtEndPr>
    <w:sdtContent>
      <w:p w14:paraId="28D3693D" w14:textId="75FD25FC"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12266354" w14:textId="77777777" w:rsidR="00387C70" w:rsidRDefault="00387C70">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86BB2" w14:textId="77777777" w:rsidR="00387C70" w:rsidRDefault="00387C70">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AFECF" w14:textId="77777777" w:rsidR="00387C70" w:rsidRDefault="00387C70">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0002"/>
      <w:docPartObj>
        <w:docPartGallery w:val="Page Numbers (Bottom of Page)"/>
        <w:docPartUnique/>
      </w:docPartObj>
    </w:sdtPr>
    <w:sdtEndPr>
      <w:rPr>
        <w:noProof/>
      </w:rPr>
    </w:sdtEndPr>
    <w:sdtContent>
      <w:p w14:paraId="53C379DD" w14:textId="6EC11630"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435C4841" w14:textId="77777777" w:rsidR="00387C70" w:rsidRDefault="00387C70">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1D8EB" w14:textId="77777777" w:rsidR="00387C70" w:rsidRDefault="00387C70">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10043" w14:textId="77777777" w:rsidR="00387C70" w:rsidRDefault="00387C70">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754586"/>
      <w:docPartObj>
        <w:docPartGallery w:val="Page Numbers (Bottom of Page)"/>
        <w:docPartUnique/>
      </w:docPartObj>
    </w:sdtPr>
    <w:sdtEndPr>
      <w:rPr>
        <w:noProof/>
      </w:rPr>
    </w:sdtEndPr>
    <w:sdtContent>
      <w:p w14:paraId="7AEAA58B" w14:textId="18D29009"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74B82BCE" w14:textId="77777777" w:rsidR="00387C70" w:rsidRDefault="00387C70">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0499E" w14:textId="77777777" w:rsidR="00387C70" w:rsidRDefault="00387C70">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AD40B" w14:textId="77777777" w:rsidR="00387C70" w:rsidRDefault="00387C70">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5624723"/>
      <w:docPartObj>
        <w:docPartGallery w:val="Page Numbers (Bottom of Page)"/>
        <w:docPartUnique/>
      </w:docPartObj>
    </w:sdtPr>
    <w:sdtEndPr>
      <w:rPr>
        <w:noProof/>
      </w:rPr>
    </w:sdtEndPr>
    <w:sdtContent>
      <w:p w14:paraId="01B45A81" w14:textId="7B94C4ED"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6DD189E6" w14:textId="77777777" w:rsidR="00387C70" w:rsidRDefault="00387C70">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F6430" w14:textId="77777777" w:rsidR="00387C70" w:rsidRDefault="00387C70">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373D8" w14:textId="77777777" w:rsidR="00387C70" w:rsidRDefault="00387C70">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368AC" w14:textId="77777777" w:rsidR="00387C70" w:rsidRDefault="00387C70">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2508648"/>
      <w:docPartObj>
        <w:docPartGallery w:val="Page Numbers (Bottom of Page)"/>
        <w:docPartUnique/>
      </w:docPartObj>
    </w:sdtPr>
    <w:sdtEndPr>
      <w:rPr>
        <w:noProof/>
      </w:rPr>
    </w:sdtEndPr>
    <w:sdtContent>
      <w:p w14:paraId="13ED70D2" w14:textId="57D86C32"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32C7D1A9" w14:textId="77777777" w:rsidR="00387C70" w:rsidRDefault="00387C70">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83600" w14:textId="77777777" w:rsidR="00387C70" w:rsidRDefault="00387C70">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8FED2" w14:textId="77777777" w:rsidR="00387C70" w:rsidRDefault="00387C70">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587532"/>
      <w:docPartObj>
        <w:docPartGallery w:val="Page Numbers (Bottom of Page)"/>
        <w:docPartUnique/>
      </w:docPartObj>
    </w:sdtPr>
    <w:sdtEndPr>
      <w:rPr>
        <w:noProof/>
      </w:rPr>
    </w:sdtEndPr>
    <w:sdtContent>
      <w:p w14:paraId="53677020" w14:textId="1DCBDA7B"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0A3B62C6" w14:textId="77777777" w:rsidR="00387C70" w:rsidRDefault="00387C70">
    <w:pPr>
      <w:pStyle w:val="FooterCouncil"/>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C8487" w14:textId="77777777" w:rsidR="00387C70" w:rsidRDefault="00387C70">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25AF4" w14:textId="77777777" w:rsidR="00387C70" w:rsidRDefault="00387C70">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4395917"/>
      <w:docPartObj>
        <w:docPartGallery w:val="Page Numbers (Bottom of Page)"/>
        <w:docPartUnique/>
      </w:docPartObj>
    </w:sdtPr>
    <w:sdtEndPr>
      <w:rPr>
        <w:noProof/>
      </w:rPr>
    </w:sdtEndPr>
    <w:sdtContent>
      <w:p w14:paraId="508043F1" w14:textId="6ABC6F45"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2BD69011" w14:textId="77777777" w:rsidR="00387C70" w:rsidRDefault="00387C70">
    <w:pPr>
      <w:pStyle w:val="FooterCouncil"/>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C8B47" w14:textId="77777777" w:rsidR="00387C70" w:rsidRDefault="00387C7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441F4" w14:textId="77777777" w:rsidR="00C32C63" w:rsidRDefault="00C32C63">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CBBC0" w14:textId="77777777" w:rsidR="00387C70" w:rsidRDefault="00387C70">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8824516"/>
      <w:docPartObj>
        <w:docPartGallery w:val="Page Numbers (Bottom of Page)"/>
        <w:docPartUnique/>
      </w:docPartObj>
    </w:sdtPr>
    <w:sdtEndPr>
      <w:rPr>
        <w:noProof/>
      </w:rPr>
    </w:sdtEndPr>
    <w:sdtContent>
      <w:p w14:paraId="4A7028B2" w14:textId="2C22FBB5"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33B5F61B" w14:textId="77777777" w:rsidR="00387C70" w:rsidRDefault="00387C70">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2DA6B" w14:textId="77777777" w:rsidR="00387C70" w:rsidRDefault="00387C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94EAE" w14:textId="29AD2111" w:rsidR="00C32C63" w:rsidRPr="00485811" w:rsidRDefault="00485811" w:rsidP="00485811">
    <w:pPr>
      <w:pStyle w:val="FooterCoverPage"/>
      <w:rPr>
        <w:rFonts w:ascii="Arial" w:hAnsi="Arial" w:cs="Arial"/>
        <w:b/>
        <w:sz w:val="48"/>
      </w:rPr>
    </w:pPr>
    <w:r w:rsidRPr="00485811">
      <w:rPr>
        <w:rFonts w:ascii="Arial" w:hAnsi="Arial" w:cs="Arial"/>
        <w:b/>
        <w:sz w:val="48"/>
      </w:rPr>
      <w:t>SK</w:t>
    </w:r>
    <w:r w:rsidRPr="00485811">
      <w:rPr>
        <w:rFonts w:ascii="Arial" w:hAnsi="Arial" w:cs="Arial"/>
        <w:b/>
        <w:sz w:val="48"/>
      </w:rPr>
      <w:tab/>
    </w:r>
    <w:r w:rsidRPr="00485811">
      <w:rPr>
        <w:rFonts w:ascii="Arial" w:hAnsi="Arial" w:cs="Arial"/>
        <w:b/>
        <w:sz w:val="48"/>
      </w:rPr>
      <w:tab/>
    </w:r>
    <w:r w:rsidRPr="00485811">
      <w:tab/>
    </w:r>
    <w:r w:rsidRPr="00485811">
      <w:rPr>
        <w:rFonts w:ascii="Arial" w:hAnsi="Arial" w:cs="Arial"/>
        <w:b/>
        <w:sz w:val="48"/>
      </w:rPr>
      <w:t>SK</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777017"/>
      <w:docPartObj>
        <w:docPartGallery w:val="Page Numbers (Bottom of Page)"/>
        <w:docPartUnique/>
      </w:docPartObj>
    </w:sdtPr>
    <w:sdtEndPr>
      <w:rPr>
        <w:noProof/>
      </w:rPr>
    </w:sdtEndPr>
    <w:sdtContent>
      <w:p w14:paraId="17788A5C" w14:textId="03AB37A3" w:rsidR="00C32C63" w:rsidRDefault="00C32C63">
        <w:pPr>
          <w:pStyle w:val="Footer"/>
          <w:jc w:val="center"/>
        </w:pPr>
        <w:r>
          <w:fldChar w:fldCharType="begin"/>
        </w:r>
        <w:r>
          <w:instrText xml:space="preserve"> PAGE   \* MERGEFORMAT </w:instrText>
        </w:r>
        <w:r>
          <w:fldChar w:fldCharType="separate"/>
        </w:r>
        <w:r w:rsidR="000A4A42">
          <w:rPr>
            <w:noProof/>
          </w:rPr>
          <w:t>22</w:t>
        </w:r>
        <w:r>
          <w:fldChar w:fldCharType="end"/>
        </w:r>
      </w:p>
    </w:sdtContent>
  </w:sdt>
  <w:p w14:paraId="0660A9D8" w14:textId="77777777" w:rsidR="00C32C63" w:rsidRDefault="00C32C63">
    <w:pPr>
      <w:pStyle w:val="FooterCouncil"/>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743E4" w14:textId="77777777" w:rsidR="00C32C63" w:rsidRDefault="00C32C6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301BA" w14:textId="77777777" w:rsidR="00387C70" w:rsidRDefault="00387C7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2830203"/>
      <w:docPartObj>
        <w:docPartGallery w:val="Page Numbers (Bottom of Page)"/>
        <w:docPartUnique/>
      </w:docPartObj>
    </w:sdtPr>
    <w:sdtEndPr>
      <w:rPr>
        <w:noProof/>
      </w:rPr>
    </w:sdtEndPr>
    <w:sdtContent>
      <w:p w14:paraId="2CED8AC6" w14:textId="1CC1FACD" w:rsidR="00387C70" w:rsidRDefault="000F5AA4">
        <w:pPr>
          <w:pStyle w:val="Footer"/>
          <w:jc w:val="center"/>
        </w:pPr>
        <w:r>
          <w:fldChar w:fldCharType="begin"/>
        </w:r>
        <w:r>
          <w:instrText xml:space="preserve"> PAGE   \* MERGEFORMAT </w:instrText>
        </w:r>
        <w:r>
          <w:fldChar w:fldCharType="separate"/>
        </w:r>
        <w:r w:rsidR="000A4A42">
          <w:rPr>
            <w:noProof/>
          </w:rPr>
          <w:t>28</w:t>
        </w:r>
        <w:r>
          <w:fldChar w:fldCharType="end"/>
        </w:r>
      </w:p>
    </w:sdtContent>
  </w:sdt>
  <w:p w14:paraId="75C9F863" w14:textId="77777777" w:rsidR="00387C70" w:rsidRDefault="00387C70">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32863" w14:textId="77777777" w:rsidR="00387C70" w:rsidRDefault="00387C7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20E3D" w14:textId="77777777" w:rsidR="00387C70" w:rsidRDefault="00387C7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3298613"/>
      <w:docPartObj>
        <w:docPartGallery w:val="Page Numbers (Bottom of Page)"/>
        <w:docPartUnique/>
      </w:docPartObj>
    </w:sdtPr>
    <w:sdtEndPr>
      <w:rPr>
        <w:noProof/>
      </w:rPr>
    </w:sdtEndPr>
    <w:sdtContent>
      <w:p w14:paraId="05F0F492" w14:textId="6D984958" w:rsidR="00387C70" w:rsidRDefault="000F5AA4">
        <w:pPr>
          <w:pStyle w:val="Footer"/>
          <w:jc w:val="center"/>
        </w:pPr>
        <w:r>
          <w:fldChar w:fldCharType="begin"/>
        </w:r>
        <w:r>
          <w:instrText xml:space="preserve"> PAGE   \* MERGEFORMAT </w:instrText>
        </w:r>
        <w:r>
          <w:fldChar w:fldCharType="separate"/>
        </w:r>
        <w:r w:rsidR="000A4A42">
          <w:rPr>
            <w:noProof/>
          </w:rPr>
          <w:t>29</w:t>
        </w:r>
        <w:r>
          <w:fldChar w:fldCharType="end"/>
        </w:r>
      </w:p>
    </w:sdtContent>
  </w:sdt>
  <w:p w14:paraId="0741FD69" w14:textId="77777777" w:rsidR="00387C70" w:rsidRDefault="00387C70">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80E57" w14:textId="77777777" w:rsidR="00387C70" w:rsidRDefault="00387C7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F600E" w14:textId="77777777" w:rsidR="00387C70" w:rsidRDefault="00387C7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487096"/>
      <w:docPartObj>
        <w:docPartGallery w:val="Page Numbers (Bottom of Page)"/>
        <w:docPartUnique/>
      </w:docPartObj>
    </w:sdtPr>
    <w:sdtEndPr>
      <w:rPr>
        <w:noProof/>
      </w:rPr>
    </w:sdtEndPr>
    <w:sdtContent>
      <w:p w14:paraId="2DEBA96A" w14:textId="68B9EA6F" w:rsidR="00387C70" w:rsidRDefault="000F5AA4">
        <w:pPr>
          <w:pStyle w:val="Footer"/>
          <w:jc w:val="center"/>
        </w:pPr>
        <w:r>
          <w:fldChar w:fldCharType="begin"/>
        </w:r>
        <w:r>
          <w:instrText xml:space="preserve"> PAGE   \* MERGEFORMAT </w:instrText>
        </w:r>
        <w:r>
          <w:fldChar w:fldCharType="separate"/>
        </w:r>
        <w:r w:rsidR="000A4A42">
          <w:rPr>
            <w:noProof/>
          </w:rPr>
          <w:t>33</w:t>
        </w:r>
        <w:r>
          <w:fldChar w:fldCharType="end"/>
        </w:r>
      </w:p>
    </w:sdtContent>
  </w:sdt>
  <w:p w14:paraId="7EB36D5D" w14:textId="77777777" w:rsidR="00387C70" w:rsidRDefault="00387C70">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6C6CD" w14:textId="77777777" w:rsidR="00485811" w:rsidRPr="00485811" w:rsidRDefault="00485811" w:rsidP="00485811">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2295D" w14:textId="77777777" w:rsidR="00387C70" w:rsidRDefault="00387C7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FC1FE" w14:textId="77777777" w:rsidR="00387C70" w:rsidRDefault="00387C7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698929"/>
      <w:docPartObj>
        <w:docPartGallery w:val="Page Numbers (Bottom of Page)"/>
        <w:docPartUnique/>
      </w:docPartObj>
    </w:sdtPr>
    <w:sdtEndPr>
      <w:rPr>
        <w:noProof/>
      </w:rPr>
    </w:sdtEndPr>
    <w:sdtContent>
      <w:p w14:paraId="714D1441" w14:textId="7A52511B" w:rsidR="00387C70" w:rsidRDefault="000F5AA4">
        <w:pPr>
          <w:pStyle w:val="Footer"/>
          <w:jc w:val="center"/>
        </w:pPr>
        <w:r>
          <w:fldChar w:fldCharType="begin"/>
        </w:r>
        <w:r>
          <w:instrText xml:space="preserve"> PAGE   \* MERGEFORMAT </w:instrText>
        </w:r>
        <w:r>
          <w:fldChar w:fldCharType="separate"/>
        </w:r>
        <w:r w:rsidR="000A4A42">
          <w:rPr>
            <w:noProof/>
          </w:rPr>
          <w:t>41</w:t>
        </w:r>
        <w:r>
          <w:fldChar w:fldCharType="end"/>
        </w:r>
      </w:p>
    </w:sdtContent>
  </w:sdt>
  <w:p w14:paraId="719E7858" w14:textId="77777777" w:rsidR="00387C70" w:rsidRDefault="00387C70">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0A4F3" w14:textId="77777777" w:rsidR="00387C70" w:rsidRDefault="00387C7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69EF6" w14:textId="77777777" w:rsidR="00387C70" w:rsidRDefault="00387C70">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8099938"/>
      <w:docPartObj>
        <w:docPartGallery w:val="Page Numbers (Bottom of Page)"/>
        <w:docPartUnique/>
      </w:docPartObj>
    </w:sdtPr>
    <w:sdtEndPr>
      <w:rPr>
        <w:noProof/>
      </w:rPr>
    </w:sdtEndPr>
    <w:sdtContent>
      <w:p w14:paraId="345873AE" w14:textId="3161BC50" w:rsidR="00387C70" w:rsidRDefault="000F5AA4">
        <w:pPr>
          <w:pStyle w:val="Footer"/>
          <w:jc w:val="center"/>
        </w:pPr>
        <w:r>
          <w:fldChar w:fldCharType="begin"/>
        </w:r>
        <w:r>
          <w:instrText xml:space="preserve"> PAGE   \* MERGEFORMAT </w:instrText>
        </w:r>
        <w:r>
          <w:fldChar w:fldCharType="separate"/>
        </w:r>
        <w:r w:rsidR="000A4A42">
          <w:rPr>
            <w:noProof/>
          </w:rPr>
          <w:t>48</w:t>
        </w:r>
        <w:r>
          <w:fldChar w:fldCharType="end"/>
        </w:r>
      </w:p>
    </w:sdtContent>
  </w:sdt>
  <w:p w14:paraId="2986C6F5" w14:textId="77777777" w:rsidR="00387C70" w:rsidRDefault="00387C70">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73DE8" w14:textId="77777777" w:rsidR="00387C70" w:rsidRDefault="00387C7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5039" w14:textId="77777777" w:rsidR="00387C70" w:rsidRDefault="00387C7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277009"/>
      <w:docPartObj>
        <w:docPartGallery w:val="Page Numbers (Bottom of Page)"/>
        <w:docPartUnique/>
      </w:docPartObj>
    </w:sdtPr>
    <w:sdtEndPr>
      <w:rPr>
        <w:noProof/>
      </w:rPr>
    </w:sdtEndPr>
    <w:sdtContent>
      <w:p w14:paraId="65098364" w14:textId="53A7536B" w:rsidR="00387C70" w:rsidRDefault="000F5AA4">
        <w:pPr>
          <w:pStyle w:val="Footer"/>
          <w:jc w:val="center"/>
        </w:pPr>
        <w:r>
          <w:fldChar w:fldCharType="begin"/>
        </w:r>
        <w:r>
          <w:instrText xml:space="preserve"> PAGE   \* MERGEFORMAT </w:instrText>
        </w:r>
        <w:r>
          <w:fldChar w:fldCharType="separate"/>
        </w:r>
        <w:r w:rsidR="000A4A42">
          <w:rPr>
            <w:noProof/>
          </w:rPr>
          <w:t>49</w:t>
        </w:r>
        <w:r>
          <w:fldChar w:fldCharType="end"/>
        </w:r>
      </w:p>
    </w:sdtContent>
  </w:sdt>
  <w:p w14:paraId="4643FB93" w14:textId="77777777" w:rsidR="00387C70" w:rsidRDefault="00387C70">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F6AF8" w14:textId="77777777" w:rsidR="00387C70" w:rsidRDefault="00387C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B0DE0" w14:textId="77777777" w:rsidR="00387C70" w:rsidRDefault="00387C7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82116" w14:textId="77777777" w:rsidR="00387C70" w:rsidRDefault="00387C7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741893"/>
      <w:docPartObj>
        <w:docPartGallery w:val="Page Numbers (Bottom of Page)"/>
        <w:docPartUnique/>
      </w:docPartObj>
    </w:sdtPr>
    <w:sdtEndPr>
      <w:rPr>
        <w:noProof/>
      </w:rPr>
    </w:sdtEndPr>
    <w:sdtContent>
      <w:p w14:paraId="00966A19" w14:textId="69B60B7F"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3F45C853" w14:textId="77777777" w:rsidR="00387C70" w:rsidRDefault="00387C70">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A0EAA" w14:textId="77777777" w:rsidR="00387C70" w:rsidRDefault="00387C7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B00FE" w14:textId="77777777" w:rsidR="00387C70" w:rsidRDefault="00387C70">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8036114"/>
      <w:docPartObj>
        <w:docPartGallery w:val="Page Numbers (Bottom of Page)"/>
        <w:docPartUnique/>
      </w:docPartObj>
    </w:sdtPr>
    <w:sdtEndPr>
      <w:rPr>
        <w:noProof/>
      </w:rPr>
    </w:sdtEndPr>
    <w:sdtContent>
      <w:p w14:paraId="25167880" w14:textId="0D504E9E"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4B6037DF" w14:textId="77777777" w:rsidR="00387C70" w:rsidRDefault="00387C70">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E1D7A" w14:textId="77777777" w:rsidR="00387C70" w:rsidRDefault="00387C7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43A7" w14:textId="77777777" w:rsidR="00387C70" w:rsidRDefault="00387C70">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507974"/>
      <w:docPartObj>
        <w:docPartGallery w:val="Page Numbers (Bottom of Page)"/>
        <w:docPartUnique/>
      </w:docPartObj>
    </w:sdtPr>
    <w:sdtEndPr>
      <w:rPr>
        <w:noProof/>
      </w:rPr>
    </w:sdtEndPr>
    <w:sdtContent>
      <w:p w14:paraId="1811EA1C" w14:textId="44C20AC1"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01988643" w14:textId="77777777" w:rsidR="00387C70" w:rsidRDefault="00387C70">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04B48" w14:textId="77777777" w:rsidR="00387C70" w:rsidRDefault="00387C7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73585" w14:textId="77777777" w:rsidR="00387C70" w:rsidRDefault="00387C7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346073"/>
      <w:docPartObj>
        <w:docPartGallery w:val="Page Numbers (Bottom of Page)"/>
        <w:docPartUnique/>
      </w:docPartObj>
    </w:sdtPr>
    <w:sdtEndPr>
      <w:rPr>
        <w:noProof/>
      </w:rPr>
    </w:sdtEndPr>
    <w:sdtContent>
      <w:p w14:paraId="2AA68066" w14:textId="51E433B2" w:rsidR="00387C70" w:rsidRDefault="000F5AA4">
        <w:pPr>
          <w:pStyle w:val="Footer"/>
          <w:jc w:val="center"/>
        </w:pPr>
        <w:r>
          <w:fldChar w:fldCharType="begin"/>
        </w:r>
        <w:r>
          <w:instrText xml:space="preserve"> PAGE   \* MERGEFORMAT </w:instrText>
        </w:r>
        <w:r>
          <w:fldChar w:fldCharType="separate"/>
        </w:r>
        <w:r w:rsidR="00485811">
          <w:rPr>
            <w:noProof/>
          </w:rPr>
          <w:t>3</w:t>
        </w:r>
        <w:r>
          <w:fldChar w:fldCharType="end"/>
        </w:r>
      </w:p>
    </w:sdtContent>
  </w:sdt>
  <w:p w14:paraId="0DEA6884" w14:textId="77777777" w:rsidR="00387C70" w:rsidRDefault="00387C70">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4801915"/>
      <w:docPartObj>
        <w:docPartGallery w:val="Page Numbers (Bottom of Page)"/>
        <w:docPartUnique/>
      </w:docPartObj>
    </w:sdtPr>
    <w:sdtEndPr>
      <w:rPr>
        <w:noProof/>
      </w:rPr>
    </w:sdtEndPr>
    <w:sdtContent>
      <w:p w14:paraId="7D3A79CE" w14:textId="724C2B6F"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68DB9891" w14:textId="77777777" w:rsidR="00387C70" w:rsidRDefault="00387C70">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86A8D" w14:textId="77777777" w:rsidR="00387C70" w:rsidRDefault="00387C7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82201" w14:textId="77777777" w:rsidR="00387C70" w:rsidRDefault="00387C70">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0415558"/>
      <w:docPartObj>
        <w:docPartGallery w:val="Page Numbers (Bottom of Page)"/>
        <w:docPartUnique/>
      </w:docPartObj>
    </w:sdtPr>
    <w:sdtEndPr>
      <w:rPr>
        <w:noProof/>
      </w:rPr>
    </w:sdtEndPr>
    <w:sdtContent>
      <w:p w14:paraId="3C55196F" w14:textId="3F12762B"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008F913B" w14:textId="77777777" w:rsidR="00387C70" w:rsidRDefault="00387C70">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52109" w14:textId="77777777" w:rsidR="00387C70" w:rsidRDefault="00387C7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01565" w14:textId="77777777" w:rsidR="00387C70" w:rsidRDefault="00387C70">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578241"/>
      <w:docPartObj>
        <w:docPartGallery w:val="Page Numbers (Bottom of Page)"/>
        <w:docPartUnique/>
      </w:docPartObj>
    </w:sdtPr>
    <w:sdtEndPr>
      <w:rPr>
        <w:noProof/>
      </w:rPr>
    </w:sdtEndPr>
    <w:sdtContent>
      <w:p w14:paraId="491E5022" w14:textId="0DA370AA"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11540942" w14:textId="77777777" w:rsidR="00387C70" w:rsidRDefault="00387C70">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02774" w14:textId="77777777" w:rsidR="00387C70" w:rsidRDefault="00387C7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013ED" w14:textId="77777777" w:rsidR="00387C70" w:rsidRDefault="00387C70">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812463"/>
      <w:docPartObj>
        <w:docPartGallery w:val="Page Numbers (Bottom of Page)"/>
        <w:docPartUnique/>
      </w:docPartObj>
    </w:sdtPr>
    <w:sdtEndPr>
      <w:rPr>
        <w:noProof/>
      </w:rPr>
    </w:sdtEndPr>
    <w:sdtContent>
      <w:p w14:paraId="553A0A03" w14:textId="771841E8"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423CC830" w14:textId="77777777" w:rsidR="00387C70" w:rsidRDefault="00387C70">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A863A" w14:textId="77777777" w:rsidR="00387C70" w:rsidRDefault="00387C70">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83F60" w14:textId="77777777" w:rsidR="00387C70" w:rsidRDefault="00387C70">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02836" w14:textId="77777777" w:rsidR="00387C70" w:rsidRDefault="00387C70">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733270"/>
      <w:docPartObj>
        <w:docPartGallery w:val="Page Numbers (Bottom of Page)"/>
        <w:docPartUnique/>
      </w:docPartObj>
    </w:sdtPr>
    <w:sdtEndPr>
      <w:rPr>
        <w:noProof/>
      </w:rPr>
    </w:sdtEndPr>
    <w:sdtContent>
      <w:p w14:paraId="0F5CF51F" w14:textId="58203338"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4135D1FF" w14:textId="77777777" w:rsidR="00387C70" w:rsidRDefault="00387C70">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B5A9E" w14:textId="77777777" w:rsidR="00387C70" w:rsidRDefault="00387C70">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6CD2B" w14:textId="77777777" w:rsidR="00387C70" w:rsidRDefault="00387C70">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883907"/>
      <w:docPartObj>
        <w:docPartGallery w:val="Page Numbers (Bottom of Page)"/>
        <w:docPartUnique/>
      </w:docPartObj>
    </w:sdtPr>
    <w:sdtEndPr>
      <w:rPr>
        <w:noProof/>
      </w:rPr>
    </w:sdtEndPr>
    <w:sdtContent>
      <w:p w14:paraId="1E7DE44E" w14:textId="71994768"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368A7015" w14:textId="77777777" w:rsidR="00387C70" w:rsidRDefault="00387C70">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A2D1F" w14:textId="77777777" w:rsidR="00387C70" w:rsidRDefault="00387C70">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DDB6A" w14:textId="77777777" w:rsidR="00387C70" w:rsidRDefault="00387C70">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3524488"/>
      <w:docPartObj>
        <w:docPartGallery w:val="Page Numbers (Bottom of Page)"/>
        <w:docPartUnique/>
      </w:docPartObj>
    </w:sdtPr>
    <w:sdtEndPr>
      <w:rPr>
        <w:noProof/>
      </w:rPr>
    </w:sdtEndPr>
    <w:sdtContent>
      <w:p w14:paraId="26B90A8C" w14:textId="16A8AB06"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22113364" w14:textId="77777777" w:rsidR="00387C70" w:rsidRDefault="00387C70">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1D2FD" w14:textId="77777777" w:rsidR="00387C70" w:rsidRDefault="00387C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65FD4" w14:textId="77777777" w:rsidR="00C32C63" w:rsidRDefault="00C32C63">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B96EC" w14:textId="77777777" w:rsidR="00387C70" w:rsidRDefault="00387C70">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375543"/>
      <w:docPartObj>
        <w:docPartGallery w:val="Page Numbers (Bottom of Page)"/>
        <w:docPartUnique/>
      </w:docPartObj>
    </w:sdtPr>
    <w:sdtEndPr>
      <w:rPr>
        <w:noProof/>
      </w:rPr>
    </w:sdtEndPr>
    <w:sdtContent>
      <w:p w14:paraId="20D54BE6" w14:textId="27EB8F5F"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20347BDD" w14:textId="77777777" w:rsidR="00387C70" w:rsidRDefault="00387C70">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C22CD" w14:textId="77777777" w:rsidR="00387C70" w:rsidRDefault="00387C70">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7697E" w14:textId="77777777" w:rsidR="00387C70" w:rsidRDefault="00387C70">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4692075"/>
      <w:docPartObj>
        <w:docPartGallery w:val="Page Numbers (Bottom of Page)"/>
        <w:docPartUnique/>
      </w:docPartObj>
    </w:sdtPr>
    <w:sdtEndPr>
      <w:rPr>
        <w:noProof/>
      </w:rPr>
    </w:sdtEndPr>
    <w:sdtContent>
      <w:p w14:paraId="27D12E9D" w14:textId="1F2E7166"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6CA32D1F" w14:textId="77777777" w:rsidR="00387C70" w:rsidRDefault="00387C70">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46821" w14:textId="77777777" w:rsidR="00387C70" w:rsidRDefault="00387C70">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E7E8F" w14:textId="77777777" w:rsidR="00387C70" w:rsidRDefault="00387C70">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8046173"/>
      <w:docPartObj>
        <w:docPartGallery w:val="Page Numbers (Bottom of Page)"/>
        <w:docPartUnique/>
      </w:docPartObj>
    </w:sdtPr>
    <w:sdtEndPr>
      <w:rPr>
        <w:noProof/>
      </w:rPr>
    </w:sdtEndPr>
    <w:sdtContent>
      <w:p w14:paraId="7812839D" w14:textId="7C40077D"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00134FDC" w14:textId="77777777" w:rsidR="00387C70" w:rsidRDefault="00387C70">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ED1FF" w14:textId="77777777" w:rsidR="00387C70" w:rsidRDefault="00387C70">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667FC" w14:textId="77777777" w:rsidR="00387C70" w:rsidRDefault="00387C7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47631"/>
      <w:docPartObj>
        <w:docPartGallery w:val="Page Numbers (Bottom of Page)"/>
        <w:docPartUnique/>
      </w:docPartObj>
    </w:sdtPr>
    <w:sdtEndPr>
      <w:rPr>
        <w:noProof/>
      </w:rPr>
    </w:sdtEndPr>
    <w:sdtContent>
      <w:p w14:paraId="46C1E6C1" w14:textId="1C5BCB3D" w:rsidR="00C32C63" w:rsidRDefault="00C32C63">
        <w:pPr>
          <w:pStyle w:val="Footer"/>
          <w:jc w:val="center"/>
        </w:pPr>
        <w:r>
          <w:fldChar w:fldCharType="begin"/>
        </w:r>
        <w:r>
          <w:instrText xml:space="preserve"> PAGE   \* MERGEFORMAT </w:instrText>
        </w:r>
        <w:r>
          <w:fldChar w:fldCharType="separate"/>
        </w:r>
        <w:r w:rsidR="00485811">
          <w:rPr>
            <w:noProof/>
          </w:rPr>
          <w:t>5</w:t>
        </w:r>
        <w:r>
          <w:fldChar w:fldCharType="end"/>
        </w:r>
      </w:p>
    </w:sdtContent>
  </w:sdt>
  <w:p w14:paraId="17BE65DD" w14:textId="77777777" w:rsidR="00C32C63" w:rsidRDefault="00C32C63">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950081"/>
      <w:docPartObj>
        <w:docPartGallery w:val="Page Numbers (Bottom of Page)"/>
        <w:docPartUnique/>
      </w:docPartObj>
    </w:sdtPr>
    <w:sdtEndPr>
      <w:rPr>
        <w:noProof/>
      </w:rPr>
    </w:sdtEndPr>
    <w:sdtContent>
      <w:p w14:paraId="171ABC93" w14:textId="08F260A5"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75AA0CD7" w14:textId="77777777" w:rsidR="00387C70" w:rsidRDefault="00387C70">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92D4F" w14:textId="77777777" w:rsidR="00387C70" w:rsidRDefault="00387C70">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6F74F" w14:textId="77777777" w:rsidR="00387C70" w:rsidRDefault="00387C70">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7917768"/>
      <w:docPartObj>
        <w:docPartGallery w:val="Page Numbers (Bottom of Page)"/>
        <w:docPartUnique/>
      </w:docPartObj>
    </w:sdtPr>
    <w:sdtEndPr>
      <w:rPr>
        <w:noProof/>
      </w:rPr>
    </w:sdtEndPr>
    <w:sdtContent>
      <w:p w14:paraId="5DEDEBC3" w14:textId="2065B74D"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657ED285" w14:textId="77777777" w:rsidR="00387C70" w:rsidRDefault="00387C70">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FA91C" w14:textId="77777777" w:rsidR="00387C70" w:rsidRDefault="00387C70">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2FFA4" w14:textId="77777777" w:rsidR="00387C70" w:rsidRDefault="00387C70">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5580077"/>
      <w:docPartObj>
        <w:docPartGallery w:val="Page Numbers (Bottom of Page)"/>
        <w:docPartUnique/>
      </w:docPartObj>
    </w:sdtPr>
    <w:sdtEndPr>
      <w:rPr>
        <w:noProof/>
      </w:rPr>
    </w:sdtEndPr>
    <w:sdtContent>
      <w:p w14:paraId="38B617B1" w14:textId="29E47AAE"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40204AFC" w14:textId="77777777" w:rsidR="00387C70" w:rsidRDefault="00387C70">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F680E" w14:textId="77777777" w:rsidR="00387C70" w:rsidRDefault="00387C70">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9ED65" w14:textId="77777777" w:rsidR="00387C70" w:rsidRDefault="00387C70">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825800"/>
      <w:docPartObj>
        <w:docPartGallery w:val="Page Numbers (Bottom of Page)"/>
        <w:docPartUnique/>
      </w:docPartObj>
    </w:sdtPr>
    <w:sdtEndPr>
      <w:rPr>
        <w:noProof/>
      </w:rPr>
    </w:sdtEndPr>
    <w:sdtContent>
      <w:p w14:paraId="16F8FF98" w14:textId="3E257F15" w:rsidR="00387C70" w:rsidRDefault="000F5AA4">
        <w:pPr>
          <w:pStyle w:val="Footer"/>
          <w:jc w:val="center"/>
        </w:pPr>
        <w:r>
          <w:fldChar w:fldCharType="begin"/>
        </w:r>
        <w:r>
          <w:instrText xml:space="preserve"> PAGE   \* MERGEFORMAT </w:instrText>
        </w:r>
        <w:r>
          <w:fldChar w:fldCharType="separate"/>
        </w:r>
        <w:r>
          <w:t>2</w:t>
        </w:r>
        <w:r>
          <w:fldChar w:fldCharType="end"/>
        </w:r>
      </w:p>
    </w:sdtContent>
  </w:sdt>
  <w:p w14:paraId="612C7217" w14:textId="77777777" w:rsidR="00387C70" w:rsidRDefault="00387C70">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646AE" w14:textId="77777777" w:rsidR="00C32C63" w:rsidRDefault="00C32C63">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BABC1" w14:textId="77777777" w:rsidR="00387C70" w:rsidRDefault="00387C70">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5FA56" w14:textId="77777777" w:rsidR="00C32C63" w:rsidRDefault="00C32C63">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7395211"/>
      <w:docPartObj>
        <w:docPartGallery w:val="Page Numbers (Bottom of Page)"/>
        <w:docPartUnique/>
      </w:docPartObj>
    </w:sdtPr>
    <w:sdtEndPr>
      <w:rPr>
        <w:noProof/>
      </w:rPr>
    </w:sdtEndPr>
    <w:sdtContent>
      <w:p w14:paraId="25E8DDE2" w14:textId="77777777" w:rsidR="00C32C63" w:rsidRDefault="00C32C63">
        <w:pPr>
          <w:pStyle w:val="Footer"/>
          <w:jc w:val="center"/>
        </w:pPr>
        <w:r>
          <w:fldChar w:fldCharType="begin"/>
        </w:r>
        <w:r>
          <w:instrText xml:space="preserve"> PAGE   \* MERGEFORMAT </w:instrText>
        </w:r>
        <w:r>
          <w:fldChar w:fldCharType="separate"/>
        </w:r>
        <w:r>
          <w:t>2</w:t>
        </w:r>
        <w:r>
          <w:fldChar w:fldCharType="end"/>
        </w:r>
      </w:p>
    </w:sdtContent>
  </w:sdt>
  <w:p w14:paraId="7194FBD8" w14:textId="77777777" w:rsidR="00C32C63" w:rsidRDefault="00C32C63">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5CEB7" w14:textId="77777777" w:rsidR="00C32C63" w:rsidRDefault="00C32C63">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F2AA6" w14:textId="77777777" w:rsidR="00C32C63" w:rsidRDefault="00C32C63">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2508163"/>
      <w:docPartObj>
        <w:docPartGallery w:val="Page Numbers (Bottom of Page)"/>
        <w:docPartUnique/>
      </w:docPartObj>
    </w:sdtPr>
    <w:sdtEndPr>
      <w:rPr>
        <w:noProof/>
      </w:rPr>
    </w:sdtEndPr>
    <w:sdtContent>
      <w:p w14:paraId="26C3F932" w14:textId="77777777" w:rsidR="00C32C63" w:rsidRDefault="00C32C63">
        <w:pPr>
          <w:pStyle w:val="Footer"/>
          <w:jc w:val="center"/>
        </w:pPr>
        <w:r>
          <w:fldChar w:fldCharType="begin"/>
        </w:r>
        <w:r>
          <w:instrText xml:space="preserve"> PAGE   \* MERGEFORMAT </w:instrText>
        </w:r>
        <w:r>
          <w:fldChar w:fldCharType="separate"/>
        </w:r>
        <w:r>
          <w:t>2</w:t>
        </w:r>
        <w:r>
          <w:fldChar w:fldCharType="end"/>
        </w:r>
      </w:p>
    </w:sdtContent>
  </w:sdt>
  <w:p w14:paraId="473BBD7E" w14:textId="77777777" w:rsidR="00C32C63" w:rsidRDefault="00C32C63">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0C5B0" w14:textId="77777777" w:rsidR="00C32C63" w:rsidRDefault="00C32C63">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979FE" w14:textId="77777777" w:rsidR="00C32C63" w:rsidRDefault="00C32C63">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655900"/>
      <w:docPartObj>
        <w:docPartGallery w:val="Page Numbers (Bottom of Page)"/>
        <w:docPartUnique/>
      </w:docPartObj>
    </w:sdtPr>
    <w:sdtEndPr>
      <w:rPr>
        <w:noProof/>
      </w:rPr>
    </w:sdtEndPr>
    <w:sdtContent>
      <w:p w14:paraId="50134010" w14:textId="77777777" w:rsidR="00C32C63" w:rsidRDefault="00C32C63">
        <w:pPr>
          <w:pStyle w:val="Footer"/>
          <w:jc w:val="center"/>
        </w:pPr>
        <w:r>
          <w:fldChar w:fldCharType="begin"/>
        </w:r>
        <w:r>
          <w:instrText xml:space="preserve"> PAGE   \* MERGEFORMAT </w:instrText>
        </w:r>
        <w:r>
          <w:fldChar w:fldCharType="separate"/>
        </w:r>
        <w:r>
          <w:t>2</w:t>
        </w:r>
        <w:r>
          <w:fldChar w:fldCharType="end"/>
        </w:r>
      </w:p>
    </w:sdtContent>
  </w:sdt>
  <w:p w14:paraId="0D8D8892" w14:textId="77777777" w:rsidR="00C32C63" w:rsidRDefault="00C32C63">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71698" w14:textId="77777777" w:rsidR="00C32C63" w:rsidRDefault="00C32C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55346" w14:textId="77777777" w:rsidR="009553E3" w:rsidRDefault="009553E3">
      <w:pPr>
        <w:spacing w:after="0" w:line="240" w:lineRule="auto"/>
      </w:pPr>
      <w:r>
        <w:separator/>
      </w:r>
    </w:p>
  </w:footnote>
  <w:footnote w:type="continuationSeparator" w:id="0">
    <w:p w14:paraId="37223CC4" w14:textId="77777777" w:rsidR="009553E3" w:rsidRDefault="009553E3">
      <w:pPr>
        <w:spacing w:after="0" w:line="240" w:lineRule="auto"/>
      </w:pPr>
      <w:r>
        <w:continuationSeparator/>
      </w:r>
    </w:p>
  </w:footnote>
  <w:footnote w:type="continuationNotice" w:id="1">
    <w:p w14:paraId="12D45F7D" w14:textId="77777777" w:rsidR="009553E3" w:rsidRDefault="009553E3">
      <w:pPr>
        <w:spacing w:after="0" w:line="240" w:lineRule="auto"/>
      </w:pPr>
    </w:p>
  </w:footnote>
  <w:footnote w:id="2">
    <w:p w14:paraId="4F724CD0" w14:textId="6B23C4BC" w:rsidR="00387C70" w:rsidRDefault="000F5AA4">
      <w:pPr>
        <w:pStyle w:val="FootnoteText"/>
        <w:ind w:left="709" w:hanging="709"/>
      </w:pPr>
      <w:r>
        <w:rPr>
          <w:rStyle w:val="FootnoteReference"/>
        </w:rPr>
        <w:footnoteRef/>
      </w:r>
      <w:r>
        <w:t xml:space="preserve"> </w:t>
      </w:r>
      <w:hyperlink r:id="rId1" w:history="1">
        <w:r>
          <w:rPr>
            <w:rStyle w:val="Hyperlink"/>
          </w:rPr>
          <w:t>https://www.un.org/development/desa/disabilities/convention-on-the-rights-of-persons-with-disabilities.html</w:t>
        </w:r>
      </w:hyperlink>
      <w:r>
        <w:t>.</w:t>
      </w:r>
      <w:r w:rsidR="00A75B3C">
        <w:t xml:space="preserve"> </w:t>
      </w:r>
    </w:p>
  </w:footnote>
  <w:footnote w:id="3">
    <w:p w14:paraId="6EF9B016" w14:textId="77777777" w:rsidR="00387C70" w:rsidRDefault="000F5AA4">
      <w:pPr>
        <w:pStyle w:val="FootnoteText"/>
        <w:ind w:left="709" w:hanging="709"/>
      </w:pPr>
      <w:r>
        <w:rPr>
          <w:rStyle w:val="FootnoteReference"/>
        </w:rPr>
        <w:footnoteRef/>
      </w:r>
      <w:r>
        <w:t xml:space="preserve"> </w:t>
      </w:r>
      <w:hyperlink r:id="rId2" w:history="1">
        <w:r>
          <w:rPr>
            <w:rStyle w:val="Hyperlink"/>
          </w:rPr>
          <w:t>https://ec.europa.eu/social/main.jsp?catId=738&amp;langId=en&amp;pubId=8376&amp;furtherPubs=yes</w:t>
        </w:r>
      </w:hyperlink>
      <w:r>
        <w:t xml:space="preserve"> </w:t>
      </w:r>
    </w:p>
  </w:footnote>
  <w:footnote w:id="4">
    <w:p w14:paraId="7BE524BD" w14:textId="77777777" w:rsidR="00387C70" w:rsidRDefault="000F5AA4">
      <w:pPr>
        <w:pStyle w:val="FootnoteText"/>
        <w:ind w:left="709" w:hanging="709"/>
      </w:pPr>
      <w:r>
        <w:rPr>
          <w:rStyle w:val="FootnoteReference"/>
        </w:rPr>
        <w:footnoteRef/>
      </w:r>
      <w:r>
        <w:t xml:space="preserve"> </w:t>
      </w:r>
      <w:hyperlink r:id="rId3" w:history="1">
        <w:r>
          <w:rPr>
            <w:rStyle w:val="Hyperlink"/>
          </w:rPr>
          <w:t>https://ec.europa.eu/info/sites/default/files/1_en_act_part1_v8_0.pdf</w:t>
        </w:r>
      </w:hyperlink>
      <w:r>
        <w:t xml:space="preserve"> </w:t>
      </w:r>
    </w:p>
  </w:footnote>
  <w:footnote w:id="5">
    <w:p w14:paraId="20BF6478" w14:textId="54582F02" w:rsidR="00387C70" w:rsidRDefault="000F5AA4">
      <w:pPr>
        <w:pStyle w:val="FootnoteText"/>
        <w:ind w:left="709" w:hanging="709"/>
      </w:pPr>
      <w:r>
        <w:rPr>
          <w:rStyle w:val="FootnoteReference"/>
        </w:rPr>
        <w:footnoteRef/>
      </w:r>
      <w:r>
        <w:t xml:space="preserve"> </w:t>
      </w:r>
      <w:hyperlink r:id="rId4" w:history="1">
        <w:r>
          <w:rPr>
            <w:rStyle w:val="Hyperlink"/>
          </w:rPr>
          <w:t>https://www.un.org/development/desa/disabilities/convention-on-the-rights-of-persons-with-disabilities.html</w:t>
        </w:r>
      </w:hyperlink>
      <w:r>
        <w:t>.</w:t>
      </w:r>
      <w:r w:rsidR="00A75B3C">
        <w:t xml:space="preserve"> </w:t>
      </w:r>
    </w:p>
  </w:footnote>
  <w:footnote w:id="6">
    <w:p w14:paraId="697E022B" w14:textId="77777777" w:rsidR="00387C70" w:rsidRDefault="000F5AA4">
      <w:pPr>
        <w:pStyle w:val="FootnoteText"/>
        <w:ind w:left="709" w:hanging="709"/>
      </w:pPr>
      <w:r>
        <w:rPr>
          <w:rStyle w:val="FootnoteReference"/>
        </w:rPr>
        <w:footnoteRef/>
      </w:r>
      <w:r>
        <w:t xml:space="preserve"> </w:t>
      </w:r>
      <w:hyperlink r:id="rId5" w:history="1">
        <w:r>
          <w:rPr>
            <w:rStyle w:val="Hyperlink"/>
          </w:rPr>
          <w:t>https://ec.europa.eu/social/main.jsp?catId=738&amp;langId=en&amp;pubId=8376&amp;furtherPubs=yes</w:t>
        </w:r>
      </w:hyperlink>
      <w:r>
        <w:t xml:space="preserve"> </w:t>
      </w:r>
    </w:p>
  </w:footnote>
  <w:footnote w:id="7">
    <w:p w14:paraId="22261CC4" w14:textId="77777777" w:rsidR="00387C70" w:rsidRDefault="000F5AA4">
      <w:pPr>
        <w:pStyle w:val="FootnoteText"/>
        <w:ind w:left="709" w:hanging="709"/>
      </w:pPr>
      <w:r>
        <w:footnoteRef/>
      </w:r>
      <w:r>
        <w:t xml:space="preserve"> </w:t>
      </w:r>
      <w:r>
        <w:tab/>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8">
    <w:p w14:paraId="2B2A4952" w14:textId="77777777" w:rsidR="00387C70" w:rsidRPr="00A26F8D" w:rsidRDefault="000F5AA4">
      <w:pPr>
        <w:pStyle w:val="FootnoteText"/>
        <w:ind w:left="709" w:hanging="709"/>
        <w:rPr>
          <w:spacing w:val="-4"/>
        </w:rPr>
      </w:pPr>
      <w:r>
        <w:footnoteRef/>
      </w:r>
      <w:r>
        <w:t xml:space="preserve"> </w:t>
      </w:r>
      <w:r>
        <w:tab/>
      </w:r>
      <w:r w:rsidRPr="00A26F8D">
        <w:rPr>
          <w:spacing w:val="-4"/>
        </w:rPr>
        <w:t>Ak sa podporovanou činnosťou dosahujú predpokladané emisie skleníkových plynov, ktoré nie sú podstatne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9">
    <w:p w14:paraId="104B9886" w14:textId="77777777" w:rsidR="00387C70" w:rsidRDefault="000F5AA4">
      <w:pPr>
        <w:pStyle w:val="FootnoteText"/>
        <w:ind w:left="709" w:hanging="709"/>
      </w:pPr>
      <w:r>
        <w:footnoteRef/>
      </w:r>
      <w:r>
        <w:t xml:space="preserve"> </w:t>
      </w:r>
      <w:r>
        <w:tab/>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10">
    <w:p w14:paraId="3F26F5F7" w14:textId="77777777" w:rsidR="00387C70" w:rsidRPr="00A26F8D" w:rsidRDefault="000F5AA4">
      <w:pPr>
        <w:pStyle w:val="FootnoteText"/>
        <w:ind w:left="709" w:hanging="709"/>
        <w:rPr>
          <w:spacing w:val="-6"/>
        </w:rPr>
      </w:pPr>
      <w:r>
        <w:footnoteRef/>
      </w:r>
      <w:r>
        <w:t xml:space="preserve"> </w:t>
      </w:r>
      <w:r>
        <w:tab/>
      </w:r>
      <w:r w:rsidRPr="00A26F8D">
        <w:rPr>
          <w:spacing w:val="-6"/>
        </w:rPr>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11">
    <w:p w14:paraId="54B6E1CA" w14:textId="77777777" w:rsidR="00387C70" w:rsidRDefault="000F5AA4">
      <w:pPr>
        <w:pStyle w:val="FootnoteText"/>
        <w:ind w:left="709" w:hanging="709"/>
      </w:pPr>
      <w:r>
        <w:footnoteRef/>
      </w:r>
      <w:r>
        <w:t xml:space="preserve"> </w:t>
      </w:r>
      <w:r>
        <w:tab/>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12">
    <w:p w14:paraId="0700F327" w14:textId="77777777" w:rsidR="00387C70" w:rsidRDefault="000F5AA4">
      <w:pPr>
        <w:pStyle w:val="FootnoteText"/>
        <w:ind w:left="709" w:hanging="709"/>
      </w:pPr>
      <w:r>
        <w:footnoteRef/>
      </w:r>
      <w:r>
        <w:t xml:space="preserve"> </w:t>
      </w:r>
      <w:r>
        <w:tab/>
        <w:t>Ak sa podporovanou činnosťou dosahujú predpokladané emisie skleníkových plynov, ktoré nie sú podstatne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13">
    <w:p w14:paraId="4A7CE0CE" w14:textId="77777777" w:rsidR="00387C70" w:rsidRDefault="000F5AA4">
      <w:pPr>
        <w:pStyle w:val="FootnoteText"/>
        <w:ind w:left="709" w:hanging="709"/>
      </w:pPr>
      <w:r>
        <w:rPr>
          <w:rStyle w:val="FootnoteReference"/>
        </w:rPr>
        <w:footnoteRef/>
      </w:r>
      <w:r>
        <w:t xml:space="preserve"> </w:t>
      </w:r>
      <w:r>
        <w:tab/>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14">
    <w:p w14:paraId="33C91D2C" w14:textId="77777777" w:rsidR="00387C70" w:rsidRDefault="000F5AA4">
      <w:pPr>
        <w:pStyle w:val="FootnoteText"/>
        <w:ind w:left="709" w:hanging="709"/>
      </w:pPr>
      <w:r>
        <w:footnoteRef/>
      </w:r>
      <w:r>
        <w:t xml:space="preserve"> </w:t>
      </w:r>
      <w:r>
        <w:tab/>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15">
    <w:p w14:paraId="4570EEC3" w14:textId="77777777" w:rsidR="00387C70" w:rsidRDefault="000F5AA4">
      <w:pPr>
        <w:pStyle w:val="FootnoteText"/>
        <w:ind w:left="709" w:hanging="709"/>
      </w:pPr>
      <w:r>
        <w:rPr>
          <w:rStyle w:val="FootnoteReference"/>
        </w:rPr>
        <w:footnoteRef/>
      </w:r>
      <w:r>
        <w:t xml:space="preserve"> </w:t>
      </w:r>
      <w:r>
        <w:tab/>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16">
    <w:p w14:paraId="18847726" w14:textId="77777777" w:rsidR="00387C70" w:rsidRDefault="000F5AA4">
      <w:pPr>
        <w:pStyle w:val="FootnoteText"/>
        <w:ind w:left="709" w:hanging="709"/>
      </w:pPr>
      <w:r>
        <w:rPr>
          <w:rStyle w:val="FootnoteReference"/>
        </w:rPr>
        <w:footnoteRef/>
      </w:r>
      <w:r>
        <w:t xml:space="preserve"> </w:t>
      </w:r>
      <w:r>
        <w:tab/>
        <w:t>Ak sa podporovanou činnosťou dosahujú predpokladané emisie skleníkových plynov, ktoré nie sú podstatne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17">
    <w:p w14:paraId="2CDBAB26" w14:textId="77777777" w:rsidR="00387C70" w:rsidRDefault="000F5AA4">
      <w:pPr>
        <w:spacing w:after="0" w:line="240" w:lineRule="auto"/>
        <w:ind w:left="709" w:hanging="709"/>
        <w:jc w:val="both"/>
        <w:rPr>
          <w:rFonts w:ascii="Times New Roman" w:eastAsiaTheme="minorEastAsia"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rPr>
          <w:rFonts w:ascii="Times New Roman" w:hAnsi="Times New Roman"/>
          <w:sz w:val="20"/>
        </w:rPr>
        <w:tab/>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18">
    <w:p w14:paraId="02418914" w14:textId="77777777" w:rsidR="00387C70" w:rsidRDefault="000F5AA4">
      <w:pPr>
        <w:pStyle w:val="FootnoteText"/>
        <w:ind w:left="709" w:hanging="709"/>
      </w:pPr>
      <w:r>
        <w:rPr>
          <w:rStyle w:val="FootnoteReference"/>
        </w:rPr>
        <w:footnoteRef/>
      </w:r>
      <w:r>
        <w:t xml:space="preserve"> </w:t>
      </w:r>
      <w:r>
        <w:tab/>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19">
    <w:p w14:paraId="2734878E" w14:textId="77777777" w:rsidR="00387C70" w:rsidRDefault="000F5AA4">
      <w:pPr>
        <w:pStyle w:val="FootnoteText"/>
        <w:ind w:left="709" w:hanging="709"/>
      </w:pPr>
      <w:r>
        <w:rPr>
          <w:rStyle w:val="FootnoteReference"/>
        </w:rPr>
        <w:footnoteRef/>
      </w:r>
      <w:r>
        <w:t xml:space="preserve"> </w:t>
      </w:r>
      <w:r>
        <w:tab/>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20">
    <w:p w14:paraId="25410A69" w14:textId="77777777" w:rsidR="00387C70" w:rsidRDefault="000F5AA4">
      <w:pPr>
        <w:pStyle w:val="FootnoteText"/>
        <w:ind w:left="709" w:hanging="709"/>
      </w:pPr>
      <w:r>
        <w:rPr>
          <w:rStyle w:val="FootnoteReference"/>
        </w:rPr>
        <w:footnoteRef/>
      </w:r>
      <w:r>
        <w:t xml:space="preserve"> </w:t>
      </w:r>
      <w:r>
        <w:tab/>
        <w:t>Ak sa podporovanou činnosťou dosahujú predpokladané emisie skleníkových plynov, ktoré nie sú podstatne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21">
    <w:p w14:paraId="4B3934FC" w14:textId="77777777" w:rsidR="00387C70" w:rsidRDefault="000F5AA4">
      <w:pPr>
        <w:spacing w:after="0" w:line="240" w:lineRule="auto"/>
        <w:ind w:left="709" w:hanging="709"/>
        <w:jc w:val="both"/>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rPr>
          <w:rFonts w:ascii="Times New Roman" w:hAnsi="Times New Roman"/>
          <w:sz w:val="20"/>
        </w:rPr>
        <w:tab/>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22">
    <w:p w14:paraId="6CB29564" w14:textId="77777777" w:rsidR="00387C70" w:rsidRDefault="000F5AA4">
      <w:pPr>
        <w:pStyle w:val="FootnoteText"/>
        <w:ind w:left="709" w:hanging="709"/>
      </w:pPr>
      <w:r>
        <w:rPr>
          <w:rStyle w:val="FootnoteReference"/>
        </w:rPr>
        <w:footnoteRef/>
      </w:r>
      <w:r>
        <w:t xml:space="preserve"> </w:t>
      </w:r>
      <w:r>
        <w:tab/>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23">
    <w:p w14:paraId="1A1A021C" w14:textId="77777777" w:rsidR="00387C70" w:rsidRDefault="000F5AA4">
      <w:pPr>
        <w:pStyle w:val="FootnoteText"/>
        <w:ind w:left="709" w:hanging="709"/>
      </w:pPr>
      <w:r>
        <w:rPr>
          <w:rStyle w:val="FootnoteReference"/>
        </w:rPr>
        <w:footnoteRef/>
      </w:r>
      <w:r>
        <w:t xml:space="preserve"> </w:t>
      </w:r>
      <w:r>
        <w:tab/>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24">
    <w:p w14:paraId="72CFAB7C" w14:textId="77777777" w:rsidR="00387C70" w:rsidRPr="00A26F8D" w:rsidRDefault="000F5AA4">
      <w:pPr>
        <w:pStyle w:val="FootnoteText"/>
        <w:ind w:left="709" w:hanging="709"/>
        <w:rPr>
          <w:spacing w:val="-4"/>
        </w:rPr>
      </w:pPr>
      <w:r>
        <w:rPr>
          <w:rStyle w:val="FootnoteReference"/>
        </w:rPr>
        <w:footnoteRef/>
      </w:r>
      <w:r>
        <w:t xml:space="preserve"> </w:t>
      </w:r>
      <w:r>
        <w:tab/>
      </w:r>
      <w:r w:rsidRPr="00A26F8D">
        <w:rPr>
          <w:spacing w:val="-4"/>
        </w:rPr>
        <w:t>Ak sa podporovanou činnosťou dosahujú predpokladané emisie skleníkových plynov, ktoré nie sú podstatne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25">
    <w:p w14:paraId="23F2A08C" w14:textId="77777777" w:rsidR="00387C70" w:rsidRDefault="000F5AA4">
      <w:pPr>
        <w:spacing w:after="0" w:line="240" w:lineRule="auto"/>
        <w:ind w:left="709" w:hanging="709"/>
        <w:jc w:val="both"/>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rPr>
          <w:rFonts w:ascii="Times New Roman" w:hAnsi="Times New Roman"/>
          <w:sz w:val="20"/>
        </w:rPr>
        <w:tab/>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26">
    <w:p w14:paraId="2E05CEF0" w14:textId="77777777" w:rsidR="00387C70" w:rsidRPr="00A26F8D" w:rsidRDefault="000F5AA4">
      <w:pPr>
        <w:pStyle w:val="FootnoteText"/>
        <w:ind w:left="709" w:hanging="709"/>
        <w:rPr>
          <w:spacing w:val="-6"/>
        </w:rPr>
      </w:pPr>
      <w:r>
        <w:rPr>
          <w:rStyle w:val="FootnoteReference"/>
        </w:rPr>
        <w:footnoteRef/>
      </w:r>
      <w:r>
        <w:t xml:space="preserve"> </w:t>
      </w:r>
      <w:r>
        <w:tab/>
      </w:r>
      <w:r w:rsidRPr="00A26F8D">
        <w:rPr>
          <w:spacing w:val="-6"/>
        </w:rPr>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27">
    <w:p w14:paraId="2FE089E1" w14:textId="77777777" w:rsidR="00387C70" w:rsidRDefault="000F5AA4">
      <w:pPr>
        <w:pStyle w:val="FootnoteText"/>
        <w:ind w:left="709" w:hanging="709"/>
      </w:pPr>
      <w:r>
        <w:rPr>
          <w:rStyle w:val="FootnoteReference"/>
        </w:rPr>
        <w:footnoteRef/>
      </w:r>
      <w:r>
        <w:t xml:space="preserve"> </w:t>
      </w:r>
      <w:r>
        <w:tab/>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28">
    <w:p w14:paraId="54165B86" w14:textId="77777777" w:rsidR="00387C70" w:rsidRPr="00A26F8D" w:rsidRDefault="000F5AA4">
      <w:pPr>
        <w:pStyle w:val="FootnoteText"/>
        <w:ind w:left="709" w:hanging="709"/>
        <w:rPr>
          <w:spacing w:val="-4"/>
        </w:rPr>
      </w:pPr>
      <w:r>
        <w:rPr>
          <w:rStyle w:val="FootnoteReference"/>
        </w:rPr>
        <w:footnoteRef/>
      </w:r>
      <w:r>
        <w:t xml:space="preserve"> </w:t>
      </w:r>
      <w:r>
        <w:tab/>
      </w:r>
      <w:r w:rsidRPr="00A26F8D">
        <w:rPr>
          <w:spacing w:val="-4"/>
        </w:rPr>
        <w:t>Ak sa podporovanou činnosťou dosahujú predpokladané emisie skleníkových plynov, ktoré nie sú podstatne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29">
    <w:p w14:paraId="78C1F4E6" w14:textId="77777777" w:rsidR="00387C70" w:rsidRDefault="000F5AA4">
      <w:pPr>
        <w:spacing w:after="0" w:line="240" w:lineRule="auto"/>
        <w:ind w:left="709" w:hanging="709"/>
        <w:jc w:val="both"/>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rPr>
          <w:rFonts w:ascii="Times New Roman" w:hAnsi="Times New Roman"/>
          <w:sz w:val="20"/>
        </w:rPr>
        <w:tab/>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30">
    <w:p w14:paraId="43DD17DC" w14:textId="77777777" w:rsidR="00387C70" w:rsidRDefault="000F5AA4">
      <w:pPr>
        <w:pStyle w:val="FootnoteText"/>
        <w:ind w:left="709" w:hanging="709"/>
      </w:pPr>
      <w:r>
        <w:rPr>
          <w:rStyle w:val="FootnoteReference"/>
        </w:rPr>
        <w:footnoteRef/>
      </w:r>
      <w:r>
        <w:t xml:space="preserve"> </w:t>
      </w:r>
      <w:r>
        <w:tab/>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31">
    <w:p w14:paraId="27354B64" w14:textId="15DC6DDC" w:rsidR="00387C70" w:rsidRDefault="000F5AA4">
      <w:pPr>
        <w:pStyle w:val="FootnoteText"/>
      </w:pPr>
      <w:r>
        <w:rPr>
          <w:rStyle w:val="FootnoteReference"/>
        </w:rPr>
        <w:footnoteRef/>
      </w:r>
      <w:r>
        <w:t xml:space="preserve"> </w:t>
      </w:r>
      <w:r w:rsidR="00A26F8D">
        <w:tab/>
      </w:r>
      <w:r>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 </w:t>
      </w:r>
    </w:p>
  </w:footnote>
  <w:footnote w:id="32">
    <w:p w14:paraId="4299F52C" w14:textId="446F5EFF" w:rsidR="00387C70" w:rsidRPr="00A26F8D" w:rsidRDefault="000F5AA4">
      <w:pPr>
        <w:pStyle w:val="FootnoteText"/>
        <w:rPr>
          <w:spacing w:val="-4"/>
        </w:rPr>
      </w:pPr>
      <w:r>
        <w:rPr>
          <w:rStyle w:val="FootnoteReference"/>
        </w:rPr>
        <w:footnoteRef/>
      </w:r>
      <w:r>
        <w:t xml:space="preserve"> </w:t>
      </w:r>
      <w:r w:rsidR="00A26F8D">
        <w:tab/>
      </w:r>
      <w:r w:rsidRPr="00A26F8D">
        <w:rPr>
          <w:spacing w:val="-4"/>
        </w:rPr>
        <w:t>Ak sa podporovanou činnosťou dosahujú predpokladané emisie skleníkových plynov, ktoré nie sú výrazne nižšie ako príslušné referenčné hodnoty, poskytne sa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 </w:t>
      </w:r>
    </w:p>
  </w:footnote>
  <w:footnote w:id="33">
    <w:p w14:paraId="275F7B84" w14:textId="7F9C40D0" w:rsidR="00387C70" w:rsidRDefault="000F5AA4">
      <w:pPr>
        <w:pStyle w:val="FootnoteText"/>
      </w:pPr>
      <w:r>
        <w:rPr>
          <w:rStyle w:val="FootnoteReference"/>
        </w:rPr>
        <w:footnoteRef/>
      </w:r>
      <w:r>
        <w:t xml:space="preserve"> </w:t>
      </w:r>
      <w:r w:rsidR="00A26F8D">
        <w:tab/>
      </w:r>
      <w:r>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 </w:t>
      </w:r>
    </w:p>
  </w:footnote>
  <w:footnote w:id="34">
    <w:p w14:paraId="15124B53" w14:textId="286F6626" w:rsidR="00387C70" w:rsidRDefault="000F5AA4">
      <w:pPr>
        <w:pStyle w:val="FootnoteText"/>
      </w:pPr>
      <w:r>
        <w:rPr>
          <w:rStyle w:val="FootnoteReference"/>
        </w:rPr>
        <w:footnoteRef/>
      </w:r>
      <w:r w:rsidR="00A75B3C">
        <w:t xml:space="preserve"> </w:t>
      </w:r>
      <w:r w:rsidR="00A26F8D">
        <w:tab/>
      </w:r>
      <w:r>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 </w:t>
      </w:r>
    </w:p>
  </w:footnote>
  <w:footnote w:id="35">
    <w:p w14:paraId="13E939F4" w14:textId="77777777" w:rsidR="00387C70" w:rsidRDefault="000F5AA4">
      <w:pPr>
        <w:pStyle w:val="FootnoteText"/>
        <w:spacing w:line="240" w:lineRule="auto"/>
        <w:ind w:left="709" w:hanging="709"/>
      </w:pPr>
      <w:r>
        <w:rPr>
          <w:rStyle w:val="FootnoteReference"/>
        </w:rPr>
        <w:footnoteRef/>
      </w:r>
      <w:r>
        <w:t xml:space="preserve"> </w:t>
      </w:r>
      <w:r>
        <w:tab/>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36">
    <w:p w14:paraId="7560EFBF" w14:textId="77777777" w:rsidR="00387C70" w:rsidRPr="00A26F8D" w:rsidRDefault="000F5AA4">
      <w:pPr>
        <w:pStyle w:val="FootnoteText"/>
        <w:spacing w:line="240" w:lineRule="auto"/>
        <w:ind w:left="709" w:hanging="709"/>
        <w:rPr>
          <w:spacing w:val="-4"/>
        </w:rPr>
      </w:pPr>
      <w:r>
        <w:rPr>
          <w:rStyle w:val="FootnoteReference"/>
        </w:rPr>
        <w:footnoteRef/>
      </w:r>
      <w:r>
        <w:t xml:space="preserve"> </w:t>
      </w:r>
      <w:r>
        <w:tab/>
      </w:r>
      <w:r w:rsidRPr="00A26F8D">
        <w:rPr>
          <w:spacing w:val="-4"/>
        </w:rPr>
        <w:t>Ak sa podporovanou činnosťou dosahujú predpokladané emisie skleníkových plynov, ktoré nie sú podstatne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37">
    <w:p w14:paraId="22DA75BD" w14:textId="77777777" w:rsidR="00387C70" w:rsidRDefault="000F5AA4">
      <w:pPr>
        <w:spacing w:after="0" w:line="240" w:lineRule="auto"/>
        <w:ind w:left="709" w:hanging="709"/>
        <w:jc w:val="both"/>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rPr>
          <w:rFonts w:ascii="Times New Roman" w:hAnsi="Times New Roman"/>
          <w:sz w:val="20"/>
        </w:rPr>
        <w:tab/>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38">
    <w:p w14:paraId="31E3972C" w14:textId="77777777" w:rsidR="00387C70" w:rsidRPr="00A26F8D" w:rsidRDefault="000F5AA4">
      <w:pPr>
        <w:pStyle w:val="FootnoteText"/>
        <w:spacing w:line="240" w:lineRule="auto"/>
        <w:ind w:left="709" w:hanging="709"/>
        <w:rPr>
          <w:spacing w:val="-6"/>
        </w:rPr>
      </w:pPr>
      <w:r>
        <w:rPr>
          <w:rStyle w:val="FootnoteReference"/>
        </w:rPr>
        <w:footnoteRef/>
      </w:r>
      <w:r>
        <w:t xml:space="preserve"> </w:t>
      </w:r>
      <w:r>
        <w:tab/>
      </w:r>
      <w:r w:rsidRPr="00A26F8D">
        <w:rPr>
          <w:spacing w:val="-6"/>
        </w:rPr>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39">
    <w:p w14:paraId="032B3FB7" w14:textId="3954A6F7" w:rsidR="00387C70" w:rsidRDefault="000F5AA4">
      <w:pPr>
        <w:pStyle w:val="FootnoteText"/>
        <w:ind w:left="709" w:hanging="709"/>
      </w:pPr>
      <w:r>
        <w:rPr>
          <w:rStyle w:val="FootnoteReference"/>
        </w:rPr>
        <w:footnoteRef/>
      </w:r>
      <w:r>
        <w:t xml:space="preserve"> </w:t>
      </w:r>
      <w:r>
        <w:tab/>
        <w:t xml:space="preserve">Decreto Regulamentar n.° 9-A/2017: </w:t>
      </w:r>
      <w:hyperlink r:id="rId6" w:history="1">
        <w:r>
          <w:rPr>
            <w:rStyle w:val="Hyperlink"/>
          </w:rPr>
          <w:t>https://dre.pt/application/conteudo/114152782</w:t>
        </w:r>
      </w:hyperlink>
      <w:r w:rsidR="00A75B3C">
        <w:t xml:space="preserve"> </w:t>
      </w:r>
    </w:p>
  </w:footnote>
  <w:footnote w:id="40">
    <w:p w14:paraId="0D885102" w14:textId="77777777" w:rsidR="00387C70" w:rsidRDefault="000F5AA4">
      <w:pPr>
        <w:pStyle w:val="FootnoteText"/>
        <w:spacing w:line="240" w:lineRule="auto"/>
      </w:pPr>
      <w:r>
        <w:rPr>
          <w:rStyle w:val="FootnoteReference"/>
        </w:rPr>
        <w:footnoteRef/>
      </w:r>
      <w:r>
        <w:t xml:space="preserve"> </w:t>
      </w:r>
      <w:r>
        <w:tab/>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41">
    <w:p w14:paraId="41986EED" w14:textId="77777777" w:rsidR="00387C70" w:rsidRDefault="000F5AA4">
      <w:pPr>
        <w:pStyle w:val="FootnoteText"/>
        <w:spacing w:line="240" w:lineRule="auto"/>
      </w:pPr>
      <w:r>
        <w:rPr>
          <w:rStyle w:val="FootnoteReference"/>
        </w:rPr>
        <w:footnoteRef/>
      </w:r>
      <w:r>
        <w:t xml:space="preserve"> </w:t>
      </w:r>
      <w:r>
        <w:tab/>
        <w:t>Ak sa podporovanou činnosťou dosahujú predpokladané emisie skleníkových plynov, ktoré nie sú podstatne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42">
    <w:p w14:paraId="0FE45297" w14:textId="77777777" w:rsidR="00387C70" w:rsidRDefault="000F5AA4">
      <w:pPr>
        <w:pStyle w:val="FootnoteText"/>
        <w:spacing w:line="240" w:lineRule="auto"/>
      </w:pPr>
      <w:r>
        <w:rPr>
          <w:rStyle w:val="FootnoteReference"/>
        </w:rPr>
        <w:footnoteRef/>
      </w:r>
      <w:r>
        <w:t xml:space="preserve"> </w:t>
      </w:r>
      <w:r>
        <w:tab/>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43">
    <w:p w14:paraId="45413230" w14:textId="77777777" w:rsidR="00387C70" w:rsidRDefault="000F5AA4">
      <w:pPr>
        <w:pStyle w:val="FootnoteText"/>
        <w:spacing w:line="240" w:lineRule="auto"/>
      </w:pPr>
      <w:r>
        <w:rPr>
          <w:rStyle w:val="FootnoteReference"/>
        </w:rPr>
        <w:footnoteRef/>
      </w:r>
      <w:r>
        <w:t xml:space="preserve"> </w:t>
      </w:r>
      <w:r>
        <w:tab/>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44">
    <w:p w14:paraId="2D3802F5" w14:textId="77777777" w:rsidR="00387C70" w:rsidRDefault="000F5AA4">
      <w:pPr>
        <w:pStyle w:val="FootnoteText"/>
        <w:spacing w:line="240" w:lineRule="auto"/>
        <w:ind w:left="709" w:hanging="709"/>
      </w:pPr>
      <w:r>
        <w:rPr>
          <w:rStyle w:val="FootnoteReference"/>
        </w:rPr>
        <w:footnoteRef/>
      </w:r>
      <w:r>
        <w:t xml:space="preserve"> </w:t>
      </w:r>
      <w:r>
        <w:tab/>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45">
    <w:p w14:paraId="58D642AD" w14:textId="77777777" w:rsidR="00387C70" w:rsidRDefault="000F5AA4">
      <w:pPr>
        <w:pStyle w:val="FootnoteText"/>
        <w:spacing w:line="240" w:lineRule="auto"/>
        <w:ind w:left="709" w:hanging="709"/>
      </w:pPr>
      <w:r>
        <w:rPr>
          <w:rStyle w:val="FootnoteReference"/>
        </w:rPr>
        <w:footnoteRef/>
      </w:r>
      <w:r>
        <w:t xml:space="preserve"> </w:t>
      </w:r>
      <w:r>
        <w:tab/>
        <w:t>Ak sa podporovanou činnosťou dosahujú predpokladané emisie skleníkových plynov, ktoré nie sú podstatne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46">
    <w:p w14:paraId="2EC8D73E" w14:textId="77777777" w:rsidR="00387C70" w:rsidRDefault="000F5AA4">
      <w:pPr>
        <w:spacing w:after="0" w:line="240" w:lineRule="auto"/>
        <w:ind w:left="709" w:hanging="709"/>
        <w:jc w:val="both"/>
        <w:rPr>
          <w:rFonts w:ascii="Times New Roman" w:hAnsi="Times New Roman" w:cs="Times New Roman"/>
          <w:sz w:val="20"/>
        </w:rPr>
      </w:pPr>
      <w:r>
        <w:rPr>
          <w:rStyle w:val="FootnoteReference"/>
          <w:rFonts w:ascii="Times New Roman" w:hAnsi="Times New Roman" w:cs="Times New Roman"/>
          <w:sz w:val="20"/>
        </w:rPr>
        <w:footnoteRef/>
      </w:r>
      <w:r>
        <w:rPr>
          <w:rFonts w:ascii="Times New Roman" w:hAnsi="Times New Roman"/>
          <w:sz w:val="20"/>
        </w:rPr>
        <w:t xml:space="preserve"> </w:t>
      </w:r>
      <w:r>
        <w:rPr>
          <w:rFonts w:ascii="Times New Roman" w:hAnsi="Times New Roman"/>
          <w:sz w:val="20"/>
        </w:rPr>
        <w:tab/>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47">
    <w:p w14:paraId="69F62AAE" w14:textId="77777777" w:rsidR="00387C70" w:rsidRDefault="000F5AA4">
      <w:pPr>
        <w:pStyle w:val="FootnoteText"/>
        <w:spacing w:line="240" w:lineRule="auto"/>
        <w:ind w:left="709" w:hanging="709"/>
      </w:pPr>
      <w:r>
        <w:rPr>
          <w:rStyle w:val="FootnoteReference"/>
        </w:rPr>
        <w:footnoteRef/>
      </w:r>
      <w:r>
        <w:t xml:space="preserve"> </w:t>
      </w:r>
      <w:r>
        <w:tab/>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48">
    <w:p w14:paraId="23D04827" w14:textId="77777777" w:rsidR="00387C70" w:rsidRDefault="000F5AA4">
      <w:pPr>
        <w:pStyle w:val="FootnoteText"/>
      </w:pPr>
      <w:r>
        <w:rPr>
          <w:rStyle w:val="FootnoteReference"/>
        </w:rPr>
        <w:footnoteRef/>
      </w:r>
      <w:r>
        <w:t xml:space="preserve"> </w:t>
      </w:r>
      <w:r>
        <w:tab/>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49">
    <w:p w14:paraId="086CCC13" w14:textId="77777777" w:rsidR="00387C70" w:rsidRDefault="000F5AA4">
      <w:pPr>
        <w:pStyle w:val="FootnoteText"/>
        <w:spacing w:line="240" w:lineRule="auto"/>
      </w:pPr>
      <w:r>
        <w:rPr>
          <w:rStyle w:val="FootnoteReference"/>
        </w:rPr>
        <w:footnoteRef/>
      </w:r>
      <w:r>
        <w:t xml:space="preserve"> </w:t>
      </w:r>
      <w:r>
        <w:tab/>
        <w:t>Ak sa podporovanou činnosťou dosahujú predpokladané emisie skleníkových plynov, ktoré nie sú podstatne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50">
    <w:p w14:paraId="50DDA874" w14:textId="77777777" w:rsidR="00387C70" w:rsidRDefault="000F5AA4">
      <w:pPr>
        <w:spacing w:after="0" w:line="240" w:lineRule="auto"/>
        <w:ind w:left="709" w:hanging="709"/>
        <w:jc w:val="both"/>
        <w:rPr>
          <w:rFonts w:ascii="Times New Roman" w:hAnsi="Times New Roman" w:cs="Times New Roman"/>
        </w:rPr>
      </w:pPr>
      <w:r>
        <w:rPr>
          <w:rStyle w:val="FootnoteReference"/>
          <w:sz w:val="20"/>
        </w:rPr>
        <w:footnoteRef/>
      </w:r>
      <w:r>
        <w:rPr>
          <w:rFonts w:ascii="Times New Roman" w:hAnsi="Times New Roman"/>
          <w:sz w:val="20"/>
        </w:rPr>
        <w:t xml:space="preserve"> </w:t>
      </w:r>
      <w:r>
        <w:rPr>
          <w:rFonts w:ascii="Times New Roman" w:hAnsi="Times New Roman"/>
          <w:sz w:val="20"/>
        </w:rPr>
        <w:tab/>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51">
    <w:p w14:paraId="629442C7" w14:textId="77777777" w:rsidR="00387C70" w:rsidRDefault="000F5AA4">
      <w:pPr>
        <w:pStyle w:val="FootnoteText"/>
        <w:spacing w:line="240" w:lineRule="auto"/>
      </w:pPr>
      <w:r>
        <w:rPr>
          <w:rStyle w:val="FootnoteReference"/>
        </w:rPr>
        <w:footnoteRef/>
      </w:r>
      <w:r>
        <w:t xml:space="preserve"> </w:t>
      </w:r>
      <w:r>
        <w:tab/>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52">
    <w:p w14:paraId="6CD2C7EC" w14:textId="77777777" w:rsidR="00387C70" w:rsidRDefault="000F5AA4">
      <w:pPr>
        <w:pStyle w:val="FootnoteText"/>
        <w:ind w:left="709" w:hanging="709"/>
      </w:pPr>
      <w:r>
        <w:rPr>
          <w:rStyle w:val="FootnoteReference"/>
        </w:rPr>
        <w:footnoteRef/>
      </w:r>
      <w:r>
        <w:t xml:space="preserve"> </w:t>
      </w:r>
      <w:r>
        <w:tab/>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53">
    <w:p w14:paraId="6D4C9DB2" w14:textId="77777777" w:rsidR="00387C70" w:rsidRDefault="000F5AA4">
      <w:pPr>
        <w:pStyle w:val="FootnoteText"/>
        <w:ind w:left="709" w:hanging="709"/>
      </w:pPr>
      <w:r>
        <w:rPr>
          <w:rStyle w:val="FootnoteReference"/>
        </w:rPr>
        <w:footnoteRef/>
      </w:r>
      <w:r>
        <w:t xml:space="preserve"> </w:t>
      </w:r>
      <w:r>
        <w:tab/>
        <w:t>Ak sa podporovanou činnosťou dosahujú predpokladané emisie skleníkových plynov, ktoré nie sú podstatne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54">
    <w:p w14:paraId="2F4AA456" w14:textId="77777777" w:rsidR="00387C70" w:rsidRDefault="000F5AA4">
      <w:pPr>
        <w:pStyle w:val="FootnoteText"/>
        <w:ind w:left="709" w:hanging="709"/>
      </w:pPr>
      <w:r>
        <w:rPr>
          <w:rStyle w:val="FootnoteReference"/>
        </w:rPr>
        <w:footnoteRef/>
      </w:r>
      <w:r>
        <w:t xml:space="preserve"> </w:t>
      </w:r>
      <w:r>
        <w:tab/>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55">
    <w:p w14:paraId="5D8F35A8" w14:textId="77777777" w:rsidR="00387C70" w:rsidRDefault="000F5AA4">
      <w:pPr>
        <w:pStyle w:val="FootnoteText"/>
        <w:ind w:left="709" w:hanging="709"/>
      </w:pPr>
      <w:r>
        <w:rPr>
          <w:rStyle w:val="FootnoteReference"/>
        </w:rPr>
        <w:footnoteRef/>
      </w:r>
      <w:r>
        <w:t xml:space="preserve"> </w:t>
      </w:r>
      <w:r>
        <w:tab/>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56">
    <w:p w14:paraId="5A0A53A2" w14:textId="77777777" w:rsidR="00387C70" w:rsidRDefault="000F5AA4">
      <w:pPr>
        <w:pStyle w:val="FootnoteText"/>
        <w:ind w:left="709" w:hanging="709"/>
      </w:pPr>
      <w:r>
        <w:rPr>
          <w:rStyle w:val="FootnoteReference"/>
        </w:rPr>
        <w:footnoteRef/>
      </w:r>
      <w:r>
        <w:t xml:space="preserve"> </w:t>
      </w:r>
      <w:r>
        <w:tab/>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57">
    <w:p w14:paraId="59375361" w14:textId="77777777" w:rsidR="00387C70" w:rsidRDefault="000F5AA4">
      <w:pPr>
        <w:pStyle w:val="FootnoteText"/>
        <w:ind w:left="709" w:hanging="709"/>
      </w:pPr>
      <w:r>
        <w:rPr>
          <w:rStyle w:val="FootnoteReference"/>
        </w:rPr>
        <w:footnoteRef/>
      </w:r>
      <w:r>
        <w:t xml:space="preserve"> </w:t>
      </w:r>
      <w:r>
        <w:tab/>
        <w:t>Ak sa podporovanou činnosťou dosahujú predpokladané emisie skleníkových plynov, ktoré nie sú podstatne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58">
    <w:p w14:paraId="3A868ECC" w14:textId="77777777" w:rsidR="00387C70" w:rsidRDefault="000F5AA4">
      <w:pPr>
        <w:pStyle w:val="FootnoteText"/>
        <w:ind w:left="709" w:hanging="709"/>
      </w:pPr>
      <w:r>
        <w:rPr>
          <w:rStyle w:val="FootnoteReference"/>
        </w:rPr>
        <w:footnoteRef/>
      </w:r>
      <w:r>
        <w:t xml:space="preserve"> </w:t>
      </w:r>
      <w:r>
        <w:tab/>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59">
    <w:p w14:paraId="57210ACA" w14:textId="77777777" w:rsidR="00387C70" w:rsidRDefault="000F5AA4">
      <w:pPr>
        <w:pStyle w:val="FootnoteText"/>
        <w:ind w:left="709" w:hanging="709"/>
      </w:pPr>
      <w:r>
        <w:rPr>
          <w:rStyle w:val="FootnoteReference"/>
        </w:rPr>
        <w:footnoteRef/>
      </w:r>
      <w:r>
        <w:t xml:space="preserve"> </w:t>
      </w:r>
      <w:r>
        <w:tab/>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60">
    <w:p w14:paraId="29A7C9B1" w14:textId="77777777" w:rsidR="00387C70" w:rsidRDefault="000F5AA4">
      <w:pPr>
        <w:pStyle w:val="FootnoteText"/>
        <w:ind w:left="709" w:hanging="709"/>
      </w:pPr>
      <w:r>
        <w:rPr>
          <w:rStyle w:val="FootnoteReference"/>
        </w:rPr>
        <w:footnoteRef/>
      </w:r>
      <w:r>
        <w:t xml:space="preserve"> </w:t>
      </w:r>
      <w:r>
        <w:tab/>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61">
    <w:p w14:paraId="24F14AC4" w14:textId="77777777" w:rsidR="00387C70" w:rsidRDefault="000F5AA4">
      <w:pPr>
        <w:pStyle w:val="FootnoteText"/>
        <w:ind w:left="709" w:hanging="709"/>
      </w:pPr>
      <w:r>
        <w:rPr>
          <w:rStyle w:val="FootnoteReference"/>
        </w:rPr>
        <w:footnoteRef/>
      </w:r>
      <w:r>
        <w:t xml:space="preserve"> </w:t>
      </w:r>
      <w:r>
        <w:tab/>
        <w:t>Ak sa podporovanou činnosťou dosahujú predpokladané emisie skleníkových plynov, ktoré nie sú podstatne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62">
    <w:p w14:paraId="57CE1546" w14:textId="77777777" w:rsidR="00387C70" w:rsidRDefault="000F5AA4">
      <w:pPr>
        <w:pStyle w:val="FootnoteText"/>
        <w:ind w:left="709" w:hanging="709"/>
      </w:pPr>
      <w:r>
        <w:rPr>
          <w:rStyle w:val="FootnoteReference"/>
        </w:rPr>
        <w:footnoteRef/>
      </w:r>
      <w:r>
        <w:t xml:space="preserve"> </w:t>
      </w:r>
      <w:r>
        <w:tab/>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63">
    <w:p w14:paraId="1812F0A1" w14:textId="77777777" w:rsidR="00387C70" w:rsidRDefault="000F5AA4">
      <w:pPr>
        <w:pStyle w:val="FootnoteText"/>
        <w:ind w:left="709" w:hanging="709"/>
      </w:pPr>
      <w:r>
        <w:rPr>
          <w:rStyle w:val="FootnoteReference"/>
        </w:rPr>
        <w:footnoteRef/>
      </w:r>
      <w:r>
        <w:t xml:space="preserve"> </w:t>
      </w:r>
      <w:r>
        <w:tab/>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64">
    <w:p w14:paraId="3705F09F" w14:textId="77777777" w:rsidR="00387C70" w:rsidRDefault="000F5AA4">
      <w:pPr>
        <w:pStyle w:val="FootnoteText"/>
      </w:pPr>
      <w:r>
        <w:rPr>
          <w:rStyle w:val="FootnoteReference"/>
        </w:rPr>
        <w:footnoteRef/>
      </w:r>
      <w:r>
        <w:t xml:space="preserve"> </w:t>
      </w:r>
      <w:r>
        <w:tab/>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65">
    <w:p w14:paraId="79ECCF36" w14:textId="77777777" w:rsidR="00387C70" w:rsidRDefault="000F5AA4">
      <w:pPr>
        <w:pStyle w:val="FootnoteText"/>
      </w:pPr>
      <w:r>
        <w:rPr>
          <w:rStyle w:val="FootnoteReference"/>
        </w:rPr>
        <w:footnoteRef/>
      </w:r>
      <w:r>
        <w:t xml:space="preserve"> </w:t>
      </w:r>
      <w:r>
        <w:tab/>
        <w:t>Ak sa podporovanou činnosťou dosahujú predpokladané emisie skleníkových plynov, ktoré nie sú podstatne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66">
    <w:p w14:paraId="0CD64774" w14:textId="77777777" w:rsidR="00387C70" w:rsidRDefault="000F5AA4">
      <w:pPr>
        <w:pStyle w:val="FootnoteText"/>
      </w:pPr>
      <w:r>
        <w:rPr>
          <w:rStyle w:val="FootnoteReference"/>
        </w:rPr>
        <w:footnoteRef/>
      </w:r>
      <w:r>
        <w:t xml:space="preserve"> </w:t>
      </w:r>
      <w:r>
        <w:tab/>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67">
    <w:p w14:paraId="137FD1EF" w14:textId="77777777" w:rsidR="00387C70" w:rsidRDefault="000F5AA4">
      <w:pPr>
        <w:pStyle w:val="FootnoteText"/>
      </w:pPr>
      <w:r>
        <w:rPr>
          <w:rStyle w:val="FootnoteReference"/>
        </w:rPr>
        <w:footnoteRef/>
      </w:r>
      <w:r>
        <w:t xml:space="preserve"> </w:t>
      </w:r>
      <w:r>
        <w:tab/>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68">
    <w:p w14:paraId="405D3F43" w14:textId="77777777" w:rsidR="00387C70" w:rsidRDefault="000F5AA4">
      <w:pPr>
        <w:pStyle w:val="FootnoteText"/>
      </w:pPr>
      <w:r>
        <w:rPr>
          <w:rStyle w:val="FootnoteReference"/>
        </w:rPr>
        <w:footnoteRef/>
      </w:r>
      <w:r>
        <w:t xml:space="preserve"> </w:t>
      </w:r>
      <w:r>
        <w:tab/>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69">
    <w:p w14:paraId="5450CE25" w14:textId="77777777" w:rsidR="00387C70" w:rsidRDefault="000F5AA4">
      <w:pPr>
        <w:pStyle w:val="FootnoteText"/>
      </w:pPr>
      <w:r>
        <w:rPr>
          <w:rStyle w:val="FootnoteReference"/>
        </w:rPr>
        <w:footnoteRef/>
      </w:r>
      <w:r>
        <w:t xml:space="preserve"> </w:t>
      </w:r>
      <w:r>
        <w:tab/>
        <w:t>Ak sa podporovanou činnosťou dosahujú predpokladané emisie skleníkových plynov, ktoré nie sú podstatne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70">
    <w:p w14:paraId="3B01555B" w14:textId="77777777" w:rsidR="00387C70" w:rsidRDefault="000F5AA4">
      <w:pPr>
        <w:pStyle w:val="FootnoteText"/>
      </w:pPr>
      <w:r>
        <w:rPr>
          <w:rStyle w:val="FootnoteReference"/>
        </w:rPr>
        <w:footnoteRef/>
      </w:r>
      <w:r>
        <w:t xml:space="preserve"> </w:t>
      </w:r>
      <w:r>
        <w:tab/>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71">
    <w:p w14:paraId="3D345DD3" w14:textId="77777777" w:rsidR="00387C70" w:rsidRDefault="000F5AA4">
      <w:pPr>
        <w:pStyle w:val="FootnoteText"/>
      </w:pPr>
      <w:r>
        <w:rPr>
          <w:rStyle w:val="FootnoteReference"/>
        </w:rPr>
        <w:footnoteRef/>
      </w:r>
      <w:r>
        <w:t xml:space="preserve"> </w:t>
      </w:r>
      <w:r>
        <w:tab/>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72">
    <w:p w14:paraId="1D00325C" w14:textId="77777777" w:rsidR="00387C70" w:rsidRDefault="000F5AA4">
      <w:pPr>
        <w:pStyle w:val="FootnoteText"/>
      </w:pPr>
      <w:r>
        <w:rPr>
          <w:rStyle w:val="FootnoteReference"/>
        </w:rPr>
        <w:footnoteRef/>
      </w:r>
      <w:r>
        <w:t xml:space="preserve"> </w:t>
      </w:r>
      <w:r>
        <w:tab/>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w:t>
      </w:r>
    </w:p>
  </w:footnote>
  <w:footnote w:id="73">
    <w:p w14:paraId="2B98AA92" w14:textId="77777777" w:rsidR="00387C70" w:rsidRDefault="000F5AA4">
      <w:pPr>
        <w:pStyle w:val="FootnoteText"/>
      </w:pPr>
      <w:r>
        <w:rPr>
          <w:rStyle w:val="FootnoteReference"/>
        </w:rPr>
        <w:footnoteRef/>
      </w:r>
      <w:r>
        <w:t xml:space="preserve"> </w:t>
      </w:r>
      <w:r>
        <w:tab/>
        <w:t>Ak sa podporovanou činnosťou dosahujú predpokladané emisie skleníkových plynov, ktoré nie sú podstatne nižšie ako príslušné referenčné hodnoty, malo by sa poskytnúť vysvetlenie dôvodov, prečo to nie je možné. Referenčné úrovne stanovené pre bezodplatné prideľovanie emisných kvót v prípade činností, ktoré patria do rozsahu pôsobnosti systému EÚ na obchodovanie s emisiami, ako sa uvádza vo vykonávacom nariadení Komisie (EÚ) 2021/447.</w:t>
      </w:r>
    </w:p>
  </w:footnote>
  <w:footnote w:id="74">
    <w:p w14:paraId="1AD470E4" w14:textId="77777777" w:rsidR="00387C70" w:rsidRDefault="000F5AA4">
      <w:pPr>
        <w:pStyle w:val="FootnoteText"/>
      </w:pPr>
      <w:r>
        <w:rPr>
          <w:rStyle w:val="FootnoteReference"/>
        </w:rPr>
        <w:footnoteRef/>
      </w:r>
      <w:r>
        <w:t xml:space="preserve"> </w:t>
      </w:r>
      <w:r>
        <w:tab/>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w:t>
      </w:r>
    </w:p>
  </w:footnote>
  <w:footnote w:id="75">
    <w:p w14:paraId="62FBAA1A" w14:textId="77777777" w:rsidR="00387C70" w:rsidRDefault="000F5AA4">
      <w:pPr>
        <w:pStyle w:val="FootnoteText"/>
      </w:pPr>
      <w:r>
        <w:rPr>
          <w:rStyle w:val="FootnoteReference"/>
        </w:rPr>
        <w:footnoteRef/>
      </w:r>
      <w:r>
        <w:t xml:space="preserve"> </w:t>
      </w:r>
      <w:r>
        <w:tab/>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w:t>
      </w:r>
    </w:p>
  </w:footnote>
  <w:footnote w:id="76">
    <w:p w14:paraId="7ECA6AE2" w14:textId="7D418F38" w:rsidR="00387C70" w:rsidRPr="008E475E" w:rsidRDefault="000F5AA4">
      <w:pPr>
        <w:pStyle w:val="FootnoteText"/>
        <w:rPr>
          <w:spacing w:val="-4"/>
        </w:rPr>
      </w:pPr>
      <w:r>
        <w:rPr>
          <w:rStyle w:val="FootnoteReference"/>
        </w:rPr>
        <w:footnoteRef/>
      </w:r>
      <w:r>
        <w:t xml:space="preserve"> </w:t>
      </w:r>
      <w:r w:rsidR="008E475E">
        <w:tab/>
      </w:r>
      <w:r w:rsidRPr="008E475E">
        <w:rPr>
          <w:spacing w:val="-4"/>
        </w:rPr>
        <w:t xml:space="preserve">Pojem daňová výhoda je definovaný v článku 2 </w:t>
      </w:r>
      <w:r w:rsidRPr="008E475E">
        <w:rPr>
          <w:i/>
          <w:spacing w:val="-4"/>
        </w:rPr>
        <w:t xml:space="preserve">Estatuto dos Benefícios Fiscais </w:t>
      </w:r>
      <w:r w:rsidRPr="008E475E">
        <w:rPr>
          <w:spacing w:val="-4"/>
        </w:rPr>
        <w:t>(príloha zákonného dekrétu č. 215/1989 z 1. júla 1989). Daňové výdavky sú definované ako vplyv na rozpočet vyplývajúci z daňových výhod.</w:t>
      </w:r>
    </w:p>
  </w:footnote>
  <w:footnote w:id="77">
    <w:p w14:paraId="29A60DEE" w14:textId="77777777" w:rsidR="00387C70" w:rsidRDefault="000F5AA4">
      <w:pPr>
        <w:pStyle w:val="FootnoteText"/>
        <w:ind w:left="709" w:hanging="709"/>
      </w:pPr>
      <w:r>
        <w:rPr>
          <w:rStyle w:val="FootnoteReference"/>
        </w:rPr>
        <w:footnoteRef/>
      </w:r>
      <w:r>
        <w:t xml:space="preserve"> </w:t>
      </w:r>
      <w:r>
        <w:tab/>
        <w:t>Miestnosti zriadené tak, aby ovplyvnili zmyslový systém na varovanie alebo pokoj</w:t>
      </w:r>
    </w:p>
  </w:footnote>
  <w:footnote w:id="78">
    <w:p w14:paraId="4E79D273" w14:textId="0B5814D6" w:rsidR="00387C70" w:rsidRDefault="000F5AA4">
      <w:pPr>
        <w:pStyle w:val="FootnoteText"/>
      </w:pPr>
      <w:r>
        <w:rPr>
          <w:rStyle w:val="FootnoteReference"/>
        </w:rPr>
        <w:footnoteRef/>
      </w:r>
      <w:r>
        <w:t xml:space="preserve"> </w:t>
      </w:r>
      <w:r w:rsidR="008E475E">
        <w:tab/>
      </w:r>
      <w:r>
        <w:t>S výnimkou projektov v rámci tohto opatrenia v oblasti výroby elektrickej energie a/alebo tepla, ako aj súvisiacej prenosovej a distribučnej infraštruktúry využívajúcej zemný plyn, ktoré sú v súlade s podmienkami stanovenými v prílohe III k technickému usmerneniu „výrazne nenarušiť“ (2021/C58/01). </w:t>
      </w:r>
    </w:p>
  </w:footnote>
  <w:footnote w:id="79">
    <w:p w14:paraId="328B7220" w14:textId="4D241DB6" w:rsidR="00387C70" w:rsidRDefault="000F5AA4">
      <w:pPr>
        <w:pStyle w:val="FootnoteText"/>
      </w:pPr>
      <w:r>
        <w:rPr>
          <w:rStyle w:val="FootnoteReference"/>
        </w:rPr>
        <w:footnoteRef/>
      </w:r>
      <w:r>
        <w:t xml:space="preserve"> </w:t>
      </w:r>
      <w:r w:rsidR="008E475E">
        <w:tab/>
      </w:r>
      <w:r>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 </w:t>
      </w:r>
    </w:p>
  </w:footnote>
  <w:footnote w:id="80">
    <w:p w14:paraId="2AA60221" w14:textId="7D94A7A4" w:rsidR="00387C70" w:rsidRPr="008E475E" w:rsidRDefault="000F5AA4">
      <w:pPr>
        <w:pStyle w:val="FootnoteText"/>
        <w:rPr>
          <w:spacing w:val="-8"/>
        </w:rPr>
      </w:pPr>
      <w:r>
        <w:rPr>
          <w:rStyle w:val="FootnoteReference"/>
        </w:rPr>
        <w:footnoteRef/>
      </w:r>
      <w:r>
        <w:t xml:space="preserve"> </w:t>
      </w:r>
      <w:r w:rsidR="008E475E">
        <w:tab/>
      </w:r>
      <w:r w:rsidRPr="008E475E">
        <w:rPr>
          <w:spacing w:val="-8"/>
        </w:rPr>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 </w:t>
      </w:r>
    </w:p>
  </w:footnote>
  <w:footnote w:id="81">
    <w:p w14:paraId="4213660C" w14:textId="4AF042E7" w:rsidR="00387C70" w:rsidRPr="008E475E" w:rsidRDefault="000F5AA4">
      <w:pPr>
        <w:pStyle w:val="FootnoteText"/>
        <w:rPr>
          <w:spacing w:val="-10"/>
        </w:rPr>
      </w:pPr>
      <w:r w:rsidRPr="008E475E">
        <w:rPr>
          <w:rStyle w:val="FootnoteReference"/>
          <w:spacing w:val="-8"/>
        </w:rPr>
        <w:footnoteRef/>
      </w:r>
      <w:r w:rsidRPr="008E475E">
        <w:rPr>
          <w:spacing w:val="-8"/>
        </w:rPr>
        <w:t xml:space="preserve"> </w:t>
      </w:r>
      <w:r w:rsidR="008E475E" w:rsidRPr="008E475E">
        <w:rPr>
          <w:spacing w:val="-8"/>
        </w:rPr>
        <w:tab/>
      </w:r>
      <w:r w:rsidRPr="008E475E">
        <w:rPr>
          <w:spacing w:val="-10"/>
        </w:rPr>
        <w:t>Toto vylúčenie sa nevzťahuje na činnosti v rámci tohto opatrenia v zariadeniach určených výlučne na spracovanie nerecyklovateľného nebezpečného odpadu a na existujúce zariadenia, ak sú opatrenia v rámci tohto opatrenia zamerané na zvýšenie energetickej účinnosti, zachytávanie výfukových plynov na skladovanie alebo používanie alebo zhodnocovanie materiálov zo spaľovania za predpokladu, že takéto opatrenia v rámci tohto opatrenia nevedú k zvýšeniu kapacity zariadení na spracovanie odpadu alebo k predĺženiu životnosti zariadení; v prípade ktorých sa dôkazy poskytujú na úrovni zariadenia. </w:t>
      </w:r>
    </w:p>
  </w:footnote>
  <w:footnote w:id="82">
    <w:p w14:paraId="7D3EBBC3" w14:textId="7E43695D" w:rsidR="00387C70" w:rsidRPr="008E475E" w:rsidRDefault="000F5AA4">
      <w:pPr>
        <w:pStyle w:val="FootnoteText"/>
        <w:rPr>
          <w:spacing w:val="-8"/>
        </w:rPr>
      </w:pPr>
      <w:r w:rsidRPr="008E475E">
        <w:rPr>
          <w:rStyle w:val="FootnoteReference"/>
          <w:spacing w:val="-8"/>
        </w:rPr>
        <w:footnoteRef/>
      </w:r>
      <w:r w:rsidRPr="008E475E">
        <w:rPr>
          <w:spacing w:val="-8"/>
        </w:rPr>
        <w:t xml:space="preserve"> </w:t>
      </w:r>
      <w:r w:rsidR="008E475E" w:rsidRPr="008E475E">
        <w:rPr>
          <w:spacing w:val="-8"/>
        </w:rPr>
        <w:tab/>
      </w:r>
      <w:r w:rsidRPr="008E475E">
        <w:rPr>
          <w:spacing w:val="-8"/>
        </w:rPr>
        <w:t>Toto vylúčenie sa nevzťahuje na činnosti v rámci tohto opatrenia v existujúcich zariadeniach na mechanickú biologickú úpravu, ak sú činnosti v rámci tohto opatrenia zamerané na zvýšenie energetickej účinnosti alebo modernizáciu činností recyklácie triedeného odpadu na kompostovanie biologického odpadu a anaeróbnu digesciu biologického odpadu za predpokladu, že takéto opatrenia v rámci tohto opatrenia nevedú k zvýšeniu kapacity zariadení na spracovanie odpadu alebo k predĺženiu životnosti zariadení; v prípade ktorých sa dôkazy poskytujú na úrovni zariadenia.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35EEC" w14:textId="77777777" w:rsidR="00485811" w:rsidRPr="00485811" w:rsidRDefault="00485811" w:rsidP="0048581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852C9" w14:textId="77777777" w:rsidR="00C32C63" w:rsidRDefault="00C32C63">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56A1E" w14:textId="77777777" w:rsidR="00387C70" w:rsidRDefault="00387C70">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EF3E1" w14:textId="77777777" w:rsidR="00387C70" w:rsidRDefault="00387C70">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4980" w14:textId="77777777" w:rsidR="00387C70" w:rsidRDefault="00387C70">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0770D" w14:textId="77777777" w:rsidR="00387C70" w:rsidRDefault="00387C70">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E5FE9" w14:textId="77777777" w:rsidR="00387C70" w:rsidRDefault="00387C70">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124B8" w14:textId="77777777" w:rsidR="00387C70" w:rsidRDefault="00387C70">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A13E6" w14:textId="77777777" w:rsidR="00387C70" w:rsidRDefault="00387C70">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BA8AC" w14:textId="77777777" w:rsidR="00387C70" w:rsidRDefault="00387C70">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232E" w14:textId="77777777" w:rsidR="00387C70" w:rsidRDefault="00387C70">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90F5A" w14:textId="77777777" w:rsidR="00387C70" w:rsidRDefault="00387C7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61871" w14:textId="77777777" w:rsidR="00C32C63" w:rsidRDefault="00C32C63">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A8A13" w14:textId="77777777" w:rsidR="00387C70" w:rsidRDefault="00387C70">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AC2F1" w14:textId="77777777" w:rsidR="00387C70" w:rsidRDefault="00387C70">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6DF1B" w14:textId="77777777" w:rsidR="00387C70" w:rsidRDefault="00387C70">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82C45" w14:textId="77777777" w:rsidR="00387C70" w:rsidRDefault="00387C70">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02C8D" w14:textId="77777777" w:rsidR="00387C70" w:rsidRDefault="00387C70">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B982" w14:textId="77777777" w:rsidR="00387C70" w:rsidRDefault="00387C70">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E9295" w14:textId="77777777" w:rsidR="00387C70" w:rsidRDefault="00387C70">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D0039" w14:textId="77777777" w:rsidR="00387C70" w:rsidRDefault="00387C70">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EED21" w14:textId="77777777" w:rsidR="00387C70" w:rsidRDefault="00387C70">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77854" w14:textId="77777777" w:rsidR="00387C70" w:rsidRDefault="00387C7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2DFFE" w14:textId="77777777" w:rsidR="00C32C63" w:rsidRDefault="00C32C63">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008FE" w14:textId="77777777" w:rsidR="00387C70" w:rsidRDefault="00387C70">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8F815" w14:textId="77777777" w:rsidR="00387C70" w:rsidRDefault="00387C70">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24230" w14:textId="77777777" w:rsidR="00387C70" w:rsidRDefault="00387C70">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2D6CB" w14:textId="77777777" w:rsidR="00387C70" w:rsidRDefault="00387C70">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A4D6A" w14:textId="77777777" w:rsidR="00387C70" w:rsidRDefault="00387C70">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53F1B" w14:textId="77777777" w:rsidR="00387C70" w:rsidRDefault="00387C70">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C9215" w14:textId="77777777" w:rsidR="00387C70" w:rsidRDefault="00387C70">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7C4D0" w14:textId="77777777" w:rsidR="00387C70" w:rsidRDefault="00387C70">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ADB31" w14:textId="77777777" w:rsidR="00387C70" w:rsidRDefault="00387C70">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5D58F" w14:textId="77777777" w:rsidR="00387C70" w:rsidRDefault="00387C7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F8DEE" w14:textId="77777777" w:rsidR="00387C70" w:rsidRDefault="00387C70">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B862C" w14:textId="77777777" w:rsidR="00387C70" w:rsidRDefault="00387C70">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70E8A" w14:textId="77777777" w:rsidR="00387C70" w:rsidRDefault="00387C70">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D0F1E" w14:textId="77777777" w:rsidR="00387C70" w:rsidRDefault="00387C70">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236E8" w14:textId="77777777" w:rsidR="00387C70" w:rsidRDefault="00387C70">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FD6FE" w14:textId="77777777" w:rsidR="00387C70" w:rsidRDefault="00387C70">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5F8BF" w14:textId="77777777" w:rsidR="00387C70" w:rsidRDefault="00387C70">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D5682" w14:textId="77777777" w:rsidR="00387C70" w:rsidRDefault="00387C70">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3EF45" w14:textId="77777777" w:rsidR="00387C70" w:rsidRDefault="00387C70">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32283" w14:textId="77777777" w:rsidR="00387C70" w:rsidRDefault="00387C70">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2AFD4" w14:textId="77777777" w:rsidR="00387C70" w:rsidRDefault="00387C7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EF86B" w14:textId="77777777" w:rsidR="00387C70" w:rsidRDefault="00387C70">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58B30" w14:textId="77777777" w:rsidR="00387C70" w:rsidRDefault="00387C70">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0F833" w14:textId="77777777" w:rsidR="00387C70" w:rsidRDefault="00387C70">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0421B" w14:textId="77777777" w:rsidR="00387C70" w:rsidRDefault="00387C70">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E132F" w14:textId="77777777" w:rsidR="00387C70" w:rsidRDefault="00387C70">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73FC9" w14:textId="77777777" w:rsidR="00387C70" w:rsidRDefault="00387C70">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0AC6D" w14:textId="77777777" w:rsidR="00387C70" w:rsidRDefault="00387C70">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D58A8" w14:textId="77777777" w:rsidR="00387C70" w:rsidRDefault="00387C70">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450E" w14:textId="77777777" w:rsidR="00387C70" w:rsidRDefault="00387C70">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EDBE5" w14:textId="77777777" w:rsidR="00387C70" w:rsidRDefault="00387C70">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9A42D" w14:textId="77777777" w:rsidR="00387C70" w:rsidRDefault="00387C7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61AA0" w14:textId="77777777" w:rsidR="00387C70" w:rsidRDefault="00387C70">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1B720" w14:textId="77777777" w:rsidR="00387C70" w:rsidRDefault="00387C70">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CA31D" w14:textId="77777777" w:rsidR="00387C70" w:rsidRDefault="00387C70">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9CB87" w14:textId="77777777" w:rsidR="00387C70" w:rsidRDefault="00387C70">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8866D" w14:textId="77777777" w:rsidR="00387C70" w:rsidRDefault="00387C70">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770DF" w14:textId="77777777" w:rsidR="00387C70" w:rsidRDefault="00387C70">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EB748" w14:textId="77777777" w:rsidR="00387C70" w:rsidRDefault="00387C70">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844AE" w14:textId="77777777" w:rsidR="00387C70" w:rsidRDefault="00387C70">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D5A93" w14:textId="77777777" w:rsidR="00387C70" w:rsidRDefault="00387C70">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66726" w14:textId="77777777" w:rsidR="00387C70" w:rsidRDefault="00387C70">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0B7DF" w14:textId="77777777" w:rsidR="00387C70" w:rsidRDefault="00387C7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4CA62" w14:textId="77777777" w:rsidR="00387C70" w:rsidRDefault="00387C70">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CD57C" w14:textId="77777777" w:rsidR="00387C70" w:rsidRDefault="00387C70">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12D3D" w14:textId="77777777" w:rsidR="00387C70" w:rsidRDefault="00387C70">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6A90E" w14:textId="77777777" w:rsidR="00387C70" w:rsidRDefault="00387C70">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AD0B8" w14:textId="77777777" w:rsidR="00387C70" w:rsidRDefault="00387C70">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6D044" w14:textId="77777777" w:rsidR="00387C70" w:rsidRDefault="00387C70">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F8225" w14:textId="77777777" w:rsidR="00387C70" w:rsidRDefault="00387C70">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4A6BA" w14:textId="77777777" w:rsidR="00387C70" w:rsidRDefault="00387C70">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E298E" w14:textId="77777777" w:rsidR="00387C70" w:rsidRDefault="00387C70">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36781" w14:textId="77777777" w:rsidR="00387C70" w:rsidRDefault="00387C70">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95563" w14:textId="77777777" w:rsidR="00387C70" w:rsidRDefault="00387C7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6D2EF" w14:textId="77777777" w:rsidR="00387C70" w:rsidRDefault="00387C70">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4F637" w14:textId="77777777" w:rsidR="00387C70" w:rsidRDefault="00387C70">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E250D" w14:textId="77777777" w:rsidR="00387C70" w:rsidRDefault="00387C70">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B7438" w14:textId="77777777" w:rsidR="00387C70" w:rsidRDefault="00387C70">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4B3CA" w14:textId="77777777" w:rsidR="00387C70" w:rsidRDefault="00387C70">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2D82A" w14:textId="77777777" w:rsidR="00387C70" w:rsidRDefault="00387C70">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9B922" w14:textId="77777777" w:rsidR="00387C70" w:rsidRDefault="00387C70">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881FE" w14:textId="77777777" w:rsidR="00387C70" w:rsidRDefault="00387C70">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E2D1C" w14:textId="77777777" w:rsidR="00387C70" w:rsidRDefault="00387C70">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639A6" w14:textId="77777777" w:rsidR="00387C70" w:rsidRDefault="00387C70">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6FEBF" w14:textId="77777777" w:rsidR="00387C70" w:rsidRDefault="00387C7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AA26F" w14:textId="77777777" w:rsidR="00387C70" w:rsidRDefault="00387C70">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47B59" w14:textId="77777777" w:rsidR="00387C70" w:rsidRDefault="00387C70">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5728E" w14:textId="77777777" w:rsidR="00387C70" w:rsidRDefault="00387C70">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F0B2F" w14:textId="77777777" w:rsidR="00387C70" w:rsidRDefault="00387C70">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F09A8" w14:textId="77777777" w:rsidR="00387C70" w:rsidRDefault="00387C70">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407A1" w14:textId="77777777" w:rsidR="00387C70" w:rsidRDefault="00387C70">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DECA3" w14:textId="77777777" w:rsidR="00387C70" w:rsidRDefault="00387C70">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8DB52" w14:textId="77777777" w:rsidR="00387C70" w:rsidRDefault="00387C70">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605A9" w14:textId="77777777" w:rsidR="00387C70" w:rsidRDefault="00387C70">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F2904" w14:textId="77777777" w:rsidR="00387C70" w:rsidRDefault="00387C70">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F033E" w14:textId="77777777" w:rsidR="00387C70" w:rsidRDefault="00387C7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C7702" w14:textId="77777777" w:rsidR="00C32C63" w:rsidRDefault="00C32C63">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E54BC" w14:textId="77777777" w:rsidR="00387C70" w:rsidRDefault="00387C70">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019F9" w14:textId="77777777" w:rsidR="00387C70" w:rsidRDefault="00387C70">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543F7" w14:textId="77777777" w:rsidR="00387C70" w:rsidRDefault="00387C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393A6" w14:textId="77777777" w:rsidR="00485811" w:rsidRPr="00485811" w:rsidRDefault="00485811" w:rsidP="00485811">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C2DB3" w14:textId="77777777" w:rsidR="00C32C63" w:rsidRDefault="00C32C6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18CC0" w14:textId="77777777" w:rsidR="00C32C63" w:rsidRDefault="00C32C6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FDDDB" w14:textId="77777777" w:rsidR="00387C70" w:rsidRDefault="00387C7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4777" w14:textId="77777777" w:rsidR="00387C70" w:rsidRDefault="00387C7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936C8" w14:textId="77777777" w:rsidR="00387C70" w:rsidRDefault="00387C7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67C6F" w14:textId="77777777" w:rsidR="00387C70" w:rsidRDefault="00387C7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73D9F" w14:textId="77777777" w:rsidR="00387C70" w:rsidRDefault="00387C7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C0942" w14:textId="77777777" w:rsidR="00387C70" w:rsidRDefault="00387C7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AF32A" w14:textId="77777777" w:rsidR="00387C70" w:rsidRDefault="00387C7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CA12F" w14:textId="77777777" w:rsidR="00387C70" w:rsidRDefault="00387C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83D61" w14:textId="77777777" w:rsidR="00485811" w:rsidRPr="00485811" w:rsidRDefault="00485811" w:rsidP="00485811">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782F4" w14:textId="77777777" w:rsidR="00387C70" w:rsidRDefault="00387C7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E224F" w14:textId="77777777" w:rsidR="00387C70" w:rsidRDefault="00387C7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F77E7" w14:textId="77777777" w:rsidR="00387C70" w:rsidRDefault="00387C7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F9350" w14:textId="77777777" w:rsidR="00387C70" w:rsidRDefault="00387C7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2D4E8" w14:textId="77777777" w:rsidR="00387C70" w:rsidRDefault="00387C7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08F10" w14:textId="77777777" w:rsidR="00387C70" w:rsidRDefault="00387C7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DDB30" w14:textId="77777777" w:rsidR="00387C70" w:rsidRDefault="00387C7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793A6" w14:textId="77777777" w:rsidR="00387C70" w:rsidRDefault="00387C7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3CF74" w14:textId="77777777" w:rsidR="00387C70" w:rsidRDefault="00387C7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9F793" w14:textId="77777777" w:rsidR="00387C70" w:rsidRDefault="00387C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54584" w14:textId="77777777" w:rsidR="00387C70" w:rsidRDefault="00387C7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3B4EF" w14:textId="77777777" w:rsidR="00387C70" w:rsidRDefault="00387C7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8D9AC" w14:textId="77777777" w:rsidR="00387C70" w:rsidRDefault="00387C7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D491" w14:textId="77777777" w:rsidR="00387C70" w:rsidRDefault="00387C7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07821" w14:textId="77777777" w:rsidR="00387C70" w:rsidRDefault="00387C70">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1EAE9" w14:textId="77777777" w:rsidR="00387C70" w:rsidRDefault="00387C7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CA868" w14:textId="77777777" w:rsidR="00387C70" w:rsidRDefault="00387C7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FD584" w14:textId="77777777" w:rsidR="00387C70" w:rsidRDefault="00387C7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0F77A" w14:textId="77777777" w:rsidR="00387C70" w:rsidRDefault="00387C70">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EAC8F" w14:textId="77777777" w:rsidR="00387C70" w:rsidRDefault="00387C7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C29F0" w14:textId="77777777" w:rsidR="00387C70" w:rsidRDefault="00387C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4A92B" w14:textId="77777777" w:rsidR="00387C70" w:rsidRDefault="00387C7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B42A0" w14:textId="77777777" w:rsidR="00387C70" w:rsidRDefault="00387C7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BD0269" w14:textId="77777777" w:rsidR="00387C70" w:rsidRDefault="00387C7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C71B2" w14:textId="77777777" w:rsidR="00387C70" w:rsidRDefault="00387C7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079D1" w14:textId="77777777" w:rsidR="00387C70" w:rsidRDefault="00387C7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8858B" w14:textId="77777777" w:rsidR="00387C70" w:rsidRDefault="00387C70">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7A12D" w14:textId="77777777" w:rsidR="00387C70" w:rsidRDefault="00387C70">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30596" w14:textId="77777777" w:rsidR="00387C70" w:rsidRDefault="00387C70">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DB726" w14:textId="77777777" w:rsidR="00387C70" w:rsidRDefault="00387C7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507AE" w14:textId="77777777" w:rsidR="00387C70" w:rsidRDefault="00387C70">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74CE1" w14:textId="77777777" w:rsidR="00387C70" w:rsidRDefault="00387C7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6762D" w14:textId="77777777" w:rsidR="00387C70" w:rsidRDefault="00387C70">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9A0CB" w14:textId="77777777" w:rsidR="00387C70" w:rsidRDefault="00387C70">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F58FF" w14:textId="77777777" w:rsidR="00387C70" w:rsidRDefault="00387C70">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FA092" w14:textId="77777777" w:rsidR="00387C70" w:rsidRDefault="00387C70">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1847C" w14:textId="77777777" w:rsidR="00387C70" w:rsidRDefault="00387C70">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ED52B" w14:textId="77777777" w:rsidR="00387C70" w:rsidRDefault="00387C70">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905E5" w14:textId="77777777" w:rsidR="00387C70" w:rsidRDefault="00387C70">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E32A9" w14:textId="77777777" w:rsidR="00387C70" w:rsidRDefault="00387C70">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5465A" w14:textId="77777777" w:rsidR="00387C70" w:rsidRDefault="00387C70">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4D111" w14:textId="77777777" w:rsidR="00387C70" w:rsidRDefault="00387C70">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CD576" w14:textId="77777777" w:rsidR="00387C70" w:rsidRDefault="00387C7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59A1F" w14:textId="77777777" w:rsidR="00C32C63" w:rsidRDefault="00C32C63">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9C6C1" w14:textId="77777777" w:rsidR="00387C70" w:rsidRDefault="00387C70">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7175B" w14:textId="77777777" w:rsidR="00387C70" w:rsidRDefault="00387C70">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FAED7" w14:textId="77777777" w:rsidR="00387C70" w:rsidRDefault="00387C70">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763C7" w14:textId="77777777" w:rsidR="00387C70" w:rsidRDefault="00387C70">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D838B" w14:textId="77777777" w:rsidR="00387C70" w:rsidRDefault="00387C70">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63AB4" w14:textId="77777777" w:rsidR="00387C70" w:rsidRDefault="00387C70">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5C8A8" w14:textId="77777777" w:rsidR="00387C70" w:rsidRDefault="00387C70">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1F6C0" w14:textId="77777777" w:rsidR="00387C70" w:rsidRDefault="00387C70">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B2196" w14:textId="77777777" w:rsidR="00387C70" w:rsidRDefault="00387C70">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6D0D7" w14:textId="77777777" w:rsidR="00387C70" w:rsidRDefault="00387C7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7D685" w14:textId="77777777" w:rsidR="00C32C63" w:rsidRDefault="00C32C63">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ED4CB" w14:textId="77777777" w:rsidR="00387C70" w:rsidRDefault="00387C70">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DDDB9" w14:textId="77777777" w:rsidR="00387C70" w:rsidRDefault="00387C70">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D1991" w14:textId="77777777" w:rsidR="00387C70" w:rsidRDefault="00387C70">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C4B4D" w14:textId="77777777" w:rsidR="00387C70" w:rsidRDefault="00387C70">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D2570" w14:textId="77777777" w:rsidR="00387C70" w:rsidRDefault="00387C70">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43226" w14:textId="77777777" w:rsidR="00387C70" w:rsidRDefault="00387C70">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F3C44" w14:textId="77777777" w:rsidR="00387C70" w:rsidRDefault="00387C70">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63BA2" w14:textId="77777777" w:rsidR="00387C70" w:rsidRDefault="00387C70">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F9537" w14:textId="77777777" w:rsidR="00387C70" w:rsidRDefault="00387C70">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03420" w14:textId="77777777" w:rsidR="00387C70" w:rsidRDefault="00387C7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C11B0" w14:textId="77777777" w:rsidR="00C32C63" w:rsidRDefault="00C32C63">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7EA38" w14:textId="77777777" w:rsidR="00387C70" w:rsidRDefault="00387C70">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CDF23" w14:textId="77777777" w:rsidR="00C32C63" w:rsidRDefault="00C32C63">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F4270" w14:textId="77777777" w:rsidR="00C32C63" w:rsidRDefault="00C32C63">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8497E" w14:textId="77777777" w:rsidR="00C32C63" w:rsidRDefault="00C32C63">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7C302" w14:textId="77777777" w:rsidR="00C32C63" w:rsidRDefault="00C32C63">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BAC07" w14:textId="77777777" w:rsidR="00C32C63" w:rsidRDefault="00C32C63">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3E438" w14:textId="77777777" w:rsidR="00C32C63" w:rsidRDefault="00C32C63">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D8ADE" w14:textId="77777777" w:rsidR="00C32C63" w:rsidRDefault="00C32C63">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D8FA0" w14:textId="77777777" w:rsidR="00C32C63" w:rsidRDefault="00C32C63">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87D5E" w14:textId="77777777" w:rsidR="00C32C63" w:rsidRDefault="00C32C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52091B"/>
    <w:multiLevelType w:val="hybridMultilevel"/>
    <w:tmpl w:val="0BDC60C2"/>
    <w:lvl w:ilvl="0" w:tplc="991C3E1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09868A0"/>
    <w:multiLevelType w:val="hybridMultilevel"/>
    <w:tmpl w:val="32C2A908"/>
    <w:lvl w:ilvl="0" w:tplc="991C3E1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EC3743"/>
    <w:multiLevelType w:val="hybridMultilevel"/>
    <w:tmpl w:val="1E7E21BE"/>
    <w:lvl w:ilvl="0" w:tplc="F9B098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BD3768"/>
    <w:multiLevelType w:val="hybridMultilevel"/>
    <w:tmpl w:val="FFFFFFFF"/>
    <w:lvl w:ilvl="0" w:tplc="DDF0C67C">
      <w:start w:val="8"/>
      <w:numFmt w:val="decimal"/>
      <w:lvlText w:val="%1."/>
      <w:lvlJc w:val="left"/>
      <w:pPr>
        <w:ind w:left="720" w:hanging="360"/>
      </w:pPr>
      <w:rPr>
        <w:rFonts w:ascii="Calibri" w:hAnsi="Calibri" w:hint="default"/>
      </w:rPr>
    </w:lvl>
    <w:lvl w:ilvl="1" w:tplc="38E8673E">
      <w:start w:val="1"/>
      <w:numFmt w:val="lowerLetter"/>
      <w:lvlText w:val="%2."/>
      <w:lvlJc w:val="left"/>
      <w:pPr>
        <w:ind w:left="1440" w:hanging="360"/>
      </w:pPr>
    </w:lvl>
    <w:lvl w:ilvl="2" w:tplc="33E8910E">
      <w:start w:val="1"/>
      <w:numFmt w:val="lowerRoman"/>
      <w:lvlText w:val="%3."/>
      <w:lvlJc w:val="right"/>
      <w:pPr>
        <w:ind w:left="2160" w:hanging="180"/>
      </w:pPr>
    </w:lvl>
    <w:lvl w:ilvl="3" w:tplc="50B22B8C">
      <w:start w:val="1"/>
      <w:numFmt w:val="decimal"/>
      <w:lvlText w:val="%4."/>
      <w:lvlJc w:val="left"/>
      <w:pPr>
        <w:ind w:left="2880" w:hanging="360"/>
      </w:pPr>
    </w:lvl>
    <w:lvl w:ilvl="4" w:tplc="090C8E02">
      <w:start w:val="1"/>
      <w:numFmt w:val="lowerLetter"/>
      <w:lvlText w:val="%5."/>
      <w:lvlJc w:val="left"/>
      <w:pPr>
        <w:ind w:left="3600" w:hanging="360"/>
      </w:pPr>
    </w:lvl>
    <w:lvl w:ilvl="5" w:tplc="8660A99C">
      <w:start w:val="1"/>
      <w:numFmt w:val="lowerRoman"/>
      <w:lvlText w:val="%6."/>
      <w:lvlJc w:val="right"/>
      <w:pPr>
        <w:ind w:left="4320" w:hanging="180"/>
      </w:pPr>
    </w:lvl>
    <w:lvl w:ilvl="6" w:tplc="6DE691CE">
      <w:start w:val="1"/>
      <w:numFmt w:val="decimal"/>
      <w:lvlText w:val="%7."/>
      <w:lvlJc w:val="left"/>
      <w:pPr>
        <w:ind w:left="5040" w:hanging="360"/>
      </w:pPr>
    </w:lvl>
    <w:lvl w:ilvl="7" w:tplc="282EBCCE">
      <w:start w:val="1"/>
      <w:numFmt w:val="lowerLetter"/>
      <w:lvlText w:val="%8."/>
      <w:lvlJc w:val="left"/>
      <w:pPr>
        <w:ind w:left="5760" w:hanging="360"/>
      </w:pPr>
    </w:lvl>
    <w:lvl w:ilvl="8" w:tplc="CE7018EC">
      <w:start w:val="1"/>
      <w:numFmt w:val="lowerRoman"/>
      <w:lvlText w:val="%9."/>
      <w:lvlJc w:val="right"/>
      <w:pPr>
        <w:ind w:left="6480" w:hanging="180"/>
      </w:pPr>
    </w:lvl>
  </w:abstractNum>
  <w:abstractNum w:abstractNumId="8" w15:restartNumberingAfterBreak="0">
    <w:nsid w:val="0507090B"/>
    <w:multiLevelType w:val="hybridMultilevel"/>
    <w:tmpl w:val="22E61F54"/>
    <w:lvl w:ilvl="0" w:tplc="FFFFFFFF">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Yu Mincho Light" w:hAnsi="Yu Mincho Light" w:cs="Yu Mincho Light" w:hint="default"/>
      </w:rPr>
    </w:lvl>
    <w:lvl w:ilvl="2" w:tplc="18090005" w:tentative="1">
      <w:start w:val="1"/>
      <w:numFmt w:val="bullet"/>
      <w:lvlText w:val=""/>
      <w:lvlJc w:val="left"/>
      <w:pPr>
        <w:ind w:left="2220" w:hanging="360"/>
      </w:pPr>
      <w:rPr>
        <w:rFonts w:ascii="MS Mincho" w:hAnsi="MS Mincho" w:hint="default"/>
      </w:rPr>
    </w:lvl>
    <w:lvl w:ilvl="3" w:tplc="18090001" w:tentative="1">
      <w:start w:val="1"/>
      <w:numFmt w:val="bullet"/>
      <w:lvlText w:val=""/>
      <w:lvlJc w:val="left"/>
      <w:pPr>
        <w:ind w:left="2940" w:hanging="360"/>
      </w:pPr>
      <w:rPr>
        <w:rFonts w:ascii="MS Mincho" w:hAnsi="MS Mincho" w:hint="default"/>
      </w:rPr>
    </w:lvl>
    <w:lvl w:ilvl="4" w:tplc="18090003" w:tentative="1">
      <w:start w:val="1"/>
      <w:numFmt w:val="bullet"/>
      <w:lvlText w:val="o"/>
      <w:lvlJc w:val="left"/>
      <w:pPr>
        <w:ind w:left="3660" w:hanging="360"/>
      </w:pPr>
      <w:rPr>
        <w:rFonts w:ascii="Yu Mincho Light" w:hAnsi="Yu Mincho Light" w:cs="Yu Mincho Light" w:hint="default"/>
      </w:rPr>
    </w:lvl>
    <w:lvl w:ilvl="5" w:tplc="18090005" w:tentative="1">
      <w:start w:val="1"/>
      <w:numFmt w:val="bullet"/>
      <w:lvlText w:val=""/>
      <w:lvlJc w:val="left"/>
      <w:pPr>
        <w:ind w:left="4380" w:hanging="360"/>
      </w:pPr>
      <w:rPr>
        <w:rFonts w:ascii="MS Mincho" w:hAnsi="MS Mincho" w:hint="default"/>
      </w:rPr>
    </w:lvl>
    <w:lvl w:ilvl="6" w:tplc="18090001" w:tentative="1">
      <w:start w:val="1"/>
      <w:numFmt w:val="bullet"/>
      <w:lvlText w:val=""/>
      <w:lvlJc w:val="left"/>
      <w:pPr>
        <w:ind w:left="5100" w:hanging="360"/>
      </w:pPr>
      <w:rPr>
        <w:rFonts w:ascii="MS Mincho" w:hAnsi="MS Mincho" w:hint="default"/>
      </w:rPr>
    </w:lvl>
    <w:lvl w:ilvl="7" w:tplc="18090003" w:tentative="1">
      <w:start w:val="1"/>
      <w:numFmt w:val="bullet"/>
      <w:lvlText w:val="o"/>
      <w:lvlJc w:val="left"/>
      <w:pPr>
        <w:ind w:left="5820" w:hanging="360"/>
      </w:pPr>
      <w:rPr>
        <w:rFonts w:ascii="Yu Mincho Light" w:hAnsi="Yu Mincho Light" w:cs="Yu Mincho Light" w:hint="default"/>
      </w:rPr>
    </w:lvl>
    <w:lvl w:ilvl="8" w:tplc="18090005" w:tentative="1">
      <w:start w:val="1"/>
      <w:numFmt w:val="bullet"/>
      <w:lvlText w:val=""/>
      <w:lvlJc w:val="left"/>
      <w:pPr>
        <w:ind w:left="6540" w:hanging="360"/>
      </w:pPr>
      <w:rPr>
        <w:rFonts w:ascii="MS Mincho" w:hAnsi="MS Mincho" w:hint="default"/>
      </w:rPr>
    </w:lvl>
  </w:abstractNum>
  <w:abstractNum w:abstractNumId="9" w15:restartNumberingAfterBreak="0">
    <w:nsid w:val="0853DD90"/>
    <w:multiLevelType w:val="hybridMultilevel"/>
    <w:tmpl w:val="FFFFFFFF"/>
    <w:lvl w:ilvl="0" w:tplc="9B86F24C">
      <w:start w:val="1"/>
      <w:numFmt w:val="bullet"/>
      <w:lvlText w:val="-"/>
      <w:lvlJc w:val="left"/>
      <w:pPr>
        <w:ind w:left="720" w:hanging="360"/>
      </w:pPr>
      <w:rPr>
        <w:rFonts w:ascii="Arial" w:hAnsi="Arial" w:hint="default"/>
      </w:rPr>
    </w:lvl>
    <w:lvl w:ilvl="1" w:tplc="0C4E7CFA">
      <w:start w:val="1"/>
      <w:numFmt w:val="bullet"/>
      <w:lvlText w:val="o"/>
      <w:lvlJc w:val="left"/>
      <w:pPr>
        <w:ind w:left="1440" w:hanging="360"/>
      </w:pPr>
      <w:rPr>
        <w:rFonts w:ascii="Segoe UI Emoji" w:hAnsi="Segoe UI Emoji" w:hint="default"/>
      </w:rPr>
    </w:lvl>
    <w:lvl w:ilvl="2" w:tplc="21EE2022">
      <w:start w:val="1"/>
      <w:numFmt w:val="bullet"/>
      <w:lvlText w:val=""/>
      <w:lvlJc w:val="left"/>
      <w:pPr>
        <w:ind w:left="2160" w:hanging="360"/>
      </w:pPr>
      <w:rPr>
        <w:rFonts w:ascii="@MS Mincho" w:hAnsi="@MS Mincho" w:hint="default"/>
      </w:rPr>
    </w:lvl>
    <w:lvl w:ilvl="3" w:tplc="F8FA31DA">
      <w:start w:val="1"/>
      <w:numFmt w:val="bullet"/>
      <w:lvlText w:val=""/>
      <w:lvlJc w:val="left"/>
      <w:pPr>
        <w:ind w:left="2880" w:hanging="360"/>
      </w:pPr>
      <w:rPr>
        <w:rFonts w:ascii="Times New Roman félkövér" w:hAnsi="Times New Roman félkövér" w:hint="default"/>
      </w:rPr>
    </w:lvl>
    <w:lvl w:ilvl="4" w:tplc="045A305A">
      <w:start w:val="1"/>
      <w:numFmt w:val="bullet"/>
      <w:lvlText w:val="o"/>
      <w:lvlJc w:val="left"/>
      <w:pPr>
        <w:ind w:left="3600" w:hanging="360"/>
      </w:pPr>
      <w:rPr>
        <w:rFonts w:ascii="Segoe UI Emoji" w:hAnsi="Segoe UI Emoji" w:hint="default"/>
      </w:rPr>
    </w:lvl>
    <w:lvl w:ilvl="5" w:tplc="74125AAE">
      <w:start w:val="1"/>
      <w:numFmt w:val="bullet"/>
      <w:lvlText w:val=""/>
      <w:lvlJc w:val="left"/>
      <w:pPr>
        <w:ind w:left="4320" w:hanging="360"/>
      </w:pPr>
      <w:rPr>
        <w:rFonts w:ascii="@MS Mincho" w:hAnsi="@MS Mincho" w:hint="default"/>
      </w:rPr>
    </w:lvl>
    <w:lvl w:ilvl="6" w:tplc="2E8C3324">
      <w:start w:val="1"/>
      <w:numFmt w:val="bullet"/>
      <w:lvlText w:val=""/>
      <w:lvlJc w:val="left"/>
      <w:pPr>
        <w:ind w:left="5040" w:hanging="360"/>
      </w:pPr>
      <w:rPr>
        <w:rFonts w:ascii="Times New Roman félkövér" w:hAnsi="Times New Roman félkövér" w:hint="default"/>
      </w:rPr>
    </w:lvl>
    <w:lvl w:ilvl="7" w:tplc="6AD0341A">
      <w:start w:val="1"/>
      <w:numFmt w:val="bullet"/>
      <w:lvlText w:val="o"/>
      <w:lvlJc w:val="left"/>
      <w:pPr>
        <w:ind w:left="5760" w:hanging="360"/>
      </w:pPr>
      <w:rPr>
        <w:rFonts w:ascii="Segoe UI Emoji" w:hAnsi="Segoe UI Emoji" w:hint="default"/>
      </w:rPr>
    </w:lvl>
    <w:lvl w:ilvl="8" w:tplc="53ECFD58">
      <w:start w:val="1"/>
      <w:numFmt w:val="bullet"/>
      <w:lvlText w:val=""/>
      <w:lvlJc w:val="left"/>
      <w:pPr>
        <w:ind w:left="6480" w:hanging="360"/>
      </w:pPr>
      <w:rPr>
        <w:rFonts w:ascii="@MS Mincho" w:hAnsi="@MS Mincho" w:hint="default"/>
      </w:rPr>
    </w:lvl>
  </w:abstractNum>
  <w:abstractNum w:abstractNumId="10" w15:restartNumberingAfterBreak="0">
    <w:nsid w:val="0B7071AF"/>
    <w:multiLevelType w:val="hybridMultilevel"/>
    <w:tmpl w:val="338CE26C"/>
    <w:lvl w:ilvl="0" w:tplc="991C3E1E">
      <w:start w:val="1"/>
      <w:numFmt w:val="bullet"/>
      <w:lvlText w:val="-"/>
      <w:lvlJc w:val="left"/>
      <w:pPr>
        <w:ind w:left="720" w:hanging="360"/>
      </w:pPr>
      <w:rPr>
        <w:rFonts w:ascii="Calibri" w:hAnsi="Calibri"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15:restartNumberingAfterBreak="0">
    <w:nsid w:val="0B9A3F81"/>
    <w:multiLevelType w:val="hybridMultilevel"/>
    <w:tmpl w:val="E17CE6DE"/>
    <w:lvl w:ilvl="0" w:tplc="1430B29A">
      <w:start w:val="1"/>
      <w:numFmt w:val="bullet"/>
      <w:lvlText w:val="-"/>
      <w:lvlJc w:val="left"/>
      <w:pPr>
        <w:ind w:left="720" w:hanging="360"/>
      </w:pPr>
      <w:rPr>
        <w:rFonts w:ascii="Times New Roman" w:eastAsiaTheme="minorEastAsia"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C583D17"/>
    <w:multiLevelType w:val="hybridMultilevel"/>
    <w:tmpl w:val="B372B45A"/>
    <w:lvl w:ilvl="0" w:tplc="5EC66656">
      <w:start w:val="1"/>
      <w:numFmt w:val="bullet"/>
      <w:lvlText w:val=""/>
      <w:lvlJc w:val="left"/>
      <w:pPr>
        <w:ind w:left="720" w:hanging="360"/>
      </w:pPr>
      <w:rPr>
        <w:rFonts w:ascii="Symbol" w:hAnsi="Symbol"/>
      </w:rPr>
    </w:lvl>
    <w:lvl w:ilvl="1" w:tplc="6C1E4D28">
      <w:start w:val="1"/>
      <w:numFmt w:val="bullet"/>
      <w:lvlText w:val=""/>
      <w:lvlJc w:val="left"/>
      <w:pPr>
        <w:ind w:left="720" w:hanging="360"/>
      </w:pPr>
      <w:rPr>
        <w:rFonts w:ascii="Symbol" w:hAnsi="Symbol"/>
      </w:rPr>
    </w:lvl>
    <w:lvl w:ilvl="2" w:tplc="48B6CD7C">
      <w:start w:val="1"/>
      <w:numFmt w:val="bullet"/>
      <w:lvlText w:val=""/>
      <w:lvlJc w:val="left"/>
      <w:pPr>
        <w:ind w:left="720" w:hanging="360"/>
      </w:pPr>
      <w:rPr>
        <w:rFonts w:ascii="Symbol" w:hAnsi="Symbol"/>
      </w:rPr>
    </w:lvl>
    <w:lvl w:ilvl="3" w:tplc="8804AAEA">
      <w:start w:val="1"/>
      <w:numFmt w:val="bullet"/>
      <w:lvlText w:val=""/>
      <w:lvlJc w:val="left"/>
      <w:pPr>
        <w:ind w:left="720" w:hanging="360"/>
      </w:pPr>
      <w:rPr>
        <w:rFonts w:ascii="Symbol" w:hAnsi="Symbol"/>
      </w:rPr>
    </w:lvl>
    <w:lvl w:ilvl="4" w:tplc="7FBE0D5E">
      <w:start w:val="1"/>
      <w:numFmt w:val="bullet"/>
      <w:lvlText w:val=""/>
      <w:lvlJc w:val="left"/>
      <w:pPr>
        <w:ind w:left="720" w:hanging="360"/>
      </w:pPr>
      <w:rPr>
        <w:rFonts w:ascii="Symbol" w:hAnsi="Symbol"/>
      </w:rPr>
    </w:lvl>
    <w:lvl w:ilvl="5" w:tplc="55204034">
      <w:start w:val="1"/>
      <w:numFmt w:val="bullet"/>
      <w:lvlText w:val=""/>
      <w:lvlJc w:val="left"/>
      <w:pPr>
        <w:ind w:left="720" w:hanging="360"/>
      </w:pPr>
      <w:rPr>
        <w:rFonts w:ascii="Symbol" w:hAnsi="Symbol"/>
      </w:rPr>
    </w:lvl>
    <w:lvl w:ilvl="6" w:tplc="75747AF4">
      <w:start w:val="1"/>
      <w:numFmt w:val="bullet"/>
      <w:lvlText w:val=""/>
      <w:lvlJc w:val="left"/>
      <w:pPr>
        <w:ind w:left="720" w:hanging="360"/>
      </w:pPr>
      <w:rPr>
        <w:rFonts w:ascii="Symbol" w:hAnsi="Symbol"/>
      </w:rPr>
    </w:lvl>
    <w:lvl w:ilvl="7" w:tplc="5A6C7638">
      <w:start w:val="1"/>
      <w:numFmt w:val="bullet"/>
      <w:lvlText w:val=""/>
      <w:lvlJc w:val="left"/>
      <w:pPr>
        <w:ind w:left="720" w:hanging="360"/>
      </w:pPr>
      <w:rPr>
        <w:rFonts w:ascii="Symbol" w:hAnsi="Symbol"/>
      </w:rPr>
    </w:lvl>
    <w:lvl w:ilvl="8" w:tplc="DB141560">
      <w:start w:val="1"/>
      <w:numFmt w:val="bullet"/>
      <w:lvlText w:val=""/>
      <w:lvlJc w:val="left"/>
      <w:pPr>
        <w:ind w:left="720" w:hanging="360"/>
      </w:pPr>
      <w:rPr>
        <w:rFonts w:ascii="Symbol" w:hAnsi="Symbol"/>
      </w:rPr>
    </w:lvl>
  </w:abstractNum>
  <w:abstractNum w:abstractNumId="13" w15:restartNumberingAfterBreak="0">
    <w:nsid w:val="0C681D4E"/>
    <w:multiLevelType w:val="hybridMultilevel"/>
    <w:tmpl w:val="4E964226"/>
    <w:lvl w:ilvl="0" w:tplc="1430B29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0CBC6"/>
    <w:multiLevelType w:val="hybridMultilevel"/>
    <w:tmpl w:val="FFFFFFFF"/>
    <w:lvl w:ilvl="0" w:tplc="5762C3A6">
      <w:start w:val="1"/>
      <w:numFmt w:val="bullet"/>
      <w:lvlText w:val=""/>
      <w:lvlJc w:val="left"/>
      <w:pPr>
        <w:ind w:left="720" w:hanging="360"/>
      </w:pPr>
      <w:rPr>
        <w:rFonts w:ascii="Symbol" w:hAnsi="Symbol" w:hint="default"/>
      </w:rPr>
    </w:lvl>
    <w:lvl w:ilvl="1" w:tplc="523C60EA">
      <w:start w:val="1"/>
      <w:numFmt w:val="bullet"/>
      <w:lvlText w:val="o"/>
      <w:lvlJc w:val="left"/>
      <w:pPr>
        <w:ind w:left="1440" w:hanging="360"/>
      </w:pPr>
      <w:rPr>
        <w:rFonts w:ascii="Courier New" w:hAnsi="Courier New" w:hint="default"/>
      </w:rPr>
    </w:lvl>
    <w:lvl w:ilvl="2" w:tplc="8BFA6B86">
      <w:start w:val="1"/>
      <w:numFmt w:val="bullet"/>
      <w:lvlText w:val=""/>
      <w:lvlJc w:val="left"/>
      <w:pPr>
        <w:ind w:left="2160" w:hanging="360"/>
      </w:pPr>
      <w:rPr>
        <w:rFonts w:ascii="Wingdings" w:hAnsi="Wingdings" w:hint="default"/>
      </w:rPr>
    </w:lvl>
    <w:lvl w:ilvl="3" w:tplc="8842B4AE">
      <w:start w:val="1"/>
      <w:numFmt w:val="bullet"/>
      <w:lvlText w:val=""/>
      <w:lvlJc w:val="left"/>
      <w:pPr>
        <w:ind w:left="2880" w:hanging="360"/>
      </w:pPr>
      <w:rPr>
        <w:rFonts w:ascii="Symbol" w:hAnsi="Symbol" w:hint="default"/>
      </w:rPr>
    </w:lvl>
    <w:lvl w:ilvl="4" w:tplc="04A0D452">
      <w:start w:val="1"/>
      <w:numFmt w:val="bullet"/>
      <w:lvlText w:val="o"/>
      <w:lvlJc w:val="left"/>
      <w:pPr>
        <w:ind w:left="3600" w:hanging="360"/>
      </w:pPr>
      <w:rPr>
        <w:rFonts w:ascii="Courier New" w:hAnsi="Courier New" w:hint="default"/>
      </w:rPr>
    </w:lvl>
    <w:lvl w:ilvl="5" w:tplc="04F21308">
      <w:start w:val="1"/>
      <w:numFmt w:val="bullet"/>
      <w:lvlText w:val=""/>
      <w:lvlJc w:val="left"/>
      <w:pPr>
        <w:ind w:left="4320" w:hanging="360"/>
      </w:pPr>
      <w:rPr>
        <w:rFonts w:ascii="Wingdings" w:hAnsi="Wingdings" w:hint="default"/>
      </w:rPr>
    </w:lvl>
    <w:lvl w:ilvl="6" w:tplc="8BB88B5C">
      <w:start w:val="1"/>
      <w:numFmt w:val="bullet"/>
      <w:lvlText w:val=""/>
      <w:lvlJc w:val="left"/>
      <w:pPr>
        <w:ind w:left="5040" w:hanging="360"/>
      </w:pPr>
      <w:rPr>
        <w:rFonts w:ascii="Symbol" w:hAnsi="Symbol" w:hint="default"/>
      </w:rPr>
    </w:lvl>
    <w:lvl w:ilvl="7" w:tplc="C3DE9168">
      <w:start w:val="1"/>
      <w:numFmt w:val="bullet"/>
      <w:lvlText w:val="o"/>
      <w:lvlJc w:val="left"/>
      <w:pPr>
        <w:ind w:left="5760" w:hanging="360"/>
      </w:pPr>
      <w:rPr>
        <w:rFonts w:ascii="Courier New" w:hAnsi="Courier New" w:hint="default"/>
      </w:rPr>
    </w:lvl>
    <w:lvl w:ilvl="8" w:tplc="CEE831A4">
      <w:start w:val="1"/>
      <w:numFmt w:val="bullet"/>
      <w:lvlText w:val=""/>
      <w:lvlJc w:val="left"/>
      <w:pPr>
        <w:ind w:left="6480" w:hanging="360"/>
      </w:pPr>
      <w:rPr>
        <w:rFonts w:ascii="Wingdings" w:hAnsi="Wingdings" w:hint="default"/>
      </w:rPr>
    </w:lvl>
  </w:abstractNum>
  <w:abstractNum w:abstractNumId="15" w15:restartNumberingAfterBreak="0">
    <w:nsid w:val="0C990D6D"/>
    <w:multiLevelType w:val="hybridMultilevel"/>
    <w:tmpl w:val="9AE27DC0"/>
    <w:lvl w:ilvl="0" w:tplc="18090001">
      <w:start w:val="1"/>
      <w:numFmt w:val="bullet"/>
      <w:lvlText w:val=""/>
      <w:lvlJc w:val="left"/>
      <w:pPr>
        <w:ind w:left="720" w:hanging="360"/>
      </w:pPr>
      <w:rPr>
        <w:rFonts w:ascii="Times New Roman félkövér" w:hAnsi="Times New Roman félkövér" w:hint="default"/>
      </w:rPr>
    </w:lvl>
    <w:lvl w:ilvl="1" w:tplc="18090003" w:tentative="1">
      <w:start w:val="1"/>
      <w:numFmt w:val="bullet"/>
      <w:lvlText w:val="o"/>
      <w:lvlJc w:val="left"/>
      <w:pPr>
        <w:ind w:left="1440" w:hanging="360"/>
      </w:pPr>
      <w:rPr>
        <w:rFonts w:ascii="@MS Mincho" w:hAnsi="@MS Mincho" w:cs="@MS Mincho" w:hint="default"/>
      </w:rPr>
    </w:lvl>
    <w:lvl w:ilvl="2" w:tplc="18090005" w:tentative="1">
      <w:start w:val="1"/>
      <w:numFmt w:val="bullet"/>
      <w:lvlText w:val=""/>
      <w:lvlJc w:val="left"/>
      <w:pPr>
        <w:ind w:left="2160" w:hanging="360"/>
      </w:pPr>
      <w:rPr>
        <w:rFonts w:ascii="MS Mincho" w:hAnsi="MS Mincho" w:hint="default"/>
      </w:rPr>
    </w:lvl>
    <w:lvl w:ilvl="3" w:tplc="18090001" w:tentative="1">
      <w:start w:val="1"/>
      <w:numFmt w:val="bullet"/>
      <w:lvlText w:val=""/>
      <w:lvlJc w:val="left"/>
      <w:pPr>
        <w:ind w:left="2880" w:hanging="360"/>
      </w:pPr>
      <w:rPr>
        <w:rFonts w:ascii="Times New Roman félkövér" w:hAnsi="Times New Roman félkövér" w:hint="default"/>
      </w:rPr>
    </w:lvl>
    <w:lvl w:ilvl="4" w:tplc="18090003" w:tentative="1">
      <w:start w:val="1"/>
      <w:numFmt w:val="bullet"/>
      <w:lvlText w:val="o"/>
      <w:lvlJc w:val="left"/>
      <w:pPr>
        <w:ind w:left="3600" w:hanging="360"/>
      </w:pPr>
      <w:rPr>
        <w:rFonts w:ascii="@MS Mincho" w:hAnsi="@MS Mincho" w:cs="@MS Mincho" w:hint="default"/>
      </w:rPr>
    </w:lvl>
    <w:lvl w:ilvl="5" w:tplc="18090005" w:tentative="1">
      <w:start w:val="1"/>
      <w:numFmt w:val="bullet"/>
      <w:lvlText w:val=""/>
      <w:lvlJc w:val="left"/>
      <w:pPr>
        <w:ind w:left="4320" w:hanging="360"/>
      </w:pPr>
      <w:rPr>
        <w:rFonts w:ascii="MS Mincho" w:hAnsi="MS Mincho" w:hint="default"/>
      </w:rPr>
    </w:lvl>
    <w:lvl w:ilvl="6" w:tplc="18090001" w:tentative="1">
      <w:start w:val="1"/>
      <w:numFmt w:val="bullet"/>
      <w:lvlText w:val=""/>
      <w:lvlJc w:val="left"/>
      <w:pPr>
        <w:ind w:left="5040" w:hanging="360"/>
      </w:pPr>
      <w:rPr>
        <w:rFonts w:ascii="Times New Roman félkövér" w:hAnsi="Times New Roman félkövér" w:hint="default"/>
      </w:rPr>
    </w:lvl>
    <w:lvl w:ilvl="7" w:tplc="18090003" w:tentative="1">
      <w:start w:val="1"/>
      <w:numFmt w:val="bullet"/>
      <w:lvlText w:val="o"/>
      <w:lvlJc w:val="left"/>
      <w:pPr>
        <w:ind w:left="5760" w:hanging="360"/>
      </w:pPr>
      <w:rPr>
        <w:rFonts w:ascii="@MS Mincho" w:hAnsi="@MS Mincho" w:cs="@MS Mincho" w:hint="default"/>
      </w:rPr>
    </w:lvl>
    <w:lvl w:ilvl="8" w:tplc="18090005" w:tentative="1">
      <w:start w:val="1"/>
      <w:numFmt w:val="bullet"/>
      <w:lvlText w:val=""/>
      <w:lvlJc w:val="left"/>
      <w:pPr>
        <w:ind w:left="6480" w:hanging="360"/>
      </w:pPr>
      <w:rPr>
        <w:rFonts w:ascii="MS Mincho" w:hAnsi="MS Mincho" w:hint="default"/>
      </w:rPr>
    </w:lvl>
  </w:abstractNum>
  <w:abstractNum w:abstractNumId="16" w15:restartNumberingAfterBreak="0">
    <w:nsid w:val="0DFD6381"/>
    <w:multiLevelType w:val="hybridMultilevel"/>
    <w:tmpl w:val="5FA6E936"/>
    <w:lvl w:ilvl="0" w:tplc="B2AC25C2">
      <w:numFmt w:val="bullet"/>
      <w:lvlText w:val=""/>
      <w:lvlJc w:val="left"/>
      <w:pPr>
        <w:ind w:left="1080" w:hanging="360"/>
      </w:pPr>
      <w:rPr>
        <w:rFonts w:ascii="Symbol" w:eastAsiaTheme="minorEastAsia" w:hAnsi="Symbol" w:cs="Times New Roman" w:hint="default"/>
      </w:rPr>
    </w:lvl>
    <w:lvl w:ilvl="1" w:tplc="FFFFFFFF" w:tentative="1">
      <w:start w:val="1"/>
      <w:numFmt w:val="bullet"/>
      <w:lvlText w:val="o"/>
      <w:lvlJc w:val="left"/>
      <w:pPr>
        <w:ind w:left="1800" w:hanging="360"/>
      </w:pPr>
      <w:rPr>
        <w:rFonts w:ascii="@MS Mincho" w:hAnsi="@MS Mincho" w:cs="@MS Mincho" w:hint="default"/>
      </w:rPr>
    </w:lvl>
    <w:lvl w:ilvl="2" w:tplc="FFFFFFFF" w:tentative="1">
      <w:start w:val="1"/>
      <w:numFmt w:val="bullet"/>
      <w:lvlText w:val=""/>
      <w:lvlJc w:val="left"/>
      <w:pPr>
        <w:ind w:left="2520" w:hanging="360"/>
      </w:pPr>
      <w:rPr>
        <w:rFonts w:ascii="MS Mincho" w:hAnsi="MS Mincho" w:hint="default"/>
      </w:rPr>
    </w:lvl>
    <w:lvl w:ilvl="3" w:tplc="FFFFFFFF" w:tentative="1">
      <w:start w:val="1"/>
      <w:numFmt w:val="bullet"/>
      <w:lvlText w:val=""/>
      <w:lvlJc w:val="left"/>
      <w:pPr>
        <w:ind w:left="3240" w:hanging="360"/>
      </w:pPr>
      <w:rPr>
        <w:rFonts w:ascii="Times New Roman félkövér" w:hAnsi="Times New Roman félkövér" w:hint="default"/>
      </w:rPr>
    </w:lvl>
    <w:lvl w:ilvl="4" w:tplc="FFFFFFFF" w:tentative="1">
      <w:start w:val="1"/>
      <w:numFmt w:val="bullet"/>
      <w:lvlText w:val="o"/>
      <w:lvlJc w:val="left"/>
      <w:pPr>
        <w:ind w:left="3960" w:hanging="360"/>
      </w:pPr>
      <w:rPr>
        <w:rFonts w:ascii="@MS Mincho" w:hAnsi="@MS Mincho" w:cs="@MS Mincho" w:hint="default"/>
      </w:rPr>
    </w:lvl>
    <w:lvl w:ilvl="5" w:tplc="FFFFFFFF" w:tentative="1">
      <w:start w:val="1"/>
      <w:numFmt w:val="bullet"/>
      <w:lvlText w:val=""/>
      <w:lvlJc w:val="left"/>
      <w:pPr>
        <w:ind w:left="4680" w:hanging="360"/>
      </w:pPr>
      <w:rPr>
        <w:rFonts w:ascii="MS Mincho" w:hAnsi="MS Mincho" w:hint="default"/>
      </w:rPr>
    </w:lvl>
    <w:lvl w:ilvl="6" w:tplc="FFFFFFFF" w:tentative="1">
      <w:start w:val="1"/>
      <w:numFmt w:val="bullet"/>
      <w:lvlText w:val=""/>
      <w:lvlJc w:val="left"/>
      <w:pPr>
        <w:ind w:left="5400" w:hanging="360"/>
      </w:pPr>
      <w:rPr>
        <w:rFonts w:ascii="Times New Roman félkövér" w:hAnsi="Times New Roman félkövér" w:hint="default"/>
      </w:rPr>
    </w:lvl>
    <w:lvl w:ilvl="7" w:tplc="FFFFFFFF" w:tentative="1">
      <w:start w:val="1"/>
      <w:numFmt w:val="bullet"/>
      <w:lvlText w:val="o"/>
      <w:lvlJc w:val="left"/>
      <w:pPr>
        <w:ind w:left="6120" w:hanging="360"/>
      </w:pPr>
      <w:rPr>
        <w:rFonts w:ascii="@MS Mincho" w:hAnsi="@MS Mincho" w:cs="@MS Mincho" w:hint="default"/>
      </w:rPr>
    </w:lvl>
    <w:lvl w:ilvl="8" w:tplc="FFFFFFFF" w:tentative="1">
      <w:start w:val="1"/>
      <w:numFmt w:val="bullet"/>
      <w:lvlText w:val=""/>
      <w:lvlJc w:val="left"/>
      <w:pPr>
        <w:ind w:left="6840" w:hanging="360"/>
      </w:pPr>
      <w:rPr>
        <w:rFonts w:ascii="MS Mincho" w:hAnsi="MS Mincho" w:hint="default"/>
      </w:rPr>
    </w:lvl>
  </w:abstractNum>
  <w:abstractNum w:abstractNumId="17" w15:restartNumberingAfterBreak="0">
    <w:nsid w:val="0E686556"/>
    <w:multiLevelType w:val="hybridMultilevel"/>
    <w:tmpl w:val="C554E2BA"/>
    <w:lvl w:ilvl="0" w:tplc="FFFFFFFF">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B2AC25C2">
      <w:numFmt w:val="bullet"/>
      <w:lvlText w:val=""/>
      <w:lvlJc w:val="left"/>
      <w:pPr>
        <w:ind w:left="3600" w:hanging="720"/>
      </w:pPr>
      <w:rPr>
        <w:rFonts w:ascii="Symbol" w:eastAsiaTheme="minorEastAsia" w:hAnsi="Symbol" w:cs="Times New Roman"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09FECC5"/>
    <w:multiLevelType w:val="hybridMultilevel"/>
    <w:tmpl w:val="FFFFFFFF"/>
    <w:lvl w:ilvl="0" w:tplc="2DBC04E0">
      <w:start w:val="2"/>
      <w:numFmt w:val="decimal"/>
      <w:lvlText w:val="%1."/>
      <w:lvlJc w:val="left"/>
      <w:pPr>
        <w:ind w:left="720" w:hanging="360"/>
      </w:pPr>
      <w:rPr>
        <w:rFonts w:ascii="Arial" w:hAnsi="Arial" w:hint="default"/>
      </w:rPr>
    </w:lvl>
    <w:lvl w:ilvl="1" w:tplc="66E873C6">
      <w:start w:val="1"/>
      <w:numFmt w:val="lowerLetter"/>
      <w:lvlText w:val="%2."/>
      <w:lvlJc w:val="left"/>
      <w:pPr>
        <w:ind w:left="1440" w:hanging="360"/>
      </w:pPr>
    </w:lvl>
    <w:lvl w:ilvl="2" w:tplc="E3A4A870">
      <w:start w:val="1"/>
      <w:numFmt w:val="lowerRoman"/>
      <w:lvlText w:val="%3."/>
      <w:lvlJc w:val="right"/>
      <w:pPr>
        <w:ind w:left="2160" w:hanging="180"/>
      </w:pPr>
    </w:lvl>
    <w:lvl w:ilvl="3" w:tplc="827099A4">
      <w:start w:val="1"/>
      <w:numFmt w:val="decimal"/>
      <w:lvlText w:val="%4."/>
      <w:lvlJc w:val="left"/>
      <w:pPr>
        <w:ind w:left="2880" w:hanging="360"/>
      </w:pPr>
    </w:lvl>
    <w:lvl w:ilvl="4" w:tplc="8D2EC904">
      <w:start w:val="1"/>
      <w:numFmt w:val="lowerLetter"/>
      <w:lvlText w:val="%5."/>
      <w:lvlJc w:val="left"/>
      <w:pPr>
        <w:ind w:left="3600" w:hanging="360"/>
      </w:pPr>
    </w:lvl>
    <w:lvl w:ilvl="5" w:tplc="291C5CEC">
      <w:start w:val="1"/>
      <w:numFmt w:val="lowerRoman"/>
      <w:lvlText w:val="%6."/>
      <w:lvlJc w:val="right"/>
      <w:pPr>
        <w:ind w:left="4320" w:hanging="180"/>
      </w:pPr>
    </w:lvl>
    <w:lvl w:ilvl="6" w:tplc="3E3E39AA">
      <w:start w:val="1"/>
      <w:numFmt w:val="decimal"/>
      <w:lvlText w:val="%7."/>
      <w:lvlJc w:val="left"/>
      <w:pPr>
        <w:ind w:left="5040" w:hanging="360"/>
      </w:pPr>
    </w:lvl>
    <w:lvl w:ilvl="7" w:tplc="AED002D2">
      <w:start w:val="1"/>
      <w:numFmt w:val="lowerLetter"/>
      <w:lvlText w:val="%8."/>
      <w:lvlJc w:val="left"/>
      <w:pPr>
        <w:ind w:left="5760" w:hanging="360"/>
      </w:pPr>
    </w:lvl>
    <w:lvl w:ilvl="8" w:tplc="896C89B0">
      <w:start w:val="1"/>
      <w:numFmt w:val="lowerRoman"/>
      <w:lvlText w:val="%9."/>
      <w:lvlJc w:val="right"/>
      <w:pPr>
        <w:ind w:left="6480" w:hanging="180"/>
      </w:pPr>
    </w:lvl>
  </w:abstractNum>
  <w:abstractNum w:abstractNumId="19" w15:restartNumberingAfterBreak="0">
    <w:nsid w:val="10B46BD6"/>
    <w:multiLevelType w:val="hybridMultilevel"/>
    <w:tmpl w:val="8FF4FAA2"/>
    <w:lvl w:ilvl="0" w:tplc="991C3E1E">
      <w:start w:val="1"/>
      <w:numFmt w:val="bullet"/>
      <w:lvlText w:val="-"/>
      <w:lvlJc w:val="left"/>
      <w:pPr>
        <w:ind w:left="720" w:hanging="360"/>
      </w:pPr>
      <w:rPr>
        <w:rFonts w:ascii="Calibri" w:hAnsi="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12242160"/>
    <w:multiLevelType w:val="hybridMultilevel"/>
    <w:tmpl w:val="D43A42EE"/>
    <w:lvl w:ilvl="0" w:tplc="37B223E2">
      <w:start w:val="1"/>
      <w:numFmt w:val="bullet"/>
      <w:lvlText w:val=""/>
      <w:lvlJc w:val="left"/>
      <w:pPr>
        <w:ind w:left="1004" w:hanging="360"/>
      </w:pPr>
      <w:rPr>
        <w:rFonts w:ascii="Times New Roman félkövér" w:hAnsi="Times New Roman félkövér" w:hint="default"/>
      </w:rPr>
    </w:lvl>
    <w:lvl w:ilvl="1" w:tplc="FFFFFFFF" w:tentative="1">
      <w:start w:val="1"/>
      <w:numFmt w:val="bullet"/>
      <w:lvlText w:val="o"/>
      <w:lvlJc w:val="left"/>
      <w:pPr>
        <w:ind w:left="1724" w:hanging="360"/>
      </w:pPr>
      <w:rPr>
        <w:rFonts w:ascii="Yu Mincho Light" w:hAnsi="Yu Mincho Light" w:cs="Yu Mincho Light" w:hint="default"/>
      </w:rPr>
    </w:lvl>
    <w:lvl w:ilvl="2" w:tplc="FFFFFFFF" w:tentative="1">
      <w:start w:val="1"/>
      <w:numFmt w:val="bullet"/>
      <w:lvlText w:val=""/>
      <w:lvlJc w:val="left"/>
      <w:pPr>
        <w:ind w:left="2444" w:hanging="360"/>
      </w:pPr>
      <w:rPr>
        <w:rFonts w:ascii="MS Mincho" w:hAnsi="MS Mincho" w:hint="default"/>
      </w:rPr>
    </w:lvl>
    <w:lvl w:ilvl="3" w:tplc="FFFFFFFF" w:tentative="1">
      <w:start w:val="1"/>
      <w:numFmt w:val="bullet"/>
      <w:lvlText w:val=""/>
      <w:lvlJc w:val="left"/>
      <w:pPr>
        <w:ind w:left="3164" w:hanging="360"/>
      </w:pPr>
      <w:rPr>
        <w:rFonts w:ascii="MS Mincho" w:hAnsi="MS Mincho" w:hint="default"/>
      </w:rPr>
    </w:lvl>
    <w:lvl w:ilvl="4" w:tplc="FFFFFFFF" w:tentative="1">
      <w:start w:val="1"/>
      <w:numFmt w:val="bullet"/>
      <w:lvlText w:val="o"/>
      <w:lvlJc w:val="left"/>
      <w:pPr>
        <w:ind w:left="3884" w:hanging="360"/>
      </w:pPr>
      <w:rPr>
        <w:rFonts w:ascii="Yu Mincho Light" w:hAnsi="Yu Mincho Light" w:cs="Yu Mincho Light" w:hint="default"/>
      </w:rPr>
    </w:lvl>
    <w:lvl w:ilvl="5" w:tplc="FFFFFFFF" w:tentative="1">
      <w:start w:val="1"/>
      <w:numFmt w:val="bullet"/>
      <w:lvlText w:val=""/>
      <w:lvlJc w:val="left"/>
      <w:pPr>
        <w:ind w:left="4604" w:hanging="360"/>
      </w:pPr>
      <w:rPr>
        <w:rFonts w:ascii="MS Mincho" w:hAnsi="MS Mincho" w:hint="default"/>
      </w:rPr>
    </w:lvl>
    <w:lvl w:ilvl="6" w:tplc="FFFFFFFF" w:tentative="1">
      <w:start w:val="1"/>
      <w:numFmt w:val="bullet"/>
      <w:lvlText w:val=""/>
      <w:lvlJc w:val="left"/>
      <w:pPr>
        <w:ind w:left="5324" w:hanging="360"/>
      </w:pPr>
      <w:rPr>
        <w:rFonts w:ascii="MS Mincho" w:hAnsi="MS Mincho" w:hint="default"/>
      </w:rPr>
    </w:lvl>
    <w:lvl w:ilvl="7" w:tplc="FFFFFFFF" w:tentative="1">
      <w:start w:val="1"/>
      <w:numFmt w:val="bullet"/>
      <w:lvlText w:val="o"/>
      <w:lvlJc w:val="left"/>
      <w:pPr>
        <w:ind w:left="6044" w:hanging="360"/>
      </w:pPr>
      <w:rPr>
        <w:rFonts w:ascii="Yu Mincho Light" w:hAnsi="Yu Mincho Light" w:cs="Yu Mincho Light" w:hint="default"/>
      </w:rPr>
    </w:lvl>
    <w:lvl w:ilvl="8" w:tplc="FFFFFFFF" w:tentative="1">
      <w:start w:val="1"/>
      <w:numFmt w:val="bullet"/>
      <w:lvlText w:val=""/>
      <w:lvlJc w:val="left"/>
      <w:pPr>
        <w:ind w:left="6764" w:hanging="360"/>
      </w:pPr>
      <w:rPr>
        <w:rFonts w:ascii="MS Mincho" w:hAnsi="MS Mincho" w:hint="default"/>
      </w:rPr>
    </w:lvl>
  </w:abstractNum>
  <w:abstractNum w:abstractNumId="21" w15:restartNumberingAfterBreak="0">
    <w:nsid w:val="14BC9304"/>
    <w:multiLevelType w:val="hybridMultilevel"/>
    <w:tmpl w:val="FFFFFFFF"/>
    <w:lvl w:ilvl="0" w:tplc="946A4DA8">
      <w:start w:val="9"/>
      <w:numFmt w:val="decimal"/>
      <w:lvlText w:val="%1."/>
      <w:lvlJc w:val="left"/>
      <w:pPr>
        <w:ind w:left="720" w:hanging="360"/>
      </w:pPr>
      <w:rPr>
        <w:rFonts w:ascii="Calibri" w:hAnsi="Calibri" w:hint="default"/>
      </w:rPr>
    </w:lvl>
    <w:lvl w:ilvl="1" w:tplc="BE925662">
      <w:start w:val="1"/>
      <w:numFmt w:val="lowerLetter"/>
      <w:lvlText w:val="%2."/>
      <w:lvlJc w:val="left"/>
      <w:pPr>
        <w:ind w:left="1440" w:hanging="360"/>
      </w:pPr>
    </w:lvl>
    <w:lvl w:ilvl="2" w:tplc="6972B792">
      <w:start w:val="1"/>
      <w:numFmt w:val="lowerRoman"/>
      <w:lvlText w:val="%3."/>
      <w:lvlJc w:val="right"/>
      <w:pPr>
        <w:ind w:left="2160" w:hanging="180"/>
      </w:pPr>
    </w:lvl>
    <w:lvl w:ilvl="3" w:tplc="D96C8D54">
      <w:start w:val="1"/>
      <w:numFmt w:val="decimal"/>
      <w:lvlText w:val="%4."/>
      <w:lvlJc w:val="left"/>
      <w:pPr>
        <w:ind w:left="2880" w:hanging="360"/>
      </w:pPr>
    </w:lvl>
    <w:lvl w:ilvl="4" w:tplc="7038816E">
      <w:start w:val="1"/>
      <w:numFmt w:val="lowerLetter"/>
      <w:lvlText w:val="%5."/>
      <w:lvlJc w:val="left"/>
      <w:pPr>
        <w:ind w:left="3600" w:hanging="360"/>
      </w:pPr>
    </w:lvl>
    <w:lvl w:ilvl="5" w:tplc="FBFA4DAA">
      <w:start w:val="1"/>
      <w:numFmt w:val="lowerRoman"/>
      <w:lvlText w:val="%6."/>
      <w:lvlJc w:val="right"/>
      <w:pPr>
        <w:ind w:left="4320" w:hanging="180"/>
      </w:pPr>
    </w:lvl>
    <w:lvl w:ilvl="6" w:tplc="F1FE5F90">
      <w:start w:val="1"/>
      <w:numFmt w:val="decimal"/>
      <w:lvlText w:val="%7."/>
      <w:lvlJc w:val="left"/>
      <w:pPr>
        <w:ind w:left="5040" w:hanging="360"/>
      </w:pPr>
    </w:lvl>
    <w:lvl w:ilvl="7" w:tplc="93C44108">
      <w:start w:val="1"/>
      <w:numFmt w:val="lowerLetter"/>
      <w:lvlText w:val="%8."/>
      <w:lvlJc w:val="left"/>
      <w:pPr>
        <w:ind w:left="5760" w:hanging="360"/>
      </w:pPr>
    </w:lvl>
    <w:lvl w:ilvl="8" w:tplc="2AC07D90">
      <w:start w:val="1"/>
      <w:numFmt w:val="lowerRoman"/>
      <w:lvlText w:val="%9."/>
      <w:lvlJc w:val="right"/>
      <w:pPr>
        <w:ind w:left="6480" w:hanging="180"/>
      </w:pPr>
    </w:lvl>
  </w:abstractNum>
  <w:abstractNum w:abstractNumId="22" w15:restartNumberingAfterBreak="0">
    <w:nsid w:val="157F6626"/>
    <w:multiLevelType w:val="hybridMultilevel"/>
    <w:tmpl w:val="3502EB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613FA9"/>
    <w:multiLevelType w:val="hybridMultilevel"/>
    <w:tmpl w:val="D0B64B60"/>
    <w:lvl w:ilvl="0" w:tplc="991C3E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2F08CF"/>
    <w:multiLevelType w:val="hybridMultilevel"/>
    <w:tmpl w:val="0054108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MS Mincho" w:hAnsi="@MS Mincho" w:cs="@MS Mincho" w:hint="default"/>
      </w:rPr>
    </w:lvl>
    <w:lvl w:ilvl="2" w:tplc="FFFFFFFF" w:tentative="1">
      <w:start w:val="1"/>
      <w:numFmt w:val="bullet"/>
      <w:lvlText w:val=""/>
      <w:lvlJc w:val="left"/>
      <w:pPr>
        <w:ind w:left="2160" w:hanging="360"/>
      </w:pPr>
      <w:rPr>
        <w:rFonts w:ascii="MS Mincho" w:hAnsi="MS Mincho" w:hint="default"/>
      </w:rPr>
    </w:lvl>
    <w:lvl w:ilvl="3" w:tplc="FFFFFFFF" w:tentative="1">
      <w:start w:val="1"/>
      <w:numFmt w:val="bullet"/>
      <w:lvlText w:val=""/>
      <w:lvlJc w:val="left"/>
      <w:pPr>
        <w:ind w:left="2880" w:hanging="360"/>
      </w:pPr>
      <w:rPr>
        <w:rFonts w:ascii="Times New Roman félkövér" w:hAnsi="Times New Roman félkövér" w:hint="default"/>
      </w:rPr>
    </w:lvl>
    <w:lvl w:ilvl="4" w:tplc="FFFFFFFF" w:tentative="1">
      <w:start w:val="1"/>
      <w:numFmt w:val="bullet"/>
      <w:lvlText w:val="o"/>
      <w:lvlJc w:val="left"/>
      <w:pPr>
        <w:ind w:left="3600" w:hanging="360"/>
      </w:pPr>
      <w:rPr>
        <w:rFonts w:ascii="@MS Mincho" w:hAnsi="@MS Mincho" w:cs="@MS Mincho" w:hint="default"/>
      </w:rPr>
    </w:lvl>
    <w:lvl w:ilvl="5" w:tplc="FFFFFFFF" w:tentative="1">
      <w:start w:val="1"/>
      <w:numFmt w:val="bullet"/>
      <w:lvlText w:val=""/>
      <w:lvlJc w:val="left"/>
      <w:pPr>
        <w:ind w:left="4320" w:hanging="360"/>
      </w:pPr>
      <w:rPr>
        <w:rFonts w:ascii="MS Mincho" w:hAnsi="MS Mincho" w:hint="default"/>
      </w:rPr>
    </w:lvl>
    <w:lvl w:ilvl="6" w:tplc="FFFFFFFF" w:tentative="1">
      <w:start w:val="1"/>
      <w:numFmt w:val="bullet"/>
      <w:lvlText w:val=""/>
      <w:lvlJc w:val="left"/>
      <w:pPr>
        <w:ind w:left="5040" w:hanging="360"/>
      </w:pPr>
      <w:rPr>
        <w:rFonts w:ascii="Times New Roman félkövér" w:hAnsi="Times New Roman félkövér" w:hint="default"/>
      </w:rPr>
    </w:lvl>
    <w:lvl w:ilvl="7" w:tplc="FFFFFFFF" w:tentative="1">
      <w:start w:val="1"/>
      <w:numFmt w:val="bullet"/>
      <w:lvlText w:val="o"/>
      <w:lvlJc w:val="left"/>
      <w:pPr>
        <w:ind w:left="5760" w:hanging="360"/>
      </w:pPr>
      <w:rPr>
        <w:rFonts w:ascii="@MS Mincho" w:hAnsi="@MS Mincho" w:cs="@MS Mincho" w:hint="default"/>
      </w:rPr>
    </w:lvl>
    <w:lvl w:ilvl="8" w:tplc="FFFFFFFF" w:tentative="1">
      <w:start w:val="1"/>
      <w:numFmt w:val="bullet"/>
      <w:lvlText w:val=""/>
      <w:lvlJc w:val="left"/>
      <w:pPr>
        <w:ind w:left="6480" w:hanging="360"/>
      </w:pPr>
      <w:rPr>
        <w:rFonts w:ascii="MS Mincho" w:hAnsi="MS Mincho" w:hint="default"/>
      </w:rPr>
    </w:lvl>
  </w:abstractNum>
  <w:abstractNum w:abstractNumId="25" w15:restartNumberingAfterBreak="0">
    <w:nsid w:val="1AB43499"/>
    <w:multiLevelType w:val="hybridMultilevel"/>
    <w:tmpl w:val="229035EE"/>
    <w:lvl w:ilvl="0" w:tplc="991C3E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7" w15:restartNumberingAfterBreak="0">
    <w:nsid w:val="2081216A"/>
    <w:multiLevelType w:val="hybridMultilevel"/>
    <w:tmpl w:val="4B021F8C"/>
    <w:lvl w:ilvl="0" w:tplc="1430B29A">
      <w:start w:val="1"/>
      <w:numFmt w:val="bullet"/>
      <w:lvlText w:val="-"/>
      <w:lvlJc w:val="left"/>
      <w:pPr>
        <w:ind w:left="720" w:hanging="360"/>
      </w:pPr>
      <w:rPr>
        <w:rFonts w:ascii="Times New Roman" w:eastAsiaTheme="minorEastAsia"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2624070"/>
    <w:multiLevelType w:val="hybridMultilevel"/>
    <w:tmpl w:val="8E7008C4"/>
    <w:lvl w:ilvl="0" w:tplc="991C3E1E">
      <w:start w:val="1"/>
      <w:numFmt w:val="bullet"/>
      <w:lvlText w:val="-"/>
      <w:lvlJc w:val="left"/>
      <w:pPr>
        <w:ind w:left="776" w:hanging="360"/>
      </w:pPr>
      <w:rPr>
        <w:rFonts w:ascii="Calibri" w:hAnsi="Calibri"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9" w15:restartNumberingAfterBreak="0">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4009700"/>
    <w:multiLevelType w:val="hybridMultilevel"/>
    <w:tmpl w:val="FFFFFFFF"/>
    <w:lvl w:ilvl="0" w:tplc="99B43E64">
      <w:start w:val="1"/>
      <w:numFmt w:val="decimal"/>
      <w:lvlText w:val="%1."/>
      <w:lvlJc w:val="left"/>
      <w:pPr>
        <w:ind w:left="720" w:hanging="360"/>
      </w:pPr>
    </w:lvl>
    <w:lvl w:ilvl="1" w:tplc="CCEE7EBA">
      <w:start w:val="1"/>
      <w:numFmt w:val="lowerLetter"/>
      <w:lvlText w:val="%2."/>
      <w:lvlJc w:val="left"/>
      <w:pPr>
        <w:ind w:left="1440" w:hanging="360"/>
      </w:pPr>
    </w:lvl>
    <w:lvl w:ilvl="2" w:tplc="05B68F20">
      <w:start w:val="1"/>
      <w:numFmt w:val="lowerRoman"/>
      <w:lvlText w:val="%3."/>
      <w:lvlJc w:val="right"/>
      <w:pPr>
        <w:ind w:left="2160" w:hanging="180"/>
      </w:pPr>
    </w:lvl>
    <w:lvl w:ilvl="3" w:tplc="4ED244CE">
      <w:start w:val="1"/>
      <w:numFmt w:val="decimal"/>
      <w:lvlText w:val="%4."/>
      <w:lvlJc w:val="left"/>
      <w:pPr>
        <w:ind w:left="2880" w:hanging="360"/>
      </w:pPr>
    </w:lvl>
    <w:lvl w:ilvl="4" w:tplc="EB8266EA">
      <w:start w:val="1"/>
      <w:numFmt w:val="lowerLetter"/>
      <w:lvlText w:val="%5."/>
      <w:lvlJc w:val="left"/>
      <w:pPr>
        <w:ind w:left="3600" w:hanging="360"/>
      </w:pPr>
    </w:lvl>
    <w:lvl w:ilvl="5" w:tplc="BF6ABFE8">
      <w:start w:val="1"/>
      <w:numFmt w:val="lowerRoman"/>
      <w:lvlText w:val="%6."/>
      <w:lvlJc w:val="right"/>
      <w:pPr>
        <w:ind w:left="4320" w:hanging="180"/>
      </w:pPr>
    </w:lvl>
    <w:lvl w:ilvl="6" w:tplc="CD3E4BBE">
      <w:start w:val="1"/>
      <w:numFmt w:val="decimal"/>
      <w:lvlText w:val="%7."/>
      <w:lvlJc w:val="left"/>
      <w:pPr>
        <w:ind w:left="5040" w:hanging="360"/>
      </w:pPr>
    </w:lvl>
    <w:lvl w:ilvl="7" w:tplc="24F2CCC0">
      <w:start w:val="1"/>
      <w:numFmt w:val="lowerLetter"/>
      <w:lvlText w:val="%8."/>
      <w:lvlJc w:val="left"/>
      <w:pPr>
        <w:ind w:left="5760" w:hanging="360"/>
      </w:pPr>
    </w:lvl>
    <w:lvl w:ilvl="8" w:tplc="82AC6408">
      <w:start w:val="1"/>
      <w:numFmt w:val="lowerRoman"/>
      <w:lvlText w:val="%9."/>
      <w:lvlJc w:val="right"/>
      <w:pPr>
        <w:ind w:left="6480" w:hanging="180"/>
      </w:pPr>
    </w:lvl>
  </w:abstractNum>
  <w:abstractNum w:abstractNumId="31" w15:restartNumberingAfterBreak="0">
    <w:nsid w:val="252E0C0D"/>
    <w:multiLevelType w:val="hybridMultilevel"/>
    <w:tmpl w:val="E09411D6"/>
    <w:lvl w:ilvl="0" w:tplc="991C3E1E">
      <w:start w:val="1"/>
      <w:numFmt w:val="bullet"/>
      <w:lvlText w:val="-"/>
      <w:lvlJc w:val="left"/>
      <w:pPr>
        <w:ind w:left="1080" w:hanging="720"/>
      </w:pPr>
      <w:rPr>
        <w:rFonts w:ascii="Calibri" w:hAnsi="Calibri"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15:restartNumberingAfterBreak="0">
    <w:nsid w:val="253BC87E"/>
    <w:multiLevelType w:val="hybridMultilevel"/>
    <w:tmpl w:val="FFFFFFFF"/>
    <w:lvl w:ilvl="0" w:tplc="DFC40566">
      <w:start w:val="1"/>
      <w:numFmt w:val="bullet"/>
      <w:lvlText w:val="-"/>
      <w:lvlJc w:val="left"/>
      <w:pPr>
        <w:ind w:left="720" w:hanging="360"/>
      </w:pPr>
      <w:rPr>
        <w:rFonts w:ascii="Calibri" w:hAnsi="Calibri" w:hint="default"/>
      </w:rPr>
    </w:lvl>
    <w:lvl w:ilvl="1" w:tplc="605AC882">
      <w:start w:val="1"/>
      <w:numFmt w:val="bullet"/>
      <w:lvlText w:val="o"/>
      <w:lvlJc w:val="left"/>
      <w:pPr>
        <w:ind w:left="1440" w:hanging="360"/>
      </w:pPr>
      <w:rPr>
        <w:rFonts w:ascii="Courier New" w:hAnsi="Courier New" w:hint="default"/>
      </w:rPr>
    </w:lvl>
    <w:lvl w:ilvl="2" w:tplc="B2CCB334">
      <w:start w:val="1"/>
      <w:numFmt w:val="bullet"/>
      <w:lvlText w:val=""/>
      <w:lvlJc w:val="left"/>
      <w:pPr>
        <w:ind w:left="2160" w:hanging="360"/>
      </w:pPr>
      <w:rPr>
        <w:rFonts w:ascii="Wingdings" w:hAnsi="Wingdings" w:hint="default"/>
      </w:rPr>
    </w:lvl>
    <w:lvl w:ilvl="3" w:tplc="62502F0C">
      <w:start w:val="1"/>
      <w:numFmt w:val="bullet"/>
      <w:lvlText w:val=""/>
      <w:lvlJc w:val="left"/>
      <w:pPr>
        <w:ind w:left="2880" w:hanging="360"/>
      </w:pPr>
      <w:rPr>
        <w:rFonts w:ascii="Symbol" w:hAnsi="Symbol" w:hint="default"/>
      </w:rPr>
    </w:lvl>
    <w:lvl w:ilvl="4" w:tplc="6652CB26">
      <w:start w:val="1"/>
      <w:numFmt w:val="bullet"/>
      <w:lvlText w:val="o"/>
      <w:lvlJc w:val="left"/>
      <w:pPr>
        <w:ind w:left="3600" w:hanging="360"/>
      </w:pPr>
      <w:rPr>
        <w:rFonts w:ascii="Courier New" w:hAnsi="Courier New" w:hint="default"/>
      </w:rPr>
    </w:lvl>
    <w:lvl w:ilvl="5" w:tplc="E4E83CC2">
      <w:start w:val="1"/>
      <w:numFmt w:val="bullet"/>
      <w:lvlText w:val=""/>
      <w:lvlJc w:val="left"/>
      <w:pPr>
        <w:ind w:left="4320" w:hanging="360"/>
      </w:pPr>
      <w:rPr>
        <w:rFonts w:ascii="Wingdings" w:hAnsi="Wingdings" w:hint="default"/>
      </w:rPr>
    </w:lvl>
    <w:lvl w:ilvl="6" w:tplc="61C2AD16">
      <w:start w:val="1"/>
      <w:numFmt w:val="bullet"/>
      <w:lvlText w:val=""/>
      <w:lvlJc w:val="left"/>
      <w:pPr>
        <w:ind w:left="5040" w:hanging="360"/>
      </w:pPr>
      <w:rPr>
        <w:rFonts w:ascii="Symbol" w:hAnsi="Symbol" w:hint="default"/>
      </w:rPr>
    </w:lvl>
    <w:lvl w:ilvl="7" w:tplc="D716F0BA">
      <w:start w:val="1"/>
      <w:numFmt w:val="bullet"/>
      <w:lvlText w:val="o"/>
      <w:lvlJc w:val="left"/>
      <w:pPr>
        <w:ind w:left="5760" w:hanging="360"/>
      </w:pPr>
      <w:rPr>
        <w:rFonts w:ascii="Courier New" w:hAnsi="Courier New" w:hint="default"/>
      </w:rPr>
    </w:lvl>
    <w:lvl w:ilvl="8" w:tplc="A27AAE5C">
      <w:start w:val="1"/>
      <w:numFmt w:val="bullet"/>
      <w:lvlText w:val=""/>
      <w:lvlJc w:val="left"/>
      <w:pPr>
        <w:ind w:left="6480" w:hanging="360"/>
      </w:pPr>
      <w:rPr>
        <w:rFonts w:ascii="Wingdings" w:hAnsi="Wingdings" w:hint="default"/>
      </w:rPr>
    </w:lvl>
  </w:abstractNum>
  <w:abstractNum w:abstractNumId="33" w15:restartNumberingAfterBreak="0">
    <w:nsid w:val="25F7EFAC"/>
    <w:multiLevelType w:val="hybridMultilevel"/>
    <w:tmpl w:val="FFFFFFFF"/>
    <w:lvl w:ilvl="0" w:tplc="B4944A2A">
      <w:start w:val="1"/>
      <w:numFmt w:val="bullet"/>
      <w:lvlText w:val=""/>
      <w:lvlJc w:val="left"/>
      <w:pPr>
        <w:ind w:left="720" w:hanging="360"/>
      </w:pPr>
      <w:rPr>
        <w:rFonts w:ascii="Symbol" w:hAnsi="Symbol" w:hint="default"/>
      </w:rPr>
    </w:lvl>
    <w:lvl w:ilvl="1" w:tplc="B386AABC">
      <w:start w:val="1"/>
      <w:numFmt w:val="bullet"/>
      <w:lvlText w:val="o"/>
      <w:lvlJc w:val="left"/>
      <w:pPr>
        <w:ind w:left="1440" w:hanging="360"/>
      </w:pPr>
      <w:rPr>
        <w:rFonts w:ascii="Courier New" w:hAnsi="Courier New" w:hint="default"/>
      </w:rPr>
    </w:lvl>
    <w:lvl w:ilvl="2" w:tplc="88083F64">
      <w:start w:val="1"/>
      <w:numFmt w:val="bullet"/>
      <w:lvlText w:val=""/>
      <w:lvlJc w:val="left"/>
      <w:pPr>
        <w:ind w:left="2160" w:hanging="360"/>
      </w:pPr>
      <w:rPr>
        <w:rFonts w:ascii="Wingdings" w:hAnsi="Wingdings" w:hint="default"/>
      </w:rPr>
    </w:lvl>
    <w:lvl w:ilvl="3" w:tplc="3314D7D4">
      <w:start w:val="1"/>
      <w:numFmt w:val="bullet"/>
      <w:lvlText w:val=""/>
      <w:lvlJc w:val="left"/>
      <w:pPr>
        <w:ind w:left="2880" w:hanging="360"/>
      </w:pPr>
      <w:rPr>
        <w:rFonts w:ascii="Symbol" w:hAnsi="Symbol" w:hint="default"/>
      </w:rPr>
    </w:lvl>
    <w:lvl w:ilvl="4" w:tplc="86B8C04C">
      <w:start w:val="1"/>
      <w:numFmt w:val="bullet"/>
      <w:lvlText w:val="o"/>
      <w:lvlJc w:val="left"/>
      <w:pPr>
        <w:ind w:left="3600" w:hanging="360"/>
      </w:pPr>
      <w:rPr>
        <w:rFonts w:ascii="Courier New" w:hAnsi="Courier New" w:hint="default"/>
      </w:rPr>
    </w:lvl>
    <w:lvl w:ilvl="5" w:tplc="D1F069F0">
      <w:start w:val="1"/>
      <w:numFmt w:val="bullet"/>
      <w:lvlText w:val=""/>
      <w:lvlJc w:val="left"/>
      <w:pPr>
        <w:ind w:left="4320" w:hanging="360"/>
      </w:pPr>
      <w:rPr>
        <w:rFonts w:ascii="Wingdings" w:hAnsi="Wingdings" w:hint="default"/>
      </w:rPr>
    </w:lvl>
    <w:lvl w:ilvl="6" w:tplc="80A26088">
      <w:start w:val="1"/>
      <w:numFmt w:val="bullet"/>
      <w:lvlText w:val=""/>
      <w:lvlJc w:val="left"/>
      <w:pPr>
        <w:ind w:left="5040" w:hanging="360"/>
      </w:pPr>
      <w:rPr>
        <w:rFonts w:ascii="Symbol" w:hAnsi="Symbol" w:hint="default"/>
      </w:rPr>
    </w:lvl>
    <w:lvl w:ilvl="7" w:tplc="A8E01994">
      <w:start w:val="1"/>
      <w:numFmt w:val="bullet"/>
      <w:lvlText w:val="o"/>
      <w:lvlJc w:val="left"/>
      <w:pPr>
        <w:ind w:left="5760" w:hanging="360"/>
      </w:pPr>
      <w:rPr>
        <w:rFonts w:ascii="Courier New" w:hAnsi="Courier New" w:hint="default"/>
      </w:rPr>
    </w:lvl>
    <w:lvl w:ilvl="8" w:tplc="C6124E5A">
      <w:start w:val="1"/>
      <w:numFmt w:val="bullet"/>
      <w:lvlText w:val=""/>
      <w:lvlJc w:val="left"/>
      <w:pPr>
        <w:ind w:left="6480" w:hanging="360"/>
      </w:pPr>
      <w:rPr>
        <w:rFonts w:ascii="Wingdings" w:hAnsi="Wingdings" w:hint="default"/>
      </w:rPr>
    </w:lvl>
  </w:abstractNum>
  <w:abstractNum w:abstractNumId="34" w15:restartNumberingAfterBreak="0">
    <w:nsid w:val="27174F45"/>
    <w:multiLevelType w:val="hybridMultilevel"/>
    <w:tmpl w:val="B30C8676"/>
    <w:lvl w:ilvl="0" w:tplc="991C3E1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8B227E"/>
    <w:multiLevelType w:val="hybridMultilevel"/>
    <w:tmpl w:val="ED3E031E"/>
    <w:lvl w:ilvl="0" w:tplc="991C3E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AE5023"/>
    <w:multiLevelType w:val="hybridMultilevel"/>
    <w:tmpl w:val="44E8D442"/>
    <w:lvl w:ilvl="0" w:tplc="3F16C13A">
      <w:start w:val="1"/>
      <w:numFmt w:val="decimal"/>
      <w:lvlText w:val="%1."/>
      <w:lvlJc w:val="left"/>
      <w:pPr>
        <w:ind w:left="720" w:hanging="360"/>
      </w:pPr>
      <w:rPr>
        <w:rFonts w:ascii="Segoe UI Emoji" w:eastAsiaTheme="minorHAnsi" w:hAnsi="Segoe UI Emoji" w:cs="Segoe UI Emoj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8"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39" w15:restartNumberingAfterBreak="0">
    <w:nsid w:val="2D27ABB0"/>
    <w:multiLevelType w:val="hybridMultilevel"/>
    <w:tmpl w:val="1348036C"/>
    <w:lvl w:ilvl="0" w:tplc="18090001">
      <w:start w:val="1"/>
      <w:numFmt w:val="bullet"/>
      <w:lvlText w:val=""/>
      <w:lvlJc w:val="left"/>
      <w:pPr>
        <w:ind w:left="720" w:hanging="360"/>
      </w:pPr>
      <w:rPr>
        <w:rFonts w:ascii="Segoe UI Emoji" w:hAnsi="Segoe UI Emoji" w:hint="default"/>
      </w:rPr>
    </w:lvl>
    <w:lvl w:ilvl="1" w:tplc="1CC29F7A">
      <w:start w:val="1"/>
      <w:numFmt w:val="bullet"/>
      <w:lvlText w:val="o"/>
      <w:lvlJc w:val="left"/>
      <w:pPr>
        <w:ind w:left="1440" w:hanging="360"/>
      </w:pPr>
      <w:rPr>
        <w:rFonts w:ascii="Segoe UI Emoji" w:hAnsi="Segoe UI Emoji" w:hint="default"/>
      </w:rPr>
    </w:lvl>
    <w:lvl w:ilvl="2" w:tplc="AF805360">
      <w:start w:val="1"/>
      <w:numFmt w:val="bullet"/>
      <w:lvlText w:val=""/>
      <w:lvlJc w:val="left"/>
      <w:pPr>
        <w:ind w:left="2160" w:hanging="360"/>
      </w:pPr>
      <w:rPr>
        <w:rFonts w:ascii="@MS Mincho" w:hAnsi="@MS Mincho" w:hint="default"/>
      </w:rPr>
    </w:lvl>
    <w:lvl w:ilvl="3" w:tplc="DE9C8254">
      <w:start w:val="1"/>
      <w:numFmt w:val="bullet"/>
      <w:lvlText w:val=""/>
      <w:lvlJc w:val="left"/>
      <w:pPr>
        <w:ind w:left="2880" w:hanging="360"/>
      </w:pPr>
      <w:rPr>
        <w:rFonts w:ascii="Times New Roman félkövér" w:hAnsi="Times New Roman félkövér" w:hint="default"/>
      </w:rPr>
    </w:lvl>
    <w:lvl w:ilvl="4" w:tplc="6A00F8A0">
      <w:start w:val="1"/>
      <w:numFmt w:val="bullet"/>
      <w:lvlText w:val="o"/>
      <w:lvlJc w:val="left"/>
      <w:pPr>
        <w:ind w:left="3600" w:hanging="360"/>
      </w:pPr>
      <w:rPr>
        <w:rFonts w:ascii="Segoe UI Emoji" w:hAnsi="Segoe UI Emoji" w:hint="default"/>
      </w:rPr>
    </w:lvl>
    <w:lvl w:ilvl="5" w:tplc="AA06549C">
      <w:start w:val="1"/>
      <w:numFmt w:val="bullet"/>
      <w:lvlText w:val=""/>
      <w:lvlJc w:val="left"/>
      <w:pPr>
        <w:ind w:left="4320" w:hanging="360"/>
      </w:pPr>
      <w:rPr>
        <w:rFonts w:ascii="@MS Mincho" w:hAnsi="@MS Mincho" w:hint="default"/>
      </w:rPr>
    </w:lvl>
    <w:lvl w:ilvl="6" w:tplc="763448EE">
      <w:start w:val="1"/>
      <w:numFmt w:val="bullet"/>
      <w:lvlText w:val=""/>
      <w:lvlJc w:val="left"/>
      <w:pPr>
        <w:ind w:left="5040" w:hanging="360"/>
      </w:pPr>
      <w:rPr>
        <w:rFonts w:ascii="Times New Roman félkövér" w:hAnsi="Times New Roman félkövér" w:hint="default"/>
      </w:rPr>
    </w:lvl>
    <w:lvl w:ilvl="7" w:tplc="6ADE6886">
      <w:start w:val="1"/>
      <w:numFmt w:val="bullet"/>
      <w:lvlText w:val="o"/>
      <w:lvlJc w:val="left"/>
      <w:pPr>
        <w:ind w:left="5760" w:hanging="360"/>
      </w:pPr>
      <w:rPr>
        <w:rFonts w:ascii="Segoe UI Emoji" w:hAnsi="Segoe UI Emoji" w:hint="default"/>
      </w:rPr>
    </w:lvl>
    <w:lvl w:ilvl="8" w:tplc="68446ED0">
      <w:start w:val="1"/>
      <w:numFmt w:val="bullet"/>
      <w:lvlText w:val=""/>
      <w:lvlJc w:val="left"/>
      <w:pPr>
        <w:ind w:left="6480" w:hanging="360"/>
      </w:pPr>
      <w:rPr>
        <w:rFonts w:ascii="@MS Mincho" w:hAnsi="@MS Mincho" w:hint="default"/>
      </w:rPr>
    </w:lvl>
  </w:abstractNum>
  <w:abstractNum w:abstractNumId="40" w15:restartNumberingAfterBreak="0">
    <w:nsid w:val="2D560457"/>
    <w:multiLevelType w:val="hybridMultilevel"/>
    <w:tmpl w:val="41DE5612"/>
    <w:lvl w:ilvl="0" w:tplc="F9B09824">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AB5CF0"/>
    <w:multiLevelType w:val="hybridMultilevel"/>
    <w:tmpl w:val="4C7238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20A6796"/>
    <w:multiLevelType w:val="hybridMultilevel"/>
    <w:tmpl w:val="7C288002"/>
    <w:lvl w:ilvl="0" w:tplc="991C3E1E">
      <w:start w:val="1"/>
      <w:numFmt w:val="bullet"/>
      <w:lvlText w:val="-"/>
      <w:lvlJc w:val="left"/>
      <w:pPr>
        <w:ind w:left="1080" w:hanging="72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15:restartNumberingAfterBreak="0">
    <w:nsid w:val="32E83EEB"/>
    <w:multiLevelType w:val="hybridMultilevel"/>
    <w:tmpl w:val="DBDC485E"/>
    <w:lvl w:ilvl="0" w:tplc="991C3E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4374D93"/>
    <w:multiLevelType w:val="hybridMultilevel"/>
    <w:tmpl w:val="1ADE3B4A"/>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Segoe UI Emoji" w:hAnsi="Segoe UI Emoji" w:hint="default"/>
      </w:rPr>
    </w:lvl>
    <w:lvl w:ilvl="2" w:tplc="FFFFFFFF">
      <w:start w:val="1"/>
      <w:numFmt w:val="bullet"/>
      <w:lvlText w:val=""/>
      <w:lvlJc w:val="left"/>
      <w:pPr>
        <w:ind w:left="2160" w:hanging="360"/>
      </w:pPr>
      <w:rPr>
        <w:rFonts w:ascii="@MS Mincho" w:hAnsi="@MS Mincho" w:hint="default"/>
      </w:rPr>
    </w:lvl>
    <w:lvl w:ilvl="3" w:tplc="FFFFFFFF">
      <w:start w:val="1"/>
      <w:numFmt w:val="bullet"/>
      <w:lvlText w:val=""/>
      <w:lvlJc w:val="left"/>
      <w:pPr>
        <w:ind w:left="2880" w:hanging="360"/>
      </w:pPr>
      <w:rPr>
        <w:rFonts w:ascii="Times New Roman félkövér" w:hAnsi="Times New Roman félkövér" w:hint="default"/>
      </w:rPr>
    </w:lvl>
    <w:lvl w:ilvl="4" w:tplc="FFFFFFFF">
      <w:start w:val="1"/>
      <w:numFmt w:val="bullet"/>
      <w:lvlText w:val="o"/>
      <w:lvlJc w:val="left"/>
      <w:pPr>
        <w:ind w:left="3600" w:hanging="360"/>
      </w:pPr>
      <w:rPr>
        <w:rFonts w:ascii="Segoe UI Emoji" w:hAnsi="Segoe UI Emoji" w:hint="default"/>
      </w:rPr>
    </w:lvl>
    <w:lvl w:ilvl="5" w:tplc="FFFFFFFF">
      <w:start w:val="1"/>
      <w:numFmt w:val="bullet"/>
      <w:lvlText w:val=""/>
      <w:lvlJc w:val="left"/>
      <w:pPr>
        <w:ind w:left="4320" w:hanging="360"/>
      </w:pPr>
      <w:rPr>
        <w:rFonts w:ascii="@MS Mincho" w:hAnsi="@MS Mincho" w:hint="default"/>
      </w:rPr>
    </w:lvl>
    <w:lvl w:ilvl="6" w:tplc="FFFFFFFF">
      <w:start w:val="1"/>
      <w:numFmt w:val="bullet"/>
      <w:lvlText w:val=""/>
      <w:lvlJc w:val="left"/>
      <w:pPr>
        <w:ind w:left="5040" w:hanging="360"/>
      </w:pPr>
      <w:rPr>
        <w:rFonts w:ascii="Times New Roman félkövér" w:hAnsi="Times New Roman félkövér" w:hint="default"/>
      </w:rPr>
    </w:lvl>
    <w:lvl w:ilvl="7" w:tplc="FFFFFFFF">
      <w:start w:val="1"/>
      <w:numFmt w:val="bullet"/>
      <w:lvlText w:val="o"/>
      <w:lvlJc w:val="left"/>
      <w:pPr>
        <w:ind w:left="5760" w:hanging="360"/>
      </w:pPr>
      <w:rPr>
        <w:rFonts w:ascii="Segoe UI Emoji" w:hAnsi="Segoe UI Emoji" w:hint="default"/>
      </w:rPr>
    </w:lvl>
    <w:lvl w:ilvl="8" w:tplc="FFFFFFFF">
      <w:start w:val="1"/>
      <w:numFmt w:val="bullet"/>
      <w:lvlText w:val=""/>
      <w:lvlJc w:val="left"/>
      <w:pPr>
        <w:ind w:left="6480" w:hanging="360"/>
      </w:pPr>
      <w:rPr>
        <w:rFonts w:ascii="@MS Mincho" w:hAnsi="@MS Mincho" w:hint="default"/>
      </w:rPr>
    </w:lvl>
  </w:abstractNum>
  <w:abstractNum w:abstractNumId="45" w15:restartNumberingAfterBreak="0">
    <w:nsid w:val="39A060BB"/>
    <w:multiLevelType w:val="hybridMultilevel"/>
    <w:tmpl w:val="6F161914"/>
    <w:lvl w:ilvl="0" w:tplc="991C3E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B6423A5"/>
    <w:multiLevelType w:val="hybridMultilevel"/>
    <w:tmpl w:val="604E2C64"/>
    <w:lvl w:ilvl="0" w:tplc="991C3E1E">
      <w:start w:val="1"/>
      <w:numFmt w:val="bullet"/>
      <w:lvlText w:val="-"/>
      <w:lvlJc w:val="left"/>
      <w:pPr>
        <w:ind w:left="1080" w:hanging="720"/>
      </w:pPr>
      <w:rPr>
        <w:rFonts w:ascii="Calibri" w:hAnsi="Calibri"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7" w15:restartNumberingAfterBreak="0">
    <w:nsid w:val="3C1FBB88"/>
    <w:multiLevelType w:val="hybridMultilevel"/>
    <w:tmpl w:val="FFFFFFFF"/>
    <w:lvl w:ilvl="0" w:tplc="D6EEFA86">
      <w:start w:val="1"/>
      <w:numFmt w:val="bullet"/>
      <w:lvlText w:val=""/>
      <w:lvlJc w:val="left"/>
      <w:pPr>
        <w:ind w:left="720" w:hanging="360"/>
      </w:pPr>
      <w:rPr>
        <w:rFonts w:ascii="Symbol" w:hAnsi="Symbol" w:hint="default"/>
      </w:rPr>
    </w:lvl>
    <w:lvl w:ilvl="1" w:tplc="9A541C76">
      <w:start w:val="1"/>
      <w:numFmt w:val="bullet"/>
      <w:lvlText w:val="o"/>
      <w:lvlJc w:val="left"/>
      <w:pPr>
        <w:ind w:left="1440" w:hanging="360"/>
      </w:pPr>
      <w:rPr>
        <w:rFonts w:ascii="Courier New" w:hAnsi="Courier New" w:hint="default"/>
      </w:rPr>
    </w:lvl>
    <w:lvl w:ilvl="2" w:tplc="4B103328">
      <w:start w:val="1"/>
      <w:numFmt w:val="bullet"/>
      <w:lvlText w:val=""/>
      <w:lvlJc w:val="left"/>
      <w:pPr>
        <w:ind w:left="2160" w:hanging="360"/>
      </w:pPr>
      <w:rPr>
        <w:rFonts w:ascii="Wingdings" w:hAnsi="Wingdings" w:hint="default"/>
      </w:rPr>
    </w:lvl>
    <w:lvl w:ilvl="3" w:tplc="CEEE1B2E">
      <w:start w:val="1"/>
      <w:numFmt w:val="bullet"/>
      <w:lvlText w:val=""/>
      <w:lvlJc w:val="left"/>
      <w:pPr>
        <w:ind w:left="2880" w:hanging="360"/>
      </w:pPr>
      <w:rPr>
        <w:rFonts w:ascii="Symbol" w:hAnsi="Symbol" w:hint="default"/>
      </w:rPr>
    </w:lvl>
    <w:lvl w:ilvl="4" w:tplc="37C0319C">
      <w:start w:val="1"/>
      <w:numFmt w:val="bullet"/>
      <w:lvlText w:val="o"/>
      <w:lvlJc w:val="left"/>
      <w:pPr>
        <w:ind w:left="3600" w:hanging="360"/>
      </w:pPr>
      <w:rPr>
        <w:rFonts w:ascii="Courier New" w:hAnsi="Courier New" w:hint="default"/>
      </w:rPr>
    </w:lvl>
    <w:lvl w:ilvl="5" w:tplc="81704DB0">
      <w:start w:val="1"/>
      <w:numFmt w:val="bullet"/>
      <w:lvlText w:val=""/>
      <w:lvlJc w:val="left"/>
      <w:pPr>
        <w:ind w:left="4320" w:hanging="360"/>
      </w:pPr>
      <w:rPr>
        <w:rFonts w:ascii="Wingdings" w:hAnsi="Wingdings" w:hint="default"/>
      </w:rPr>
    </w:lvl>
    <w:lvl w:ilvl="6" w:tplc="CE0C449A">
      <w:start w:val="1"/>
      <w:numFmt w:val="bullet"/>
      <w:lvlText w:val=""/>
      <w:lvlJc w:val="left"/>
      <w:pPr>
        <w:ind w:left="5040" w:hanging="360"/>
      </w:pPr>
      <w:rPr>
        <w:rFonts w:ascii="Symbol" w:hAnsi="Symbol" w:hint="default"/>
      </w:rPr>
    </w:lvl>
    <w:lvl w:ilvl="7" w:tplc="567E876E">
      <w:start w:val="1"/>
      <w:numFmt w:val="bullet"/>
      <w:lvlText w:val="o"/>
      <w:lvlJc w:val="left"/>
      <w:pPr>
        <w:ind w:left="5760" w:hanging="360"/>
      </w:pPr>
      <w:rPr>
        <w:rFonts w:ascii="Courier New" w:hAnsi="Courier New" w:hint="default"/>
      </w:rPr>
    </w:lvl>
    <w:lvl w:ilvl="8" w:tplc="26F00DEC">
      <w:start w:val="1"/>
      <w:numFmt w:val="bullet"/>
      <w:lvlText w:val=""/>
      <w:lvlJc w:val="left"/>
      <w:pPr>
        <w:ind w:left="6480" w:hanging="360"/>
      </w:pPr>
      <w:rPr>
        <w:rFonts w:ascii="Wingdings" w:hAnsi="Wingdings" w:hint="default"/>
      </w:rPr>
    </w:lvl>
  </w:abstractNum>
  <w:abstractNum w:abstractNumId="48" w15:restartNumberingAfterBreak="0">
    <w:nsid w:val="3CFD68E5"/>
    <w:multiLevelType w:val="hybridMultilevel"/>
    <w:tmpl w:val="B650A786"/>
    <w:lvl w:ilvl="0" w:tplc="1809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Yu Mincho Light" w:hAnsi="Yu Mincho Light" w:cs="Yu Mincho Light" w:hint="default"/>
      </w:rPr>
    </w:lvl>
    <w:lvl w:ilvl="2" w:tplc="FFFFFFFF" w:tentative="1">
      <w:start w:val="1"/>
      <w:numFmt w:val="bullet"/>
      <w:lvlText w:val=""/>
      <w:lvlJc w:val="left"/>
      <w:pPr>
        <w:ind w:left="2444" w:hanging="360"/>
      </w:pPr>
      <w:rPr>
        <w:rFonts w:ascii="MS Mincho" w:hAnsi="MS Mincho" w:hint="default"/>
      </w:rPr>
    </w:lvl>
    <w:lvl w:ilvl="3" w:tplc="FFFFFFFF" w:tentative="1">
      <w:start w:val="1"/>
      <w:numFmt w:val="bullet"/>
      <w:lvlText w:val=""/>
      <w:lvlJc w:val="left"/>
      <w:pPr>
        <w:ind w:left="3164" w:hanging="360"/>
      </w:pPr>
      <w:rPr>
        <w:rFonts w:ascii="MS Mincho" w:hAnsi="MS Mincho" w:hint="default"/>
      </w:rPr>
    </w:lvl>
    <w:lvl w:ilvl="4" w:tplc="FFFFFFFF" w:tentative="1">
      <w:start w:val="1"/>
      <w:numFmt w:val="bullet"/>
      <w:lvlText w:val="o"/>
      <w:lvlJc w:val="left"/>
      <w:pPr>
        <w:ind w:left="3884" w:hanging="360"/>
      </w:pPr>
      <w:rPr>
        <w:rFonts w:ascii="Yu Mincho Light" w:hAnsi="Yu Mincho Light" w:cs="Yu Mincho Light" w:hint="default"/>
      </w:rPr>
    </w:lvl>
    <w:lvl w:ilvl="5" w:tplc="FFFFFFFF" w:tentative="1">
      <w:start w:val="1"/>
      <w:numFmt w:val="bullet"/>
      <w:lvlText w:val=""/>
      <w:lvlJc w:val="left"/>
      <w:pPr>
        <w:ind w:left="4604" w:hanging="360"/>
      </w:pPr>
      <w:rPr>
        <w:rFonts w:ascii="MS Mincho" w:hAnsi="MS Mincho" w:hint="default"/>
      </w:rPr>
    </w:lvl>
    <w:lvl w:ilvl="6" w:tplc="FFFFFFFF" w:tentative="1">
      <w:start w:val="1"/>
      <w:numFmt w:val="bullet"/>
      <w:lvlText w:val=""/>
      <w:lvlJc w:val="left"/>
      <w:pPr>
        <w:ind w:left="5324" w:hanging="360"/>
      </w:pPr>
      <w:rPr>
        <w:rFonts w:ascii="MS Mincho" w:hAnsi="MS Mincho" w:hint="default"/>
      </w:rPr>
    </w:lvl>
    <w:lvl w:ilvl="7" w:tplc="FFFFFFFF" w:tentative="1">
      <w:start w:val="1"/>
      <w:numFmt w:val="bullet"/>
      <w:lvlText w:val="o"/>
      <w:lvlJc w:val="left"/>
      <w:pPr>
        <w:ind w:left="6044" w:hanging="360"/>
      </w:pPr>
      <w:rPr>
        <w:rFonts w:ascii="Yu Mincho Light" w:hAnsi="Yu Mincho Light" w:cs="Yu Mincho Light" w:hint="default"/>
      </w:rPr>
    </w:lvl>
    <w:lvl w:ilvl="8" w:tplc="FFFFFFFF" w:tentative="1">
      <w:start w:val="1"/>
      <w:numFmt w:val="bullet"/>
      <w:lvlText w:val=""/>
      <w:lvlJc w:val="left"/>
      <w:pPr>
        <w:ind w:left="6764" w:hanging="360"/>
      </w:pPr>
      <w:rPr>
        <w:rFonts w:ascii="MS Mincho" w:hAnsi="MS Mincho" w:hint="default"/>
      </w:rPr>
    </w:lvl>
  </w:abstractNum>
  <w:abstractNum w:abstractNumId="49" w15:restartNumberingAfterBreak="0">
    <w:nsid w:val="400A7B18"/>
    <w:multiLevelType w:val="multilevel"/>
    <w:tmpl w:val="2F7AC3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1021A52"/>
    <w:multiLevelType w:val="hybridMultilevel"/>
    <w:tmpl w:val="D736BEAE"/>
    <w:lvl w:ilvl="0" w:tplc="991C3E1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1E4070A"/>
    <w:multiLevelType w:val="hybridMultilevel"/>
    <w:tmpl w:val="59AC8B4E"/>
    <w:lvl w:ilvl="0" w:tplc="1430B29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3"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54" w15:restartNumberingAfterBreak="0">
    <w:nsid w:val="432C32C9"/>
    <w:multiLevelType w:val="multilevel"/>
    <w:tmpl w:val="6136D4BA"/>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3A30E35"/>
    <w:multiLevelType w:val="hybridMultilevel"/>
    <w:tmpl w:val="541044B2"/>
    <w:lvl w:ilvl="0" w:tplc="991C3E1E">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A72B3A"/>
    <w:multiLevelType w:val="hybridMultilevel"/>
    <w:tmpl w:val="AFCC9634"/>
    <w:lvl w:ilvl="0" w:tplc="991C3E1E">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3B1786A"/>
    <w:multiLevelType w:val="hybridMultilevel"/>
    <w:tmpl w:val="0AA84568"/>
    <w:lvl w:ilvl="0" w:tplc="18090001">
      <w:start w:val="1"/>
      <w:numFmt w:val="bullet"/>
      <w:lvlText w:val=""/>
      <w:lvlJc w:val="left"/>
      <w:pPr>
        <w:ind w:left="720" w:hanging="360"/>
      </w:pPr>
      <w:rPr>
        <w:rFonts w:ascii="Symbol" w:hAnsi="Symbol" w:hint="default"/>
        <w:sz w:val="20"/>
        <w:szCs w:val="20"/>
      </w:rPr>
    </w:lvl>
    <w:lvl w:ilvl="1" w:tplc="260E68B2">
      <w:start w:val="1"/>
      <w:numFmt w:val="bullet"/>
      <w:lvlText w:val="o"/>
      <w:lvlJc w:val="left"/>
      <w:pPr>
        <w:ind w:left="1440" w:hanging="360"/>
      </w:pPr>
      <w:rPr>
        <w:rFonts w:ascii="Segoe UI Emoji" w:hAnsi="Segoe UI Emoji" w:hint="default"/>
      </w:rPr>
    </w:lvl>
    <w:lvl w:ilvl="2" w:tplc="E0024634">
      <w:start w:val="1"/>
      <w:numFmt w:val="bullet"/>
      <w:lvlText w:val=""/>
      <w:lvlJc w:val="left"/>
      <w:pPr>
        <w:ind w:left="2160" w:hanging="360"/>
      </w:pPr>
      <w:rPr>
        <w:rFonts w:ascii="@MS Mincho" w:hAnsi="@MS Mincho" w:hint="default"/>
      </w:rPr>
    </w:lvl>
    <w:lvl w:ilvl="3" w:tplc="92FC7814">
      <w:start w:val="1"/>
      <w:numFmt w:val="bullet"/>
      <w:lvlText w:val=""/>
      <w:lvlJc w:val="left"/>
      <w:pPr>
        <w:ind w:left="2880" w:hanging="360"/>
      </w:pPr>
      <w:rPr>
        <w:rFonts w:ascii="Times New Roman félkövér" w:hAnsi="Times New Roman félkövér" w:hint="default"/>
      </w:rPr>
    </w:lvl>
    <w:lvl w:ilvl="4" w:tplc="0D4A42B8">
      <w:start w:val="1"/>
      <w:numFmt w:val="bullet"/>
      <w:lvlText w:val="o"/>
      <w:lvlJc w:val="left"/>
      <w:pPr>
        <w:ind w:left="3600" w:hanging="360"/>
      </w:pPr>
      <w:rPr>
        <w:rFonts w:ascii="Segoe UI Emoji" w:hAnsi="Segoe UI Emoji" w:hint="default"/>
      </w:rPr>
    </w:lvl>
    <w:lvl w:ilvl="5" w:tplc="E1DAE3B8">
      <w:start w:val="1"/>
      <w:numFmt w:val="bullet"/>
      <w:lvlText w:val=""/>
      <w:lvlJc w:val="left"/>
      <w:pPr>
        <w:ind w:left="4320" w:hanging="360"/>
      </w:pPr>
      <w:rPr>
        <w:rFonts w:ascii="@MS Mincho" w:hAnsi="@MS Mincho" w:hint="default"/>
      </w:rPr>
    </w:lvl>
    <w:lvl w:ilvl="6" w:tplc="8DB4CBD2">
      <w:start w:val="1"/>
      <w:numFmt w:val="bullet"/>
      <w:lvlText w:val=""/>
      <w:lvlJc w:val="left"/>
      <w:pPr>
        <w:ind w:left="5040" w:hanging="360"/>
      </w:pPr>
      <w:rPr>
        <w:rFonts w:ascii="Times New Roman félkövér" w:hAnsi="Times New Roman félkövér" w:hint="default"/>
      </w:rPr>
    </w:lvl>
    <w:lvl w:ilvl="7" w:tplc="BDBA31D6">
      <w:start w:val="1"/>
      <w:numFmt w:val="bullet"/>
      <w:lvlText w:val="o"/>
      <w:lvlJc w:val="left"/>
      <w:pPr>
        <w:ind w:left="5760" w:hanging="360"/>
      </w:pPr>
      <w:rPr>
        <w:rFonts w:ascii="Segoe UI Emoji" w:hAnsi="Segoe UI Emoji" w:hint="default"/>
      </w:rPr>
    </w:lvl>
    <w:lvl w:ilvl="8" w:tplc="270C7E80">
      <w:start w:val="1"/>
      <w:numFmt w:val="bullet"/>
      <w:lvlText w:val=""/>
      <w:lvlJc w:val="left"/>
      <w:pPr>
        <w:ind w:left="6480" w:hanging="360"/>
      </w:pPr>
      <w:rPr>
        <w:rFonts w:ascii="@MS Mincho" w:hAnsi="@MS Mincho" w:hint="default"/>
      </w:rPr>
    </w:lvl>
  </w:abstractNum>
  <w:abstractNum w:abstractNumId="58" w15:restartNumberingAfterBreak="0">
    <w:nsid w:val="44136177"/>
    <w:multiLevelType w:val="hybridMultilevel"/>
    <w:tmpl w:val="D31ECAFC"/>
    <w:lvl w:ilvl="0" w:tplc="991C3E1E">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60" w15:restartNumberingAfterBreak="0">
    <w:nsid w:val="456A440E"/>
    <w:multiLevelType w:val="hybridMultilevel"/>
    <w:tmpl w:val="193469B6"/>
    <w:lvl w:ilvl="0" w:tplc="991C3E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6A236D"/>
    <w:multiLevelType w:val="hybridMultilevel"/>
    <w:tmpl w:val="DC487180"/>
    <w:lvl w:ilvl="0" w:tplc="991C3E1E">
      <w:start w:val="1"/>
      <w:numFmt w:val="bullet"/>
      <w:lvlText w:val="-"/>
      <w:lvlJc w:val="left"/>
      <w:pPr>
        <w:ind w:left="720" w:hanging="360"/>
      </w:pPr>
      <w:rPr>
        <w:rFonts w:ascii="Calibri" w:hAnsi="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48477D5B"/>
    <w:multiLevelType w:val="hybridMultilevel"/>
    <w:tmpl w:val="A41A2424"/>
    <w:lvl w:ilvl="0" w:tplc="991C3E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85C3822"/>
    <w:multiLevelType w:val="hybridMultilevel"/>
    <w:tmpl w:val="4BB007BE"/>
    <w:lvl w:ilvl="0" w:tplc="08160001">
      <w:start w:val="1"/>
      <w:numFmt w:val="bullet"/>
      <w:lvlText w:val=""/>
      <w:lvlJc w:val="left"/>
      <w:pPr>
        <w:ind w:left="6881"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4" w15:restartNumberingAfterBreak="0">
    <w:nsid w:val="4A1837DC"/>
    <w:multiLevelType w:val="multilevel"/>
    <w:tmpl w:val="5ED821E4"/>
    <w:lvl w:ilvl="0">
      <w:start w:val="1"/>
      <w:numFmt w:val="bullet"/>
      <w:lvlText w:val="-"/>
      <w:lvlJc w:val="left"/>
      <w:rPr>
        <w:rFonts w:ascii="Calibri" w:hAnsi="Calibri" w:hint="default"/>
        <w:b w:val="0"/>
        <w:bCs w:val="0"/>
        <w:i w:val="0"/>
        <w:iCs w:val="0"/>
        <w:smallCaps w:val="0"/>
        <w:strike w:val="0"/>
        <w:color w:val="000000"/>
        <w:spacing w:val="0"/>
        <w:w w:val="100"/>
        <w:position w:val="0"/>
        <w:sz w:val="21"/>
        <w:szCs w:val="21"/>
        <w:u w:val="none"/>
        <w:lang w:val="pt-PT" w:eastAsia="pt-PT" w:bidi="pt-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ABB3D79"/>
    <w:multiLevelType w:val="hybridMultilevel"/>
    <w:tmpl w:val="C06EC8F2"/>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MS Mincho" w:hAnsi="MS Mincho" w:hint="default"/>
      </w:rPr>
    </w:lvl>
    <w:lvl w:ilvl="3" w:tplc="FFFFFFFF">
      <w:start w:val="1"/>
      <w:numFmt w:val="bullet"/>
      <w:lvlText w:val=""/>
      <w:lvlJc w:val="left"/>
      <w:pPr>
        <w:ind w:left="2880" w:hanging="360"/>
      </w:pPr>
      <w:rPr>
        <w:rFonts w:ascii="Times New Roman félkövér" w:hAnsi="Times New Roman félkövér"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MS Mincho" w:hAnsi="MS Mincho" w:hint="default"/>
      </w:rPr>
    </w:lvl>
    <w:lvl w:ilvl="6" w:tplc="FFFFFFFF">
      <w:start w:val="1"/>
      <w:numFmt w:val="bullet"/>
      <w:lvlText w:val=""/>
      <w:lvlJc w:val="left"/>
      <w:pPr>
        <w:ind w:left="5040" w:hanging="360"/>
      </w:pPr>
      <w:rPr>
        <w:rFonts w:ascii="Times New Roman félkövér" w:hAnsi="Times New Roman félkövér"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MS Mincho" w:hAnsi="MS Mincho" w:hint="default"/>
      </w:rPr>
    </w:lvl>
  </w:abstractNum>
  <w:abstractNum w:abstractNumId="66" w15:restartNumberingAfterBreak="0">
    <w:nsid w:val="4B1B1BD9"/>
    <w:multiLevelType w:val="hybridMultilevel"/>
    <w:tmpl w:val="30E29848"/>
    <w:lvl w:ilvl="0" w:tplc="B8D40F1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9818A8"/>
    <w:multiLevelType w:val="hybridMultilevel"/>
    <w:tmpl w:val="2FD8C976"/>
    <w:lvl w:ilvl="0" w:tplc="991C3E1E">
      <w:start w:val="1"/>
      <w:numFmt w:val="bullet"/>
      <w:lvlText w:val="-"/>
      <w:lvlJc w:val="left"/>
      <w:pPr>
        <w:ind w:left="720" w:hanging="360"/>
      </w:pPr>
      <w:rPr>
        <w:rFonts w:ascii="Calibri" w:hAnsi="Calibri" w:hint="default"/>
      </w:rPr>
    </w:lvl>
    <w:lvl w:ilvl="1" w:tplc="991C3E1E">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B12C54"/>
    <w:multiLevelType w:val="hybridMultilevel"/>
    <w:tmpl w:val="FFFFFFFF"/>
    <w:lvl w:ilvl="0" w:tplc="67BE596E">
      <w:start w:val="1"/>
      <w:numFmt w:val="bullet"/>
      <w:lvlText w:val="-"/>
      <w:lvlJc w:val="left"/>
      <w:pPr>
        <w:ind w:left="720" w:hanging="360"/>
      </w:pPr>
      <w:rPr>
        <w:rFonts w:ascii="Calibri" w:hAnsi="Calibri" w:hint="default"/>
      </w:rPr>
    </w:lvl>
    <w:lvl w:ilvl="1" w:tplc="39DCF4AA">
      <w:start w:val="1"/>
      <w:numFmt w:val="bullet"/>
      <w:lvlText w:val="o"/>
      <w:lvlJc w:val="left"/>
      <w:pPr>
        <w:ind w:left="1440" w:hanging="360"/>
      </w:pPr>
      <w:rPr>
        <w:rFonts w:ascii="Courier New" w:hAnsi="Courier New" w:hint="default"/>
      </w:rPr>
    </w:lvl>
    <w:lvl w:ilvl="2" w:tplc="E71A66AE">
      <w:start w:val="1"/>
      <w:numFmt w:val="bullet"/>
      <w:lvlText w:val=""/>
      <w:lvlJc w:val="left"/>
      <w:pPr>
        <w:ind w:left="2160" w:hanging="360"/>
      </w:pPr>
      <w:rPr>
        <w:rFonts w:ascii="Wingdings" w:hAnsi="Wingdings" w:hint="default"/>
      </w:rPr>
    </w:lvl>
    <w:lvl w:ilvl="3" w:tplc="7D04A362">
      <w:start w:val="1"/>
      <w:numFmt w:val="bullet"/>
      <w:lvlText w:val=""/>
      <w:lvlJc w:val="left"/>
      <w:pPr>
        <w:ind w:left="2880" w:hanging="360"/>
      </w:pPr>
      <w:rPr>
        <w:rFonts w:ascii="Symbol" w:hAnsi="Symbol" w:hint="default"/>
      </w:rPr>
    </w:lvl>
    <w:lvl w:ilvl="4" w:tplc="6DBC2DA6">
      <w:start w:val="1"/>
      <w:numFmt w:val="bullet"/>
      <w:lvlText w:val="o"/>
      <w:lvlJc w:val="left"/>
      <w:pPr>
        <w:ind w:left="3600" w:hanging="360"/>
      </w:pPr>
      <w:rPr>
        <w:rFonts w:ascii="Courier New" w:hAnsi="Courier New" w:hint="default"/>
      </w:rPr>
    </w:lvl>
    <w:lvl w:ilvl="5" w:tplc="A5CCEC06">
      <w:start w:val="1"/>
      <w:numFmt w:val="bullet"/>
      <w:lvlText w:val=""/>
      <w:lvlJc w:val="left"/>
      <w:pPr>
        <w:ind w:left="4320" w:hanging="360"/>
      </w:pPr>
      <w:rPr>
        <w:rFonts w:ascii="Wingdings" w:hAnsi="Wingdings" w:hint="default"/>
      </w:rPr>
    </w:lvl>
    <w:lvl w:ilvl="6" w:tplc="2BEEA494">
      <w:start w:val="1"/>
      <w:numFmt w:val="bullet"/>
      <w:lvlText w:val=""/>
      <w:lvlJc w:val="left"/>
      <w:pPr>
        <w:ind w:left="5040" w:hanging="360"/>
      </w:pPr>
      <w:rPr>
        <w:rFonts w:ascii="Symbol" w:hAnsi="Symbol" w:hint="default"/>
      </w:rPr>
    </w:lvl>
    <w:lvl w:ilvl="7" w:tplc="5B7C1BD2">
      <w:start w:val="1"/>
      <w:numFmt w:val="bullet"/>
      <w:lvlText w:val="o"/>
      <w:lvlJc w:val="left"/>
      <w:pPr>
        <w:ind w:left="5760" w:hanging="360"/>
      </w:pPr>
      <w:rPr>
        <w:rFonts w:ascii="Courier New" w:hAnsi="Courier New" w:hint="default"/>
      </w:rPr>
    </w:lvl>
    <w:lvl w:ilvl="8" w:tplc="BE265C54">
      <w:start w:val="1"/>
      <w:numFmt w:val="bullet"/>
      <w:lvlText w:val=""/>
      <w:lvlJc w:val="left"/>
      <w:pPr>
        <w:ind w:left="6480" w:hanging="360"/>
      </w:pPr>
      <w:rPr>
        <w:rFonts w:ascii="Wingdings" w:hAnsi="Wingdings" w:hint="default"/>
      </w:rPr>
    </w:lvl>
  </w:abstractNum>
  <w:abstractNum w:abstractNumId="69" w15:restartNumberingAfterBreak="0">
    <w:nsid w:val="4ED0C028"/>
    <w:multiLevelType w:val="hybridMultilevel"/>
    <w:tmpl w:val="FFFFFFFF"/>
    <w:lvl w:ilvl="0" w:tplc="70B664EC">
      <w:start w:val="1"/>
      <w:numFmt w:val="bullet"/>
      <w:lvlText w:val=""/>
      <w:lvlJc w:val="left"/>
      <w:pPr>
        <w:ind w:left="720" w:hanging="360"/>
      </w:pPr>
      <w:rPr>
        <w:rFonts w:ascii="Symbol" w:hAnsi="Symbol" w:hint="default"/>
      </w:rPr>
    </w:lvl>
    <w:lvl w:ilvl="1" w:tplc="229C186A">
      <w:start w:val="1"/>
      <w:numFmt w:val="bullet"/>
      <w:lvlText w:val="o"/>
      <w:lvlJc w:val="left"/>
      <w:pPr>
        <w:ind w:left="1440" w:hanging="360"/>
      </w:pPr>
      <w:rPr>
        <w:rFonts w:ascii="Courier New" w:hAnsi="Courier New" w:hint="default"/>
      </w:rPr>
    </w:lvl>
    <w:lvl w:ilvl="2" w:tplc="DEAAE380">
      <w:start w:val="1"/>
      <w:numFmt w:val="bullet"/>
      <w:lvlText w:val=""/>
      <w:lvlJc w:val="left"/>
      <w:pPr>
        <w:ind w:left="2160" w:hanging="360"/>
      </w:pPr>
      <w:rPr>
        <w:rFonts w:ascii="Wingdings" w:hAnsi="Wingdings" w:hint="default"/>
      </w:rPr>
    </w:lvl>
    <w:lvl w:ilvl="3" w:tplc="3A6A8586">
      <w:start w:val="1"/>
      <w:numFmt w:val="bullet"/>
      <w:lvlText w:val=""/>
      <w:lvlJc w:val="left"/>
      <w:pPr>
        <w:ind w:left="2880" w:hanging="360"/>
      </w:pPr>
      <w:rPr>
        <w:rFonts w:ascii="Symbol" w:hAnsi="Symbol" w:hint="default"/>
      </w:rPr>
    </w:lvl>
    <w:lvl w:ilvl="4" w:tplc="0652EBEC">
      <w:start w:val="1"/>
      <w:numFmt w:val="bullet"/>
      <w:lvlText w:val="o"/>
      <w:lvlJc w:val="left"/>
      <w:pPr>
        <w:ind w:left="3600" w:hanging="360"/>
      </w:pPr>
      <w:rPr>
        <w:rFonts w:ascii="Courier New" w:hAnsi="Courier New" w:hint="default"/>
      </w:rPr>
    </w:lvl>
    <w:lvl w:ilvl="5" w:tplc="61A2DDD2">
      <w:start w:val="1"/>
      <w:numFmt w:val="bullet"/>
      <w:lvlText w:val=""/>
      <w:lvlJc w:val="left"/>
      <w:pPr>
        <w:ind w:left="4320" w:hanging="360"/>
      </w:pPr>
      <w:rPr>
        <w:rFonts w:ascii="Wingdings" w:hAnsi="Wingdings" w:hint="default"/>
      </w:rPr>
    </w:lvl>
    <w:lvl w:ilvl="6" w:tplc="53E013E6">
      <w:start w:val="1"/>
      <w:numFmt w:val="bullet"/>
      <w:lvlText w:val=""/>
      <w:lvlJc w:val="left"/>
      <w:pPr>
        <w:ind w:left="5040" w:hanging="360"/>
      </w:pPr>
      <w:rPr>
        <w:rFonts w:ascii="Symbol" w:hAnsi="Symbol" w:hint="default"/>
      </w:rPr>
    </w:lvl>
    <w:lvl w:ilvl="7" w:tplc="E646C87C">
      <w:start w:val="1"/>
      <w:numFmt w:val="bullet"/>
      <w:lvlText w:val="o"/>
      <w:lvlJc w:val="left"/>
      <w:pPr>
        <w:ind w:left="5760" w:hanging="360"/>
      </w:pPr>
      <w:rPr>
        <w:rFonts w:ascii="Courier New" w:hAnsi="Courier New" w:hint="default"/>
      </w:rPr>
    </w:lvl>
    <w:lvl w:ilvl="8" w:tplc="D16C9752">
      <w:start w:val="1"/>
      <w:numFmt w:val="bullet"/>
      <w:lvlText w:val=""/>
      <w:lvlJc w:val="left"/>
      <w:pPr>
        <w:ind w:left="6480" w:hanging="360"/>
      </w:pPr>
      <w:rPr>
        <w:rFonts w:ascii="Wingdings" w:hAnsi="Wingdings" w:hint="default"/>
      </w:rPr>
    </w:lvl>
  </w:abstractNum>
  <w:abstractNum w:abstractNumId="70" w15:restartNumberingAfterBreak="0">
    <w:nsid w:val="5193D5D3"/>
    <w:multiLevelType w:val="hybridMultilevel"/>
    <w:tmpl w:val="FFFFFFFF"/>
    <w:lvl w:ilvl="0" w:tplc="D2221486">
      <w:start w:val="1"/>
      <w:numFmt w:val="bullet"/>
      <w:lvlText w:val="-"/>
      <w:lvlJc w:val="left"/>
      <w:pPr>
        <w:ind w:left="720" w:hanging="360"/>
      </w:pPr>
      <w:rPr>
        <w:rFonts w:ascii="Calibri" w:hAnsi="Calibri" w:hint="default"/>
      </w:rPr>
    </w:lvl>
    <w:lvl w:ilvl="1" w:tplc="CB146F18">
      <w:start w:val="1"/>
      <w:numFmt w:val="bullet"/>
      <w:lvlText w:val="o"/>
      <w:lvlJc w:val="left"/>
      <w:pPr>
        <w:ind w:left="1440" w:hanging="360"/>
      </w:pPr>
      <w:rPr>
        <w:rFonts w:ascii="Courier New" w:hAnsi="Courier New" w:hint="default"/>
      </w:rPr>
    </w:lvl>
    <w:lvl w:ilvl="2" w:tplc="51661310">
      <w:start w:val="1"/>
      <w:numFmt w:val="bullet"/>
      <w:lvlText w:val=""/>
      <w:lvlJc w:val="left"/>
      <w:pPr>
        <w:ind w:left="2160" w:hanging="360"/>
      </w:pPr>
      <w:rPr>
        <w:rFonts w:ascii="Wingdings" w:hAnsi="Wingdings" w:hint="default"/>
      </w:rPr>
    </w:lvl>
    <w:lvl w:ilvl="3" w:tplc="906C137C">
      <w:start w:val="1"/>
      <w:numFmt w:val="bullet"/>
      <w:lvlText w:val=""/>
      <w:lvlJc w:val="left"/>
      <w:pPr>
        <w:ind w:left="2880" w:hanging="360"/>
      </w:pPr>
      <w:rPr>
        <w:rFonts w:ascii="Symbol" w:hAnsi="Symbol" w:hint="default"/>
      </w:rPr>
    </w:lvl>
    <w:lvl w:ilvl="4" w:tplc="EB9A1A44">
      <w:start w:val="1"/>
      <w:numFmt w:val="bullet"/>
      <w:lvlText w:val="o"/>
      <w:lvlJc w:val="left"/>
      <w:pPr>
        <w:ind w:left="3600" w:hanging="360"/>
      </w:pPr>
      <w:rPr>
        <w:rFonts w:ascii="Courier New" w:hAnsi="Courier New" w:hint="default"/>
      </w:rPr>
    </w:lvl>
    <w:lvl w:ilvl="5" w:tplc="F35E1ABE">
      <w:start w:val="1"/>
      <w:numFmt w:val="bullet"/>
      <w:lvlText w:val=""/>
      <w:lvlJc w:val="left"/>
      <w:pPr>
        <w:ind w:left="4320" w:hanging="360"/>
      </w:pPr>
      <w:rPr>
        <w:rFonts w:ascii="Wingdings" w:hAnsi="Wingdings" w:hint="default"/>
      </w:rPr>
    </w:lvl>
    <w:lvl w:ilvl="6" w:tplc="2EFE484C">
      <w:start w:val="1"/>
      <w:numFmt w:val="bullet"/>
      <w:lvlText w:val=""/>
      <w:lvlJc w:val="left"/>
      <w:pPr>
        <w:ind w:left="5040" w:hanging="360"/>
      </w:pPr>
      <w:rPr>
        <w:rFonts w:ascii="Symbol" w:hAnsi="Symbol" w:hint="default"/>
      </w:rPr>
    </w:lvl>
    <w:lvl w:ilvl="7" w:tplc="FC420202">
      <w:start w:val="1"/>
      <w:numFmt w:val="bullet"/>
      <w:lvlText w:val="o"/>
      <w:lvlJc w:val="left"/>
      <w:pPr>
        <w:ind w:left="5760" w:hanging="360"/>
      </w:pPr>
      <w:rPr>
        <w:rFonts w:ascii="Courier New" w:hAnsi="Courier New" w:hint="default"/>
      </w:rPr>
    </w:lvl>
    <w:lvl w:ilvl="8" w:tplc="4B182AFA">
      <w:start w:val="1"/>
      <w:numFmt w:val="bullet"/>
      <w:lvlText w:val=""/>
      <w:lvlJc w:val="left"/>
      <w:pPr>
        <w:ind w:left="6480" w:hanging="360"/>
      </w:pPr>
      <w:rPr>
        <w:rFonts w:ascii="Wingdings" w:hAnsi="Wingdings" w:hint="default"/>
      </w:rPr>
    </w:lvl>
  </w:abstractNum>
  <w:abstractNum w:abstractNumId="71" w15:restartNumberingAfterBreak="0">
    <w:nsid w:val="546F43D9"/>
    <w:multiLevelType w:val="hybridMultilevel"/>
    <w:tmpl w:val="FFFFFFFF"/>
    <w:lvl w:ilvl="0" w:tplc="601C9C88">
      <w:start w:val="6"/>
      <w:numFmt w:val="decimal"/>
      <w:lvlText w:val="%1."/>
      <w:lvlJc w:val="left"/>
      <w:pPr>
        <w:ind w:left="720" w:hanging="360"/>
      </w:pPr>
      <w:rPr>
        <w:rFonts w:ascii="Arial" w:hAnsi="Arial" w:hint="default"/>
      </w:rPr>
    </w:lvl>
    <w:lvl w:ilvl="1" w:tplc="BC4A186E">
      <w:start w:val="1"/>
      <w:numFmt w:val="lowerLetter"/>
      <w:lvlText w:val="%2."/>
      <w:lvlJc w:val="left"/>
      <w:pPr>
        <w:ind w:left="1440" w:hanging="360"/>
      </w:pPr>
    </w:lvl>
    <w:lvl w:ilvl="2" w:tplc="98BA893C">
      <w:start w:val="1"/>
      <w:numFmt w:val="lowerRoman"/>
      <w:lvlText w:val="%3."/>
      <w:lvlJc w:val="right"/>
      <w:pPr>
        <w:ind w:left="2160" w:hanging="180"/>
      </w:pPr>
    </w:lvl>
    <w:lvl w:ilvl="3" w:tplc="6484B7FA">
      <w:start w:val="1"/>
      <w:numFmt w:val="decimal"/>
      <w:lvlText w:val="%4."/>
      <w:lvlJc w:val="left"/>
      <w:pPr>
        <w:ind w:left="2880" w:hanging="360"/>
      </w:pPr>
    </w:lvl>
    <w:lvl w:ilvl="4" w:tplc="7374820E">
      <w:start w:val="1"/>
      <w:numFmt w:val="lowerLetter"/>
      <w:lvlText w:val="%5."/>
      <w:lvlJc w:val="left"/>
      <w:pPr>
        <w:ind w:left="3600" w:hanging="360"/>
      </w:pPr>
    </w:lvl>
    <w:lvl w:ilvl="5" w:tplc="CEC29C34">
      <w:start w:val="1"/>
      <w:numFmt w:val="lowerRoman"/>
      <w:lvlText w:val="%6."/>
      <w:lvlJc w:val="right"/>
      <w:pPr>
        <w:ind w:left="4320" w:hanging="180"/>
      </w:pPr>
    </w:lvl>
    <w:lvl w:ilvl="6" w:tplc="23CA4A52">
      <w:start w:val="1"/>
      <w:numFmt w:val="decimal"/>
      <w:lvlText w:val="%7."/>
      <w:lvlJc w:val="left"/>
      <w:pPr>
        <w:ind w:left="5040" w:hanging="360"/>
      </w:pPr>
    </w:lvl>
    <w:lvl w:ilvl="7" w:tplc="B5A617FE">
      <w:start w:val="1"/>
      <w:numFmt w:val="lowerLetter"/>
      <w:lvlText w:val="%8."/>
      <w:lvlJc w:val="left"/>
      <w:pPr>
        <w:ind w:left="5760" w:hanging="360"/>
      </w:pPr>
    </w:lvl>
    <w:lvl w:ilvl="8" w:tplc="EF2CE8C4">
      <w:start w:val="1"/>
      <w:numFmt w:val="lowerRoman"/>
      <w:lvlText w:val="%9."/>
      <w:lvlJc w:val="right"/>
      <w:pPr>
        <w:ind w:left="6480" w:hanging="180"/>
      </w:pPr>
    </w:lvl>
  </w:abstractNum>
  <w:abstractNum w:abstractNumId="72" w15:restartNumberingAfterBreak="0">
    <w:nsid w:val="5562828A"/>
    <w:multiLevelType w:val="hybridMultilevel"/>
    <w:tmpl w:val="FFFFFFFF"/>
    <w:lvl w:ilvl="0" w:tplc="98AED4AE">
      <w:start w:val="1"/>
      <w:numFmt w:val="bullet"/>
      <w:lvlText w:val="-"/>
      <w:lvlJc w:val="left"/>
      <w:pPr>
        <w:ind w:left="720" w:hanging="360"/>
      </w:pPr>
      <w:rPr>
        <w:rFonts w:ascii="Calibri" w:hAnsi="Calibri" w:hint="default"/>
      </w:rPr>
    </w:lvl>
    <w:lvl w:ilvl="1" w:tplc="9184ECD6">
      <w:start w:val="1"/>
      <w:numFmt w:val="bullet"/>
      <w:lvlText w:val="o"/>
      <w:lvlJc w:val="left"/>
      <w:pPr>
        <w:ind w:left="1440" w:hanging="360"/>
      </w:pPr>
      <w:rPr>
        <w:rFonts w:ascii="Courier New" w:hAnsi="Courier New" w:hint="default"/>
      </w:rPr>
    </w:lvl>
    <w:lvl w:ilvl="2" w:tplc="5F6E988E">
      <w:start w:val="1"/>
      <w:numFmt w:val="bullet"/>
      <w:lvlText w:val=""/>
      <w:lvlJc w:val="left"/>
      <w:pPr>
        <w:ind w:left="2160" w:hanging="360"/>
      </w:pPr>
      <w:rPr>
        <w:rFonts w:ascii="Wingdings" w:hAnsi="Wingdings" w:hint="default"/>
      </w:rPr>
    </w:lvl>
    <w:lvl w:ilvl="3" w:tplc="180828B2">
      <w:start w:val="1"/>
      <w:numFmt w:val="bullet"/>
      <w:lvlText w:val=""/>
      <w:lvlJc w:val="left"/>
      <w:pPr>
        <w:ind w:left="2880" w:hanging="360"/>
      </w:pPr>
      <w:rPr>
        <w:rFonts w:ascii="Symbol" w:hAnsi="Symbol" w:hint="default"/>
      </w:rPr>
    </w:lvl>
    <w:lvl w:ilvl="4" w:tplc="90082408">
      <w:start w:val="1"/>
      <w:numFmt w:val="bullet"/>
      <w:lvlText w:val="o"/>
      <w:lvlJc w:val="left"/>
      <w:pPr>
        <w:ind w:left="3600" w:hanging="360"/>
      </w:pPr>
      <w:rPr>
        <w:rFonts w:ascii="Courier New" w:hAnsi="Courier New" w:hint="default"/>
      </w:rPr>
    </w:lvl>
    <w:lvl w:ilvl="5" w:tplc="BCE087CA">
      <w:start w:val="1"/>
      <w:numFmt w:val="bullet"/>
      <w:lvlText w:val=""/>
      <w:lvlJc w:val="left"/>
      <w:pPr>
        <w:ind w:left="4320" w:hanging="360"/>
      </w:pPr>
      <w:rPr>
        <w:rFonts w:ascii="Wingdings" w:hAnsi="Wingdings" w:hint="default"/>
      </w:rPr>
    </w:lvl>
    <w:lvl w:ilvl="6" w:tplc="EEC8FCD8">
      <w:start w:val="1"/>
      <w:numFmt w:val="bullet"/>
      <w:lvlText w:val=""/>
      <w:lvlJc w:val="left"/>
      <w:pPr>
        <w:ind w:left="5040" w:hanging="360"/>
      </w:pPr>
      <w:rPr>
        <w:rFonts w:ascii="Symbol" w:hAnsi="Symbol" w:hint="default"/>
      </w:rPr>
    </w:lvl>
    <w:lvl w:ilvl="7" w:tplc="A46C5D0E">
      <w:start w:val="1"/>
      <w:numFmt w:val="bullet"/>
      <w:lvlText w:val="o"/>
      <w:lvlJc w:val="left"/>
      <w:pPr>
        <w:ind w:left="5760" w:hanging="360"/>
      </w:pPr>
      <w:rPr>
        <w:rFonts w:ascii="Courier New" w:hAnsi="Courier New" w:hint="default"/>
      </w:rPr>
    </w:lvl>
    <w:lvl w:ilvl="8" w:tplc="3E50D7EC">
      <w:start w:val="1"/>
      <w:numFmt w:val="bullet"/>
      <w:lvlText w:val=""/>
      <w:lvlJc w:val="left"/>
      <w:pPr>
        <w:ind w:left="6480" w:hanging="360"/>
      </w:pPr>
      <w:rPr>
        <w:rFonts w:ascii="Wingdings" w:hAnsi="Wingdings" w:hint="default"/>
      </w:rPr>
    </w:lvl>
  </w:abstractNum>
  <w:abstractNum w:abstractNumId="73"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4" w15:restartNumberingAfterBreak="0">
    <w:nsid w:val="55722B6B"/>
    <w:multiLevelType w:val="hybridMultilevel"/>
    <w:tmpl w:val="B8C4C9B2"/>
    <w:lvl w:ilvl="0" w:tplc="991C3E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6C806B2"/>
    <w:multiLevelType w:val="hybridMultilevel"/>
    <w:tmpl w:val="29FE3B06"/>
    <w:lvl w:ilvl="0" w:tplc="FFFFFFFF">
      <w:start w:val="1"/>
      <w:numFmt w:val="bullet"/>
      <w:lvlText w:val="-"/>
      <w:lvlJc w:val="left"/>
      <w:pPr>
        <w:ind w:left="720" w:hanging="360"/>
      </w:pPr>
      <w:rPr>
        <w:rFonts w:ascii="Times New Roman" w:hAnsi="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6"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77" w15:restartNumberingAfterBreak="0">
    <w:nsid w:val="5B61650C"/>
    <w:multiLevelType w:val="hybridMultilevel"/>
    <w:tmpl w:val="3BAED582"/>
    <w:lvl w:ilvl="0" w:tplc="18090001">
      <w:start w:val="1"/>
      <w:numFmt w:val="bullet"/>
      <w:lvlText w:val=""/>
      <w:lvlJc w:val="left"/>
      <w:pPr>
        <w:ind w:left="720" w:hanging="360"/>
      </w:pPr>
      <w:rPr>
        <w:rFonts w:ascii="MS Mincho" w:hAnsi="MS Mincho" w:hint="default"/>
      </w:rPr>
    </w:lvl>
    <w:lvl w:ilvl="1" w:tplc="FFFFFFFF">
      <w:start w:val="1"/>
      <w:numFmt w:val="bullet"/>
      <w:lvlText w:val="o"/>
      <w:lvlJc w:val="left"/>
      <w:pPr>
        <w:ind w:left="1440" w:hanging="360"/>
      </w:pPr>
      <w:rPr>
        <w:rFonts w:ascii="Segoe UI Emoji" w:hAnsi="Segoe UI Emoji" w:hint="default"/>
      </w:rPr>
    </w:lvl>
    <w:lvl w:ilvl="2" w:tplc="FFFFFFFF">
      <w:start w:val="1"/>
      <w:numFmt w:val="bullet"/>
      <w:lvlText w:val=""/>
      <w:lvlJc w:val="left"/>
      <w:pPr>
        <w:ind w:left="2160" w:hanging="360"/>
      </w:pPr>
      <w:rPr>
        <w:rFonts w:ascii="@MS Mincho" w:hAnsi="@MS Mincho" w:hint="default"/>
      </w:rPr>
    </w:lvl>
    <w:lvl w:ilvl="3" w:tplc="FFFFFFFF">
      <w:start w:val="1"/>
      <w:numFmt w:val="bullet"/>
      <w:lvlText w:val=""/>
      <w:lvlJc w:val="left"/>
      <w:pPr>
        <w:ind w:left="2880" w:hanging="360"/>
      </w:pPr>
      <w:rPr>
        <w:rFonts w:ascii="Times New Roman félkövér" w:hAnsi="Times New Roman félkövér" w:hint="default"/>
      </w:rPr>
    </w:lvl>
    <w:lvl w:ilvl="4" w:tplc="FFFFFFFF">
      <w:start w:val="1"/>
      <w:numFmt w:val="bullet"/>
      <w:lvlText w:val="o"/>
      <w:lvlJc w:val="left"/>
      <w:pPr>
        <w:ind w:left="3600" w:hanging="360"/>
      </w:pPr>
      <w:rPr>
        <w:rFonts w:ascii="Segoe UI Emoji" w:hAnsi="Segoe UI Emoji" w:hint="default"/>
      </w:rPr>
    </w:lvl>
    <w:lvl w:ilvl="5" w:tplc="FFFFFFFF">
      <w:start w:val="1"/>
      <w:numFmt w:val="bullet"/>
      <w:lvlText w:val=""/>
      <w:lvlJc w:val="left"/>
      <w:pPr>
        <w:ind w:left="4320" w:hanging="360"/>
      </w:pPr>
      <w:rPr>
        <w:rFonts w:ascii="@MS Mincho" w:hAnsi="@MS Mincho" w:hint="default"/>
      </w:rPr>
    </w:lvl>
    <w:lvl w:ilvl="6" w:tplc="FFFFFFFF">
      <w:start w:val="1"/>
      <w:numFmt w:val="bullet"/>
      <w:lvlText w:val=""/>
      <w:lvlJc w:val="left"/>
      <w:pPr>
        <w:ind w:left="5040" w:hanging="360"/>
      </w:pPr>
      <w:rPr>
        <w:rFonts w:ascii="Times New Roman félkövér" w:hAnsi="Times New Roman félkövér" w:hint="default"/>
      </w:rPr>
    </w:lvl>
    <w:lvl w:ilvl="7" w:tplc="FFFFFFFF">
      <w:start w:val="1"/>
      <w:numFmt w:val="bullet"/>
      <w:lvlText w:val="o"/>
      <w:lvlJc w:val="left"/>
      <w:pPr>
        <w:ind w:left="5760" w:hanging="360"/>
      </w:pPr>
      <w:rPr>
        <w:rFonts w:ascii="Segoe UI Emoji" w:hAnsi="Segoe UI Emoji" w:hint="default"/>
      </w:rPr>
    </w:lvl>
    <w:lvl w:ilvl="8" w:tplc="FFFFFFFF">
      <w:start w:val="1"/>
      <w:numFmt w:val="bullet"/>
      <w:lvlText w:val=""/>
      <w:lvlJc w:val="left"/>
      <w:pPr>
        <w:ind w:left="6480" w:hanging="360"/>
      </w:pPr>
      <w:rPr>
        <w:rFonts w:ascii="@MS Mincho" w:hAnsi="@MS Mincho" w:hint="default"/>
      </w:rPr>
    </w:lvl>
  </w:abstractNum>
  <w:abstractNum w:abstractNumId="78" w15:restartNumberingAfterBreak="0">
    <w:nsid w:val="5B7B4212"/>
    <w:multiLevelType w:val="hybridMultilevel"/>
    <w:tmpl w:val="FFFFFFFF"/>
    <w:lvl w:ilvl="0" w:tplc="5584427E">
      <w:start w:val="1"/>
      <w:numFmt w:val="bullet"/>
      <w:lvlText w:val="-"/>
      <w:lvlJc w:val="left"/>
      <w:pPr>
        <w:ind w:left="720" w:hanging="360"/>
      </w:pPr>
      <w:rPr>
        <w:rFonts w:ascii="Yu Mincho Light" w:hAnsi="Yu Mincho Light" w:hint="default"/>
      </w:rPr>
    </w:lvl>
    <w:lvl w:ilvl="1" w:tplc="70109100">
      <w:start w:val="1"/>
      <w:numFmt w:val="bullet"/>
      <w:lvlText w:val="o"/>
      <w:lvlJc w:val="left"/>
      <w:pPr>
        <w:ind w:left="1440" w:hanging="360"/>
      </w:pPr>
      <w:rPr>
        <w:rFonts w:ascii="@MS Mincho" w:hAnsi="@MS Mincho" w:hint="default"/>
      </w:rPr>
    </w:lvl>
    <w:lvl w:ilvl="2" w:tplc="530A15BE">
      <w:start w:val="1"/>
      <w:numFmt w:val="bullet"/>
      <w:lvlText w:val=""/>
      <w:lvlJc w:val="left"/>
      <w:pPr>
        <w:ind w:left="2160" w:hanging="360"/>
      </w:pPr>
      <w:rPr>
        <w:rFonts w:ascii="MS Mincho" w:hAnsi="MS Mincho" w:hint="default"/>
      </w:rPr>
    </w:lvl>
    <w:lvl w:ilvl="3" w:tplc="9E56B07C">
      <w:start w:val="1"/>
      <w:numFmt w:val="bullet"/>
      <w:lvlText w:val=""/>
      <w:lvlJc w:val="left"/>
      <w:pPr>
        <w:ind w:left="2880" w:hanging="360"/>
      </w:pPr>
      <w:rPr>
        <w:rFonts w:ascii="Times New Roman félkövér" w:hAnsi="Times New Roman félkövér" w:hint="default"/>
      </w:rPr>
    </w:lvl>
    <w:lvl w:ilvl="4" w:tplc="0D1AF1FA">
      <w:start w:val="1"/>
      <w:numFmt w:val="bullet"/>
      <w:lvlText w:val="o"/>
      <w:lvlJc w:val="left"/>
      <w:pPr>
        <w:ind w:left="3600" w:hanging="360"/>
      </w:pPr>
      <w:rPr>
        <w:rFonts w:ascii="@MS Mincho" w:hAnsi="@MS Mincho" w:hint="default"/>
      </w:rPr>
    </w:lvl>
    <w:lvl w:ilvl="5" w:tplc="ADC02602">
      <w:start w:val="1"/>
      <w:numFmt w:val="bullet"/>
      <w:lvlText w:val=""/>
      <w:lvlJc w:val="left"/>
      <w:pPr>
        <w:ind w:left="4320" w:hanging="360"/>
      </w:pPr>
      <w:rPr>
        <w:rFonts w:ascii="MS Mincho" w:hAnsi="MS Mincho" w:hint="default"/>
      </w:rPr>
    </w:lvl>
    <w:lvl w:ilvl="6" w:tplc="5EB4AE94">
      <w:start w:val="1"/>
      <w:numFmt w:val="bullet"/>
      <w:lvlText w:val=""/>
      <w:lvlJc w:val="left"/>
      <w:pPr>
        <w:ind w:left="5040" w:hanging="360"/>
      </w:pPr>
      <w:rPr>
        <w:rFonts w:ascii="Times New Roman félkövér" w:hAnsi="Times New Roman félkövér" w:hint="default"/>
      </w:rPr>
    </w:lvl>
    <w:lvl w:ilvl="7" w:tplc="02AAB518">
      <w:start w:val="1"/>
      <w:numFmt w:val="bullet"/>
      <w:lvlText w:val="o"/>
      <w:lvlJc w:val="left"/>
      <w:pPr>
        <w:ind w:left="5760" w:hanging="360"/>
      </w:pPr>
      <w:rPr>
        <w:rFonts w:ascii="@MS Mincho" w:hAnsi="@MS Mincho" w:hint="default"/>
      </w:rPr>
    </w:lvl>
    <w:lvl w:ilvl="8" w:tplc="F31AB2AC">
      <w:start w:val="1"/>
      <w:numFmt w:val="bullet"/>
      <w:lvlText w:val=""/>
      <w:lvlJc w:val="left"/>
      <w:pPr>
        <w:ind w:left="6480" w:hanging="360"/>
      </w:pPr>
      <w:rPr>
        <w:rFonts w:ascii="MS Mincho" w:hAnsi="MS Mincho" w:hint="default"/>
      </w:rPr>
    </w:lvl>
  </w:abstractNum>
  <w:abstractNum w:abstractNumId="79"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8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1" w15:restartNumberingAfterBreak="0">
    <w:nsid w:val="5D5670C0"/>
    <w:multiLevelType w:val="hybridMultilevel"/>
    <w:tmpl w:val="0B3074BC"/>
    <w:lvl w:ilvl="0" w:tplc="B2AC25C2">
      <w:numFmt w:val="bullet"/>
      <w:lvlText w:val=""/>
      <w:lvlJc w:val="left"/>
      <w:pPr>
        <w:ind w:left="787" w:hanging="360"/>
      </w:pPr>
      <w:rPr>
        <w:rFonts w:ascii="Symbol" w:eastAsiaTheme="minorEastAsia" w:hAnsi="Symbol" w:cs="Times New Roman" w:hint="default"/>
      </w:rPr>
    </w:lvl>
    <w:lvl w:ilvl="1" w:tplc="FFFFFFFF">
      <w:start w:val="1"/>
      <w:numFmt w:val="bullet"/>
      <w:lvlText w:val="o"/>
      <w:lvlJc w:val="left"/>
      <w:pPr>
        <w:ind w:left="1507" w:hanging="360"/>
      </w:pPr>
      <w:rPr>
        <w:rFonts w:ascii="@MS Mincho" w:eastAsia="Times New Roman" w:hAnsi="@MS Mincho" w:cs="@MS Mincho" w:hint="eastAsia"/>
      </w:rPr>
    </w:lvl>
    <w:lvl w:ilvl="2" w:tplc="FFFFFFFF">
      <w:start w:val="1"/>
      <w:numFmt w:val="bullet"/>
      <w:lvlText w:val=""/>
      <w:lvlJc w:val="left"/>
      <w:pPr>
        <w:ind w:left="2227" w:hanging="360"/>
      </w:pPr>
      <w:rPr>
        <w:rFonts w:ascii="MS Mincho" w:eastAsia="Times New Roman" w:hAnsi="MS Mincho" w:hint="eastAsia"/>
      </w:rPr>
    </w:lvl>
    <w:lvl w:ilvl="3" w:tplc="FFFFFFFF">
      <w:start w:val="1"/>
      <w:numFmt w:val="bullet"/>
      <w:lvlText w:val=""/>
      <w:lvlJc w:val="left"/>
      <w:pPr>
        <w:ind w:left="2947" w:hanging="360"/>
      </w:pPr>
      <w:rPr>
        <w:rFonts w:ascii="Times New Roman félkövér" w:hAnsi="Times New Roman félkövér" w:hint="default"/>
      </w:rPr>
    </w:lvl>
    <w:lvl w:ilvl="4" w:tplc="FFFFFFFF">
      <w:start w:val="1"/>
      <w:numFmt w:val="bullet"/>
      <w:lvlText w:val="o"/>
      <w:lvlJc w:val="left"/>
      <w:pPr>
        <w:ind w:left="3667" w:hanging="360"/>
      </w:pPr>
      <w:rPr>
        <w:rFonts w:ascii="@MS Mincho" w:eastAsia="Times New Roman" w:hAnsi="@MS Mincho" w:cs="@MS Mincho" w:hint="eastAsia"/>
      </w:rPr>
    </w:lvl>
    <w:lvl w:ilvl="5" w:tplc="FFFFFFFF">
      <w:start w:val="1"/>
      <w:numFmt w:val="bullet"/>
      <w:lvlText w:val=""/>
      <w:lvlJc w:val="left"/>
      <w:pPr>
        <w:ind w:left="4387" w:hanging="360"/>
      </w:pPr>
      <w:rPr>
        <w:rFonts w:ascii="MS Mincho" w:eastAsia="Times New Roman" w:hAnsi="MS Mincho" w:hint="eastAsia"/>
      </w:rPr>
    </w:lvl>
    <w:lvl w:ilvl="6" w:tplc="FFFFFFFF">
      <w:start w:val="1"/>
      <w:numFmt w:val="bullet"/>
      <w:lvlText w:val=""/>
      <w:lvlJc w:val="left"/>
      <w:pPr>
        <w:ind w:left="5107" w:hanging="360"/>
      </w:pPr>
      <w:rPr>
        <w:rFonts w:ascii="Times New Roman félkövér" w:hAnsi="Times New Roman félkövér" w:hint="default"/>
      </w:rPr>
    </w:lvl>
    <w:lvl w:ilvl="7" w:tplc="FFFFFFFF">
      <w:start w:val="1"/>
      <w:numFmt w:val="bullet"/>
      <w:lvlText w:val="o"/>
      <w:lvlJc w:val="left"/>
      <w:pPr>
        <w:ind w:left="5827" w:hanging="360"/>
      </w:pPr>
      <w:rPr>
        <w:rFonts w:ascii="@MS Mincho" w:eastAsia="Times New Roman" w:hAnsi="@MS Mincho" w:cs="@MS Mincho" w:hint="eastAsia"/>
      </w:rPr>
    </w:lvl>
    <w:lvl w:ilvl="8" w:tplc="FFFFFFFF">
      <w:start w:val="1"/>
      <w:numFmt w:val="bullet"/>
      <w:lvlText w:val=""/>
      <w:lvlJc w:val="left"/>
      <w:pPr>
        <w:ind w:left="6547" w:hanging="360"/>
      </w:pPr>
      <w:rPr>
        <w:rFonts w:ascii="MS Mincho" w:eastAsia="Times New Roman" w:hAnsi="MS Mincho" w:hint="eastAsia"/>
      </w:rPr>
    </w:lvl>
  </w:abstractNum>
  <w:abstractNum w:abstractNumId="82" w15:restartNumberingAfterBreak="0">
    <w:nsid w:val="5F42C4D7"/>
    <w:multiLevelType w:val="hybridMultilevel"/>
    <w:tmpl w:val="FFFFFFFF"/>
    <w:lvl w:ilvl="0" w:tplc="85908E40">
      <w:start w:val="5"/>
      <w:numFmt w:val="decimal"/>
      <w:lvlText w:val="%1."/>
      <w:lvlJc w:val="left"/>
      <w:pPr>
        <w:ind w:left="720" w:hanging="360"/>
      </w:pPr>
      <w:rPr>
        <w:rFonts w:ascii="Arial" w:hAnsi="Arial" w:hint="default"/>
      </w:rPr>
    </w:lvl>
    <w:lvl w:ilvl="1" w:tplc="9E30FE2E">
      <w:start w:val="1"/>
      <w:numFmt w:val="lowerLetter"/>
      <w:lvlText w:val="%2."/>
      <w:lvlJc w:val="left"/>
      <w:pPr>
        <w:ind w:left="1440" w:hanging="360"/>
      </w:pPr>
    </w:lvl>
    <w:lvl w:ilvl="2" w:tplc="CDF60808">
      <w:start w:val="1"/>
      <w:numFmt w:val="lowerRoman"/>
      <w:lvlText w:val="%3."/>
      <w:lvlJc w:val="right"/>
      <w:pPr>
        <w:ind w:left="2160" w:hanging="180"/>
      </w:pPr>
    </w:lvl>
    <w:lvl w:ilvl="3" w:tplc="570274F8">
      <w:start w:val="1"/>
      <w:numFmt w:val="decimal"/>
      <w:lvlText w:val="%4."/>
      <w:lvlJc w:val="left"/>
      <w:pPr>
        <w:ind w:left="2880" w:hanging="360"/>
      </w:pPr>
    </w:lvl>
    <w:lvl w:ilvl="4" w:tplc="BAE6A98E">
      <w:start w:val="1"/>
      <w:numFmt w:val="lowerLetter"/>
      <w:lvlText w:val="%5."/>
      <w:lvlJc w:val="left"/>
      <w:pPr>
        <w:ind w:left="3600" w:hanging="360"/>
      </w:pPr>
    </w:lvl>
    <w:lvl w:ilvl="5" w:tplc="3DB267C0">
      <w:start w:val="1"/>
      <w:numFmt w:val="lowerRoman"/>
      <w:lvlText w:val="%6."/>
      <w:lvlJc w:val="right"/>
      <w:pPr>
        <w:ind w:left="4320" w:hanging="180"/>
      </w:pPr>
    </w:lvl>
    <w:lvl w:ilvl="6" w:tplc="90FA4D30">
      <w:start w:val="1"/>
      <w:numFmt w:val="decimal"/>
      <w:lvlText w:val="%7."/>
      <w:lvlJc w:val="left"/>
      <w:pPr>
        <w:ind w:left="5040" w:hanging="360"/>
      </w:pPr>
    </w:lvl>
    <w:lvl w:ilvl="7" w:tplc="B61CC490">
      <w:start w:val="1"/>
      <w:numFmt w:val="lowerLetter"/>
      <w:lvlText w:val="%8."/>
      <w:lvlJc w:val="left"/>
      <w:pPr>
        <w:ind w:left="5760" w:hanging="360"/>
      </w:pPr>
    </w:lvl>
    <w:lvl w:ilvl="8" w:tplc="4BE2B3D2">
      <w:start w:val="1"/>
      <w:numFmt w:val="lowerRoman"/>
      <w:lvlText w:val="%9."/>
      <w:lvlJc w:val="right"/>
      <w:pPr>
        <w:ind w:left="6480" w:hanging="180"/>
      </w:pPr>
    </w:lvl>
  </w:abstractNum>
  <w:abstractNum w:abstractNumId="83" w15:restartNumberingAfterBreak="0">
    <w:nsid w:val="63FA6C6C"/>
    <w:multiLevelType w:val="hybridMultilevel"/>
    <w:tmpl w:val="FFFFFFFF"/>
    <w:lvl w:ilvl="0" w:tplc="BFE443FC">
      <w:start w:val="1"/>
      <w:numFmt w:val="decimal"/>
      <w:lvlText w:val="%1."/>
      <w:lvlJc w:val="left"/>
      <w:pPr>
        <w:ind w:left="720" w:hanging="360"/>
      </w:pPr>
      <w:rPr>
        <w:rFonts w:ascii="Arial" w:hAnsi="Arial" w:hint="default"/>
      </w:rPr>
    </w:lvl>
    <w:lvl w:ilvl="1" w:tplc="78AAB50E">
      <w:start w:val="1"/>
      <w:numFmt w:val="lowerLetter"/>
      <w:lvlText w:val="%2."/>
      <w:lvlJc w:val="left"/>
      <w:pPr>
        <w:ind w:left="1440" w:hanging="360"/>
      </w:pPr>
    </w:lvl>
    <w:lvl w:ilvl="2" w:tplc="4874DBE6">
      <w:start w:val="1"/>
      <w:numFmt w:val="lowerRoman"/>
      <w:lvlText w:val="%3."/>
      <w:lvlJc w:val="right"/>
      <w:pPr>
        <w:ind w:left="2160" w:hanging="180"/>
      </w:pPr>
    </w:lvl>
    <w:lvl w:ilvl="3" w:tplc="9C58804C">
      <w:start w:val="1"/>
      <w:numFmt w:val="decimal"/>
      <w:lvlText w:val="%4."/>
      <w:lvlJc w:val="left"/>
      <w:pPr>
        <w:ind w:left="2880" w:hanging="360"/>
      </w:pPr>
    </w:lvl>
    <w:lvl w:ilvl="4" w:tplc="54A484DA">
      <w:start w:val="1"/>
      <w:numFmt w:val="lowerLetter"/>
      <w:lvlText w:val="%5."/>
      <w:lvlJc w:val="left"/>
      <w:pPr>
        <w:ind w:left="3600" w:hanging="360"/>
      </w:pPr>
    </w:lvl>
    <w:lvl w:ilvl="5" w:tplc="3A1A5CD2">
      <w:start w:val="1"/>
      <w:numFmt w:val="lowerRoman"/>
      <w:lvlText w:val="%6."/>
      <w:lvlJc w:val="right"/>
      <w:pPr>
        <w:ind w:left="4320" w:hanging="180"/>
      </w:pPr>
    </w:lvl>
    <w:lvl w:ilvl="6" w:tplc="5FF49A50">
      <w:start w:val="1"/>
      <w:numFmt w:val="decimal"/>
      <w:lvlText w:val="%7."/>
      <w:lvlJc w:val="left"/>
      <w:pPr>
        <w:ind w:left="5040" w:hanging="360"/>
      </w:pPr>
    </w:lvl>
    <w:lvl w:ilvl="7" w:tplc="7E62052A">
      <w:start w:val="1"/>
      <w:numFmt w:val="lowerLetter"/>
      <w:lvlText w:val="%8."/>
      <w:lvlJc w:val="left"/>
      <w:pPr>
        <w:ind w:left="5760" w:hanging="360"/>
      </w:pPr>
    </w:lvl>
    <w:lvl w:ilvl="8" w:tplc="5AB6589C">
      <w:start w:val="1"/>
      <w:numFmt w:val="lowerRoman"/>
      <w:lvlText w:val="%9."/>
      <w:lvlJc w:val="right"/>
      <w:pPr>
        <w:ind w:left="6480" w:hanging="180"/>
      </w:pPr>
    </w:lvl>
  </w:abstractNum>
  <w:abstractNum w:abstractNumId="84" w15:restartNumberingAfterBreak="0">
    <w:nsid w:val="647B00E9"/>
    <w:multiLevelType w:val="hybridMultilevel"/>
    <w:tmpl w:val="4E965456"/>
    <w:lvl w:ilvl="0" w:tplc="1430B29A">
      <w:start w:val="1"/>
      <w:numFmt w:val="bullet"/>
      <w:lvlText w:val="-"/>
      <w:lvlJc w:val="left"/>
      <w:pPr>
        <w:ind w:left="720" w:hanging="360"/>
      </w:pPr>
      <w:rPr>
        <w:rFonts w:ascii="Times New Roman" w:eastAsiaTheme="minorEastAsia" w:hAnsi="Times New Roman"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64A12FA4"/>
    <w:multiLevelType w:val="multilevel"/>
    <w:tmpl w:val="BC1C158C"/>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65F29AB7"/>
    <w:multiLevelType w:val="hybridMultilevel"/>
    <w:tmpl w:val="FFFFFFFF"/>
    <w:lvl w:ilvl="0" w:tplc="58201CB0">
      <w:start w:val="1"/>
      <w:numFmt w:val="bullet"/>
      <w:lvlText w:val="·"/>
      <w:lvlJc w:val="left"/>
      <w:pPr>
        <w:ind w:left="720" w:hanging="360"/>
      </w:pPr>
      <w:rPr>
        <w:rFonts w:ascii="Symbol" w:hAnsi="Symbol" w:hint="default"/>
      </w:rPr>
    </w:lvl>
    <w:lvl w:ilvl="1" w:tplc="F21CCB48">
      <w:start w:val="1"/>
      <w:numFmt w:val="bullet"/>
      <w:lvlText w:val="o"/>
      <w:lvlJc w:val="left"/>
      <w:pPr>
        <w:ind w:left="1440" w:hanging="360"/>
      </w:pPr>
      <w:rPr>
        <w:rFonts w:ascii="Courier New" w:hAnsi="Courier New" w:hint="default"/>
      </w:rPr>
    </w:lvl>
    <w:lvl w:ilvl="2" w:tplc="FFCE4578">
      <w:start w:val="1"/>
      <w:numFmt w:val="bullet"/>
      <w:lvlText w:val=""/>
      <w:lvlJc w:val="left"/>
      <w:pPr>
        <w:ind w:left="2160" w:hanging="360"/>
      </w:pPr>
      <w:rPr>
        <w:rFonts w:ascii="Wingdings" w:hAnsi="Wingdings" w:hint="default"/>
      </w:rPr>
    </w:lvl>
    <w:lvl w:ilvl="3" w:tplc="7CAA1FD6">
      <w:start w:val="1"/>
      <w:numFmt w:val="bullet"/>
      <w:lvlText w:val=""/>
      <w:lvlJc w:val="left"/>
      <w:pPr>
        <w:ind w:left="2880" w:hanging="360"/>
      </w:pPr>
      <w:rPr>
        <w:rFonts w:ascii="Symbol" w:hAnsi="Symbol" w:hint="default"/>
      </w:rPr>
    </w:lvl>
    <w:lvl w:ilvl="4" w:tplc="AF8E51E4">
      <w:start w:val="1"/>
      <w:numFmt w:val="bullet"/>
      <w:lvlText w:val="o"/>
      <w:lvlJc w:val="left"/>
      <w:pPr>
        <w:ind w:left="3600" w:hanging="360"/>
      </w:pPr>
      <w:rPr>
        <w:rFonts w:ascii="Courier New" w:hAnsi="Courier New" w:hint="default"/>
      </w:rPr>
    </w:lvl>
    <w:lvl w:ilvl="5" w:tplc="EFFE6B0C">
      <w:start w:val="1"/>
      <w:numFmt w:val="bullet"/>
      <w:lvlText w:val=""/>
      <w:lvlJc w:val="left"/>
      <w:pPr>
        <w:ind w:left="4320" w:hanging="360"/>
      </w:pPr>
      <w:rPr>
        <w:rFonts w:ascii="Wingdings" w:hAnsi="Wingdings" w:hint="default"/>
      </w:rPr>
    </w:lvl>
    <w:lvl w:ilvl="6" w:tplc="29447762">
      <w:start w:val="1"/>
      <w:numFmt w:val="bullet"/>
      <w:lvlText w:val=""/>
      <w:lvlJc w:val="left"/>
      <w:pPr>
        <w:ind w:left="5040" w:hanging="360"/>
      </w:pPr>
      <w:rPr>
        <w:rFonts w:ascii="Symbol" w:hAnsi="Symbol" w:hint="default"/>
      </w:rPr>
    </w:lvl>
    <w:lvl w:ilvl="7" w:tplc="6E262278">
      <w:start w:val="1"/>
      <w:numFmt w:val="bullet"/>
      <w:lvlText w:val="o"/>
      <w:lvlJc w:val="left"/>
      <w:pPr>
        <w:ind w:left="5760" w:hanging="360"/>
      </w:pPr>
      <w:rPr>
        <w:rFonts w:ascii="Courier New" w:hAnsi="Courier New" w:hint="default"/>
      </w:rPr>
    </w:lvl>
    <w:lvl w:ilvl="8" w:tplc="DAA0A588">
      <w:start w:val="1"/>
      <w:numFmt w:val="bullet"/>
      <w:lvlText w:val=""/>
      <w:lvlJc w:val="left"/>
      <w:pPr>
        <w:ind w:left="6480" w:hanging="360"/>
      </w:pPr>
      <w:rPr>
        <w:rFonts w:ascii="Wingdings" w:hAnsi="Wingdings" w:hint="default"/>
      </w:rPr>
    </w:lvl>
  </w:abstractNum>
  <w:abstractNum w:abstractNumId="87" w15:restartNumberingAfterBreak="0">
    <w:nsid w:val="6611570F"/>
    <w:multiLevelType w:val="hybridMultilevel"/>
    <w:tmpl w:val="3EA0F09E"/>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88" w15:restartNumberingAfterBreak="0">
    <w:nsid w:val="664D70F5"/>
    <w:multiLevelType w:val="hybridMultilevel"/>
    <w:tmpl w:val="7926427E"/>
    <w:lvl w:ilvl="0" w:tplc="991C3E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74E5F2B"/>
    <w:multiLevelType w:val="hybridMultilevel"/>
    <w:tmpl w:val="A07C5026"/>
    <w:lvl w:ilvl="0" w:tplc="1430B29A">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91" w15:restartNumberingAfterBreak="0">
    <w:nsid w:val="693606FA"/>
    <w:multiLevelType w:val="hybridMultilevel"/>
    <w:tmpl w:val="8D6280A4"/>
    <w:lvl w:ilvl="0" w:tplc="991C3E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9B46E49"/>
    <w:multiLevelType w:val="hybridMultilevel"/>
    <w:tmpl w:val="71CE6D68"/>
    <w:lvl w:ilvl="0" w:tplc="991C3E1E">
      <w:start w:val="1"/>
      <w:numFmt w:val="bullet"/>
      <w:lvlText w:val="-"/>
      <w:lvlJc w:val="left"/>
      <w:pPr>
        <w:ind w:left="776" w:hanging="360"/>
      </w:pPr>
      <w:rPr>
        <w:rFonts w:ascii="Calibri" w:hAnsi="Calibri"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93" w15:restartNumberingAfterBreak="0">
    <w:nsid w:val="6A9F1F71"/>
    <w:multiLevelType w:val="hybridMultilevel"/>
    <w:tmpl w:val="BBD8C89C"/>
    <w:lvl w:ilvl="0" w:tplc="991C3E1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B65415B"/>
    <w:multiLevelType w:val="hybridMultilevel"/>
    <w:tmpl w:val="E76CD6BE"/>
    <w:lvl w:ilvl="0" w:tplc="991C3E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B7957C5"/>
    <w:multiLevelType w:val="hybridMultilevel"/>
    <w:tmpl w:val="CB48133E"/>
    <w:lvl w:ilvl="0" w:tplc="991C3E1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BA97145"/>
    <w:multiLevelType w:val="hybridMultilevel"/>
    <w:tmpl w:val="4A84F69C"/>
    <w:lvl w:ilvl="0" w:tplc="B8D40F1C">
      <w:start w:val="1"/>
      <w:numFmt w:val="bullet"/>
      <w:lvlText w:val="-"/>
      <w:lvlJc w:val="left"/>
      <w:pPr>
        <w:ind w:left="1080" w:hanging="72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DCD3309"/>
    <w:multiLevelType w:val="hybridMultilevel"/>
    <w:tmpl w:val="4A983824"/>
    <w:lvl w:ilvl="0" w:tplc="991C3E1E">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6E050C4A"/>
    <w:multiLevelType w:val="hybridMultilevel"/>
    <w:tmpl w:val="505EAFF8"/>
    <w:lvl w:ilvl="0" w:tplc="991C3E1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5E64AD"/>
    <w:multiLevelType w:val="hybridMultilevel"/>
    <w:tmpl w:val="300A349C"/>
    <w:lvl w:ilvl="0" w:tplc="991C3E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21726FF"/>
    <w:multiLevelType w:val="hybridMultilevel"/>
    <w:tmpl w:val="FFFFFFFF"/>
    <w:lvl w:ilvl="0" w:tplc="98380C30">
      <w:start w:val="3"/>
      <w:numFmt w:val="decimal"/>
      <w:lvlText w:val="%1."/>
      <w:lvlJc w:val="left"/>
      <w:pPr>
        <w:ind w:left="720" w:hanging="360"/>
      </w:pPr>
      <w:rPr>
        <w:rFonts w:ascii="Arial" w:hAnsi="Arial" w:hint="default"/>
      </w:rPr>
    </w:lvl>
    <w:lvl w:ilvl="1" w:tplc="DD021EF2">
      <w:start w:val="1"/>
      <w:numFmt w:val="lowerLetter"/>
      <w:lvlText w:val="%2."/>
      <w:lvlJc w:val="left"/>
      <w:pPr>
        <w:ind w:left="1440" w:hanging="360"/>
      </w:pPr>
    </w:lvl>
    <w:lvl w:ilvl="2" w:tplc="AC98F804">
      <w:start w:val="1"/>
      <w:numFmt w:val="lowerRoman"/>
      <w:lvlText w:val="%3."/>
      <w:lvlJc w:val="right"/>
      <w:pPr>
        <w:ind w:left="2160" w:hanging="180"/>
      </w:pPr>
    </w:lvl>
    <w:lvl w:ilvl="3" w:tplc="389E5DE2">
      <w:start w:val="1"/>
      <w:numFmt w:val="decimal"/>
      <w:lvlText w:val="%4."/>
      <w:lvlJc w:val="left"/>
      <w:pPr>
        <w:ind w:left="2880" w:hanging="360"/>
      </w:pPr>
    </w:lvl>
    <w:lvl w:ilvl="4" w:tplc="365EFD8C">
      <w:start w:val="1"/>
      <w:numFmt w:val="lowerLetter"/>
      <w:lvlText w:val="%5."/>
      <w:lvlJc w:val="left"/>
      <w:pPr>
        <w:ind w:left="3600" w:hanging="360"/>
      </w:pPr>
    </w:lvl>
    <w:lvl w:ilvl="5" w:tplc="A1AE07A0">
      <w:start w:val="1"/>
      <w:numFmt w:val="lowerRoman"/>
      <w:lvlText w:val="%6."/>
      <w:lvlJc w:val="right"/>
      <w:pPr>
        <w:ind w:left="4320" w:hanging="180"/>
      </w:pPr>
    </w:lvl>
    <w:lvl w:ilvl="6" w:tplc="D096CB8E">
      <w:start w:val="1"/>
      <w:numFmt w:val="decimal"/>
      <w:lvlText w:val="%7."/>
      <w:lvlJc w:val="left"/>
      <w:pPr>
        <w:ind w:left="5040" w:hanging="360"/>
      </w:pPr>
    </w:lvl>
    <w:lvl w:ilvl="7" w:tplc="9BDCC560">
      <w:start w:val="1"/>
      <w:numFmt w:val="lowerLetter"/>
      <w:lvlText w:val="%8."/>
      <w:lvlJc w:val="left"/>
      <w:pPr>
        <w:ind w:left="5760" w:hanging="360"/>
      </w:pPr>
    </w:lvl>
    <w:lvl w:ilvl="8" w:tplc="8C92628C">
      <w:start w:val="1"/>
      <w:numFmt w:val="lowerRoman"/>
      <w:lvlText w:val="%9."/>
      <w:lvlJc w:val="right"/>
      <w:pPr>
        <w:ind w:left="6480" w:hanging="180"/>
      </w:pPr>
    </w:lvl>
  </w:abstractNum>
  <w:abstractNum w:abstractNumId="101" w15:restartNumberingAfterBreak="0">
    <w:nsid w:val="72770BB9"/>
    <w:multiLevelType w:val="hybridMultilevel"/>
    <w:tmpl w:val="B61263DC"/>
    <w:lvl w:ilvl="0" w:tplc="CDB2D0AC">
      <w:start w:val="1"/>
      <w:numFmt w:val="lowerRoman"/>
      <w:lvlText w:val="%1)"/>
      <w:lvlJc w:val="left"/>
      <w:pPr>
        <w:ind w:left="720" w:hanging="360"/>
      </w:pPr>
      <w:rPr>
        <w:rFont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2" w15:restartNumberingAfterBreak="0">
    <w:nsid w:val="72AE595F"/>
    <w:multiLevelType w:val="hybridMultilevel"/>
    <w:tmpl w:val="11FA201C"/>
    <w:lvl w:ilvl="0" w:tplc="3B1621C6">
      <w:numFmt w:val="bullet"/>
      <w:lvlText w:val="-"/>
      <w:lvlJc w:val="left"/>
      <w:pPr>
        <w:ind w:left="720" w:hanging="360"/>
      </w:pPr>
      <w:rPr>
        <w:rFonts w:ascii="Times New Roman" w:eastAsiaTheme="minorEastAsia"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15:restartNumberingAfterBreak="0">
    <w:nsid w:val="73DE680C"/>
    <w:multiLevelType w:val="hybridMultilevel"/>
    <w:tmpl w:val="E2D254FE"/>
    <w:lvl w:ilvl="0" w:tplc="786419CC">
      <w:start w:val="1"/>
      <w:numFmt w:val="bullet"/>
      <w:lvlText w:val="-"/>
      <w:lvlJc w:val="left"/>
      <w:pPr>
        <w:ind w:left="720" w:hanging="360"/>
      </w:pPr>
      <w:rPr>
        <w:rFonts w:ascii="MS Mincho" w:eastAsiaTheme="minorHAnsi" w:hAnsi="MS Mincho" w:cs="MS Mincho" w:hint="default"/>
      </w:rPr>
    </w:lvl>
    <w:lvl w:ilvl="1" w:tplc="18090003">
      <w:start w:val="1"/>
      <w:numFmt w:val="bullet"/>
      <w:lvlText w:val="o"/>
      <w:lvlJc w:val="left"/>
      <w:pPr>
        <w:ind w:left="1440" w:hanging="360"/>
      </w:pPr>
      <w:rPr>
        <w:rFonts w:ascii="Segoe UI Emoji" w:hAnsi="Segoe UI Emoji" w:cs="Segoe UI Emoji" w:hint="default"/>
      </w:rPr>
    </w:lvl>
    <w:lvl w:ilvl="2" w:tplc="18090005" w:tentative="1">
      <w:start w:val="1"/>
      <w:numFmt w:val="bullet"/>
      <w:lvlText w:val=""/>
      <w:lvlJc w:val="left"/>
      <w:pPr>
        <w:ind w:left="2160" w:hanging="360"/>
      </w:pPr>
      <w:rPr>
        <w:rFonts w:ascii="@MS Mincho" w:hAnsi="@MS Mincho" w:hint="default"/>
      </w:rPr>
    </w:lvl>
    <w:lvl w:ilvl="3" w:tplc="18090001" w:tentative="1">
      <w:start w:val="1"/>
      <w:numFmt w:val="bullet"/>
      <w:lvlText w:val=""/>
      <w:lvlJc w:val="left"/>
      <w:pPr>
        <w:ind w:left="2880" w:hanging="360"/>
      </w:pPr>
      <w:rPr>
        <w:rFonts w:ascii="Times New Roman félkövér" w:hAnsi="Times New Roman félkövér" w:hint="default"/>
      </w:rPr>
    </w:lvl>
    <w:lvl w:ilvl="4" w:tplc="18090003" w:tentative="1">
      <w:start w:val="1"/>
      <w:numFmt w:val="bullet"/>
      <w:lvlText w:val="o"/>
      <w:lvlJc w:val="left"/>
      <w:pPr>
        <w:ind w:left="3600" w:hanging="360"/>
      </w:pPr>
      <w:rPr>
        <w:rFonts w:ascii="Segoe UI Emoji" w:hAnsi="Segoe UI Emoji" w:cs="Segoe UI Emoji" w:hint="default"/>
      </w:rPr>
    </w:lvl>
    <w:lvl w:ilvl="5" w:tplc="18090005" w:tentative="1">
      <w:start w:val="1"/>
      <w:numFmt w:val="bullet"/>
      <w:lvlText w:val=""/>
      <w:lvlJc w:val="left"/>
      <w:pPr>
        <w:ind w:left="4320" w:hanging="360"/>
      </w:pPr>
      <w:rPr>
        <w:rFonts w:ascii="@MS Mincho" w:hAnsi="@MS Mincho" w:hint="default"/>
      </w:rPr>
    </w:lvl>
    <w:lvl w:ilvl="6" w:tplc="18090001" w:tentative="1">
      <w:start w:val="1"/>
      <w:numFmt w:val="bullet"/>
      <w:lvlText w:val=""/>
      <w:lvlJc w:val="left"/>
      <w:pPr>
        <w:ind w:left="5040" w:hanging="360"/>
      </w:pPr>
      <w:rPr>
        <w:rFonts w:ascii="Times New Roman félkövér" w:hAnsi="Times New Roman félkövér" w:hint="default"/>
      </w:rPr>
    </w:lvl>
    <w:lvl w:ilvl="7" w:tplc="18090003" w:tentative="1">
      <w:start w:val="1"/>
      <w:numFmt w:val="bullet"/>
      <w:lvlText w:val="o"/>
      <w:lvlJc w:val="left"/>
      <w:pPr>
        <w:ind w:left="5760" w:hanging="360"/>
      </w:pPr>
      <w:rPr>
        <w:rFonts w:ascii="Segoe UI Emoji" w:hAnsi="Segoe UI Emoji" w:cs="Segoe UI Emoji" w:hint="default"/>
      </w:rPr>
    </w:lvl>
    <w:lvl w:ilvl="8" w:tplc="18090005" w:tentative="1">
      <w:start w:val="1"/>
      <w:numFmt w:val="bullet"/>
      <w:lvlText w:val=""/>
      <w:lvlJc w:val="left"/>
      <w:pPr>
        <w:ind w:left="6480" w:hanging="360"/>
      </w:pPr>
      <w:rPr>
        <w:rFonts w:ascii="@MS Mincho" w:hAnsi="@MS Mincho" w:hint="default"/>
      </w:rPr>
    </w:lvl>
  </w:abstractNum>
  <w:abstractNum w:abstractNumId="104" w15:restartNumberingAfterBreak="0">
    <w:nsid w:val="743FC4E8"/>
    <w:multiLevelType w:val="hybridMultilevel"/>
    <w:tmpl w:val="FFFFFFFF"/>
    <w:lvl w:ilvl="0" w:tplc="68E0B802">
      <w:start w:val="7"/>
      <w:numFmt w:val="decimal"/>
      <w:lvlText w:val="%1."/>
      <w:lvlJc w:val="left"/>
      <w:pPr>
        <w:ind w:left="720" w:hanging="360"/>
      </w:pPr>
      <w:rPr>
        <w:rFonts w:ascii="Arial" w:hAnsi="Arial" w:hint="default"/>
      </w:rPr>
    </w:lvl>
    <w:lvl w:ilvl="1" w:tplc="95AEC662">
      <w:start w:val="1"/>
      <w:numFmt w:val="lowerLetter"/>
      <w:lvlText w:val="%2."/>
      <w:lvlJc w:val="left"/>
      <w:pPr>
        <w:ind w:left="1440" w:hanging="360"/>
      </w:pPr>
    </w:lvl>
    <w:lvl w:ilvl="2" w:tplc="298A1246">
      <w:start w:val="1"/>
      <w:numFmt w:val="lowerRoman"/>
      <w:lvlText w:val="%3."/>
      <w:lvlJc w:val="right"/>
      <w:pPr>
        <w:ind w:left="2160" w:hanging="180"/>
      </w:pPr>
    </w:lvl>
    <w:lvl w:ilvl="3" w:tplc="73F03BEA">
      <w:start w:val="1"/>
      <w:numFmt w:val="decimal"/>
      <w:lvlText w:val="%4."/>
      <w:lvlJc w:val="left"/>
      <w:pPr>
        <w:ind w:left="2880" w:hanging="360"/>
      </w:pPr>
    </w:lvl>
    <w:lvl w:ilvl="4" w:tplc="0FE29DB2">
      <w:start w:val="1"/>
      <w:numFmt w:val="lowerLetter"/>
      <w:lvlText w:val="%5."/>
      <w:lvlJc w:val="left"/>
      <w:pPr>
        <w:ind w:left="3600" w:hanging="360"/>
      </w:pPr>
    </w:lvl>
    <w:lvl w:ilvl="5" w:tplc="5A98CA7C">
      <w:start w:val="1"/>
      <w:numFmt w:val="lowerRoman"/>
      <w:lvlText w:val="%6."/>
      <w:lvlJc w:val="right"/>
      <w:pPr>
        <w:ind w:left="4320" w:hanging="180"/>
      </w:pPr>
    </w:lvl>
    <w:lvl w:ilvl="6" w:tplc="A2B0AE06">
      <w:start w:val="1"/>
      <w:numFmt w:val="decimal"/>
      <w:lvlText w:val="%7."/>
      <w:lvlJc w:val="left"/>
      <w:pPr>
        <w:ind w:left="5040" w:hanging="360"/>
      </w:pPr>
    </w:lvl>
    <w:lvl w:ilvl="7" w:tplc="94F03984">
      <w:start w:val="1"/>
      <w:numFmt w:val="lowerLetter"/>
      <w:lvlText w:val="%8."/>
      <w:lvlJc w:val="left"/>
      <w:pPr>
        <w:ind w:left="5760" w:hanging="360"/>
      </w:pPr>
    </w:lvl>
    <w:lvl w:ilvl="8" w:tplc="F01E3496">
      <w:start w:val="1"/>
      <w:numFmt w:val="lowerRoman"/>
      <w:lvlText w:val="%9."/>
      <w:lvlJc w:val="right"/>
      <w:pPr>
        <w:ind w:left="6480" w:hanging="180"/>
      </w:pPr>
    </w:lvl>
  </w:abstractNum>
  <w:abstractNum w:abstractNumId="105" w15:restartNumberingAfterBreak="0">
    <w:nsid w:val="74C36343"/>
    <w:multiLevelType w:val="hybridMultilevel"/>
    <w:tmpl w:val="FFFFFFFF"/>
    <w:lvl w:ilvl="0" w:tplc="18FE0878">
      <w:start w:val="1"/>
      <w:numFmt w:val="decimal"/>
      <w:lvlText w:val="%1."/>
      <w:lvlJc w:val="left"/>
      <w:pPr>
        <w:ind w:left="720" w:hanging="360"/>
      </w:pPr>
    </w:lvl>
    <w:lvl w:ilvl="1" w:tplc="30F481D2">
      <w:start w:val="1"/>
      <w:numFmt w:val="lowerLetter"/>
      <w:lvlText w:val="%2."/>
      <w:lvlJc w:val="left"/>
      <w:pPr>
        <w:ind w:left="1440" w:hanging="360"/>
      </w:pPr>
    </w:lvl>
    <w:lvl w:ilvl="2" w:tplc="BC2A330E">
      <w:start w:val="1"/>
      <w:numFmt w:val="lowerRoman"/>
      <w:lvlText w:val="%3."/>
      <w:lvlJc w:val="right"/>
      <w:pPr>
        <w:ind w:left="2160" w:hanging="180"/>
      </w:pPr>
    </w:lvl>
    <w:lvl w:ilvl="3" w:tplc="0AD85EA2">
      <w:start w:val="1"/>
      <w:numFmt w:val="decimal"/>
      <w:lvlText w:val="%4."/>
      <w:lvlJc w:val="left"/>
      <w:pPr>
        <w:ind w:left="2880" w:hanging="360"/>
      </w:pPr>
    </w:lvl>
    <w:lvl w:ilvl="4" w:tplc="EFE821FA">
      <w:start w:val="1"/>
      <w:numFmt w:val="lowerLetter"/>
      <w:lvlText w:val="%5."/>
      <w:lvlJc w:val="left"/>
      <w:pPr>
        <w:ind w:left="3600" w:hanging="360"/>
      </w:pPr>
    </w:lvl>
    <w:lvl w:ilvl="5" w:tplc="EF6A7952">
      <w:start w:val="1"/>
      <w:numFmt w:val="lowerRoman"/>
      <w:lvlText w:val="%6."/>
      <w:lvlJc w:val="right"/>
      <w:pPr>
        <w:ind w:left="4320" w:hanging="180"/>
      </w:pPr>
    </w:lvl>
    <w:lvl w:ilvl="6" w:tplc="AA54EB3A">
      <w:start w:val="1"/>
      <w:numFmt w:val="decimal"/>
      <w:lvlText w:val="%7."/>
      <w:lvlJc w:val="left"/>
      <w:pPr>
        <w:ind w:left="5040" w:hanging="360"/>
      </w:pPr>
    </w:lvl>
    <w:lvl w:ilvl="7" w:tplc="A3E27F76">
      <w:start w:val="1"/>
      <w:numFmt w:val="lowerLetter"/>
      <w:lvlText w:val="%8."/>
      <w:lvlJc w:val="left"/>
      <w:pPr>
        <w:ind w:left="5760" w:hanging="360"/>
      </w:pPr>
    </w:lvl>
    <w:lvl w:ilvl="8" w:tplc="715AFDE4">
      <w:start w:val="1"/>
      <w:numFmt w:val="lowerRoman"/>
      <w:lvlText w:val="%9."/>
      <w:lvlJc w:val="right"/>
      <w:pPr>
        <w:ind w:left="6480" w:hanging="180"/>
      </w:pPr>
    </w:lvl>
  </w:abstractNum>
  <w:abstractNum w:abstractNumId="106" w15:restartNumberingAfterBreak="0">
    <w:nsid w:val="74EFE3A3"/>
    <w:multiLevelType w:val="hybridMultilevel"/>
    <w:tmpl w:val="FFFFFFFF"/>
    <w:lvl w:ilvl="0" w:tplc="D40AFDD8">
      <w:start w:val="1"/>
      <w:numFmt w:val="bullet"/>
      <w:lvlText w:val="-"/>
      <w:lvlJc w:val="left"/>
      <w:pPr>
        <w:ind w:left="720" w:hanging="360"/>
      </w:pPr>
      <w:rPr>
        <w:rFonts w:ascii="Calibri" w:hAnsi="Calibri" w:hint="default"/>
      </w:rPr>
    </w:lvl>
    <w:lvl w:ilvl="1" w:tplc="D1B00D96">
      <w:start w:val="1"/>
      <w:numFmt w:val="bullet"/>
      <w:lvlText w:val="o"/>
      <w:lvlJc w:val="left"/>
      <w:pPr>
        <w:ind w:left="1440" w:hanging="360"/>
      </w:pPr>
      <w:rPr>
        <w:rFonts w:ascii="Courier New" w:hAnsi="Courier New" w:hint="default"/>
      </w:rPr>
    </w:lvl>
    <w:lvl w:ilvl="2" w:tplc="A9468258">
      <w:start w:val="1"/>
      <w:numFmt w:val="bullet"/>
      <w:lvlText w:val=""/>
      <w:lvlJc w:val="left"/>
      <w:pPr>
        <w:ind w:left="2160" w:hanging="360"/>
      </w:pPr>
      <w:rPr>
        <w:rFonts w:ascii="Wingdings" w:hAnsi="Wingdings" w:hint="default"/>
      </w:rPr>
    </w:lvl>
    <w:lvl w:ilvl="3" w:tplc="017AF1BE">
      <w:start w:val="1"/>
      <w:numFmt w:val="bullet"/>
      <w:lvlText w:val=""/>
      <w:lvlJc w:val="left"/>
      <w:pPr>
        <w:ind w:left="2880" w:hanging="360"/>
      </w:pPr>
      <w:rPr>
        <w:rFonts w:ascii="Symbol" w:hAnsi="Symbol" w:hint="default"/>
      </w:rPr>
    </w:lvl>
    <w:lvl w:ilvl="4" w:tplc="C460106C">
      <w:start w:val="1"/>
      <w:numFmt w:val="bullet"/>
      <w:lvlText w:val="o"/>
      <w:lvlJc w:val="left"/>
      <w:pPr>
        <w:ind w:left="3600" w:hanging="360"/>
      </w:pPr>
      <w:rPr>
        <w:rFonts w:ascii="Courier New" w:hAnsi="Courier New" w:hint="default"/>
      </w:rPr>
    </w:lvl>
    <w:lvl w:ilvl="5" w:tplc="7AF2F49E">
      <w:start w:val="1"/>
      <w:numFmt w:val="bullet"/>
      <w:lvlText w:val=""/>
      <w:lvlJc w:val="left"/>
      <w:pPr>
        <w:ind w:left="4320" w:hanging="360"/>
      </w:pPr>
      <w:rPr>
        <w:rFonts w:ascii="Wingdings" w:hAnsi="Wingdings" w:hint="default"/>
      </w:rPr>
    </w:lvl>
    <w:lvl w:ilvl="6" w:tplc="0A64F4B2">
      <w:start w:val="1"/>
      <w:numFmt w:val="bullet"/>
      <w:lvlText w:val=""/>
      <w:lvlJc w:val="left"/>
      <w:pPr>
        <w:ind w:left="5040" w:hanging="360"/>
      </w:pPr>
      <w:rPr>
        <w:rFonts w:ascii="Symbol" w:hAnsi="Symbol" w:hint="default"/>
      </w:rPr>
    </w:lvl>
    <w:lvl w:ilvl="7" w:tplc="1B526E5E">
      <w:start w:val="1"/>
      <w:numFmt w:val="bullet"/>
      <w:lvlText w:val="o"/>
      <w:lvlJc w:val="left"/>
      <w:pPr>
        <w:ind w:left="5760" w:hanging="360"/>
      </w:pPr>
      <w:rPr>
        <w:rFonts w:ascii="Courier New" w:hAnsi="Courier New" w:hint="default"/>
      </w:rPr>
    </w:lvl>
    <w:lvl w:ilvl="8" w:tplc="A08E0D68">
      <w:start w:val="1"/>
      <w:numFmt w:val="bullet"/>
      <w:lvlText w:val=""/>
      <w:lvlJc w:val="left"/>
      <w:pPr>
        <w:ind w:left="6480" w:hanging="360"/>
      </w:pPr>
      <w:rPr>
        <w:rFonts w:ascii="Wingdings" w:hAnsi="Wingdings" w:hint="default"/>
      </w:rPr>
    </w:lvl>
  </w:abstractNum>
  <w:abstractNum w:abstractNumId="107" w15:restartNumberingAfterBreak="0">
    <w:nsid w:val="760233E5"/>
    <w:multiLevelType w:val="hybridMultilevel"/>
    <w:tmpl w:val="FFFFFFFF"/>
    <w:lvl w:ilvl="0" w:tplc="7C04136C">
      <w:start w:val="4"/>
      <w:numFmt w:val="decimal"/>
      <w:lvlText w:val="%1."/>
      <w:lvlJc w:val="left"/>
      <w:pPr>
        <w:ind w:left="720" w:hanging="360"/>
      </w:pPr>
      <w:rPr>
        <w:rFonts w:ascii="Arial" w:hAnsi="Arial" w:hint="default"/>
      </w:rPr>
    </w:lvl>
    <w:lvl w:ilvl="1" w:tplc="62AA8E5E">
      <w:start w:val="1"/>
      <w:numFmt w:val="lowerLetter"/>
      <w:lvlText w:val="%2."/>
      <w:lvlJc w:val="left"/>
      <w:pPr>
        <w:ind w:left="1440" w:hanging="360"/>
      </w:pPr>
    </w:lvl>
    <w:lvl w:ilvl="2" w:tplc="1632CA88">
      <w:start w:val="1"/>
      <w:numFmt w:val="lowerRoman"/>
      <w:lvlText w:val="%3."/>
      <w:lvlJc w:val="right"/>
      <w:pPr>
        <w:ind w:left="2160" w:hanging="180"/>
      </w:pPr>
    </w:lvl>
    <w:lvl w:ilvl="3" w:tplc="5394B2C6">
      <w:start w:val="1"/>
      <w:numFmt w:val="decimal"/>
      <w:lvlText w:val="%4."/>
      <w:lvlJc w:val="left"/>
      <w:pPr>
        <w:ind w:left="2880" w:hanging="360"/>
      </w:pPr>
    </w:lvl>
    <w:lvl w:ilvl="4" w:tplc="C2E20A78">
      <w:start w:val="1"/>
      <w:numFmt w:val="lowerLetter"/>
      <w:lvlText w:val="%5."/>
      <w:lvlJc w:val="left"/>
      <w:pPr>
        <w:ind w:left="3600" w:hanging="360"/>
      </w:pPr>
    </w:lvl>
    <w:lvl w:ilvl="5" w:tplc="EEDE72C8">
      <w:start w:val="1"/>
      <w:numFmt w:val="lowerRoman"/>
      <w:lvlText w:val="%6."/>
      <w:lvlJc w:val="right"/>
      <w:pPr>
        <w:ind w:left="4320" w:hanging="180"/>
      </w:pPr>
    </w:lvl>
    <w:lvl w:ilvl="6" w:tplc="F2F8A98C">
      <w:start w:val="1"/>
      <w:numFmt w:val="decimal"/>
      <w:lvlText w:val="%7."/>
      <w:lvlJc w:val="left"/>
      <w:pPr>
        <w:ind w:left="5040" w:hanging="360"/>
      </w:pPr>
    </w:lvl>
    <w:lvl w:ilvl="7" w:tplc="015C6054">
      <w:start w:val="1"/>
      <w:numFmt w:val="lowerLetter"/>
      <w:lvlText w:val="%8."/>
      <w:lvlJc w:val="left"/>
      <w:pPr>
        <w:ind w:left="5760" w:hanging="360"/>
      </w:pPr>
    </w:lvl>
    <w:lvl w:ilvl="8" w:tplc="E7A68F56">
      <w:start w:val="1"/>
      <w:numFmt w:val="lowerRoman"/>
      <w:lvlText w:val="%9."/>
      <w:lvlJc w:val="right"/>
      <w:pPr>
        <w:ind w:left="6480" w:hanging="180"/>
      </w:pPr>
    </w:lvl>
  </w:abstractNum>
  <w:abstractNum w:abstractNumId="108" w15:restartNumberingAfterBreak="0">
    <w:nsid w:val="76D06977"/>
    <w:multiLevelType w:val="hybridMultilevel"/>
    <w:tmpl w:val="42E4798A"/>
    <w:lvl w:ilvl="0" w:tplc="991C3E1E">
      <w:start w:val="1"/>
      <w:numFmt w:val="bullet"/>
      <w:lvlText w:val="-"/>
      <w:lvlJc w:val="left"/>
      <w:pPr>
        <w:ind w:left="1080" w:hanging="720"/>
      </w:pPr>
      <w:rPr>
        <w:rFonts w:ascii="Calibri" w:hAnsi="Calibri" w:hint="default"/>
      </w:rPr>
    </w:lvl>
    <w:lvl w:ilvl="1" w:tplc="548ABFEE">
      <w:start w:val="1"/>
      <w:numFmt w:val="decimal"/>
      <w:lvlText w:val="%2."/>
      <w:lvlJc w:val="left"/>
      <w:pPr>
        <w:ind w:left="1440" w:hanging="360"/>
      </w:pPr>
      <w:rPr>
        <w:rFonts w:hint="default"/>
      </w:rPr>
    </w:lvl>
    <w:lvl w:ilvl="2" w:tplc="450EA25E">
      <w:start w:val="1"/>
      <w:numFmt w:val="lowerRoman"/>
      <w:lvlText w:val="(%3)"/>
      <w:lvlJc w:val="left"/>
      <w:pPr>
        <w:ind w:left="2700" w:hanging="720"/>
      </w:pPr>
      <w:rPr>
        <w:rFonts w:hint="default"/>
      </w:r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9" w15:restartNumberingAfterBreak="0">
    <w:nsid w:val="775F47F8"/>
    <w:multiLevelType w:val="hybridMultilevel"/>
    <w:tmpl w:val="6E3A0784"/>
    <w:lvl w:ilvl="0" w:tplc="991C3E1E">
      <w:start w:val="1"/>
      <w:numFmt w:val="bullet"/>
      <w:lvlText w:val="-"/>
      <w:lvlJc w:val="left"/>
      <w:pPr>
        <w:ind w:left="720" w:hanging="360"/>
      </w:pPr>
      <w:rPr>
        <w:rFonts w:ascii="Calibri" w:hAnsi="Calibri"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0" w15:restartNumberingAfterBreak="0">
    <w:nsid w:val="779C80A7"/>
    <w:multiLevelType w:val="hybridMultilevel"/>
    <w:tmpl w:val="FFFFFFFF"/>
    <w:lvl w:ilvl="0" w:tplc="54163D2E">
      <w:start w:val="1"/>
      <w:numFmt w:val="bullet"/>
      <w:lvlText w:val=""/>
      <w:lvlJc w:val="left"/>
      <w:pPr>
        <w:ind w:left="720" w:hanging="360"/>
      </w:pPr>
      <w:rPr>
        <w:rFonts w:ascii="Times New Roman félkövér" w:hAnsi="Times New Roman félkövér" w:hint="default"/>
      </w:rPr>
    </w:lvl>
    <w:lvl w:ilvl="1" w:tplc="59C8D084">
      <w:start w:val="1"/>
      <w:numFmt w:val="bullet"/>
      <w:lvlText w:val="o"/>
      <w:lvlJc w:val="left"/>
      <w:pPr>
        <w:ind w:left="1440" w:hanging="360"/>
      </w:pPr>
      <w:rPr>
        <w:rFonts w:ascii="@MS Mincho" w:hAnsi="@MS Mincho" w:hint="default"/>
      </w:rPr>
    </w:lvl>
    <w:lvl w:ilvl="2" w:tplc="F878DE84">
      <w:start w:val="1"/>
      <w:numFmt w:val="bullet"/>
      <w:lvlText w:val=""/>
      <w:lvlJc w:val="left"/>
      <w:pPr>
        <w:ind w:left="2160" w:hanging="360"/>
      </w:pPr>
      <w:rPr>
        <w:rFonts w:ascii="MS Mincho" w:hAnsi="MS Mincho" w:hint="default"/>
      </w:rPr>
    </w:lvl>
    <w:lvl w:ilvl="3" w:tplc="02A253C2">
      <w:start w:val="1"/>
      <w:numFmt w:val="bullet"/>
      <w:lvlText w:val=""/>
      <w:lvlJc w:val="left"/>
      <w:pPr>
        <w:ind w:left="2880" w:hanging="360"/>
      </w:pPr>
      <w:rPr>
        <w:rFonts w:ascii="Times New Roman félkövér" w:hAnsi="Times New Roman félkövér" w:hint="default"/>
      </w:rPr>
    </w:lvl>
    <w:lvl w:ilvl="4" w:tplc="9AFC300C">
      <w:start w:val="1"/>
      <w:numFmt w:val="bullet"/>
      <w:lvlText w:val="o"/>
      <w:lvlJc w:val="left"/>
      <w:pPr>
        <w:ind w:left="3600" w:hanging="360"/>
      </w:pPr>
      <w:rPr>
        <w:rFonts w:ascii="@MS Mincho" w:hAnsi="@MS Mincho" w:hint="default"/>
      </w:rPr>
    </w:lvl>
    <w:lvl w:ilvl="5" w:tplc="C7EC5E7C">
      <w:start w:val="1"/>
      <w:numFmt w:val="bullet"/>
      <w:lvlText w:val=""/>
      <w:lvlJc w:val="left"/>
      <w:pPr>
        <w:ind w:left="4320" w:hanging="360"/>
      </w:pPr>
      <w:rPr>
        <w:rFonts w:ascii="MS Mincho" w:hAnsi="MS Mincho" w:hint="default"/>
      </w:rPr>
    </w:lvl>
    <w:lvl w:ilvl="6" w:tplc="3A4CF30A">
      <w:start w:val="1"/>
      <w:numFmt w:val="bullet"/>
      <w:lvlText w:val=""/>
      <w:lvlJc w:val="left"/>
      <w:pPr>
        <w:ind w:left="5040" w:hanging="360"/>
      </w:pPr>
      <w:rPr>
        <w:rFonts w:ascii="Times New Roman félkövér" w:hAnsi="Times New Roman félkövér" w:hint="default"/>
      </w:rPr>
    </w:lvl>
    <w:lvl w:ilvl="7" w:tplc="541E8A4E">
      <w:start w:val="1"/>
      <w:numFmt w:val="bullet"/>
      <w:lvlText w:val="o"/>
      <w:lvlJc w:val="left"/>
      <w:pPr>
        <w:ind w:left="5760" w:hanging="360"/>
      </w:pPr>
      <w:rPr>
        <w:rFonts w:ascii="@MS Mincho" w:hAnsi="@MS Mincho" w:hint="default"/>
      </w:rPr>
    </w:lvl>
    <w:lvl w:ilvl="8" w:tplc="4D926666">
      <w:start w:val="1"/>
      <w:numFmt w:val="bullet"/>
      <w:lvlText w:val=""/>
      <w:lvlJc w:val="left"/>
      <w:pPr>
        <w:ind w:left="6480" w:hanging="360"/>
      </w:pPr>
      <w:rPr>
        <w:rFonts w:ascii="MS Mincho" w:hAnsi="MS Mincho" w:hint="default"/>
      </w:rPr>
    </w:lvl>
  </w:abstractNum>
  <w:abstractNum w:abstractNumId="111" w15:restartNumberingAfterBreak="0">
    <w:nsid w:val="78262A7E"/>
    <w:multiLevelType w:val="hybridMultilevel"/>
    <w:tmpl w:val="9CA2A382"/>
    <w:lvl w:ilvl="0" w:tplc="991C3E1E">
      <w:start w:val="1"/>
      <w:numFmt w:val="bullet"/>
      <w:lvlText w:val="-"/>
      <w:lvlJc w:val="left"/>
      <w:pPr>
        <w:ind w:left="720" w:hanging="360"/>
      </w:pPr>
      <w:rPr>
        <w:rFonts w:ascii="Calibri" w:hAnsi="Calibri"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2" w15:restartNumberingAfterBreak="0">
    <w:nsid w:val="793F767C"/>
    <w:multiLevelType w:val="hybridMultilevel"/>
    <w:tmpl w:val="FFFFFFFF"/>
    <w:lvl w:ilvl="0" w:tplc="B324EFFE">
      <w:start w:val="1"/>
      <w:numFmt w:val="bullet"/>
      <w:lvlText w:val=""/>
      <w:lvlJc w:val="left"/>
      <w:pPr>
        <w:ind w:left="720" w:hanging="360"/>
      </w:pPr>
      <w:rPr>
        <w:rFonts w:ascii="Symbol" w:hAnsi="Symbol" w:hint="default"/>
      </w:rPr>
    </w:lvl>
    <w:lvl w:ilvl="1" w:tplc="756C3CEE">
      <w:start w:val="1"/>
      <w:numFmt w:val="bullet"/>
      <w:lvlText w:val="o"/>
      <w:lvlJc w:val="left"/>
      <w:pPr>
        <w:ind w:left="1440" w:hanging="360"/>
      </w:pPr>
      <w:rPr>
        <w:rFonts w:ascii="Courier New" w:hAnsi="Courier New" w:hint="default"/>
      </w:rPr>
    </w:lvl>
    <w:lvl w:ilvl="2" w:tplc="01FEDD98">
      <w:start w:val="1"/>
      <w:numFmt w:val="bullet"/>
      <w:lvlText w:val=""/>
      <w:lvlJc w:val="left"/>
      <w:pPr>
        <w:ind w:left="2160" w:hanging="360"/>
      </w:pPr>
      <w:rPr>
        <w:rFonts w:ascii="Wingdings" w:hAnsi="Wingdings" w:hint="default"/>
      </w:rPr>
    </w:lvl>
    <w:lvl w:ilvl="3" w:tplc="A0069A78">
      <w:start w:val="1"/>
      <w:numFmt w:val="bullet"/>
      <w:lvlText w:val=""/>
      <w:lvlJc w:val="left"/>
      <w:pPr>
        <w:ind w:left="2880" w:hanging="360"/>
      </w:pPr>
      <w:rPr>
        <w:rFonts w:ascii="Symbol" w:hAnsi="Symbol" w:hint="default"/>
      </w:rPr>
    </w:lvl>
    <w:lvl w:ilvl="4" w:tplc="732A6CD8">
      <w:start w:val="1"/>
      <w:numFmt w:val="bullet"/>
      <w:lvlText w:val="o"/>
      <w:lvlJc w:val="left"/>
      <w:pPr>
        <w:ind w:left="3600" w:hanging="360"/>
      </w:pPr>
      <w:rPr>
        <w:rFonts w:ascii="Courier New" w:hAnsi="Courier New" w:hint="default"/>
      </w:rPr>
    </w:lvl>
    <w:lvl w:ilvl="5" w:tplc="113801C8">
      <w:start w:val="1"/>
      <w:numFmt w:val="bullet"/>
      <w:lvlText w:val=""/>
      <w:lvlJc w:val="left"/>
      <w:pPr>
        <w:ind w:left="4320" w:hanging="360"/>
      </w:pPr>
      <w:rPr>
        <w:rFonts w:ascii="Wingdings" w:hAnsi="Wingdings" w:hint="default"/>
      </w:rPr>
    </w:lvl>
    <w:lvl w:ilvl="6" w:tplc="A3DEF026">
      <w:start w:val="1"/>
      <w:numFmt w:val="bullet"/>
      <w:lvlText w:val=""/>
      <w:lvlJc w:val="left"/>
      <w:pPr>
        <w:ind w:left="5040" w:hanging="360"/>
      </w:pPr>
      <w:rPr>
        <w:rFonts w:ascii="Symbol" w:hAnsi="Symbol" w:hint="default"/>
      </w:rPr>
    </w:lvl>
    <w:lvl w:ilvl="7" w:tplc="71180BE6">
      <w:start w:val="1"/>
      <w:numFmt w:val="bullet"/>
      <w:lvlText w:val="o"/>
      <w:lvlJc w:val="left"/>
      <w:pPr>
        <w:ind w:left="5760" w:hanging="360"/>
      </w:pPr>
      <w:rPr>
        <w:rFonts w:ascii="Courier New" w:hAnsi="Courier New" w:hint="default"/>
      </w:rPr>
    </w:lvl>
    <w:lvl w:ilvl="8" w:tplc="D84EC670">
      <w:start w:val="1"/>
      <w:numFmt w:val="bullet"/>
      <w:lvlText w:val=""/>
      <w:lvlJc w:val="left"/>
      <w:pPr>
        <w:ind w:left="6480" w:hanging="360"/>
      </w:pPr>
      <w:rPr>
        <w:rFonts w:ascii="Wingdings" w:hAnsi="Wingdings" w:hint="default"/>
      </w:rPr>
    </w:lvl>
  </w:abstractNum>
  <w:abstractNum w:abstractNumId="113" w15:restartNumberingAfterBreak="0">
    <w:nsid w:val="7AE7528F"/>
    <w:multiLevelType w:val="hybridMultilevel"/>
    <w:tmpl w:val="DE7489B4"/>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Segoe UI Emoji" w:hAnsi="Segoe UI Emoji" w:hint="default"/>
      </w:rPr>
    </w:lvl>
    <w:lvl w:ilvl="2" w:tplc="FFFFFFFF">
      <w:start w:val="1"/>
      <w:numFmt w:val="bullet"/>
      <w:lvlText w:val=""/>
      <w:lvlJc w:val="left"/>
      <w:pPr>
        <w:ind w:left="2160" w:hanging="360"/>
      </w:pPr>
      <w:rPr>
        <w:rFonts w:ascii="@MS Mincho" w:hAnsi="@MS Mincho" w:hint="default"/>
      </w:rPr>
    </w:lvl>
    <w:lvl w:ilvl="3" w:tplc="FFFFFFFF">
      <w:start w:val="1"/>
      <w:numFmt w:val="bullet"/>
      <w:lvlText w:val=""/>
      <w:lvlJc w:val="left"/>
      <w:pPr>
        <w:ind w:left="2880" w:hanging="360"/>
      </w:pPr>
      <w:rPr>
        <w:rFonts w:ascii="Times New Roman félkövér" w:hAnsi="Times New Roman félkövér" w:hint="default"/>
      </w:rPr>
    </w:lvl>
    <w:lvl w:ilvl="4" w:tplc="FFFFFFFF">
      <w:start w:val="1"/>
      <w:numFmt w:val="bullet"/>
      <w:lvlText w:val="o"/>
      <w:lvlJc w:val="left"/>
      <w:pPr>
        <w:ind w:left="3600" w:hanging="360"/>
      </w:pPr>
      <w:rPr>
        <w:rFonts w:ascii="Segoe UI Emoji" w:hAnsi="Segoe UI Emoji" w:hint="default"/>
      </w:rPr>
    </w:lvl>
    <w:lvl w:ilvl="5" w:tplc="FFFFFFFF">
      <w:start w:val="1"/>
      <w:numFmt w:val="bullet"/>
      <w:lvlText w:val=""/>
      <w:lvlJc w:val="left"/>
      <w:pPr>
        <w:ind w:left="4320" w:hanging="360"/>
      </w:pPr>
      <w:rPr>
        <w:rFonts w:ascii="@MS Mincho" w:hAnsi="@MS Mincho" w:hint="default"/>
      </w:rPr>
    </w:lvl>
    <w:lvl w:ilvl="6" w:tplc="FFFFFFFF">
      <w:start w:val="1"/>
      <w:numFmt w:val="bullet"/>
      <w:lvlText w:val=""/>
      <w:lvlJc w:val="left"/>
      <w:pPr>
        <w:ind w:left="5040" w:hanging="360"/>
      </w:pPr>
      <w:rPr>
        <w:rFonts w:ascii="Times New Roman félkövér" w:hAnsi="Times New Roman félkövér" w:hint="default"/>
      </w:rPr>
    </w:lvl>
    <w:lvl w:ilvl="7" w:tplc="FFFFFFFF">
      <w:start w:val="1"/>
      <w:numFmt w:val="bullet"/>
      <w:lvlText w:val="o"/>
      <w:lvlJc w:val="left"/>
      <w:pPr>
        <w:ind w:left="5760" w:hanging="360"/>
      </w:pPr>
      <w:rPr>
        <w:rFonts w:ascii="Segoe UI Emoji" w:hAnsi="Segoe UI Emoji" w:hint="default"/>
      </w:rPr>
    </w:lvl>
    <w:lvl w:ilvl="8" w:tplc="FFFFFFFF">
      <w:start w:val="1"/>
      <w:numFmt w:val="bullet"/>
      <w:lvlText w:val=""/>
      <w:lvlJc w:val="left"/>
      <w:pPr>
        <w:ind w:left="6480" w:hanging="360"/>
      </w:pPr>
      <w:rPr>
        <w:rFonts w:ascii="@MS Mincho" w:hAnsi="@MS Mincho" w:hint="default"/>
      </w:rPr>
    </w:lvl>
  </w:abstractNum>
  <w:abstractNum w:abstractNumId="114"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115" w15:restartNumberingAfterBreak="0">
    <w:nsid w:val="7E3501D0"/>
    <w:multiLevelType w:val="hybridMultilevel"/>
    <w:tmpl w:val="6ADE2398"/>
    <w:lvl w:ilvl="0" w:tplc="991C3E1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E5E2960"/>
    <w:multiLevelType w:val="hybridMultilevel"/>
    <w:tmpl w:val="071658B8"/>
    <w:lvl w:ilvl="0" w:tplc="18090001">
      <w:start w:val="1"/>
      <w:numFmt w:val="bullet"/>
      <w:lvlText w:val=""/>
      <w:lvlJc w:val="left"/>
      <w:pPr>
        <w:ind w:left="1004" w:hanging="360"/>
      </w:pPr>
      <w:rPr>
        <w:rFonts w:ascii="Symbol" w:hAnsi="Symbol" w:hint="default"/>
      </w:rPr>
    </w:lvl>
    <w:lvl w:ilvl="1" w:tplc="18090003">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17" w15:restartNumberingAfterBreak="0">
    <w:nsid w:val="7EC4DE57"/>
    <w:multiLevelType w:val="hybridMultilevel"/>
    <w:tmpl w:val="FFFFFFFF"/>
    <w:lvl w:ilvl="0" w:tplc="D4F209E8">
      <w:start w:val="1"/>
      <w:numFmt w:val="decimal"/>
      <w:lvlText w:val="%1."/>
      <w:lvlJc w:val="left"/>
      <w:pPr>
        <w:ind w:left="720" w:hanging="360"/>
      </w:pPr>
    </w:lvl>
    <w:lvl w:ilvl="1" w:tplc="62467640">
      <w:start w:val="1"/>
      <w:numFmt w:val="lowerLetter"/>
      <w:lvlText w:val="%2."/>
      <w:lvlJc w:val="left"/>
      <w:pPr>
        <w:ind w:left="1440" w:hanging="360"/>
      </w:pPr>
    </w:lvl>
    <w:lvl w:ilvl="2" w:tplc="F086DE0E">
      <w:start w:val="1"/>
      <w:numFmt w:val="lowerRoman"/>
      <w:lvlText w:val="%3."/>
      <w:lvlJc w:val="right"/>
      <w:pPr>
        <w:ind w:left="2160" w:hanging="180"/>
      </w:pPr>
    </w:lvl>
    <w:lvl w:ilvl="3" w:tplc="7512D428">
      <w:start w:val="1"/>
      <w:numFmt w:val="decimal"/>
      <w:lvlText w:val="%4."/>
      <w:lvlJc w:val="left"/>
      <w:pPr>
        <w:ind w:left="2880" w:hanging="360"/>
      </w:pPr>
    </w:lvl>
    <w:lvl w:ilvl="4" w:tplc="A4003B70">
      <w:start w:val="1"/>
      <w:numFmt w:val="lowerLetter"/>
      <w:lvlText w:val="%5."/>
      <w:lvlJc w:val="left"/>
      <w:pPr>
        <w:ind w:left="3600" w:hanging="360"/>
      </w:pPr>
    </w:lvl>
    <w:lvl w:ilvl="5" w:tplc="ADD0A6B6">
      <w:start w:val="1"/>
      <w:numFmt w:val="lowerRoman"/>
      <w:lvlText w:val="%6."/>
      <w:lvlJc w:val="right"/>
      <w:pPr>
        <w:ind w:left="4320" w:hanging="180"/>
      </w:pPr>
    </w:lvl>
    <w:lvl w:ilvl="6" w:tplc="3F4220BC">
      <w:start w:val="1"/>
      <w:numFmt w:val="decimal"/>
      <w:lvlText w:val="%7."/>
      <w:lvlJc w:val="left"/>
      <w:pPr>
        <w:ind w:left="5040" w:hanging="360"/>
      </w:pPr>
    </w:lvl>
    <w:lvl w:ilvl="7" w:tplc="1968FFC4">
      <w:start w:val="1"/>
      <w:numFmt w:val="lowerLetter"/>
      <w:lvlText w:val="%8."/>
      <w:lvlJc w:val="left"/>
      <w:pPr>
        <w:ind w:left="5760" w:hanging="360"/>
      </w:pPr>
    </w:lvl>
    <w:lvl w:ilvl="8" w:tplc="9730985E">
      <w:start w:val="1"/>
      <w:numFmt w:val="lowerRoman"/>
      <w:lvlText w:val="%9."/>
      <w:lvlJc w:val="right"/>
      <w:pPr>
        <w:ind w:left="6480" w:hanging="180"/>
      </w:pPr>
    </w:lvl>
  </w:abstractNum>
  <w:num w:numId="1">
    <w:abstractNumId w:val="80"/>
  </w:num>
  <w:num w:numId="2">
    <w:abstractNumId w:val="52"/>
  </w:num>
  <w:num w:numId="3">
    <w:abstractNumId w:val="90"/>
  </w:num>
  <w:num w:numId="4">
    <w:abstractNumId w:val="38"/>
  </w:num>
  <w:num w:numId="5">
    <w:abstractNumId w:val="53"/>
  </w:num>
  <w:num w:numId="6">
    <w:abstractNumId w:val="29"/>
  </w:num>
  <w:num w:numId="7">
    <w:abstractNumId w:val="85"/>
  </w:num>
  <w:num w:numId="8">
    <w:abstractNumId w:val="26"/>
  </w:num>
  <w:num w:numId="9">
    <w:abstractNumId w:val="59"/>
  </w:num>
  <w:num w:numId="10">
    <w:abstractNumId w:val="76"/>
  </w:num>
  <w:num w:numId="11">
    <w:abstractNumId w:val="79"/>
  </w:num>
  <w:num w:numId="12">
    <w:abstractNumId w:val="37"/>
  </w:num>
  <w:num w:numId="13">
    <w:abstractNumId w:val="73"/>
  </w:num>
  <w:num w:numId="14">
    <w:abstractNumId w:val="114"/>
  </w:num>
  <w:num w:numId="15">
    <w:abstractNumId w:val="3"/>
  </w:num>
  <w:num w:numId="16">
    <w:abstractNumId w:val="2"/>
  </w:num>
  <w:num w:numId="17">
    <w:abstractNumId w:val="1"/>
  </w:num>
  <w:num w:numId="18">
    <w:abstractNumId w:val="0"/>
  </w:num>
  <w:num w:numId="19">
    <w:abstractNumId w:val="49"/>
  </w:num>
  <w:num w:numId="20">
    <w:abstractNumId w:val="13"/>
  </w:num>
  <w:num w:numId="21">
    <w:abstractNumId w:val="51"/>
  </w:num>
  <w:num w:numId="22">
    <w:abstractNumId w:val="11"/>
  </w:num>
  <w:num w:numId="23">
    <w:abstractNumId w:val="27"/>
  </w:num>
  <w:num w:numId="24">
    <w:abstractNumId w:val="84"/>
  </w:num>
  <w:num w:numId="25">
    <w:abstractNumId w:val="89"/>
  </w:num>
  <w:num w:numId="26">
    <w:abstractNumId w:val="45"/>
  </w:num>
  <w:num w:numId="27">
    <w:abstractNumId w:val="28"/>
  </w:num>
  <w:num w:numId="28">
    <w:abstractNumId w:val="115"/>
  </w:num>
  <w:num w:numId="29">
    <w:abstractNumId w:val="25"/>
  </w:num>
  <w:num w:numId="30">
    <w:abstractNumId w:val="64"/>
  </w:num>
  <w:num w:numId="31">
    <w:abstractNumId w:val="99"/>
  </w:num>
  <w:num w:numId="32">
    <w:abstractNumId w:val="5"/>
  </w:num>
  <w:num w:numId="33">
    <w:abstractNumId w:val="95"/>
  </w:num>
  <w:num w:numId="34">
    <w:abstractNumId w:val="92"/>
  </w:num>
  <w:num w:numId="35">
    <w:abstractNumId w:val="91"/>
  </w:num>
  <w:num w:numId="36">
    <w:abstractNumId w:val="88"/>
  </w:num>
  <w:num w:numId="37">
    <w:abstractNumId w:val="43"/>
  </w:num>
  <w:num w:numId="38">
    <w:abstractNumId w:val="34"/>
  </w:num>
  <w:num w:numId="39">
    <w:abstractNumId w:val="93"/>
  </w:num>
  <w:num w:numId="40">
    <w:abstractNumId w:val="62"/>
  </w:num>
  <w:num w:numId="41">
    <w:abstractNumId w:val="111"/>
  </w:num>
  <w:num w:numId="42">
    <w:abstractNumId w:val="101"/>
  </w:num>
  <w:num w:numId="43">
    <w:abstractNumId w:val="19"/>
  </w:num>
  <w:num w:numId="44">
    <w:abstractNumId w:val="109"/>
  </w:num>
  <w:num w:numId="45">
    <w:abstractNumId w:val="10"/>
  </w:num>
  <w:num w:numId="46">
    <w:abstractNumId w:val="108"/>
  </w:num>
  <w:num w:numId="47">
    <w:abstractNumId w:val="46"/>
  </w:num>
  <w:num w:numId="48">
    <w:abstractNumId w:val="50"/>
  </w:num>
  <w:num w:numId="49">
    <w:abstractNumId w:val="54"/>
  </w:num>
  <w:num w:numId="50">
    <w:abstractNumId w:val="60"/>
  </w:num>
  <w:num w:numId="51">
    <w:abstractNumId w:val="75"/>
  </w:num>
  <w:num w:numId="52">
    <w:abstractNumId w:val="6"/>
  </w:num>
  <w:num w:numId="53">
    <w:abstractNumId w:val="4"/>
  </w:num>
  <w:num w:numId="54">
    <w:abstractNumId w:val="22"/>
  </w:num>
  <w:num w:numId="55">
    <w:abstractNumId w:val="98"/>
  </w:num>
  <w:num w:numId="56">
    <w:abstractNumId w:val="97"/>
  </w:num>
  <w:num w:numId="57">
    <w:abstractNumId w:val="55"/>
  </w:num>
  <w:num w:numId="58">
    <w:abstractNumId w:val="58"/>
  </w:num>
  <w:num w:numId="59">
    <w:abstractNumId w:val="35"/>
  </w:num>
  <w:num w:numId="60">
    <w:abstractNumId w:val="41"/>
  </w:num>
  <w:num w:numId="61">
    <w:abstractNumId w:val="74"/>
  </w:num>
  <w:num w:numId="62">
    <w:abstractNumId w:val="96"/>
  </w:num>
  <w:num w:numId="63">
    <w:abstractNumId w:val="66"/>
  </w:num>
  <w:num w:numId="64">
    <w:abstractNumId w:val="67"/>
  </w:num>
  <w:num w:numId="65">
    <w:abstractNumId w:val="56"/>
  </w:num>
  <w:num w:numId="66">
    <w:abstractNumId w:val="42"/>
  </w:num>
  <w:num w:numId="67">
    <w:abstractNumId w:val="40"/>
  </w:num>
  <w:num w:numId="68">
    <w:abstractNumId w:val="23"/>
  </w:num>
  <w:num w:numId="69">
    <w:abstractNumId w:val="94"/>
  </w:num>
  <w:num w:numId="70">
    <w:abstractNumId w:val="17"/>
  </w:num>
  <w:num w:numId="71">
    <w:abstractNumId w:val="33"/>
  </w:num>
  <w:num w:numId="72">
    <w:abstractNumId w:val="87"/>
  </w:num>
  <w:num w:numId="73">
    <w:abstractNumId w:val="16"/>
  </w:num>
  <w:num w:numId="74">
    <w:abstractNumId w:val="103"/>
  </w:num>
  <w:num w:numId="75">
    <w:abstractNumId w:val="81"/>
  </w:num>
  <w:num w:numId="76">
    <w:abstractNumId w:val="12"/>
  </w:num>
  <w:num w:numId="77">
    <w:abstractNumId w:val="36"/>
  </w:num>
  <w:num w:numId="78">
    <w:abstractNumId w:val="15"/>
  </w:num>
  <w:num w:numId="79">
    <w:abstractNumId w:val="24"/>
  </w:num>
  <w:num w:numId="80">
    <w:abstractNumId w:val="20"/>
  </w:num>
  <w:num w:numId="81">
    <w:abstractNumId w:val="48"/>
  </w:num>
  <w:num w:numId="82">
    <w:abstractNumId w:val="8"/>
  </w:num>
  <w:num w:numId="83">
    <w:abstractNumId w:val="39"/>
  </w:num>
  <w:num w:numId="84">
    <w:abstractNumId w:val="116"/>
  </w:num>
  <w:num w:numId="85">
    <w:abstractNumId w:val="77"/>
  </w:num>
  <w:num w:numId="86">
    <w:abstractNumId w:val="44"/>
  </w:num>
  <w:num w:numId="87">
    <w:abstractNumId w:val="113"/>
  </w:num>
  <w:num w:numId="88">
    <w:abstractNumId w:val="9"/>
  </w:num>
  <w:num w:numId="89">
    <w:abstractNumId w:val="57"/>
  </w:num>
  <w:num w:numId="90">
    <w:abstractNumId w:val="110"/>
  </w:num>
  <w:num w:numId="91">
    <w:abstractNumId w:val="78"/>
  </w:num>
  <w:num w:numId="92">
    <w:abstractNumId w:val="65"/>
  </w:num>
  <w:num w:numId="93">
    <w:abstractNumId w:val="31"/>
  </w:num>
  <w:num w:numId="94">
    <w:abstractNumId w:val="63"/>
  </w:num>
  <w:num w:numId="95">
    <w:abstractNumId w:val="102"/>
  </w:num>
  <w:num w:numId="96">
    <w:abstractNumId w:val="30"/>
  </w:num>
  <w:num w:numId="97">
    <w:abstractNumId w:val="117"/>
  </w:num>
  <w:num w:numId="98">
    <w:abstractNumId w:val="86"/>
  </w:num>
  <w:num w:numId="99">
    <w:abstractNumId w:val="21"/>
  </w:num>
  <w:num w:numId="100">
    <w:abstractNumId w:val="7"/>
  </w:num>
  <w:num w:numId="101">
    <w:abstractNumId w:val="104"/>
  </w:num>
  <w:num w:numId="102">
    <w:abstractNumId w:val="71"/>
  </w:num>
  <w:num w:numId="103">
    <w:abstractNumId w:val="82"/>
  </w:num>
  <w:num w:numId="104">
    <w:abstractNumId w:val="107"/>
  </w:num>
  <w:num w:numId="105">
    <w:abstractNumId w:val="100"/>
  </w:num>
  <w:num w:numId="106">
    <w:abstractNumId w:val="18"/>
  </w:num>
  <w:num w:numId="107">
    <w:abstractNumId w:val="83"/>
  </w:num>
  <w:num w:numId="108">
    <w:abstractNumId w:val="70"/>
  </w:num>
  <w:num w:numId="109">
    <w:abstractNumId w:val="106"/>
  </w:num>
  <w:num w:numId="110">
    <w:abstractNumId w:val="32"/>
  </w:num>
  <w:num w:numId="111">
    <w:abstractNumId w:val="68"/>
  </w:num>
  <w:num w:numId="112">
    <w:abstractNumId w:val="72"/>
  </w:num>
  <w:num w:numId="113">
    <w:abstractNumId w:val="112"/>
  </w:num>
  <w:num w:numId="114">
    <w:abstractNumId w:val="47"/>
  </w:num>
  <w:num w:numId="115">
    <w:abstractNumId w:val="14"/>
  </w:num>
  <w:num w:numId="116">
    <w:abstractNumId w:val="69"/>
  </w:num>
  <w:num w:numId="117">
    <w:abstractNumId w:val="105"/>
  </w:num>
  <w:num w:numId="118">
    <w:abstractNumId w:val="6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oNotTrackFormatting/>
  <w:documentProtection w:edit="trackedChanges" w:enforcement="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5.2&quot; technicalblockguid=&quot;4655436941348792004&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1-07-07&lt;/text&gt;_x000d__x000a_  &lt;/metadata&gt;_x000d__x000a_  &lt;metadata key=&quot;md_Prefix&quot;&gt;_x000d__x000a_    &lt;text&gt;&lt;/text&gt;_x000d__x000a_  &lt;/metadata&gt;_x000d__x000a_  &lt;metadata key=&quot;md_DocumentNumber&quot;&gt;_x000d__x000a_    &lt;text&gt;10149&lt;/text&gt;_x000d__x000a_  &lt;/metadata&gt;_x000d__x000a_  &lt;metadata key=&quot;md_YearDocumentNumber&quot;&gt;_x000d__x000a_    &lt;text&gt;2021&lt;/text&gt;_x000d__x000a_  &lt;/metadata&gt;_x000d__x000a_  &lt;metadata key=&quot;md_Suffixes&quot;&gt;_x000d__x000a_    &lt;text&gt;ADD 1 REV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636&lt;/text&gt;_x000d__x000a_      &lt;text&gt;CADREFIN 331&lt;/text&gt;_x000d__x000a_      &lt;text&gt;UEM 171&lt;/text&gt;_x000d__x000a_      &lt;text&gt;FIN 512&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1/0154 (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REVISED ANNEX to the Council Implementing Decision on the approval of the assessment of the recovery and resilience plan for Portugal&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amp;gt;&amp;lt;Run xml:lang=&quot;fr-be&quot; xml:space=&quot;preserve&quot;&amp;gt;REVISED &amp;lt;/Run&amp;gt;ANNEX to the Council Implementing Decision on the approval of the assessment of the recovery and resilience plan for &amp;lt;Run xml:lang=&quot;fr-be&quot;&amp;gt;Portugal&amp;lt;/Run&amp;gt;&amp;lt;/Paragraph&amp;gt;&amp;lt;/FlowDocument&amp;gt;&lt;/xaml&gt;_x000d__x000a_  &lt;/metadata&gt;_x000d__x000a_  &lt;metadata key=&quot;md_SubjectFootnote&quot; /&gt;_x000d__x000a_  &lt;metadata key=&quot;md_DG&quot;&gt;_x000d__x000a_    &lt;text&gt;ECOMP 1A&lt;/text&gt;_x000d__x000a_  &lt;/metadata&gt;_x000d__x000a_  &lt;metadata key=&quot;md_Initials&quot;&gt;_x000d__x000a_    &lt;text&gt;FDC/sr&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1&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CustomNB&quot; /&gt;_x000d__x000a_  &lt;metadata key=&quot;md_Meetings&quot; /&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Arial Unicode MS&quot; FontSize=&quot;12&quot; AllowDrop=&quot;False&quot; xmlns=&quot;http://schemas.microsoft.com/winfx/2006/xaml/presentation&quot; /&amp;gt;&lt;/xaml&gt;_x000d__x000a_  &lt;/metadata&gt;_x000d__x000a_  &lt;metadata key=&quot;md_WorkflowLinkStatus&quot;&gt;_x000d__x000a_    &lt;text&gt;No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DocType" w:val="Normal"/>
    <w:docVar w:name="LW_ACCOMPAGNANT.CP" w:val="k"/>
    <w:docVar w:name="LW_ANNEX_NBR_FIRST" w:val="1"/>
    <w:docVar w:name="LW_ANNEX_NBR_LAST" w:val="1"/>
    <w:docVar w:name="LW_ANNEX_UNIQUE" w:val="1"/>
    <w:docVar w:name="LW_CORRIGENDUM" w:val="&lt;UNUSED&gt;"/>
    <w:docVar w:name="LW_COVERPAGE_EXISTS" w:val="True"/>
    <w:docVar w:name="LW_COVERPAGE_GUID" w:val="3BB4D96A-A1DD-4B5A-A6D4-CBD993EEAFA9"/>
    <w:docVar w:name="LW_COVERPAGE_TYPE" w:val="1"/>
    <w:docVar w:name="LW_CROSSREFERENCE" w:val="{SWD(2023) 318 final}"/>
    <w:docVar w:name="LW_DocType" w:val="NORMAL"/>
    <w:docVar w:name="LW_EMISSION" w:val="22. 9. 2023"/>
    <w:docVar w:name="LW_EMISSION_ISODATE" w:val="2023-09-22"/>
    <w:docVar w:name="LW_EMISSION_LOCATION" w:val="BRX"/>
    <w:docVar w:name="LW_EMISSION_PREFIX" w:val="V Bruseli"/>
    <w:docVar w:name="LW_EMISSION_SUFFIX" w:val=" "/>
    <w:docVar w:name="LW_ID_DOCTYPE_NONLW" w:val="CP-036"/>
    <w:docVar w:name="LW_LANGUE" w:val="SK"/>
    <w:docVar w:name="LW_LEVEL_OF_SENSITIVITY" w:val="Standard treatment"/>
    <w:docVar w:name="LW_NOM.INST" w:val="EURÓPSKA KOMISIA"/>
    <w:docVar w:name="LW_NOM.INST_JOINTDOC" w:val="&lt;EMPTY&gt;"/>
    <w:docVar w:name="LW_OBJETACTEPRINCIPAL.CP" w:val="ktorým sa mení vykonávacie rozhodnutie (EÚ) (ST 10149/2021; ST 10149/2021 ADD 1) zo 6. júla 2021 o schválení posúdenia plánu obnovy a odolnosti Portugalska"/>
    <w:docVar w:name="LW_PART_NBR" w:val="1"/>
    <w:docVar w:name="LW_PART_NBR_TOTAL" w:val="1"/>
    <w:docVar w:name="LW_REF.INST.NEW" w:val="COM"/>
    <w:docVar w:name="LW_REF.INST.NEW_ADOPTED" w:val="final"/>
    <w:docVar w:name="LW_REF.INST.NEW_TEXT" w:val="(2023) 55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PRÍLOHA_x000b_"/>
    <w:docVar w:name="LW_TYPEACTEPRINCIPAL.CP" w:val="návrhu VYKONÁVACIEHO ROZHODNUTIA RADY,"/>
    <w:docVar w:name="LwApiVersions" w:val="LW4CoDe 1.23.2.0; LW 8.0, Build 20211117"/>
  </w:docVars>
  <w:rsids>
    <w:rsidRoot w:val="007C40E9"/>
    <w:rsid w:val="0000008D"/>
    <w:rsid w:val="000000F3"/>
    <w:rsid w:val="00000323"/>
    <w:rsid w:val="00000529"/>
    <w:rsid w:val="00000576"/>
    <w:rsid w:val="000005FF"/>
    <w:rsid w:val="0000064E"/>
    <w:rsid w:val="0000080C"/>
    <w:rsid w:val="00000B7F"/>
    <w:rsid w:val="00000CCC"/>
    <w:rsid w:val="00000F6D"/>
    <w:rsid w:val="00001142"/>
    <w:rsid w:val="0000116B"/>
    <w:rsid w:val="00001258"/>
    <w:rsid w:val="000012F4"/>
    <w:rsid w:val="000013F2"/>
    <w:rsid w:val="000017E6"/>
    <w:rsid w:val="000018CD"/>
    <w:rsid w:val="00001A21"/>
    <w:rsid w:val="00001A89"/>
    <w:rsid w:val="00001CE9"/>
    <w:rsid w:val="00001FC9"/>
    <w:rsid w:val="000022F5"/>
    <w:rsid w:val="00002316"/>
    <w:rsid w:val="00002337"/>
    <w:rsid w:val="00002741"/>
    <w:rsid w:val="000028A2"/>
    <w:rsid w:val="000028FF"/>
    <w:rsid w:val="00002959"/>
    <w:rsid w:val="00002AB9"/>
    <w:rsid w:val="00002C7B"/>
    <w:rsid w:val="00002C97"/>
    <w:rsid w:val="00002E5B"/>
    <w:rsid w:val="00002F2C"/>
    <w:rsid w:val="00002F5B"/>
    <w:rsid w:val="000032C5"/>
    <w:rsid w:val="00003796"/>
    <w:rsid w:val="00003874"/>
    <w:rsid w:val="00003B17"/>
    <w:rsid w:val="00003B4B"/>
    <w:rsid w:val="00003C25"/>
    <w:rsid w:val="00003F3B"/>
    <w:rsid w:val="00003FE2"/>
    <w:rsid w:val="00003FFC"/>
    <w:rsid w:val="000042A7"/>
    <w:rsid w:val="0000438B"/>
    <w:rsid w:val="00004412"/>
    <w:rsid w:val="000044DE"/>
    <w:rsid w:val="0000482A"/>
    <w:rsid w:val="00004B18"/>
    <w:rsid w:val="00004FD8"/>
    <w:rsid w:val="000050B9"/>
    <w:rsid w:val="000052CD"/>
    <w:rsid w:val="000053ED"/>
    <w:rsid w:val="000054BD"/>
    <w:rsid w:val="0000568D"/>
    <w:rsid w:val="00005986"/>
    <w:rsid w:val="00005999"/>
    <w:rsid w:val="00005A0C"/>
    <w:rsid w:val="00005D5F"/>
    <w:rsid w:val="00005F39"/>
    <w:rsid w:val="00005FB6"/>
    <w:rsid w:val="00006158"/>
    <w:rsid w:val="000062DE"/>
    <w:rsid w:val="000062DF"/>
    <w:rsid w:val="000065B4"/>
    <w:rsid w:val="0000698A"/>
    <w:rsid w:val="00006C1A"/>
    <w:rsid w:val="00006E3C"/>
    <w:rsid w:val="00006F8A"/>
    <w:rsid w:val="00007332"/>
    <w:rsid w:val="00007373"/>
    <w:rsid w:val="000073D5"/>
    <w:rsid w:val="0000755D"/>
    <w:rsid w:val="00007596"/>
    <w:rsid w:val="0000780B"/>
    <w:rsid w:val="00007C47"/>
    <w:rsid w:val="00007C62"/>
    <w:rsid w:val="00007F4E"/>
    <w:rsid w:val="00007FCE"/>
    <w:rsid w:val="00010248"/>
    <w:rsid w:val="000102FE"/>
    <w:rsid w:val="000103B1"/>
    <w:rsid w:val="000104AF"/>
    <w:rsid w:val="00010611"/>
    <w:rsid w:val="00010933"/>
    <w:rsid w:val="00010A55"/>
    <w:rsid w:val="00010F64"/>
    <w:rsid w:val="00010F99"/>
    <w:rsid w:val="00011021"/>
    <w:rsid w:val="00011253"/>
    <w:rsid w:val="0001160D"/>
    <w:rsid w:val="000116CA"/>
    <w:rsid w:val="00011BDB"/>
    <w:rsid w:val="00011F18"/>
    <w:rsid w:val="00011F94"/>
    <w:rsid w:val="000120CC"/>
    <w:rsid w:val="000126BC"/>
    <w:rsid w:val="0001273B"/>
    <w:rsid w:val="0001279B"/>
    <w:rsid w:val="000129ED"/>
    <w:rsid w:val="00012A6B"/>
    <w:rsid w:val="00012A7E"/>
    <w:rsid w:val="00012BF1"/>
    <w:rsid w:val="00012D15"/>
    <w:rsid w:val="00012DAD"/>
    <w:rsid w:val="00012DBA"/>
    <w:rsid w:val="00012E77"/>
    <w:rsid w:val="000139A8"/>
    <w:rsid w:val="00013BEA"/>
    <w:rsid w:val="00013DDC"/>
    <w:rsid w:val="00013FC3"/>
    <w:rsid w:val="000141A4"/>
    <w:rsid w:val="000142FD"/>
    <w:rsid w:val="0001434E"/>
    <w:rsid w:val="000143B3"/>
    <w:rsid w:val="000143D8"/>
    <w:rsid w:val="00014454"/>
    <w:rsid w:val="00014B22"/>
    <w:rsid w:val="00014E11"/>
    <w:rsid w:val="000150DC"/>
    <w:rsid w:val="000151C2"/>
    <w:rsid w:val="0001520F"/>
    <w:rsid w:val="00015504"/>
    <w:rsid w:val="000155EB"/>
    <w:rsid w:val="000156C2"/>
    <w:rsid w:val="00015848"/>
    <w:rsid w:val="000159B2"/>
    <w:rsid w:val="00015B23"/>
    <w:rsid w:val="00015F0B"/>
    <w:rsid w:val="00015F77"/>
    <w:rsid w:val="0001602C"/>
    <w:rsid w:val="00016058"/>
    <w:rsid w:val="000161D9"/>
    <w:rsid w:val="00016237"/>
    <w:rsid w:val="000162B9"/>
    <w:rsid w:val="000162BA"/>
    <w:rsid w:val="000163A1"/>
    <w:rsid w:val="000165A4"/>
    <w:rsid w:val="000166C7"/>
    <w:rsid w:val="0001684A"/>
    <w:rsid w:val="00016A1C"/>
    <w:rsid w:val="00016BD5"/>
    <w:rsid w:val="00016E25"/>
    <w:rsid w:val="00016E8B"/>
    <w:rsid w:val="00017178"/>
    <w:rsid w:val="00017186"/>
    <w:rsid w:val="000174C2"/>
    <w:rsid w:val="00017531"/>
    <w:rsid w:val="000175AB"/>
    <w:rsid w:val="000176AD"/>
    <w:rsid w:val="000177CB"/>
    <w:rsid w:val="0001782F"/>
    <w:rsid w:val="00017831"/>
    <w:rsid w:val="00017A10"/>
    <w:rsid w:val="00017E46"/>
    <w:rsid w:val="00020052"/>
    <w:rsid w:val="0002037E"/>
    <w:rsid w:val="00020594"/>
    <w:rsid w:val="000206B9"/>
    <w:rsid w:val="0002082E"/>
    <w:rsid w:val="000209A5"/>
    <w:rsid w:val="000209B0"/>
    <w:rsid w:val="00020A61"/>
    <w:rsid w:val="00020A8F"/>
    <w:rsid w:val="00020B0F"/>
    <w:rsid w:val="00020EBA"/>
    <w:rsid w:val="00021016"/>
    <w:rsid w:val="0002101C"/>
    <w:rsid w:val="0002134D"/>
    <w:rsid w:val="00021A62"/>
    <w:rsid w:val="00021BE8"/>
    <w:rsid w:val="00021F53"/>
    <w:rsid w:val="0002235D"/>
    <w:rsid w:val="00022425"/>
    <w:rsid w:val="0002274E"/>
    <w:rsid w:val="0002276F"/>
    <w:rsid w:val="0002294E"/>
    <w:rsid w:val="0002296D"/>
    <w:rsid w:val="000229DA"/>
    <w:rsid w:val="00022B95"/>
    <w:rsid w:val="00022CED"/>
    <w:rsid w:val="00022EAA"/>
    <w:rsid w:val="00023183"/>
    <w:rsid w:val="000239E6"/>
    <w:rsid w:val="00023DE2"/>
    <w:rsid w:val="00024228"/>
    <w:rsid w:val="000244AC"/>
    <w:rsid w:val="000245BC"/>
    <w:rsid w:val="000245D1"/>
    <w:rsid w:val="000247EC"/>
    <w:rsid w:val="000248C2"/>
    <w:rsid w:val="00024AC2"/>
    <w:rsid w:val="00024C45"/>
    <w:rsid w:val="00024CFC"/>
    <w:rsid w:val="0002515F"/>
    <w:rsid w:val="000252D5"/>
    <w:rsid w:val="0002561B"/>
    <w:rsid w:val="00025657"/>
    <w:rsid w:val="0002590D"/>
    <w:rsid w:val="0002592B"/>
    <w:rsid w:val="00025A76"/>
    <w:rsid w:val="00025BD0"/>
    <w:rsid w:val="00025F02"/>
    <w:rsid w:val="00025F3C"/>
    <w:rsid w:val="0002636A"/>
    <w:rsid w:val="00026389"/>
    <w:rsid w:val="000263C6"/>
    <w:rsid w:val="000265CF"/>
    <w:rsid w:val="00026A33"/>
    <w:rsid w:val="00026C22"/>
    <w:rsid w:val="00026C64"/>
    <w:rsid w:val="00026C9A"/>
    <w:rsid w:val="0002712C"/>
    <w:rsid w:val="00027334"/>
    <w:rsid w:val="000273F4"/>
    <w:rsid w:val="00027476"/>
    <w:rsid w:val="0002754A"/>
    <w:rsid w:val="0002783C"/>
    <w:rsid w:val="000278F2"/>
    <w:rsid w:val="00027A5D"/>
    <w:rsid w:val="00027CAF"/>
    <w:rsid w:val="00027E1A"/>
    <w:rsid w:val="00027F14"/>
    <w:rsid w:val="000300AA"/>
    <w:rsid w:val="00030797"/>
    <w:rsid w:val="00030830"/>
    <w:rsid w:val="00030993"/>
    <w:rsid w:val="000309C1"/>
    <w:rsid w:val="00030A32"/>
    <w:rsid w:val="00030DA3"/>
    <w:rsid w:val="00031175"/>
    <w:rsid w:val="0003127E"/>
    <w:rsid w:val="000312CA"/>
    <w:rsid w:val="00031472"/>
    <w:rsid w:val="0003164A"/>
    <w:rsid w:val="0003191A"/>
    <w:rsid w:val="00031962"/>
    <w:rsid w:val="00031B5A"/>
    <w:rsid w:val="00031C47"/>
    <w:rsid w:val="00031D07"/>
    <w:rsid w:val="00032124"/>
    <w:rsid w:val="0003225D"/>
    <w:rsid w:val="00032335"/>
    <w:rsid w:val="00032B36"/>
    <w:rsid w:val="00032CA7"/>
    <w:rsid w:val="00032DB5"/>
    <w:rsid w:val="00032E9D"/>
    <w:rsid w:val="00032EE4"/>
    <w:rsid w:val="0003306E"/>
    <w:rsid w:val="00033234"/>
    <w:rsid w:val="0003335C"/>
    <w:rsid w:val="00033373"/>
    <w:rsid w:val="000335CA"/>
    <w:rsid w:val="000336B3"/>
    <w:rsid w:val="00033A00"/>
    <w:rsid w:val="00033A0D"/>
    <w:rsid w:val="00033DB2"/>
    <w:rsid w:val="00033EE3"/>
    <w:rsid w:val="0003449C"/>
    <w:rsid w:val="000344B0"/>
    <w:rsid w:val="000345DC"/>
    <w:rsid w:val="00034AE0"/>
    <w:rsid w:val="00034C14"/>
    <w:rsid w:val="00035116"/>
    <w:rsid w:val="00035230"/>
    <w:rsid w:val="00035587"/>
    <w:rsid w:val="00035940"/>
    <w:rsid w:val="00035B66"/>
    <w:rsid w:val="00035C66"/>
    <w:rsid w:val="00035FA6"/>
    <w:rsid w:val="0003601E"/>
    <w:rsid w:val="000365E2"/>
    <w:rsid w:val="00036893"/>
    <w:rsid w:val="00036C14"/>
    <w:rsid w:val="00037239"/>
    <w:rsid w:val="00037286"/>
    <w:rsid w:val="00037322"/>
    <w:rsid w:val="0003775E"/>
    <w:rsid w:val="000378E7"/>
    <w:rsid w:val="00037D94"/>
    <w:rsid w:val="00037E65"/>
    <w:rsid w:val="000401F5"/>
    <w:rsid w:val="0004034C"/>
    <w:rsid w:val="000404C8"/>
    <w:rsid w:val="000404E1"/>
    <w:rsid w:val="00040500"/>
    <w:rsid w:val="000405A6"/>
    <w:rsid w:val="000409CB"/>
    <w:rsid w:val="00040A25"/>
    <w:rsid w:val="00041384"/>
    <w:rsid w:val="000419FF"/>
    <w:rsid w:val="00041D91"/>
    <w:rsid w:val="00041DE6"/>
    <w:rsid w:val="000421E6"/>
    <w:rsid w:val="0004235E"/>
    <w:rsid w:val="000423D9"/>
    <w:rsid w:val="00042D28"/>
    <w:rsid w:val="00043129"/>
    <w:rsid w:val="000432C2"/>
    <w:rsid w:val="00043783"/>
    <w:rsid w:val="00043BF1"/>
    <w:rsid w:val="00043E76"/>
    <w:rsid w:val="00043EE0"/>
    <w:rsid w:val="00043F66"/>
    <w:rsid w:val="0004409A"/>
    <w:rsid w:val="0004425F"/>
    <w:rsid w:val="00044841"/>
    <w:rsid w:val="0004486D"/>
    <w:rsid w:val="00044AAF"/>
    <w:rsid w:val="00044ABA"/>
    <w:rsid w:val="00044C45"/>
    <w:rsid w:val="00044CF5"/>
    <w:rsid w:val="00044F87"/>
    <w:rsid w:val="0004511C"/>
    <w:rsid w:val="00045136"/>
    <w:rsid w:val="00045359"/>
    <w:rsid w:val="0004552F"/>
    <w:rsid w:val="000455CD"/>
    <w:rsid w:val="000459BC"/>
    <w:rsid w:val="00045E5C"/>
    <w:rsid w:val="000462AC"/>
    <w:rsid w:val="000466F4"/>
    <w:rsid w:val="00046806"/>
    <w:rsid w:val="00046929"/>
    <w:rsid w:val="000469FA"/>
    <w:rsid w:val="00046AAC"/>
    <w:rsid w:val="00046B3F"/>
    <w:rsid w:val="00046BBE"/>
    <w:rsid w:val="00046CF0"/>
    <w:rsid w:val="00046DB4"/>
    <w:rsid w:val="00046E7B"/>
    <w:rsid w:val="000476E1"/>
    <w:rsid w:val="00047C3A"/>
    <w:rsid w:val="00047CF7"/>
    <w:rsid w:val="0005027F"/>
    <w:rsid w:val="00050287"/>
    <w:rsid w:val="00050546"/>
    <w:rsid w:val="000506CE"/>
    <w:rsid w:val="00050705"/>
    <w:rsid w:val="00050712"/>
    <w:rsid w:val="00050935"/>
    <w:rsid w:val="00050B2A"/>
    <w:rsid w:val="00050B5C"/>
    <w:rsid w:val="00050CAD"/>
    <w:rsid w:val="00050E8B"/>
    <w:rsid w:val="000512F2"/>
    <w:rsid w:val="00051544"/>
    <w:rsid w:val="0005160B"/>
    <w:rsid w:val="00051A70"/>
    <w:rsid w:val="00051B2F"/>
    <w:rsid w:val="00051B5A"/>
    <w:rsid w:val="00051C0A"/>
    <w:rsid w:val="00051D8D"/>
    <w:rsid w:val="00051E2D"/>
    <w:rsid w:val="00051F8A"/>
    <w:rsid w:val="00051FE3"/>
    <w:rsid w:val="00052752"/>
    <w:rsid w:val="00052867"/>
    <w:rsid w:val="00052898"/>
    <w:rsid w:val="00052CBF"/>
    <w:rsid w:val="00052F48"/>
    <w:rsid w:val="000531BD"/>
    <w:rsid w:val="000531DB"/>
    <w:rsid w:val="0005329F"/>
    <w:rsid w:val="00053646"/>
    <w:rsid w:val="00053725"/>
    <w:rsid w:val="000538CE"/>
    <w:rsid w:val="00053A55"/>
    <w:rsid w:val="00053AB3"/>
    <w:rsid w:val="00053AC9"/>
    <w:rsid w:val="00053C04"/>
    <w:rsid w:val="00053F51"/>
    <w:rsid w:val="00054067"/>
    <w:rsid w:val="00054186"/>
    <w:rsid w:val="00054320"/>
    <w:rsid w:val="000543D1"/>
    <w:rsid w:val="000543EE"/>
    <w:rsid w:val="000545ED"/>
    <w:rsid w:val="00054682"/>
    <w:rsid w:val="0005476B"/>
    <w:rsid w:val="00054AD7"/>
    <w:rsid w:val="00054BC9"/>
    <w:rsid w:val="00054D49"/>
    <w:rsid w:val="00054D5F"/>
    <w:rsid w:val="00054EBF"/>
    <w:rsid w:val="00054FDB"/>
    <w:rsid w:val="0005503B"/>
    <w:rsid w:val="00055834"/>
    <w:rsid w:val="00055E73"/>
    <w:rsid w:val="000564B1"/>
    <w:rsid w:val="000565BB"/>
    <w:rsid w:val="00056771"/>
    <w:rsid w:val="000568E5"/>
    <w:rsid w:val="00056CFC"/>
    <w:rsid w:val="00056DB8"/>
    <w:rsid w:val="00056E01"/>
    <w:rsid w:val="00056E8F"/>
    <w:rsid w:val="00056FA2"/>
    <w:rsid w:val="00057027"/>
    <w:rsid w:val="00057069"/>
    <w:rsid w:val="000570D7"/>
    <w:rsid w:val="00057161"/>
    <w:rsid w:val="000575C1"/>
    <w:rsid w:val="00057683"/>
    <w:rsid w:val="000578EA"/>
    <w:rsid w:val="000578EF"/>
    <w:rsid w:val="00057D64"/>
    <w:rsid w:val="00057DF4"/>
    <w:rsid w:val="000600AC"/>
    <w:rsid w:val="000600BE"/>
    <w:rsid w:val="0006027B"/>
    <w:rsid w:val="000603A3"/>
    <w:rsid w:val="000605EC"/>
    <w:rsid w:val="000605FB"/>
    <w:rsid w:val="00060610"/>
    <w:rsid w:val="00060682"/>
    <w:rsid w:val="000606D8"/>
    <w:rsid w:val="00060AB3"/>
    <w:rsid w:val="00060ADF"/>
    <w:rsid w:val="00060DD8"/>
    <w:rsid w:val="00060DDD"/>
    <w:rsid w:val="000614A6"/>
    <w:rsid w:val="00061621"/>
    <w:rsid w:val="0006171B"/>
    <w:rsid w:val="00061922"/>
    <w:rsid w:val="00061AF4"/>
    <w:rsid w:val="00061C49"/>
    <w:rsid w:val="00061CA2"/>
    <w:rsid w:val="0006201A"/>
    <w:rsid w:val="000620D0"/>
    <w:rsid w:val="000623C6"/>
    <w:rsid w:val="000624DF"/>
    <w:rsid w:val="00062845"/>
    <w:rsid w:val="00062A35"/>
    <w:rsid w:val="00062B47"/>
    <w:rsid w:val="00062DF0"/>
    <w:rsid w:val="00062F37"/>
    <w:rsid w:val="00062F89"/>
    <w:rsid w:val="00062F9C"/>
    <w:rsid w:val="0006301D"/>
    <w:rsid w:val="000631FE"/>
    <w:rsid w:val="00063572"/>
    <w:rsid w:val="0006361B"/>
    <w:rsid w:val="000637D1"/>
    <w:rsid w:val="00063ECB"/>
    <w:rsid w:val="00064078"/>
    <w:rsid w:val="00064098"/>
    <w:rsid w:val="00064269"/>
    <w:rsid w:val="0006443D"/>
    <w:rsid w:val="00064557"/>
    <w:rsid w:val="0006461E"/>
    <w:rsid w:val="00064829"/>
    <w:rsid w:val="000648FB"/>
    <w:rsid w:val="00064BBA"/>
    <w:rsid w:val="00064E24"/>
    <w:rsid w:val="00064F9F"/>
    <w:rsid w:val="000651B6"/>
    <w:rsid w:val="000653CE"/>
    <w:rsid w:val="000654C9"/>
    <w:rsid w:val="00065710"/>
    <w:rsid w:val="00065C38"/>
    <w:rsid w:val="000661A4"/>
    <w:rsid w:val="00066501"/>
    <w:rsid w:val="00066574"/>
    <w:rsid w:val="00066998"/>
    <w:rsid w:val="00066B30"/>
    <w:rsid w:val="00066BBC"/>
    <w:rsid w:val="00066C0E"/>
    <w:rsid w:val="00066ECD"/>
    <w:rsid w:val="00066ED3"/>
    <w:rsid w:val="00067180"/>
    <w:rsid w:val="000673B3"/>
    <w:rsid w:val="0006750F"/>
    <w:rsid w:val="00067597"/>
    <w:rsid w:val="00067EA8"/>
    <w:rsid w:val="00067F71"/>
    <w:rsid w:val="00070447"/>
    <w:rsid w:val="00070C41"/>
    <w:rsid w:val="00070C75"/>
    <w:rsid w:val="00070C76"/>
    <w:rsid w:val="000710EB"/>
    <w:rsid w:val="0007125B"/>
    <w:rsid w:val="00071539"/>
    <w:rsid w:val="000715B5"/>
    <w:rsid w:val="00071806"/>
    <w:rsid w:val="0007191E"/>
    <w:rsid w:val="0007198C"/>
    <w:rsid w:val="000719B3"/>
    <w:rsid w:val="000719BC"/>
    <w:rsid w:val="000719DD"/>
    <w:rsid w:val="00071B8E"/>
    <w:rsid w:val="00071BBF"/>
    <w:rsid w:val="00071C48"/>
    <w:rsid w:val="00072405"/>
    <w:rsid w:val="000724C1"/>
    <w:rsid w:val="0007259E"/>
    <w:rsid w:val="000727CC"/>
    <w:rsid w:val="0007293A"/>
    <w:rsid w:val="00072AAD"/>
    <w:rsid w:val="00072B01"/>
    <w:rsid w:val="00072D67"/>
    <w:rsid w:val="00072DEE"/>
    <w:rsid w:val="00072E4A"/>
    <w:rsid w:val="0007330F"/>
    <w:rsid w:val="00073C88"/>
    <w:rsid w:val="00073D1E"/>
    <w:rsid w:val="00073E34"/>
    <w:rsid w:val="00073F5A"/>
    <w:rsid w:val="00073F62"/>
    <w:rsid w:val="00073FA7"/>
    <w:rsid w:val="0007437F"/>
    <w:rsid w:val="00074444"/>
    <w:rsid w:val="000747D7"/>
    <w:rsid w:val="00074E9A"/>
    <w:rsid w:val="00074F29"/>
    <w:rsid w:val="00074F6A"/>
    <w:rsid w:val="00074F8E"/>
    <w:rsid w:val="00075040"/>
    <w:rsid w:val="0007535B"/>
    <w:rsid w:val="0007591D"/>
    <w:rsid w:val="00075D71"/>
    <w:rsid w:val="00076018"/>
    <w:rsid w:val="000760F3"/>
    <w:rsid w:val="00076316"/>
    <w:rsid w:val="00076378"/>
    <w:rsid w:val="00076409"/>
    <w:rsid w:val="00076486"/>
    <w:rsid w:val="00076728"/>
    <w:rsid w:val="00076B57"/>
    <w:rsid w:val="00076C54"/>
    <w:rsid w:val="00076F37"/>
    <w:rsid w:val="00077411"/>
    <w:rsid w:val="000776D0"/>
    <w:rsid w:val="00077A66"/>
    <w:rsid w:val="00077B54"/>
    <w:rsid w:val="00077C0F"/>
    <w:rsid w:val="00077D82"/>
    <w:rsid w:val="00077DCB"/>
    <w:rsid w:val="00077FBC"/>
    <w:rsid w:val="000801DF"/>
    <w:rsid w:val="00080639"/>
    <w:rsid w:val="0008063A"/>
    <w:rsid w:val="00080959"/>
    <w:rsid w:val="00080C21"/>
    <w:rsid w:val="00080EF9"/>
    <w:rsid w:val="00081170"/>
    <w:rsid w:val="00081398"/>
    <w:rsid w:val="00081695"/>
    <w:rsid w:val="000818F7"/>
    <w:rsid w:val="00081D8E"/>
    <w:rsid w:val="000820B9"/>
    <w:rsid w:val="0008241F"/>
    <w:rsid w:val="00082469"/>
    <w:rsid w:val="00082679"/>
    <w:rsid w:val="0008277E"/>
    <w:rsid w:val="00082816"/>
    <w:rsid w:val="00082A44"/>
    <w:rsid w:val="00082B45"/>
    <w:rsid w:val="00082B4A"/>
    <w:rsid w:val="00082C33"/>
    <w:rsid w:val="000832C9"/>
    <w:rsid w:val="000832FD"/>
    <w:rsid w:val="000833E3"/>
    <w:rsid w:val="00083486"/>
    <w:rsid w:val="000834C3"/>
    <w:rsid w:val="00083602"/>
    <w:rsid w:val="0008361A"/>
    <w:rsid w:val="0008392A"/>
    <w:rsid w:val="00083A9A"/>
    <w:rsid w:val="00083E05"/>
    <w:rsid w:val="00084028"/>
    <w:rsid w:val="00084115"/>
    <w:rsid w:val="00084459"/>
    <w:rsid w:val="000844DF"/>
    <w:rsid w:val="000844F1"/>
    <w:rsid w:val="00084551"/>
    <w:rsid w:val="0008469D"/>
    <w:rsid w:val="0008471E"/>
    <w:rsid w:val="00084962"/>
    <w:rsid w:val="00084C26"/>
    <w:rsid w:val="00084C9F"/>
    <w:rsid w:val="00084FFA"/>
    <w:rsid w:val="00085053"/>
    <w:rsid w:val="0008509A"/>
    <w:rsid w:val="0008534D"/>
    <w:rsid w:val="000853B1"/>
    <w:rsid w:val="00085495"/>
    <w:rsid w:val="00085844"/>
    <w:rsid w:val="0008590A"/>
    <w:rsid w:val="000860AE"/>
    <w:rsid w:val="000864BE"/>
    <w:rsid w:val="00086630"/>
    <w:rsid w:val="000866A8"/>
    <w:rsid w:val="0008691F"/>
    <w:rsid w:val="00086D26"/>
    <w:rsid w:val="00086E2D"/>
    <w:rsid w:val="00086EED"/>
    <w:rsid w:val="00086FFD"/>
    <w:rsid w:val="000874F1"/>
    <w:rsid w:val="000876A8"/>
    <w:rsid w:val="00087B08"/>
    <w:rsid w:val="00087B54"/>
    <w:rsid w:val="00087FF2"/>
    <w:rsid w:val="000903E5"/>
    <w:rsid w:val="0009053D"/>
    <w:rsid w:val="000905CA"/>
    <w:rsid w:val="00090906"/>
    <w:rsid w:val="00090ED6"/>
    <w:rsid w:val="00091024"/>
    <w:rsid w:val="00091456"/>
    <w:rsid w:val="00091503"/>
    <w:rsid w:val="00091AC8"/>
    <w:rsid w:val="00091B62"/>
    <w:rsid w:val="00091B84"/>
    <w:rsid w:val="00091C05"/>
    <w:rsid w:val="00091F1C"/>
    <w:rsid w:val="00091FEE"/>
    <w:rsid w:val="000925E6"/>
    <w:rsid w:val="000928CE"/>
    <w:rsid w:val="00092ADF"/>
    <w:rsid w:val="00092BF5"/>
    <w:rsid w:val="00092C29"/>
    <w:rsid w:val="0009305B"/>
    <w:rsid w:val="00093130"/>
    <w:rsid w:val="00093219"/>
    <w:rsid w:val="0009322E"/>
    <w:rsid w:val="0009355C"/>
    <w:rsid w:val="000935D7"/>
    <w:rsid w:val="000936EC"/>
    <w:rsid w:val="000937C2"/>
    <w:rsid w:val="000938FC"/>
    <w:rsid w:val="0009395E"/>
    <w:rsid w:val="00093B66"/>
    <w:rsid w:val="00093BC0"/>
    <w:rsid w:val="00093C08"/>
    <w:rsid w:val="00093D01"/>
    <w:rsid w:val="000940D1"/>
    <w:rsid w:val="0009444F"/>
    <w:rsid w:val="00094616"/>
    <w:rsid w:val="00094C75"/>
    <w:rsid w:val="00094F14"/>
    <w:rsid w:val="00094FAD"/>
    <w:rsid w:val="00094FD9"/>
    <w:rsid w:val="00095003"/>
    <w:rsid w:val="000952E9"/>
    <w:rsid w:val="00095304"/>
    <w:rsid w:val="00095536"/>
    <w:rsid w:val="000959BF"/>
    <w:rsid w:val="00095A22"/>
    <w:rsid w:val="00095B44"/>
    <w:rsid w:val="00095BF7"/>
    <w:rsid w:val="00095D00"/>
    <w:rsid w:val="00096105"/>
    <w:rsid w:val="0009678E"/>
    <w:rsid w:val="0009681E"/>
    <w:rsid w:val="00096A6F"/>
    <w:rsid w:val="00096CA7"/>
    <w:rsid w:val="00096E63"/>
    <w:rsid w:val="00096F5E"/>
    <w:rsid w:val="00096F60"/>
    <w:rsid w:val="0009799D"/>
    <w:rsid w:val="00097A12"/>
    <w:rsid w:val="00097C91"/>
    <w:rsid w:val="00097DD2"/>
    <w:rsid w:val="00097FDA"/>
    <w:rsid w:val="000A0565"/>
    <w:rsid w:val="000A0810"/>
    <w:rsid w:val="000A092D"/>
    <w:rsid w:val="000A0ECE"/>
    <w:rsid w:val="000A0F8A"/>
    <w:rsid w:val="000A114E"/>
    <w:rsid w:val="000A1278"/>
    <w:rsid w:val="000A1841"/>
    <w:rsid w:val="000A19CA"/>
    <w:rsid w:val="000A1A2D"/>
    <w:rsid w:val="000A1B9A"/>
    <w:rsid w:val="000A1D84"/>
    <w:rsid w:val="000A1E0A"/>
    <w:rsid w:val="000A1E79"/>
    <w:rsid w:val="000A1ED0"/>
    <w:rsid w:val="000A201A"/>
    <w:rsid w:val="000A2200"/>
    <w:rsid w:val="000A2379"/>
    <w:rsid w:val="000A23A2"/>
    <w:rsid w:val="000A2751"/>
    <w:rsid w:val="000A2A07"/>
    <w:rsid w:val="000A2B7E"/>
    <w:rsid w:val="000A2BB7"/>
    <w:rsid w:val="000A2BF5"/>
    <w:rsid w:val="000A2C41"/>
    <w:rsid w:val="000A2CB3"/>
    <w:rsid w:val="000A2CBB"/>
    <w:rsid w:val="000A2DB2"/>
    <w:rsid w:val="000A3285"/>
    <w:rsid w:val="000A358B"/>
    <w:rsid w:val="000A37EB"/>
    <w:rsid w:val="000A3DD0"/>
    <w:rsid w:val="000A3F07"/>
    <w:rsid w:val="000A4094"/>
    <w:rsid w:val="000A40E2"/>
    <w:rsid w:val="000A4137"/>
    <w:rsid w:val="000A4182"/>
    <w:rsid w:val="000A42B8"/>
    <w:rsid w:val="000A445C"/>
    <w:rsid w:val="000A45B1"/>
    <w:rsid w:val="000A45EB"/>
    <w:rsid w:val="000A4654"/>
    <w:rsid w:val="000A4690"/>
    <w:rsid w:val="000A493B"/>
    <w:rsid w:val="000A4A42"/>
    <w:rsid w:val="000A4E90"/>
    <w:rsid w:val="000A50E5"/>
    <w:rsid w:val="000A5130"/>
    <w:rsid w:val="000A5500"/>
    <w:rsid w:val="000A5586"/>
    <w:rsid w:val="000A5745"/>
    <w:rsid w:val="000A5861"/>
    <w:rsid w:val="000A5DF4"/>
    <w:rsid w:val="000A5E45"/>
    <w:rsid w:val="000A5E57"/>
    <w:rsid w:val="000A6110"/>
    <w:rsid w:val="000A63C8"/>
    <w:rsid w:val="000A6513"/>
    <w:rsid w:val="000A66D2"/>
    <w:rsid w:val="000A692E"/>
    <w:rsid w:val="000A6C57"/>
    <w:rsid w:val="000A6CCF"/>
    <w:rsid w:val="000A6D10"/>
    <w:rsid w:val="000A6D92"/>
    <w:rsid w:val="000A6FFE"/>
    <w:rsid w:val="000A707B"/>
    <w:rsid w:val="000A7165"/>
    <w:rsid w:val="000A734B"/>
    <w:rsid w:val="000A7757"/>
    <w:rsid w:val="000A77B4"/>
    <w:rsid w:val="000A77F5"/>
    <w:rsid w:val="000A7BD6"/>
    <w:rsid w:val="000A7E75"/>
    <w:rsid w:val="000A7E84"/>
    <w:rsid w:val="000A7EC7"/>
    <w:rsid w:val="000B0089"/>
    <w:rsid w:val="000B0254"/>
    <w:rsid w:val="000B0328"/>
    <w:rsid w:val="000B0516"/>
    <w:rsid w:val="000B06AC"/>
    <w:rsid w:val="000B06AF"/>
    <w:rsid w:val="000B09CE"/>
    <w:rsid w:val="000B0A73"/>
    <w:rsid w:val="000B0BDD"/>
    <w:rsid w:val="000B0CAD"/>
    <w:rsid w:val="000B1030"/>
    <w:rsid w:val="000B123B"/>
    <w:rsid w:val="000B13A3"/>
    <w:rsid w:val="000B13CA"/>
    <w:rsid w:val="000B14BA"/>
    <w:rsid w:val="000B179A"/>
    <w:rsid w:val="000B1988"/>
    <w:rsid w:val="000B1B59"/>
    <w:rsid w:val="000B1D80"/>
    <w:rsid w:val="000B1EBB"/>
    <w:rsid w:val="000B204C"/>
    <w:rsid w:val="000B2266"/>
    <w:rsid w:val="000B242D"/>
    <w:rsid w:val="000B26E2"/>
    <w:rsid w:val="000B2828"/>
    <w:rsid w:val="000B28DA"/>
    <w:rsid w:val="000B2A7D"/>
    <w:rsid w:val="000B30F9"/>
    <w:rsid w:val="000B314B"/>
    <w:rsid w:val="000B3279"/>
    <w:rsid w:val="000B34AC"/>
    <w:rsid w:val="000B379B"/>
    <w:rsid w:val="000B37A3"/>
    <w:rsid w:val="000B37EB"/>
    <w:rsid w:val="000B38D1"/>
    <w:rsid w:val="000B3B7D"/>
    <w:rsid w:val="000B3C5D"/>
    <w:rsid w:val="000B3EC7"/>
    <w:rsid w:val="000B3FE8"/>
    <w:rsid w:val="000B4077"/>
    <w:rsid w:val="000B43FB"/>
    <w:rsid w:val="000B454F"/>
    <w:rsid w:val="000B45A4"/>
    <w:rsid w:val="000B45C2"/>
    <w:rsid w:val="000B4707"/>
    <w:rsid w:val="000B4875"/>
    <w:rsid w:val="000B48C8"/>
    <w:rsid w:val="000B4937"/>
    <w:rsid w:val="000B4ACF"/>
    <w:rsid w:val="000B4D66"/>
    <w:rsid w:val="000B5093"/>
    <w:rsid w:val="000B514A"/>
    <w:rsid w:val="000B5189"/>
    <w:rsid w:val="000B51D6"/>
    <w:rsid w:val="000B52D9"/>
    <w:rsid w:val="000B5488"/>
    <w:rsid w:val="000B54B0"/>
    <w:rsid w:val="000B54C0"/>
    <w:rsid w:val="000B56CE"/>
    <w:rsid w:val="000B5719"/>
    <w:rsid w:val="000B5B13"/>
    <w:rsid w:val="000B5E37"/>
    <w:rsid w:val="000B5E5B"/>
    <w:rsid w:val="000B5EEC"/>
    <w:rsid w:val="000B636D"/>
    <w:rsid w:val="000B643D"/>
    <w:rsid w:val="000B653E"/>
    <w:rsid w:val="000B657D"/>
    <w:rsid w:val="000B65F3"/>
    <w:rsid w:val="000B68AC"/>
    <w:rsid w:val="000B6A9D"/>
    <w:rsid w:val="000B7258"/>
    <w:rsid w:val="000B73EF"/>
    <w:rsid w:val="000B7485"/>
    <w:rsid w:val="000B79C4"/>
    <w:rsid w:val="000B7BDF"/>
    <w:rsid w:val="000C02A1"/>
    <w:rsid w:val="000C0558"/>
    <w:rsid w:val="000C0786"/>
    <w:rsid w:val="000C0A6F"/>
    <w:rsid w:val="000C0BD4"/>
    <w:rsid w:val="000C10F3"/>
    <w:rsid w:val="000C1117"/>
    <w:rsid w:val="000C1211"/>
    <w:rsid w:val="000C1261"/>
    <w:rsid w:val="000C1285"/>
    <w:rsid w:val="000C1F5D"/>
    <w:rsid w:val="000C211E"/>
    <w:rsid w:val="000C232A"/>
    <w:rsid w:val="000C239B"/>
    <w:rsid w:val="000C2626"/>
    <w:rsid w:val="000C26FA"/>
    <w:rsid w:val="000C2A2D"/>
    <w:rsid w:val="000C2D8B"/>
    <w:rsid w:val="000C2DCB"/>
    <w:rsid w:val="000C2E33"/>
    <w:rsid w:val="000C2E88"/>
    <w:rsid w:val="000C2EB7"/>
    <w:rsid w:val="000C300C"/>
    <w:rsid w:val="000C300E"/>
    <w:rsid w:val="000C30BE"/>
    <w:rsid w:val="000C326A"/>
    <w:rsid w:val="000C34A5"/>
    <w:rsid w:val="000C3794"/>
    <w:rsid w:val="000C3A19"/>
    <w:rsid w:val="000C3CE5"/>
    <w:rsid w:val="000C3D21"/>
    <w:rsid w:val="000C3D5B"/>
    <w:rsid w:val="000C4089"/>
    <w:rsid w:val="000C4095"/>
    <w:rsid w:val="000C449E"/>
    <w:rsid w:val="000C457B"/>
    <w:rsid w:val="000C46D4"/>
    <w:rsid w:val="000C4831"/>
    <w:rsid w:val="000C496E"/>
    <w:rsid w:val="000C49B7"/>
    <w:rsid w:val="000C4A41"/>
    <w:rsid w:val="000C4A6E"/>
    <w:rsid w:val="000C4BF5"/>
    <w:rsid w:val="000C50F4"/>
    <w:rsid w:val="000C5245"/>
    <w:rsid w:val="000C52D4"/>
    <w:rsid w:val="000C531D"/>
    <w:rsid w:val="000C5350"/>
    <w:rsid w:val="000C54D5"/>
    <w:rsid w:val="000C54DC"/>
    <w:rsid w:val="000C5504"/>
    <w:rsid w:val="000C55C5"/>
    <w:rsid w:val="000C56A4"/>
    <w:rsid w:val="000C585E"/>
    <w:rsid w:val="000C5A45"/>
    <w:rsid w:val="000C5A79"/>
    <w:rsid w:val="000C5ADA"/>
    <w:rsid w:val="000C5B23"/>
    <w:rsid w:val="000C5DBB"/>
    <w:rsid w:val="000C61AC"/>
    <w:rsid w:val="000C6203"/>
    <w:rsid w:val="000C6220"/>
    <w:rsid w:val="000C63A6"/>
    <w:rsid w:val="000C6C86"/>
    <w:rsid w:val="000C735F"/>
    <w:rsid w:val="000C73EA"/>
    <w:rsid w:val="000C7420"/>
    <w:rsid w:val="000C74D4"/>
    <w:rsid w:val="000C76E0"/>
    <w:rsid w:val="000C7B7B"/>
    <w:rsid w:val="000C7BDB"/>
    <w:rsid w:val="000D024B"/>
    <w:rsid w:val="000D054F"/>
    <w:rsid w:val="000D05C9"/>
    <w:rsid w:val="000D0BC0"/>
    <w:rsid w:val="000D117B"/>
    <w:rsid w:val="000D15AA"/>
    <w:rsid w:val="000D16CA"/>
    <w:rsid w:val="000D176C"/>
    <w:rsid w:val="000D1BC5"/>
    <w:rsid w:val="000D1C28"/>
    <w:rsid w:val="000D1E5E"/>
    <w:rsid w:val="000D2040"/>
    <w:rsid w:val="000D2063"/>
    <w:rsid w:val="000D20F8"/>
    <w:rsid w:val="000D228B"/>
    <w:rsid w:val="000D290A"/>
    <w:rsid w:val="000D2AC8"/>
    <w:rsid w:val="000D2B3B"/>
    <w:rsid w:val="000D2D81"/>
    <w:rsid w:val="000D2D9E"/>
    <w:rsid w:val="000D2E69"/>
    <w:rsid w:val="000D2FCA"/>
    <w:rsid w:val="000D30C9"/>
    <w:rsid w:val="000D32A8"/>
    <w:rsid w:val="000D3EC8"/>
    <w:rsid w:val="000D400B"/>
    <w:rsid w:val="000D44A1"/>
    <w:rsid w:val="000D46B1"/>
    <w:rsid w:val="000D477C"/>
    <w:rsid w:val="000D49A0"/>
    <w:rsid w:val="000D4A6B"/>
    <w:rsid w:val="000D4B6F"/>
    <w:rsid w:val="000D4B95"/>
    <w:rsid w:val="000D4DE9"/>
    <w:rsid w:val="000D4F77"/>
    <w:rsid w:val="000D5129"/>
    <w:rsid w:val="000D5214"/>
    <w:rsid w:val="000D5353"/>
    <w:rsid w:val="000D53CF"/>
    <w:rsid w:val="000D54AD"/>
    <w:rsid w:val="000D55D6"/>
    <w:rsid w:val="000D5602"/>
    <w:rsid w:val="000D5A01"/>
    <w:rsid w:val="000D5AA2"/>
    <w:rsid w:val="000D5C65"/>
    <w:rsid w:val="000D5C9D"/>
    <w:rsid w:val="000D5F96"/>
    <w:rsid w:val="000D66AB"/>
    <w:rsid w:val="000D697B"/>
    <w:rsid w:val="000D69C7"/>
    <w:rsid w:val="000D6F90"/>
    <w:rsid w:val="000D71F1"/>
    <w:rsid w:val="000D7321"/>
    <w:rsid w:val="000D7518"/>
    <w:rsid w:val="000D7595"/>
    <w:rsid w:val="000D77B0"/>
    <w:rsid w:val="000D77EF"/>
    <w:rsid w:val="000D780B"/>
    <w:rsid w:val="000D785C"/>
    <w:rsid w:val="000D7929"/>
    <w:rsid w:val="000D79C5"/>
    <w:rsid w:val="000D7ACC"/>
    <w:rsid w:val="000D7CEB"/>
    <w:rsid w:val="000D7FE9"/>
    <w:rsid w:val="000E01D5"/>
    <w:rsid w:val="000E026F"/>
    <w:rsid w:val="000E0674"/>
    <w:rsid w:val="000E0945"/>
    <w:rsid w:val="000E0A40"/>
    <w:rsid w:val="000E0BA9"/>
    <w:rsid w:val="000E0EE0"/>
    <w:rsid w:val="000E0F7A"/>
    <w:rsid w:val="000E1233"/>
    <w:rsid w:val="000E1329"/>
    <w:rsid w:val="000E13B8"/>
    <w:rsid w:val="000E15BA"/>
    <w:rsid w:val="000E1863"/>
    <w:rsid w:val="000E195B"/>
    <w:rsid w:val="000E1A10"/>
    <w:rsid w:val="000E1E9D"/>
    <w:rsid w:val="000E226F"/>
    <w:rsid w:val="000E233C"/>
    <w:rsid w:val="000E2400"/>
    <w:rsid w:val="000E2F42"/>
    <w:rsid w:val="000E3267"/>
    <w:rsid w:val="000E32F8"/>
    <w:rsid w:val="000E331A"/>
    <w:rsid w:val="000E35AE"/>
    <w:rsid w:val="000E3FAA"/>
    <w:rsid w:val="000E41C8"/>
    <w:rsid w:val="000E43B6"/>
    <w:rsid w:val="000E43BF"/>
    <w:rsid w:val="000E43C1"/>
    <w:rsid w:val="000E448A"/>
    <w:rsid w:val="000E45E5"/>
    <w:rsid w:val="000E46C0"/>
    <w:rsid w:val="000E47BA"/>
    <w:rsid w:val="000E4802"/>
    <w:rsid w:val="000E4817"/>
    <w:rsid w:val="000E4B3C"/>
    <w:rsid w:val="000E4BEA"/>
    <w:rsid w:val="000E4EB6"/>
    <w:rsid w:val="000E5120"/>
    <w:rsid w:val="000E52E2"/>
    <w:rsid w:val="000E5345"/>
    <w:rsid w:val="000E5412"/>
    <w:rsid w:val="000E541D"/>
    <w:rsid w:val="000E5476"/>
    <w:rsid w:val="000E5644"/>
    <w:rsid w:val="000E5C1B"/>
    <w:rsid w:val="000E5CBE"/>
    <w:rsid w:val="000E6006"/>
    <w:rsid w:val="000E62EE"/>
    <w:rsid w:val="000E678D"/>
    <w:rsid w:val="000E6844"/>
    <w:rsid w:val="000E695F"/>
    <w:rsid w:val="000E69F2"/>
    <w:rsid w:val="000E6BC5"/>
    <w:rsid w:val="000E6F44"/>
    <w:rsid w:val="000E6F5C"/>
    <w:rsid w:val="000E7025"/>
    <w:rsid w:val="000E7066"/>
    <w:rsid w:val="000E7387"/>
    <w:rsid w:val="000E7445"/>
    <w:rsid w:val="000E749E"/>
    <w:rsid w:val="000E7868"/>
    <w:rsid w:val="000E7970"/>
    <w:rsid w:val="000E7CCA"/>
    <w:rsid w:val="000E7F59"/>
    <w:rsid w:val="000E7F7F"/>
    <w:rsid w:val="000E7FCB"/>
    <w:rsid w:val="000F0466"/>
    <w:rsid w:val="000F0681"/>
    <w:rsid w:val="000F09AF"/>
    <w:rsid w:val="000F0C95"/>
    <w:rsid w:val="000F0DAB"/>
    <w:rsid w:val="000F0DC7"/>
    <w:rsid w:val="000F11DF"/>
    <w:rsid w:val="000F1409"/>
    <w:rsid w:val="000F174E"/>
    <w:rsid w:val="000F1821"/>
    <w:rsid w:val="000F1BA0"/>
    <w:rsid w:val="000F1D84"/>
    <w:rsid w:val="000F1E9E"/>
    <w:rsid w:val="000F2069"/>
    <w:rsid w:val="000F2210"/>
    <w:rsid w:val="000F228C"/>
    <w:rsid w:val="000F24B0"/>
    <w:rsid w:val="000F2B2C"/>
    <w:rsid w:val="000F2B78"/>
    <w:rsid w:val="000F2C34"/>
    <w:rsid w:val="000F2ECB"/>
    <w:rsid w:val="000F33CE"/>
    <w:rsid w:val="000F349A"/>
    <w:rsid w:val="000F3515"/>
    <w:rsid w:val="000F35BA"/>
    <w:rsid w:val="000F3613"/>
    <w:rsid w:val="000F387B"/>
    <w:rsid w:val="000F3C48"/>
    <w:rsid w:val="000F3CC8"/>
    <w:rsid w:val="000F3DA8"/>
    <w:rsid w:val="000F3F93"/>
    <w:rsid w:val="000F4055"/>
    <w:rsid w:val="000F4312"/>
    <w:rsid w:val="000F45AD"/>
    <w:rsid w:val="000F464F"/>
    <w:rsid w:val="000F49A6"/>
    <w:rsid w:val="000F513C"/>
    <w:rsid w:val="000F530A"/>
    <w:rsid w:val="000F56A7"/>
    <w:rsid w:val="000F5A19"/>
    <w:rsid w:val="000F5AA4"/>
    <w:rsid w:val="000F5C0B"/>
    <w:rsid w:val="000F60A6"/>
    <w:rsid w:val="000F61BB"/>
    <w:rsid w:val="000F64D6"/>
    <w:rsid w:val="000F65EE"/>
    <w:rsid w:val="000F66B1"/>
    <w:rsid w:val="000F676F"/>
    <w:rsid w:val="000F6951"/>
    <w:rsid w:val="000F6D23"/>
    <w:rsid w:val="000F6F5B"/>
    <w:rsid w:val="000F708C"/>
    <w:rsid w:val="000F717B"/>
    <w:rsid w:val="000F74CC"/>
    <w:rsid w:val="000F7743"/>
    <w:rsid w:val="000F788C"/>
    <w:rsid w:val="000F78CC"/>
    <w:rsid w:val="000F79D5"/>
    <w:rsid w:val="000F7FC8"/>
    <w:rsid w:val="0010014F"/>
    <w:rsid w:val="0010016F"/>
    <w:rsid w:val="00100303"/>
    <w:rsid w:val="001003EE"/>
    <w:rsid w:val="001003F7"/>
    <w:rsid w:val="00100592"/>
    <w:rsid w:val="00100630"/>
    <w:rsid w:val="001006E4"/>
    <w:rsid w:val="001008A2"/>
    <w:rsid w:val="00100BFD"/>
    <w:rsid w:val="00100C79"/>
    <w:rsid w:val="00100DBB"/>
    <w:rsid w:val="00100F6B"/>
    <w:rsid w:val="00101142"/>
    <w:rsid w:val="001012D5"/>
    <w:rsid w:val="00101324"/>
    <w:rsid w:val="0010147F"/>
    <w:rsid w:val="0010194F"/>
    <w:rsid w:val="001019F4"/>
    <w:rsid w:val="00101A7B"/>
    <w:rsid w:val="00101D60"/>
    <w:rsid w:val="00101FFA"/>
    <w:rsid w:val="00102163"/>
    <w:rsid w:val="001021B7"/>
    <w:rsid w:val="0010224E"/>
    <w:rsid w:val="001023C1"/>
    <w:rsid w:val="001025FE"/>
    <w:rsid w:val="001028A4"/>
    <w:rsid w:val="00102A3E"/>
    <w:rsid w:val="00102AF1"/>
    <w:rsid w:val="00102B7D"/>
    <w:rsid w:val="00102BCC"/>
    <w:rsid w:val="00102D3C"/>
    <w:rsid w:val="00102F62"/>
    <w:rsid w:val="001033C9"/>
    <w:rsid w:val="00103481"/>
    <w:rsid w:val="001034C4"/>
    <w:rsid w:val="00103510"/>
    <w:rsid w:val="00103567"/>
    <w:rsid w:val="00103583"/>
    <w:rsid w:val="00103609"/>
    <w:rsid w:val="00103614"/>
    <w:rsid w:val="001036C0"/>
    <w:rsid w:val="0010398C"/>
    <w:rsid w:val="00103A74"/>
    <w:rsid w:val="00103C10"/>
    <w:rsid w:val="00103D36"/>
    <w:rsid w:val="00103ED5"/>
    <w:rsid w:val="00104372"/>
    <w:rsid w:val="001044DD"/>
    <w:rsid w:val="001045F3"/>
    <w:rsid w:val="0010469B"/>
    <w:rsid w:val="001048AA"/>
    <w:rsid w:val="00104B39"/>
    <w:rsid w:val="00104BC2"/>
    <w:rsid w:val="00104D8D"/>
    <w:rsid w:val="00104DAB"/>
    <w:rsid w:val="0010500C"/>
    <w:rsid w:val="001051A5"/>
    <w:rsid w:val="001053D4"/>
    <w:rsid w:val="0010543D"/>
    <w:rsid w:val="0010569D"/>
    <w:rsid w:val="001057D0"/>
    <w:rsid w:val="00105948"/>
    <w:rsid w:val="00105B33"/>
    <w:rsid w:val="00105F4D"/>
    <w:rsid w:val="00105F5F"/>
    <w:rsid w:val="00105FB9"/>
    <w:rsid w:val="00106113"/>
    <w:rsid w:val="00106164"/>
    <w:rsid w:val="00106176"/>
    <w:rsid w:val="001061BD"/>
    <w:rsid w:val="001064DF"/>
    <w:rsid w:val="001068CB"/>
    <w:rsid w:val="00106AAA"/>
    <w:rsid w:val="00106B22"/>
    <w:rsid w:val="00106D68"/>
    <w:rsid w:val="00107916"/>
    <w:rsid w:val="00107D39"/>
    <w:rsid w:val="00107EA0"/>
    <w:rsid w:val="00110096"/>
    <w:rsid w:val="001100FA"/>
    <w:rsid w:val="001101EB"/>
    <w:rsid w:val="0011034E"/>
    <w:rsid w:val="001109FF"/>
    <w:rsid w:val="00110C5C"/>
    <w:rsid w:val="00110C77"/>
    <w:rsid w:val="00110D17"/>
    <w:rsid w:val="00110F39"/>
    <w:rsid w:val="0011104A"/>
    <w:rsid w:val="0011119F"/>
    <w:rsid w:val="00111285"/>
    <w:rsid w:val="001113EE"/>
    <w:rsid w:val="001114D1"/>
    <w:rsid w:val="001117EC"/>
    <w:rsid w:val="00111A73"/>
    <w:rsid w:val="00112130"/>
    <w:rsid w:val="00112285"/>
    <w:rsid w:val="001124E5"/>
    <w:rsid w:val="00112625"/>
    <w:rsid w:val="0011266D"/>
    <w:rsid w:val="001126D7"/>
    <w:rsid w:val="001128FA"/>
    <w:rsid w:val="00112A3C"/>
    <w:rsid w:val="00112A46"/>
    <w:rsid w:val="00112AD2"/>
    <w:rsid w:val="00112D72"/>
    <w:rsid w:val="00112DCA"/>
    <w:rsid w:val="00112E6E"/>
    <w:rsid w:val="001131A9"/>
    <w:rsid w:val="001132CB"/>
    <w:rsid w:val="00113618"/>
    <w:rsid w:val="00113636"/>
    <w:rsid w:val="0011381B"/>
    <w:rsid w:val="00113ABB"/>
    <w:rsid w:val="00113B08"/>
    <w:rsid w:val="00113E72"/>
    <w:rsid w:val="00113F64"/>
    <w:rsid w:val="00114403"/>
    <w:rsid w:val="00114410"/>
    <w:rsid w:val="001149A3"/>
    <w:rsid w:val="00114E15"/>
    <w:rsid w:val="00115104"/>
    <w:rsid w:val="001151AB"/>
    <w:rsid w:val="00115491"/>
    <w:rsid w:val="00115676"/>
    <w:rsid w:val="001156BE"/>
    <w:rsid w:val="001156F0"/>
    <w:rsid w:val="00115839"/>
    <w:rsid w:val="001158A5"/>
    <w:rsid w:val="0011592B"/>
    <w:rsid w:val="001159AB"/>
    <w:rsid w:val="00115A9B"/>
    <w:rsid w:val="00115DE6"/>
    <w:rsid w:val="00115DF6"/>
    <w:rsid w:val="001163F5"/>
    <w:rsid w:val="001164ED"/>
    <w:rsid w:val="001166AE"/>
    <w:rsid w:val="00116CA0"/>
    <w:rsid w:val="00116E2B"/>
    <w:rsid w:val="00116FAF"/>
    <w:rsid w:val="0011725E"/>
    <w:rsid w:val="0011769F"/>
    <w:rsid w:val="001176D9"/>
    <w:rsid w:val="001178FD"/>
    <w:rsid w:val="00117B32"/>
    <w:rsid w:val="00117C75"/>
    <w:rsid w:val="00117FB9"/>
    <w:rsid w:val="00117FD2"/>
    <w:rsid w:val="001201DC"/>
    <w:rsid w:val="00120200"/>
    <w:rsid w:val="001203E4"/>
    <w:rsid w:val="00120496"/>
    <w:rsid w:val="00120924"/>
    <w:rsid w:val="0012094D"/>
    <w:rsid w:val="0012097E"/>
    <w:rsid w:val="00120BCB"/>
    <w:rsid w:val="00120CF7"/>
    <w:rsid w:val="00120E81"/>
    <w:rsid w:val="00120EA0"/>
    <w:rsid w:val="0012106B"/>
    <w:rsid w:val="00121383"/>
    <w:rsid w:val="001218BA"/>
    <w:rsid w:val="001218E3"/>
    <w:rsid w:val="00121F05"/>
    <w:rsid w:val="001220D5"/>
    <w:rsid w:val="0012210E"/>
    <w:rsid w:val="0012212F"/>
    <w:rsid w:val="00122621"/>
    <w:rsid w:val="00122720"/>
    <w:rsid w:val="00122976"/>
    <w:rsid w:val="00122C43"/>
    <w:rsid w:val="00122DA3"/>
    <w:rsid w:val="00122E66"/>
    <w:rsid w:val="00122E7A"/>
    <w:rsid w:val="00122EAA"/>
    <w:rsid w:val="0012331D"/>
    <w:rsid w:val="0012335A"/>
    <w:rsid w:val="0012340D"/>
    <w:rsid w:val="001234B4"/>
    <w:rsid w:val="00123513"/>
    <w:rsid w:val="0012360B"/>
    <w:rsid w:val="001236F1"/>
    <w:rsid w:val="0012377D"/>
    <w:rsid w:val="00123984"/>
    <w:rsid w:val="00123B1A"/>
    <w:rsid w:val="00123CAE"/>
    <w:rsid w:val="00123CB5"/>
    <w:rsid w:val="00123F80"/>
    <w:rsid w:val="001241B5"/>
    <w:rsid w:val="00124233"/>
    <w:rsid w:val="0012424A"/>
    <w:rsid w:val="0012466D"/>
    <w:rsid w:val="00124A5B"/>
    <w:rsid w:val="00124AB1"/>
    <w:rsid w:val="00124ED5"/>
    <w:rsid w:val="001250EF"/>
    <w:rsid w:val="00125436"/>
    <w:rsid w:val="00125560"/>
    <w:rsid w:val="0012564F"/>
    <w:rsid w:val="00125871"/>
    <w:rsid w:val="00125987"/>
    <w:rsid w:val="001259FB"/>
    <w:rsid w:val="00125ADE"/>
    <w:rsid w:val="00125D7C"/>
    <w:rsid w:val="00125F15"/>
    <w:rsid w:val="00126092"/>
    <w:rsid w:val="00126155"/>
    <w:rsid w:val="001264FA"/>
    <w:rsid w:val="001266A7"/>
    <w:rsid w:val="0012679E"/>
    <w:rsid w:val="00126863"/>
    <w:rsid w:val="0012692A"/>
    <w:rsid w:val="00126A2E"/>
    <w:rsid w:val="00126C95"/>
    <w:rsid w:val="00126CEB"/>
    <w:rsid w:val="00126D8C"/>
    <w:rsid w:val="00126E15"/>
    <w:rsid w:val="00126EC5"/>
    <w:rsid w:val="001270BD"/>
    <w:rsid w:val="0012719F"/>
    <w:rsid w:val="00127226"/>
    <w:rsid w:val="001273EA"/>
    <w:rsid w:val="0012790D"/>
    <w:rsid w:val="00127981"/>
    <w:rsid w:val="00127B2C"/>
    <w:rsid w:val="001306B1"/>
    <w:rsid w:val="00130773"/>
    <w:rsid w:val="001307CC"/>
    <w:rsid w:val="0013107C"/>
    <w:rsid w:val="0013126A"/>
    <w:rsid w:val="00131546"/>
    <w:rsid w:val="00131646"/>
    <w:rsid w:val="00131875"/>
    <w:rsid w:val="00131A90"/>
    <w:rsid w:val="00131C63"/>
    <w:rsid w:val="001320FE"/>
    <w:rsid w:val="001323A5"/>
    <w:rsid w:val="00132CDF"/>
    <w:rsid w:val="00132D61"/>
    <w:rsid w:val="001331A9"/>
    <w:rsid w:val="001331FF"/>
    <w:rsid w:val="00133275"/>
    <w:rsid w:val="001334D0"/>
    <w:rsid w:val="001335AE"/>
    <w:rsid w:val="0013367B"/>
    <w:rsid w:val="001336F9"/>
    <w:rsid w:val="00133712"/>
    <w:rsid w:val="0013380C"/>
    <w:rsid w:val="001338B6"/>
    <w:rsid w:val="00133964"/>
    <w:rsid w:val="00133A6D"/>
    <w:rsid w:val="00133CB6"/>
    <w:rsid w:val="00133D23"/>
    <w:rsid w:val="00133E45"/>
    <w:rsid w:val="0013418E"/>
    <w:rsid w:val="00134283"/>
    <w:rsid w:val="00134410"/>
    <w:rsid w:val="00134505"/>
    <w:rsid w:val="001346C2"/>
    <w:rsid w:val="00134883"/>
    <w:rsid w:val="00134953"/>
    <w:rsid w:val="001349D8"/>
    <w:rsid w:val="00134FC9"/>
    <w:rsid w:val="00135345"/>
    <w:rsid w:val="0013542F"/>
    <w:rsid w:val="00135532"/>
    <w:rsid w:val="001355C1"/>
    <w:rsid w:val="00135776"/>
    <w:rsid w:val="001357D2"/>
    <w:rsid w:val="00135993"/>
    <w:rsid w:val="00135A2E"/>
    <w:rsid w:val="00135AAF"/>
    <w:rsid w:val="00135C23"/>
    <w:rsid w:val="00135D99"/>
    <w:rsid w:val="00136391"/>
    <w:rsid w:val="001367AB"/>
    <w:rsid w:val="0013689E"/>
    <w:rsid w:val="001368A3"/>
    <w:rsid w:val="00136B9D"/>
    <w:rsid w:val="00136DC1"/>
    <w:rsid w:val="00136EF5"/>
    <w:rsid w:val="00136FE5"/>
    <w:rsid w:val="001370D4"/>
    <w:rsid w:val="0013727D"/>
    <w:rsid w:val="0013757D"/>
    <w:rsid w:val="0013764E"/>
    <w:rsid w:val="0013785E"/>
    <w:rsid w:val="00137ADB"/>
    <w:rsid w:val="00137B36"/>
    <w:rsid w:val="00140094"/>
    <w:rsid w:val="001402C9"/>
    <w:rsid w:val="001402D6"/>
    <w:rsid w:val="001407BE"/>
    <w:rsid w:val="001407C0"/>
    <w:rsid w:val="001408C4"/>
    <w:rsid w:val="00140933"/>
    <w:rsid w:val="00140D79"/>
    <w:rsid w:val="00140E0F"/>
    <w:rsid w:val="00140F2E"/>
    <w:rsid w:val="0014110A"/>
    <w:rsid w:val="0014113E"/>
    <w:rsid w:val="00141661"/>
    <w:rsid w:val="00141673"/>
    <w:rsid w:val="0014179D"/>
    <w:rsid w:val="00141842"/>
    <w:rsid w:val="00141E65"/>
    <w:rsid w:val="00141F91"/>
    <w:rsid w:val="00142100"/>
    <w:rsid w:val="00142306"/>
    <w:rsid w:val="001423FC"/>
    <w:rsid w:val="00142AE8"/>
    <w:rsid w:val="00142C1B"/>
    <w:rsid w:val="00142C3F"/>
    <w:rsid w:val="00142CB7"/>
    <w:rsid w:val="00142D02"/>
    <w:rsid w:val="00142E09"/>
    <w:rsid w:val="00142FCD"/>
    <w:rsid w:val="0014344C"/>
    <w:rsid w:val="0014353F"/>
    <w:rsid w:val="001435E3"/>
    <w:rsid w:val="00143AF8"/>
    <w:rsid w:val="00144047"/>
    <w:rsid w:val="00144523"/>
    <w:rsid w:val="00144835"/>
    <w:rsid w:val="00144A57"/>
    <w:rsid w:val="00144C2A"/>
    <w:rsid w:val="00144E67"/>
    <w:rsid w:val="00145088"/>
    <w:rsid w:val="0014510D"/>
    <w:rsid w:val="00145249"/>
    <w:rsid w:val="00145331"/>
    <w:rsid w:val="001456DF"/>
    <w:rsid w:val="001457FA"/>
    <w:rsid w:val="001459D0"/>
    <w:rsid w:val="0014600F"/>
    <w:rsid w:val="00146062"/>
    <w:rsid w:val="00146086"/>
    <w:rsid w:val="001460CC"/>
    <w:rsid w:val="00146110"/>
    <w:rsid w:val="001464C9"/>
    <w:rsid w:val="001465FF"/>
    <w:rsid w:val="00146AED"/>
    <w:rsid w:val="00146BEF"/>
    <w:rsid w:val="00146E1B"/>
    <w:rsid w:val="001473C1"/>
    <w:rsid w:val="0014780E"/>
    <w:rsid w:val="00147B60"/>
    <w:rsid w:val="00147DD8"/>
    <w:rsid w:val="00147ECC"/>
    <w:rsid w:val="0015023C"/>
    <w:rsid w:val="001505EB"/>
    <w:rsid w:val="001507DE"/>
    <w:rsid w:val="0015089D"/>
    <w:rsid w:val="00150D09"/>
    <w:rsid w:val="00150E56"/>
    <w:rsid w:val="00150E93"/>
    <w:rsid w:val="00150F8A"/>
    <w:rsid w:val="00150FF0"/>
    <w:rsid w:val="00151328"/>
    <w:rsid w:val="001513AE"/>
    <w:rsid w:val="001513E2"/>
    <w:rsid w:val="001514CC"/>
    <w:rsid w:val="00151562"/>
    <w:rsid w:val="00151861"/>
    <w:rsid w:val="0015188A"/>
    <w:rsid w:val="001519B0"/>
    <w:rsid w:val="00151B37"/>
    <w:rsid w:val="00151CC6"/>
    <w:rsid w:val="0015205C"/>
    <w:rsid w:val="00152063"/>
    <w:rsid w:val="0015228C"/>
    <w:rsid w:val="001522FA"/>
    <w:rsid w:val="001524CE"/>
    <w:rsid w:val="0015253F"/>
    <w:rsid w:val="001525BC"/>
    <w:rsid w:val="001525C3"/>
    <w:rsid w:val="00152604"/>
    <w:rsid w:val="001526CD"/>
    <w:rsid w:val="00152D74"/>
    <w:rsid w:val="00152D8C"/>
    <w:rsid w:val="00152E18"/>
    <w:rsid w:val="001530BA"/>
    <w:rsid w:val="00153340"/>
    <w:rsid w:val="00153816"/>
    <w:rsid w:val="00153A31"/>
    <w:rsid w:val="00153AA0"/>
    <w:rsid w:val="00153D43"/>
    <w:rsid w:val="0015410A"/>
    <w:rsid w:val="0015419B"/>
    <w:rsid w:val="001546DB"/>
    <w:rsid w:val="001547C5"/>
    <w:rsid w:val="001548C1"/>
    <w:rsid w:val="00154909"/>
    <w:rsid w:val="001549E5"/>
    <w:rsid w:val="00154A75"/>
    <w:rsid w:val="00154AF1"/>
    <w:rsid w:val="00154E38"/>
    <w:rsid w:val="00154ED5"/>
    <w:rsid w:val="0015514E"/>
    <w:rsid w:val="00155226"/>
    <w:rsid w:val="001552EE"/>
    <w:rsid w:val="001552F0"/>
    <w:rsid w:val="00155385"/>
    <w:rsid w:val="001555C5"/>
    <w:rsid w:val="0015593D"/>
    <w:rsid w:val="00155AD1"/>
    <w:rsid w:val="00155B9C"/>
    <w:rsid w:val="00155F87"/>
    <w:rsid w:val="001563AC"/>
    <w:rsid w:val="00156469"/>
    <w:rsid w:val="00156606"/>
    <w:rsid w:val="00156896"/>
    <w:rsid w:val="00156988"/>
    <w:rsid w:val="00156D18"/>
    <w:rsid w:val="00156F9D"/>
    <w:rsid w:val="001573F9"/>
    <w:rsid w:val="0015740C"/>
    <w:rsid w:val="00157615"/>
    <w:rsid w:val="00157C6C"/>
    <w:rsid w:val="0016073E"/>
    <w:rsid w:val="00160802"/>
    <w:rsid w:val="00160A0F"/>
    <w:rsid w:val="00160B31"/>
    <w:rsid w:val="00160C4C"/>
    <w:rsid w:val="00160C8E"/>
    <w:rsid w:val="00160C97"/>
    <w:rsid w:val="00160C9E"/>
    <w:rsid w:val="00160CBB"/>
    <w:rsid w:val="001610BE"/>
    <w:rsid w:val="001610FB"/>
    <w:rsid w:val="001611DE"/>
    <w:rsid w:val="001613FB"/>
    <w:rsid w:val="0016147F"/>
    <w:rsid w:val="00161488"/>
    <w:rsid w:val="001614E1"/>
    <w:rsid w:val="0016163B"/>
    <w:rsid w:val="0016164D"/>
    <w:rsid w:val="0016167F"/>
    <w:rsid w:val="0016191F"/>
    <w:rsid w:val="0016195A"/>
    <w:rsid w:val="00161AD2"/>
    <w:rsid w:val="001621E0"/>
    <w:rsid w:val="0016237B"/>
    <w:rsid w:val="001626B7"/>
    <w:rsid w:val="001627A9"/>
    <w:rsid w:val="001627D5"/>
    <w:rsid w:val="001629E0"/>
    <w:rsid w:val="00162EE0"/>
    <w:rsid w:val="00163138"/>
    <w:rsid w:val="0016324A"/>
    <w:rsid w:val="00163639"/>
    <w:rsid w:val="0016369C"/>
    <w:rsid w:val="001637CA"/>
    <w:rsid w:val="001638DD"/>
    <w:rsid w:val="001638F7"/>
    <w:rsid w:val="00163C88"/>
    <w:rsid w:val="00163FD4"/>
    <w:rsid w:val="0016411F"/>
    <w:rsid w:val="00164697"/>
    <w:rsid w:val="001647D0"/>
    <w:rsid w:val="00164BCE"/>
    <w:rsid w:val="00164D4F"/>
    <w:rsid w:val="00164EA4"/>
    <w:rsid w:val="00164EC1"/>
    <w:rsid w:val="00165784"/>
    <w:rsid w:val="001658BC"/>
    <w:rsid w:val="001658FC"/>
    <w:rsid w:val="001659C2"/>
    <w:rsid w:val="00165BBF"/>
    <w:rsid w:val="00165BED"/>
    <w:rsid w:val="00165C5C"/>
    <w:rsid w:val="00165CD1"/>
    <w:rsid w:val="0016619C"/>
    <w:rsid w:val="0016629F"/>
    <w:rsid w:val="00166456"/>
    <w:rsid w:val="001666B9"/>
    <w:rsid w:val="00166803"/>
    <w:rsid w:val="0016681C"/>
    <w:rsid w:val="00166BBF"/>
    <w:rsid w:val="001670C5"/>
    <w:rsid w:val="0016766F"/>
    <w:rsid w:val="001676B2"/>
    <w:rsid w:val="00167EDA"/>
    <w:rsid w:val="00170061"/>
    <w:rsid w:val="00170494"/>
    <w:rsid w:val="0017060D"/>
    <w:rsid w:val="001707B2"/>
    <w:rsid w:val="001707D4"/>
    <w:rsid w:val="001709E6"/>
    <w:rsid w:val="00170A30"/>
    <w:rsid w:val="00170B0F"/>
    <w:rsid w:val="00170E70"/>
    <w:rsid w:val="001710C0"/>
    <w:rsid w:val="00171242"/>
    <w:rsid w:val="00171380"/>
    <w:rsid w:val="001714DE"/>
    <w:rsid w:val="0017170C"/>
    <w:rsid w:val="001717F9"/>
    <w:rsid w:val="00171A12"/>
    <w:rsid w:val="00171C06"/>
    <w:rsid w:val="00171C71"/>
    <w:rsid w:val="00171E47"/>
    <w:rsid w:val="0017207C"/>
    <w:rsid w:val="001729F1"/>
    <w:rsid w:val="00172BBE"/>
    <w:rsid w:val="00172C04"/>
    <w:rsid w:val="00172CA3"/>
    <w:rsid w:val="00172CF6"/>
    <w:rsid w:val="00172D14"/>
    <w:rsid w:val="00172D64"/>
    <w:rsid w:val="00172EAD"/>
    <w:rsid w:val="00172F0E"/>
    <w:rsid w:val="00172F62"/>
    <w:rsid w:val="00173130"/>
    <w:rsid w:val="00173480"/>
    <w:rsid w:val="0017359A"/>
    <w:rsid w:val="001736AD"/>
    <w:rsid w:val="00173906"/>
    <w:rsid w:val="00173EC4"/>
    <w:rsid w:val="0017463A"/>
    <w:rsid w:val="001747BA"/>
    <w:rsid w:val="00174A2F"/>
    <w:rsid w:val="00174D72"/>
    <w:rsid w:val="00174D8E"/>
    <w:rsid w:val="00175341"/>
    <w:rsid w:val="001757BE"/>
    <w:rsid w:val="001757D8"/>
    <w:rsid w:val="001758A1"/>
    <w:rsid w:val="00175AB4"/>
    <w:rsid w:val="00175D63"/>
    <w:rsid w:val="00175DE2"/>
    <w:rsid w:val="00176329"/>
    <w:rsid w:val="0017635D"/>
    <w:rsid w:val="00176437"/>
    <w:rsid w:val="0017678A"/>
    <w:rsid w:val="00176B5C"/>
    <w:rsid w:val="00176BCC"/>
    <w:rsid w:val="00176BFC"/>
    <w:rsid w:val="00176D5C"/>
    <w:rsid w:val="00177119"/>
    <w:rsid w:val="0017716C"/>
    <w:rsid w:val="00177362"/>
    <w:rsid w:val="0017737A"/>
    <w:rsid w:val="001773BF"/>
    <w:rsid w:val="00177434"/>
    <w:rsid w:val="001778F2"/>
    <w:rsid w:val="00177BB7"/>
    <w:rsid w:val="00177D47"/>
    <w:rsid w:val="00177E76"/>
    <w:rsid w:val="00177F4A"/>
    <w:rsid w:val="001800E3"/>
    <w:rsid w:val="001801DC"/>
    <w:rsid w:val="001804F7"/>
    <w:rsid w:val="00180808"/>
    <w:rsid w:val="00180876"/>
    <w:rsid w:val="00180A88"/>
    <w:rsid w:val="00180BEA"/>
    <w:rsid w:val="00180CD6"/>
    <w:rsid w:val="00180CF4"/>
    <w:rsid w:val="00180EB3"/>
    <w:rsid w:val="00180F2B"/>
    <w:rsid w:val="00181249"/>
    <w:rsid w:val="00181397"/>
    <w:rsid w:val="0018146E"/>
    <w:rsid w:val="00181633"/>
    <w:rsid w:val="00181828"/>
    <w:rsid w:val="00181C2F"/>
    <w:rsid w:val="00181F2D"/>
    <w:rsid w:val="00181F4C"/>
    <w:rsid w:val="0018254E"/>
    <w:rsid w:val="0018258D"/>
    <w:rsid w:val="00182677"/>
    <w:rsid w:val="001828E4"/>
    <w:rsid w:val="00182B15"/>
    <w:rsid w:val="00182CF9"/>
    <w:rsid w:val="001832B5"/>
    <w:rsid w:val="00183323"/>
    <w:rsid w:val="001833E9"/>
    <w:rsid w:val="001833EF"/>
    <w:rsid w:val="0018356D"/>
    <w:rsid w:val="001835BB"/>
    <w:rsid w:val="00183682"/>
    <w:rsid w:val="001836E2"/>
    <w:rsid w:val="0018373D"/>
    <w:rsid w:val="00183859"/>
    <w:rsid w:val="001839F0"/>
    <w:rsid w:val="00183A15"/>
    <w:rsid w:val="00183A48"/>
    <w:rsid w:val="00183A78"/>
    <w:rsid w:val="00183B40"/>
    <w:rsid w:val="00183BA9"/>
    <w:rsid w:val="00183D30"/>
    <w:rsid w:val="00183D58"/>
    <w:rsid w:val="00183DEA"/>
    <w:rsid w:val="00183E5D"/>
    <w:rsid w:val="00184373"/>
    <w:rsid w:val="001846D5"/>
    <w:rsid w:val="0018477B"/>
    <w:rsid w:val="00184AB8"/>
    <w:rsid w:val="00184BF9"/>
    <w:rsid w:val="00184D52"/>
    <w:rsid w:val="0018504E"/>
    <w:rsid w:val="001854DC"/>
    <w:rsid w:val="00185684"/>
    <w:rsid w:val="00185F02"/>
    <w:rsid w:val="001864C8"/>
    <w:rsid w:val="00186537"/>
    <w:rsid w:val="001865C7"/>
    <w:rsid w:val="00186BCB"/>
    <w:rsid w:val="00186DC4"/>
    <w:rsid w:val="00186F22"/>
    <w:rsid w:val="001870D8"/>
    <w:rsid w:val="0018715E"/>
    <w:rsid w:val="0018723F"/>
    <w:rsid w:val="0018782A"/>
    <w:rsid w:val="00187A5C"/>
    <w:rsid w:val="00187CB8"/>
    <w:rsid w:val="00187D0D"/>
    <w:rsid w:val="00187F20"/>
    <w:rsid w:val="00190001"/>
    <w:rsid w:val="0019008C"/>
    <w:rsid w:val="00190127"/>
    <w:rsid w:val="001904D2"/>
    <w:rsid w:val="00190770"/>
    <w:rsid w:val="0019088B"/>
    <w:rsid w:val="00190C35"/>
    <w:rsid w:val="00190C5F"/>
    <w:rsid w:val="00190CAF"/>
    <w:rsid w:val="00190CBF"/>
    <w:rsid w:val="00190FA2"/>
    <w:rsid w:val="00191020"/>
    <w:rsid w:val="0019111F"/>
    <w:rsid w:val="00191294"/>
    <w:rsid w:val="001913B2"/>
    <w:rsid w:val="001916DD"/>
    <w:rsid w:val="00191A2C"/>
    <w:rsid w:val="00191B69"/>
    <w:rsid w:val="00191D86"/>
    <w:rsid w:val="00191D88"/>
    <w:rsid w:val="001920E3"/>
    <w:rsid w:val="001922C8"/>
    <w:rsid w:val="001925DE"/>
    <w:rsid w:val="0019269A"/>
    <w:rsid w:val="00192826"/>
    <w:rsid w:val="001929A7"/>
    <w:rsid w:val="001929CF"/>
    <w:rsid w:val="00192B7B"/>
    <w:rsid w:val="00192D31"/>
    <w:rsid w:val="00192D38"/>
    <w:rsid w:val="0019300E"/>
    <w:rsid w:val="001931BB"/>
    <w:rsid w:val="00193280"/>
    <w:rsid w:val="001932A3"/>
    <w:rsid w:val="00193327"/>
    <w:rsid w:val="001936A8"/>
    <w:rsid w:val="001936E7"/>
    <w:rsid w:val="00193889"/>
    <w:rsid w:val="00193980"/>
    <w:rsid w:val="00193B20"/>
    <w:rsid w:val="00193C0E"/>
    <w:rsid w:val="00193C1E"/>
    <w:rsid w:val="00193C5D"/>
    <w:rsid w:val="00193D30"/>
    <w:rsid w:val="00193EE6"/>
    <w:rsid w:val="00193F44"/>
    <w:rsid w:val="001943E3"/>
    <w:rsid w:val="0019441A"/>
    <w:rsid w:val="0019441F"/>
    <w:rsid w:val="00194566"/>
    <w:rsid w:val="00194860"/>
    <w:rsid w:val="00194E57"/>
    <w:rsid w:val="00194FD1"/>
    <w:rsid w:val="00195114"/>
    <w:rsid w:val="00195205"/>
    <w:rsid w:val="00195317"/>
    <w:rsid w:val="001954F7"/>
    <w:rsid w:val="0019566D"/>
    <w:rsid w:val="001956CB"/>
    <w:rsid w:val="00195CCF"/>
    <w:rsid w:val="00195FB5"/>
    <w:rsid w:val="001960C8"/>
    <w:rsid w:val="0019616E"/>
    <w:rsid w:val="001963DB"/>
    <w:rsid w:val="001963F4"/>
    <w:rsid w:val="00196570"/>
    <w:rsid w:val="00196689"/>
    <w:rsid w:val="00196ADB"/>
    <w:rsid w:val="00196C33"/>
    <w:rsid w:val="00196D36"/>
    <w:rsid w:val="00196F75"/>
    <w:rsid w:val="0019713C"/>
    <w:rsid w:val="00197309"/>
    <w:rsid w:val="001974D1"/>
    <w:rsid w:val="0019790F"/>
    <w:rsid w:val="00197AF2"/>
    <w:rsid w:val="001A008D"/>
    <w:rsid w:val="001A02D2"/>
    <w:rsid w:val="001A064C"/>
    <w:rsid w:val="001A07A4"/>
    <w:rsid w:val="001A07AB"/>
    <w:rsid w:val="001A07F6"/>
    <w:rsid w:val="001A089B"/>
    <w:rsid w:val="001A095D"/>
    <w:rsid w:val="001A0AD4"/>
    <w:rsid w:val="001A0D26"/>
    <w:rsid w:val="001A130F"/>
    <w:rsid w:val="001A136A"/>
    <w:rsid w:val="001A137A"/>
    <w:rsid w:val="001A1380"/>
    <w:rsid w:val="001A13FC"/>
    <w:rsid w:val="001A14A1"/>
    <w:rsid w:val="001A17B2"/>
    <w:rsid w:val="001A1835"/>
    <w:rsid w:val="001A18C7"/>
    <w:rsid w:val="001A19DC"/>
    <w:rsid w:val="001A1F33"/>
    <w:rsid w:val="001A1FB7"/>
    <w:rsid w:val="001A2077"/>
    <w:rsid w:val="001A214E"/>
    <w:rsid w:val="001A21E8"/>
    <w:rsid w:val="001A2223"/>
    <w:rsid w:val="001A2263"/>
    <w:rsid w:val="001A23AC"/>
    <w:rsid w:val="001A246F"/>
    <w:rsid w:val="001A259B"/>
    <w:rsid w:val="001A2611"/>
    <w:rsid w:val="001A28CF"/>
    <w:rsid w:val="001A28D7"/>
    <w:rsid w:val="001A2D2E"/>
    <w:rsid w:val="001A2E3D"/>
    <w:rsid w:val="001A3148"/>
    <w:rsid w:val="001A3497"/>
    <w:rsid w:val="001A35F8"/>
    <w:rsid w:val="001A374F"/>
    <w:rsid w:val="001A3986"/>
    <w:rsid w:val="001A3C7F"/>
    <w:rsid w:val="001A418D"/>
    <w:rsid w:val="001A41C7"/>
    <w:rsid w:val="001A4259"/>
    <w:rsid w:val="001A4307"/>
    <w:rsid w:val="001A4426"/>
    <w:rsid w:val="001A468E"/>
    <w:rsid w:val="001A478D"/>
    <w:rsid w:val="001A489B"/>
    <w:rsid w:val="001A4A29"/>
    <w:rsid w:val="001A4A9A"/>
    <w:rsid w:val="001A4CC9"/>
    <w:rsid w:val="001A4DB2"/>
    <w:rsid w:val="001A4FF3"/>
    <w:rsid w:val="001A504E"/>
    <w:rsid w:val="001A5137"/>
    <w:rsid w:val="001A51F8"/>
    <w:rsid w:val="001A5366"/>
    <w:rsid w:val="001A55A8"/>
    <w:rsid w:val="001A56DB"/>
    <w:rsid w:val="001A5B86"/>
    <w:rsid w:val="001A5C2F"/>
    <w:rsid w:val="001A5D50"/>
    <w:rsid w:val="001A5F4D"/>
    <w:rsid w:val="001A641C"/>
    <w:rsid w:val="001A65AC"/>
    <w:rsid w:val="001A68D2"/>
    <w:rsid w:val="001A6A44"/>
    <w:rsid w:val="001A6AFA"/>
    <w:rsid w:val="001A6DA9"/>
    <w:rsid w:val="001A7198"/>
    <w:rsid w:val="001A71CA"/>
    <w:rsid w:val="001A7211"/>
    <w:rsid w:val="001A7232"/>
    <w:rsid w:val="001A7488"/>
    <w:rsid w:val="001A77D2"/>
    <w:rsid w:val="001A79E8"/>
    <w:rsid w:val="001A7B3A"/>
    <w:rsid w:val="001A7C06"/>
    <w:rsid w:val="001A7C6A"/>
    <w:rsid w:val="001B016F"/>
    <w:rsid w:val="001B035D"/>
    <w:rsid w:val="001B04DC"/>
    <w:rsid w:val="001B051A"/>
    <w:rsid w:val="001B0556"/>
    <w:rsid w:val="001B0830"/>
    <w:rsid w:val="001B087B"/>
    <w:rsid w:val="001B0A3F"/>
    <w:rsid w:val="001B0B1F"/>
    <w:rsid w:val="001B0C8F"/>
    <w:rsid w:val="001B0D67"/>
    <w:rsid w:val="001B0DE3"/>
    <w:rsid w:val="001B1106"/>
    <w:rsid w:val="001B1842"/>
    <w:rsid w:val="001B1A79"/>
    <w:rsid w:val="001B1C40"/>
    <w:rsid w:val="001B1DDF"/>
    <w:rsid w:val="001B2061"/>
    <w:rsid w:val="001B2194"/>
    <w:rsid w:val="001B2362"/>
    <w:rsid w:val="001B23B4"/>
    <w:rsid w:val="001B23E7"/>
    <w:rsid w:val="001B244B"/>
    <w:rsid w:val="001B2953"/>
    <w:rsid w:val="001B29B6"/>
    <w:rsid w:val="001B2AAA"/>
    <w:rsid w:val="001B2AFE"/>
    <w:rsid w:val="001B2DBF"/>
    <w:rsid w:val="001B2E9D"/>
    <w:rsid w:val="001B320F"/>
    <w:rsid w:val="001B32D2"/>
    <w:rsid w:val="001B33E1"/>
    <w:rsid w:val="001B3584"/>
    <w:rsid w:val="001B37CF"/>
    <w:rsid w:val="001B3AE3"/>
    <w:rsid w:val="001B3EF2"/>
    <w:rsid w:val="001B426C"/>
    <w:rsid w:val="001B428E"/>
    <w:rsid w:val="001B46B8"/>
    <w:rsid w:val="001B4C56"/>
    <w:rsid w:val="001B4DD7"/>
    <w:rsid w:val="001B4F21"/>
    <w:rsid w:val="001B507C"/>
    <w:rsid w:val="001B50B5"/>
    <w:rsid w:val="001B50C6"/>
    <w:rsid w:val="001B50F3"/>
    <w:rsid w:val="001B584C"/>
    <w:rsid w:val="001B6071"/>
    <w:rsid w:val="001B621A"/>
    <w:rsid w:val="001B657D"/>
    <w:rsid w:val="001B65D7"/>
    <w:rsid w:val="001B71CF"/>
    <w:rsid w:val="001B749D"/>
    <w:rsid w:val="001B76CD"/>
    <w:rsid w:val="001B777E"/>
    <w:rsid w:val="001B77AD"/>
    <w:rsid w:val="001B7B32"/>
    <w:rsid w:val="001B7D69"/>
    <w:rsid w:val="001B7D95"/>
    <w:rsid w:val="001C0181"/>
    <w:rsid w:val="001C02E2"/>
    <w:rsid w:val="001C03FB"/>
    <w:rsid w:val="001C1298"/>
    <w:rsid w:val="001C13A9"/>
    <w:rsid w:val="001C178F"/>
    <w:rsid w:val="001C1A09"/>
    <w:rsid w:val="001C1B5E"/>
    <w:rsid w:val="001C1C72"/>
    <w:rsid w:val="001C1CBD"/>
    <w:rsid w:val="001C1FF2"/>
    <w:rsid w:val="001C21E2"/>
    <w:rsid w:val="001C2723"/>
    <w:rsid w:val="001C2A19"/>
    <w:rsid w:val="001C2B95"/>
    <w:rsid w:val="001C2CAC"/>
    <w:rsid w:val="001C2E25"/>
    <w:rsid w:val="001C2EA3"/>
    <w:rsid w:val="001C2F28"/>
    <w:rsid w:val="001C329C"/>
    <w:rsid w:val="001C330D"/>
    <w:rsid w:val="001C3645"/>
    <w:rsid w:val="001C36D8"/>
    <w:rsid w:val="001C3DCE"/>
    <w:rsid w:val="001C3ECD"/>
    <w:rsid w:val="001C417F"/>
    <w:rsid w:val="001C4476"/>
    <w:rsid w:val="001C44A7"/>
    <w:rsid w:val="001C45EA"/>
    <w:rsid w:val="001C466B"/>
    <w:rsid w:val="001C48E5"/>
    <w:rsid w:val="001C4B7F"/>
    <w:rsid w:val="001C4FB5"/>
    <w:rsid w:val="001C4FD4"/>
    <w:rsid w:val="001C516D"/>
    <w:rsid w:val="001C53C9"/>
    <w:rsid w:val="001C548F"/>
    <w:rsid w:val="001C5588"/>
    <w:rsid w:val="001C59DF"/>
    <w:rsid w:val="001C5A48"/>
    <w:rsid w:val="001C5D02"/>
    <w:rsid w:val="001C5E08"/>
    <w:rsid w:val="001C5FCA"/>
    <w:rsid w:val="001C615F"/>
    <w:rsid w:val="001C6196"/>
    <w:rsid w:val="001C61F0"/>
    <w:rsid w:val="001C62A0"/>
    <w:rsid w:val="001C635B"/>
    <w:rsid w:val="001C6ADA"/>
    <w:rsid w:val="001C70B4"/>
    <w:rsid w:val="001C712A"/>
    <w:rsid w:val="001C73DB"/>
    <w:rsid w:val="001C7404"/>
    <w:rsid w:val="001C789B"/>
    <w:rsid w:val="001C791B"/>
    <w:rsid w:val="001C79A6"/>
    <w:rsid w:val="001C7C44"/>
    <w:rsid w:val="001C7EE4"/>
    <w:rsid w:val="001D01DC"/>
    <w:rsid w:val="001D025E"/>
    <w:rsid w:val="001D02B8"/>
    <w:rsid w:val="001D05AF"/>
    <w:rsid w:val="001D06C1"/>
    <w:rsid w:val="001D0897"/>
    <w:rsid w:val="001D08B0"/>
    <w:rsid w:val="001D08ED"/>
    <w:rsid w:val="001D0ACF"/>
    <w:rsid w:val="001D0B7E"/>
    <w:rsid w:val="001D10C8"/>
    <w:rsid w:val="001D135B"/>
    <w:rsid w:val="001D1691"/>
    <w:rsid w:val="001D193F"/>
    <w:rsid w:val="001D1A2C"/>
    <w:rsid w:val="001D1B28"/>
    <w:rsid w:val="001D1D60"/>
    <w:rsid w:val="001D1D77"/>
    <w:rsid w:val="001D2041"/>
    <w:rsid w:val="001D23A4"/>
    <w:rsid w:val="001D2964"/>
    <w:rsid w:val="001D2A29"/>
    <w:rsid w:val="001D2A31"/>
    <w:rsid w:val="001D2C05"/>
    <w:rsid w:val="001D3383"/>
    <w:rsid w:val="001D34D5"/>
    <w:rsid w:val="001D3539"/>
    <w:rsid w:val="001D363D"/>
    <w:rsid w:val="001D3964"/>
    <w:rsid w:val="001D3CB8"/>
    <w:rsid w:val="001D3D5F"/>
    <w:rsid w:val="001D3E9C"/>
    <w:rsid w:val="001D41DE"/>
    <w:rsid w:val="001D429A"/>
    <w:rsid w:val="001D42D6"/>
    <w:rsid w:val="001D436E"/>
    <w:rsid w:val="001D4414"/>
    <w:rsid w:val="001D446B"/>
    <w:rsid w:val="001D4484"/>
    <w:rsid w:val="001D4569"/>
    <w:rsid w:val="001D4670"/>
    <w:rsid w:val="001D475C"/>
    <w:rsid w:val="001D4CCD"/>
    <w:rsid w:val="001D4F25"/>
    <w:rsid w:val="001D517E"/>
    <w:rsid w:val="001D523F"/>
    <w:rsid w:val="001D52E8"/>
    <w:rsid w:val="001D530A"/>
    <w:rsid w:val="001D5834"/>
    <w:rsid w:val="001D595A"/>
    <w:rsid w:val="001D5B62"/>
    <w:rsid w:val="001D5C4F"/>
    <w:rsid w:val="001D5CCE"/>
    <w:rsid w:val="001D605E"/>
    <w:rsid w:val="001D60E6"/>
    <w:rsid w:val="001D664B"/>
    <w:rsid w:val="001D6701"/>
    <w:rsid w:val="001D67DA"/>
    <w:rsid w:val="001D6993"/>
    <w:rsid w:val="001D6B97"/>
    <w:rsid w:val="001D6E26"/>
    <w:rsid w:val="001D6EC8"/>
    <w:rsid w:val="001D7264"/>
    <w:rsid w:val="001D7286"/>
    <w:rsid w:val="001D7584"/>
    <w:rsid w:val="001D7873"/>
    <w:rsid w:val="001D794B"/>
    <w:rsid w:val="001D7C38"/>
    <w:rsid w:val="001D7C63"/>
    <w:rsid w:val="001D7C7D"/>
    <w:rsid w:val="001D7CE7"/>
    <w:rsid w:val="001D7FC8"/>
    <w:rsid w:val="001E0216"/>
    <w:rsid w:val="001E037F"/>
    <w:rsid w:val="001E03EB"/>
    <w:rsid w:val="001E0806"/>
    <w:rsid w:val="001E0827"/>
    <w:rsid w:val="001E0926"/>
    <w:rsid w:val="001E0C83"/>
    <w:rsid w:val="001E0EB6"/>
    <w:rsid w:val="001E0EC2"/>
    <w:rsid w:val="001E1393"/>
    <w:rsid w:val="001E157C"/>
    <w:rsid w:val="001E15FF"/>
    <w:rsid w:val="001E16C5"/>
    <w:rsid w:val="001E1709"/>
    <w:rsid w:val="001E1A29"/>
    <w:rsid w:val="001E1BB4"/>
    <w:rsid w:val="001E1F13"/>
    <w:rsid w:val="001E2254"/>
    <w:rsid w:val="001E241E"/>
    <w:rsid w:val="001E243D"/>
    <w:rsid w:val="001E25E7"/>
    <w:rsid w:val="001E29E5"/>
    <w:rsid w:val="001E32A5"/>
    <w:rsid w:val="001E330C"/>
    <w:rsid w:val="001E343D"/>
    <w:rsid w:val="001E34E0"/>
    <w:rsid w:val="001E361E"/>
    <w:rsid w:val="001E3625"/>
    <w:rsid w:val="001E3F36"/>
    <w:rsid w:val="001E3F61"/>
    <w:rsid w:val="001E4404"/>
    <w:rsid w:val="001E45DC"/>
    <w:rsid w:val="001E47D1"/>
    <w:rsid w:val="001E47D9"/>
    <w:rsid w:val="001E47FA"/>
    <w:rsid w:val="001E48D7"/>
    <w:rsid w:val="001E4AE8"/>
    <w:rsid w:val="001E4C6B"/>
    <w:rsid w:val="001E5410"/>
    <w:rsid w:val="001E5479"/>
    <w:rsid w:val="001E5777"/>
    <w:rsid w:val="001E5C89"/>
    <w:rsid w:val="001E5C8F"/>
    <w:rsid w:val="001E5CAA"/>
    <w:rsid w:val="001E5E90"/>
    <w:rsid w:val="001E6276"/>
    <w:rsid w:val="001E6395"/>
    <w:rsid w:val="001E651B"/>
    <w:rsid w:val="001E69C1"/>
    <w:rsid w:val="001E6A95"/>
    <w:rsid w:val="001E6C07"/>
    <w:rsid w:val="001E6D45"/>
    <w:rsid w:val="001E70BF"/>
    <w:rsid w:val="001E70FC"/>
    <w:rsid w:val="001E73BF"/>
    <w:rsid w:val="001E7415"/>
    <w:rsid w:val="001E77C9"/>
    <w:rsid w:val="001E7AF3"/>
    <w:rsid w:val="001E7CFD"/>
    <w:rsid w:val="001E7DC9"/>
    <w:rsid w:val="001E7E77"/>
    <w:rsid w:val="001E7EDE"/>
    <w:rsid w:val="001E7FB6"/>
    <w:rsid w:val="001F04DC"/>
    <w:rsid w:val="001F0511"/>
    <w:rsid w:val="001F05B7"/>
    <w:rsid w:val="001F0809"/>
    <w:rsid w:val="001F0E2B"/>
    <w:rsid w:val="001F0E88"/>
    <w:rsid w:val="001F0F0F"/>
    <w:rsid w:val="001F10F7"/>
    <w:rsid w:val="001F1316"/>
    <w:rsid w:val="001F1750"/>
    <w:rsid w:val="001F1AD4"/>
    <w:rsid w:val="001F1D04"/>
    <w:rsid w:val="001F1D4D"/>
    <w:rsid w:val="001F1FF4"/>
    <w:rsid w:val="001F2250"/>
    <w:rsid w:val="001F23D7"/>
    <w:rsid w:val="001F250B"/>
    <w:rsid w:val="001F2987"/>
    <w:rsid w:val="001F2B19"/>
    <w:rsid w:val="001F2B8A"/>
    <w:rsid w:val="001F2C04"/>
    <w:rsid w:val="001F2F53"/>
    <w:rsid w:val="001F31F8"/>
    <w:rsid w:val="001F3291"/>
    <w:rsid w:val="001F32F9"/>
    <w:rsid w:val="001F37D6"/>
    <w:rsid w:val="001F3DFD"/>
    <w:rsid w:val="001F3EF2"/>
    <w:rsid w:val="001F3F95"/>
    <w:rsid w:val="001F403E"/>
    <w:rsid w:val="001F411F"/>
    <w:rsid w:val="001F4492"/>
    <w:rsid w:val="001F470B"/>
    <w:rsid w:val="001F4723"/>
    <w:rsid w:val="001F47A6"/>
    <w:rsid w:val="001F47F1"/>
    <w:rsid w:val="001F4805"/>
    <w:rsid w:val="001F4A2A"/>
    <w:rsid w:val="001F4A3F"/>
    <w:rsid w:val="001F4E3E"/>
    <w:rsid w:val="001F5002"/>
    <w:rsid w:val="001F512E"/>
    <w:rsid w:val="001F51F8"/>
    <w:rsid w:val="001F5231"/>
    <w:rsid w:val="001F531C"/>
    <w:rsid w:val="001F570C"/>
    <w:rsid w:val="001F5CD7"/>
    <w:rsid w:val="001F5D2D"/>
    <w:rsid w:val="001F5D44"/>
    <w:rsid w:val="001F5F8D"/>
    <w:rsid w:val="001F5FA6"/>
    <w:rsid w:val="001F61DC"/>
    <w:rsid w:val="001F62DC"/>
    <w:rsid w:val="001F648B"/>
    <w:rsid w:val="001F64AE"/>
    <w:rsid w:val="001F64F9"/>
    <w:rsid w:val="001F67FA"/>
    <w:rsid w:val="001F6AFF"/>
    <w:rsid w:val="001F6C3E"/>
    <w:rsid w:val="001F6E33"/>
    <w:rsid w:val="001F6F92"/>
    <w:rsid w:val="001F73D1"/>
    <w:rsid w:val="001F76D9"/>
    <w:rsid w:val="001F78BA"/>
    <w:rsid w:val="001F7989"/>
    <w:rsid w:val="001F798F"/>
    <w:rsid w:val="001F7D5C"/>
    <w:rsid w:val="001F7E39"/>
    <w:rsid w:val="001F7E82"/>
    <w:rsid w:val="001F7FF7"/>
    <w:rsid w:val="001FC45A"/>
    <w:rsid w:val="00200173"/>
    <w:rsid w:val="00200373"/>
    <w:rsid w:val="002004C7"/>
    <w:rsid w:val="00200548"/>
    <w:rsid w:val="00200621"/>
    <w:rsid w:val="00200B02"/>
    <w:rsid w:val="00200D5E"/>
    <w:rsid w:val="00200D79"/>
    <w:rsid w:val="00201164"/>
    <w:rsid w:val="002015D1"/>
    <w:rsid w:val="0020177C"/>
    <w:rsid w:val="0020188E"/>
    <w:rsid w:val="00201900"/>
    <w:rsid w:val="00201A09"/>
    <w:rsid w:val="00201BA0"/>
    <w:rsid w:val="00201EE5"/>
    <w:rsid w:val="002021E9"/>
    <w:rsid w:val="002022D3"/>
    <w:rsid w:val="0020242D"/>
    <w:rsid w:val="002024BC"/>
    <w:rsid w:val="002029CB"/>
    <w:rsid w:val="00202A3F"/>
    <w:rsid w:val="00202A7A"/>
    <w:rsid w:val="00202D2A"/>
    <w:rsid w:val="00202E11"/>
    <w:rsid w:val="00202E45"/>
    <w:rsid w:val="0020321C"/>
    <w:rsid w:val="0020340B"/>
    <w:rsid w:val="00203414"/>
    <w:rsid w:val="00203513"/>
    <w:rsid w:val="00203639"/>
    <w:rsid w:val="002036D3"/>
    <w:rsid w:val="00203714"/>
    <w:rsid w:val="00203967"/>
    <w:rsid w:val="00203BFD"/>
    <w:rsid w:val="00203CDB"/>
    <w:rsid w:val="00203D10"/>
    <w:rsid w:val="00203EE1"/>
    <w:rsid w:val="00204062"/>
    <w:rsid w:val="0020406A"/>
    <w:rsid w:val="0020407F"/>
    <w:rsid w:val="002040CB"/>
    <w:rsid w:val="002043B8"/>
    <w:rsid w:val="002044AC"/>
    <w:rsid w:val="00204699"/>
    <w:rsid w:val="00204A7A"/>
    <w:rsid w:val="00204C39"/>
    <w:rsid w:val="00204C63"/>
    <w:rsid w:val="00204CF0"/>
    <w:rsid w:val="00204D38"/>
    <w:rsid w:val="00204DBB"/>
    <w:rsid w:val="00204FFD"/>
    <w:rsid w:val="002053BA"/>
    <w:rsid w:val="0020554D"/>
    <w:rsid w:val="00205C44"/>
    <w:rsid w:val="00205FCF"/>
    <w:rsid w:val="00206112"/>
    <w:rsid w:val="0020613A"/>
    <w:rsid w:val="00206201"/>
    <w:rsid w:val="00206506"/>
    <w:rsid w:val="00206555"/>
    <w:rsid w:val="002067D4"/>
    <w:rsid w:val="00206906"/>
    <w:rsid w:val="0020697F"/>
    <w:rsid w:val="00206C6D"/>
    <w:rsid w:val="00206D1A"/>
    <w:rsid w:val="00206DF2"/>
    <w:rsid w:val="002071C9"/>
    <w:rsid w:val="00207361"/>
    <w:rsid w:val="0020741E"/>
    <w:rsid w:val="00207561"/>
    <w:rsid w:val="00207568"/>
    <w:rsid w:val="00207633"/>
    <w:rsid w:val="00207968"/>
    <w:rsid w:val="00207E72"/>
    <w:rsid w:val="00207EA6"/>
    <w:rsid w:val="002102C1"/>
    <w:rsid w:val="00210442"/>
    <w:rsid w:val="002106FA"/>
    <w:rsid w:val="00210B97"/>
    <w:rsid w:val="00210CFA"/>
    <w:rsid w:val="00210F64"/>
    <w:rsid w:val="002110CF"/>
    <w:rsid w:val="002110F7"/>
    <w:rsid w:val="0021136F"/>
    <w:rsid w:val="00211390"/>
    <w:rsid w:val="00211787"/>
    <w:rsid w:val="00211959"/>
    <w:rsid w:val="00211D2F"/>
    <w:rsid w:val="00211D49"/>
    <w:rsid w:val="00211FAA"/>
    <w:rsid w:val="0021209F"/>
    <w:rsid w:val="00212211"/>
    <w:rsid w:val="002122DC"/>
    <w:rsid w:val="002124D1"/>
    <w:rsid w:val="002127D9"/>
    <w:rsid w:val="00212833"/>
    <w:rsid w:val="00212A68"/>
    <w:rsid w:val="00212AA8"/>
    <w:rsid w:val="002133E6"/>
    <w:rsid w:val="002134B9"/>
    <w:rsid w:val="00213560"/>
    <w:rsid w:val="002136E4"/>
    <w:rsid w:val="00213947"/>
    <w:rsid w:val="00213ED7"/>
    <w:rsid w:val="00214552"/>
    <w:rsid w:val="00214686"/>
    <w:rsid w:val="002147B8"/>
    <w:rsid w:val="00214A65"/>
    <w:rsid w:val="00214ADC"/>
    <w:rsid w:val="00214B16"/>
    <w:rsid w:val="00214C9D"/>
    <w:rsid w:val="00214DF1"/>
    <w:rsid w:val="00214FA1"/>
    <w:rsid w:val="00214FF6"/>
    <w:rsid w:val="002150F7"/>
    <w:rsid w:val="0021512C"/>
    <w:rsid w:val="0021531F"/>
    <w:rsid w:val="00215525"/>
    <w:rsid w:val="0021556B"/>
    <w:rsid w:val="0021564C"/>
    <w:rsid w:val="002156D0"/>
    <w:rsid w:val="00215BA5"/>
    <w:rsid w:val="00215E91"/>
    <w:rsid w:val="00215F86"/>
    <w:rsid w:val="00216312"/>
    <w:rsid w:val="00216407"/>
    <w:rsid w:val="0021645F"/>
    <w:rsid w:val="00216679"/>
    <w:rsid w:val="00216948"/>
    <w:rsid w:val="002169B0"/>
    <w:rsid w:val="00216C6A"/>
    <w:rsid w:val="00217100"/>
    <w:rsid w:val="00217517"/>
    <w:rsid w:val="00217743"/>
    <w:rsid w:val="00217A78"/>
    <w:rsid w:val="00217AA1"/>
    <w:rsid w:val="00217B78"/>
    <w:rsid w:val="00217CC3"/>
    <w:rsid w:val="00217D88"/>
    <w:rsid w:val="00220482"/>
    <w:rsid w:val="00220597"/>
    <w:rsid w:val="00220FB8"/>
    <w:rsid w:val="0022102C"/>
    <w:rsid w:val="0022119E"/>
    <w:rsid w:val="00221274"/>
    <w:rsid w:val="00221332"/>
    <w:rsid w:val="00221409"/>
    <w:rsid w:val="00221581"/>
    <w:rsid w:val="002215F4"/>
    <w:rsid w:val="0022167D"/>
    <w:rsid w:val="00221822"/>
    <w:rsid w:val="00221991"/>
    <w:rsid w:val="00221A66"/>
    <w:rsid w:val="00221A9A"/>
    <w:rsid w:val="00221CB7"/>
    <w:rsid w:val="00222001"/>
    <w:rsid w:val="00222130"/>
    <w:rsid w:val="002223EB"/>
    <w:rsid w:val="0022256E"/>
    <w:rsid w:val="002226D6"/>
    <w:rsid w:val="002227A6"/>
    <w:rsid w:val="0022284F"/>
    <w:rsid w:val="00222B71"/>
    <w:rsid w:val="00222BBD"/>
    <w:rsid w:val="00222C13"/>
    <w:rsid w:val="00222C66"/>
    <w:rsid w:val="00222DF5"/>
    <w:rsid w:val="00222FF4"/>
    <w:rsid w:val="002233F2"/>
    <w:rsid w:val="0022353C"/>
    <w:rsid w:val="00223639"/>
    <w:rsid w:val="002238A8"/>
    <w:rsid w:val="0022391C"/>
    <w:rsid w:val="00223B10"/>
    <w:rsid w:val="00223C10"/>
    <w:rsid w:val="00223E0D"/>
    <w:rsid w:val="00224165"/>
    <w:rsid w:val="00224181"/>
    <w:rsid w:val="0022421E"/>
    <w:rsid w:val="00224263"/>
    <w:rsid w:val="0022436F"/>
    <w:rsid w:val="002246E0"/>
    <w:rsid w:val="0022475D"/>
    <w:rsid w:val="0022485B"/>
    <w:rsid w:val="00224878"/>
    <w:rsid w:val="00224A64"/>
    <w:rsid w:val="00224EE4"/>
    <w:rsid w:val="002250CC"/>
    <w:rsid w:val="002253AA"/>
    <w:rsid w:val="0022547A"/>
    <w:rsid w:val="0022556B"/>
    <w:rsid w:val="002257D4"/>
    <w:rsid w:val="0022582E"/>
    <w:rsid w:val="00225CAF"/>
    <w:rsid w:val="00225DD4"/>
    <w:rsid w:val="00225FF8"/>
    <w:rsid w:val="002263BD"/>
    <w:rsid w:val="0022643A"/>
    <w:rsid w:val="002264AA"/>
    <w:rsid w:val="00226891"/>
    <w:rsid w:val="00226A19"/>
    <w:rsid w:val="00226C26"/>
    <w:rsid w:val="00227115"/>
    <w:rsid w:val="00227264"/>
    <w:rsid w:val="00227C23"/>
    <w:rsid w:val="00227DDF"/>
    <w:rsid w:val="00230763"/>
    <w:rsid w:val="00230978"/>
    <w:rsid w:val="00230ADB"/>
    <w:rsid w:val="00230B76"/>
    <w:rsid w:val="00230C45"/>
    <w:rsid w:val="00230CEF"/>
    <w:rsid w:val="00230F95"/>
    <w:rsid w:val="00231049"/>
    <w:rsid w:val="0023108D"/>
    <w:rsid w:val="002311ED"/>
    <w:rsid w:val="0023122A"/>
    <w:rsid w:val="002312B1"/>
    <w:rsid w:val="002312C2"/>
    <w:rsid w:val="0023140D"/>
    <w:rsid w:val="00231471"/>
    <w:rsid w:val="00231B05"/>
    <w:rsid w:val="00231FC1"/>
    <w:rsid w:val="00232185"/>
    <w:rsid w:val="002321FD"/>
    <w:rsid w:val="0023225E"/>
    <w:rsid w:val="00232428"/>
    <w:rsid w:val="0023259F"/>
    <w:rsid w:val="002325B4"/>
    <w:rsid w:val="002326E9"/>
    <w:rsid w:val="002327DD"/>
    <w:rsid w:val="00232B37"/>
    <w:rsid w:val="00232BF3"/>
    <w:rsid w:val="00232E22"/>
    <w:rsid w:val="00232F9D"/>
    <w:rsid w:val="00233154"/>
    <w:rsid w:val="0023318A"/>
    <w:rsid w:val="002332F0"/>
    <w:rsid w:val="00233384"/>
    <w:rsid w:val="00233849"/>
    <w:rsid w:val="002340E8"/>
    <w:rsid w:val="002341B4"/>
    <w:rsid w:val="002341C0"/>
    <w:rsid w:val="002341C4"/>
    <w:rsid w:val="0023445A"/>
    <w:rsid w:val="0023464E"/>
    <w:rsid w:val="00234664"/>
    <w:rsid w:val="00234720"/>
    <w:rsid w:val="0023489B"/>
    <w:rsid w:val="00234935"/>
    <w:rsid w:val="00234B3F"/>
    <w:rsid w:val="00234BD4"/>
    <w:rsid w:val="00234E86"/>
    <w:rsid w:val="00234EC0"/>
    <w:rsid w:val="00234FDC"/>
    <w:rsid w:val="002353F3"/>
    <w:rsid w:val="0023570F"/>
    <w:rsid w:val="0023595B"/>
    <w:rsid w:val="00235A09"/>
    <w:rsid w:val="00235E55"/>
    <w:rsid w:val="00235F74"/>
    <w:rsid w:val="00235FA3"/>
    <w:rsid w:val="0023601D"/>
    <w:rsid w:val="00236147"/>
    <w:rsid w:val="002362C7"/>
    <w:rsid w:val="002362E7"/>
    <w:rsid w:val="0023632F"/>
    <w:rsid w:val="0023633A"/>
    <w:rsid w:val="00236391"/>
    <w:rsid w:val="002364F4"/>
    <w:rsid w:val="00236626"/>
    <w:rsid w:val="00236650"/>
    <w:rsid w:val="0023673C"/>
    <w:rsid w:val="0023683B"/>
    <w:rsid w:val="002368AF"/>
    <w:rsid w:val="00236D90"/>
    <w:rsid w:val="0023740C"/>
    <w:rsid w:val="0023754F"/>
    <w:rsid w:val="002379D8"/>
    <w:rsid w:val="00237B38"/>
    <w:rsid w:val="00237C33"/>
    <w:rsid w:val="00237E82"/>
    <w:rsid w:val="00240296"/>
    <w:rsid w:val="002404C4"/>
    <w:rsid w:val="002407D6"/>
    <w:rsid w:val="00240B02"/>
    <w:rsid w:val="00240B0A"/>
    <w:rsid w:val="0024114E"/>
    <w:rsid w:val="00241201"/>
    <w:rsid w:val="002415F9"/>
    <w:rsid w:val="00241878"/>
    <w:rsid w:val="002418F5"/>
    <w:rsid w:val="0024197F"/>
    <w:rsid w:val="00241A6B"/>
    <w:rsid w:val="00242748"/>
    <w:rsid w:val="002427C3"/>
    <w:rsid w:val="002428B2"/>
    <w:rsid w:val="00242978"/>
    <w:rsid w:val="00242AEE"/>
    <w:rsid w:val="00242AF9"/>
    <w:rsid w:val="00242D46"/>
    <w:rsid w:val="0024300C"/>
    <w:rsid w:val="002431DF"/>
    <w:rsid w:val="002432C2"/>
    <w:rsid w:val="00243423"/>
    <w:rsid w:val="0024369E"/>
    <w:rsid w:val="002436E7"/>
    <w:rsid w:val="00243A7D"/>
    <w:rsid w:val="00243C7B"/>
    <w:rsid w:val="00243CF2"/>
    <w:rsid w:val="002440A1"/>
    <w:rsid w:val="00244215"/>
    <w:rsid w:val="002442AA"/>
    <w:rsid w:val="002446B7"/>
    <w:rsid w:val="00244796"/>
    <w:rsid w:val="00244917"/>
    <w:rsid w:val="00244960"/>
    <w:rsid w:val="00244A18"/>
    <w:rsid w:val="00244BA0"/>
    <w:rsid w:val="00244CA8"/>
    <w:rsid w:val="00245202"/>
    <w:rsid w:val="002452BC"/>
    <w:rsid w:val="00245BBE"/>
    <w:rsid w:val="00245D41"/>
    <w:rsid w:val="00245D66"/>
    <w:rsid w:val="00245E71"/>
    <w:rsid w:val="00245F15"/>
    <w:rsid w:val="00246280"/>
    <w:rsid w:val="0024629E"/>
    <w:rsid w:val="00246364"/>
    <w:rsid w:val="0024641A"/>
    <w:rsid w:val="00246507"/>
    <w:rsid w:val="00246673"/>
    <w:rsid w:val="00246869"/>
    <w:rsid w:val="00246B27"/>
    <w:rsid w:val="00246B52"/>
    <w:rsid w:val="00247102"/>
    <w:rsid w:val="0024713A"/>
    <w:rsid w:val="0024723F"/>
    <w:rsid w:val="002474BB"/>
    <w:rsid w:val="002474EE"/>
    <w:rsid w:val="002475B9"/>
    <w:rsid w:val="002476F8"/>
    <w:rsid w:val="00247783"/>
    <w:rsid w:val="0024790D"/>
    <w:rsid w:val="00247AB7"/>
    <w:rsid w:val="00247C62"/>
    <w:rsid w:val="00247CF1"/>
    <w:rsid w:val="00247D2F"/>
    <w:rsid w:val="00247D90"/>
    <w:rsid w:val="00250200"/>
    <w:rsid w:val="00250359"/>
    <w:rsid w:val="00250529"/>
    <w:rsid w:val="0025058F"/>
    <w:rsid w:val="00250638"/>
    <w:rsid w:val="00250AFB"/>
    <w:rsid w:val="00250BE3"/>
    <w:rsid w:val="00250BF7"/>
    <w:rsid w:val="002512BA"/>
    <w:rsid w:val="002513D0"/>
    <w:rsid w:val="00251614"/>
    <w:rsid w:val="00251760"/>
    <w:rsid w:val="00251939"/>
    <w:rsid w:val="00251BFB"/>
    <w:rsid w:val="00251EFC"/>
    <w:rsid w:val="00251F80"/>
    <w:rsid w:val="00252198"/>
    <w:rsid w:val="002523DA"/>
    <w:rsid w:val="00252418"/>
    <w:rsid w:val="002524AB"/>
    <w:rsid w:val="0025282E"/>
    <w:rsid w:val="00252855"/>
    <w:rsid w:val="00252903"/>
    <w:rsid w:val="00252C01"/>
    <w:rsid w:val="00252CFD"/>
    <w:rsid w:val="00252D80"/>
    <w:rsid w:val="00252EDE"/>
    <w:rsid w:val="00252FAB"/>
    <w:rsid w:val="002530D0"/>
    <w:rsid w:val="002533D8"/>
    <w:rsid w:val="00253525"/>
    <w:rsid w:val="00253688"/>
    <w:rsid w:val="002539CC"/>
    <w:rsid w:val="00253B0B"/>
    <w:rsid w:val="00253CEA"/>
    <w:rsid w:val="00253CFA"/>
    <w:rsid w:val="00253E29"/>
    <w:rsid w:val="00253EC8"/>
    <w:rsid w:val="00253FAF"/>
    <w:rsid w:val="002540C3"/>
    <w:rsid w:val="002541A0"/>
    <w:rsid w:val="00254392"/>
    <w:rsid w:val="002543B8"/>
    <w:rsid w:val="002545CE"/>
    <w:rsid w:val="002546DB"/>
    <w:rsid w:val="002548DE"/>
    <w:rsid w:val="00254A03"/>
    <w:rsid w:val="00254CE4"/>
    <w:rsid w:val="00255977"/>
    <w:rsid w:val="00255B6B"/>
    <w:rsid w:val="00255FB0"/>
    <w:rsid w:val="00256010"/>
    <w:rsid w:val="002564AF"/>
    <w:rsid w:val="00256784"/>
    <w:rsid w:val="00256DCA"/>
    <w:rsid w:val="002571B2"/>
    <w:rsid w:val="00257313"/>
    <w:rsid w:val="00257424"/>
    <w:rsid w:val="002576F7"/>
    <w:rsid w:val="002579C5"/>
    <w:rsid w:val="00257A76"/>
    <w:rsid w:val="00257B3A"/>
    <w:rsid w:val="00257CFE"/>
    <w:rsid w:val="002600DE"/>
    <w:rsid w:val="00260252"/>
    <w:rsid w:val="00260526"/>
    <w:rsid w:val="00260B0B"/>
    <w:rsid w:val="00260E01"/>
    <w:rsid w:val="00261121"/>
    <w:rsid w:val="00261231"/>
    <w:rsid w:val="002614FC"/>
    <w:rsid w:val="002616D4"/>
    <w:rsid w:val="00261E16"/>
    <w:rsid w:val="00262088"/>
    <w:rsid w:val="00262491"/>
    <w:rsid w:val="00262AB6"/>
    <w:rsid w:val="00262D03"/>
    <w:rsid w:val="00262E00"/>
    <w:rsid w:val="00262EB2"/>
    <w:rsid w:val="0026314F"/>
    <w:rsid w:val="002631C7"/>
    <w:rsid w:val="00263258"/>
    <w:rsid w:val="00263736"/>
    <w:rsid w:val="00264241"/>
    <w:rsid w:val="0026428B"/>
    <w:rsid w:val="002643C0"/>
    <w:rsid w:val="002648E5"/>
    <w:rsid w:val="00264A40"/>
    <w:rsid w:val="00264A81"/>
    <w:rsid w:val="00264B59"/>
    <w:rsid w:val="00264D2B"/>
    <w:rsid w:val="00264E4F"/>
    <w:rsid w:val="00264F2B"/>
    <w:rsid w:val="00264F4A"/>
    <w:rsid w:val="00265224"/>
    <w:rsid w:val="00265510"/>
    <w:rsid w:val="0026576B"/>
    <w:rsid w:val="002658E3"/>
    <w:rsid w:val="00265CBB"/>
    <w:rsid w:val="00265D3A"/>
    <w:rsid w:val="0026607B"/>
    <w:rsid w:val="0026611D"/>
    <w:rsid w:val="00266B06"/>
    <w:rsid w:val="00266B15"/>
    <w:rsid w:val="00266CAC"/>
    <w:rsid w:val="00266E4E"/>
    <w:rsid w:val="00266EBE"/>
    <w:rsid w:val="00266F81"/>
    <w:rsid w:val="00267040"/>
    <w:rsid w:val="00267074"/>
    <w:rsid w:val="0026714A"/>
    <w:rsid w:val="002671B2"/>
    <w:rsid w:val="002671FB"/>
    <w:rsid w:val="0026782F"/>
    <w:rsid w:val="00267988"/>
    <w:rsid w:val="00267CC5"/>
    <w:rsid w:val="00267FA9"/>
    <w:rsid w:val="00270388"/>
    <w:rsid w:val="00270471"/>
    <w:rsid w:val="00270B26"/>
    <w:rsid w:val="00271130"/>
    <w:rsid w:val="00271199"/>
    <w:rsid w:val="002714DC"/>
    <w:rsid w:val="00271824"/>
    <w:rsid w:val="002718A8"/>
    <w:rsid w:val="00271926"/>
    <w:rsid w:val="00271FAE"/>
    <w:rsid w:val="00272106"/>
    <w:rsid w:val="0027220B"/>
    <w:rsid w:val="00272354"/>
    <w:rsid w:val="00272443"/>
    <w:rsid w:val="00272533"/>
    <w:rsid w:val="002726D7"/>
    <w:rsid w:val="002726F0"/>
    <w:rsid w:val="0027292F"/>
    <w:rsid w:val="00272F01"/>
    <w:rsid w:val="002730F4"/>
    <w:rsid w:val="002731A0"/>
    <w:rsid w:val="00273228"/>
    <w:rsid w:val="0027322D"/>
    <w:rsid w:val="002732D6"/>
    <w:rsid w:val="0027333D"/>
    <w:rsid w:val="0027334A"/>
    <w:rsid w:val="002735DE"/>
    <w:rsid w:val="0027368E"/>
    <w:rsid w:val="002736EF"/>
    <w:rsid w:val="002737ED"/>
    <w:rsid w:val="00273B1C"/>
    <w:rsid w:val="00273CC6"/>
    <w:rsid w:val="00273CFA"/>
    <w:rsid w:val="00273DE0"/>
    <w:rsid w:val="00274156"/>
    <w:rsid w:val="00274292"/>
    <w:rsid w:val="002743D1"/>
    <w:rsid w:val="0027444D"/>
    <w:rsid w:val="002744F8"/>
    <w:rsid w:val="0027478C"/>
    <w:rsid w:val="00274B55"/>
    <w:rsid w:val="00274B85"/>
    <w:rsid w:val="00274CA1"/>
    <w:rsid w:val="00274F47"/>
    <w:rsid w:val="00275019"/>
    <w:rsid w:val="00275021"/>
    <w:rsid w:val="0027595D"/>
    <w:rsid w:val="0027599C"/>
    <w:rsid w:val="00275A00"/>
    <w:rsid w:val="00275A3D"/>
    <w:rsid w:val="00275A57"/>
    <w:rsid w:val="00275BEB"/>
    <w:rsid w:val="00275CB4"/>
    <w:rsid w:val="00275F01"/>
    <w:rsid w:val="00276020"/>
    <w:rsid w:val="0027622F"/>
    <w:rsid w:val="00276306"/>
    <w:rsid w:val="00276330"/>
    <w:rsid w:val="00276474"/>
    <w:rsid w:val="002764B2"/>
    <w:rsid w:val="00276506"/>
    <w:rsid w:val="00276665"/>
    <w:rsid w:val="002766CC"/>
    <w:rsid w:val="002768C1"/>
    <w:rsid w:val="002768CA"/>
    <w:rsid w:val="002769FF"/>
    <w:rsid w:val="00276CB1"/>
    <w:rsid w:val="00276CF4"/>
    <w:rsid w:val="00276DF4"/>
    <w:rsid w:val="00276EA1"/>
    <w:rsid w:val="00276F15"/>
    <w:rsid w:val="00277368"/>
    <w:rsid w:val="0027749E"/>
    <w:rsid w:val="0027768E"/>
    <w:rsid w:val="0027789E"/>
    <w:rsid w:val="002800A4"/>
    <w:rsid w:val="0028070E"/>
    <w:rsid w:val="002807AA"/>
    <w:rsid w:val="00280829"/>
    <w:rsid w:val="00280948"/>
    <w:rsid w:val="00280A32"/>
    <w:rsid w:val="00280F75"/>
    <w:rsid w:val="00281159"/>
    <w:rsid w:val="002811F9"/>
    <w:rsid w:val="00281293"/>
    <w:rsid w:val="002817EF"/>
    <w:rsid w:val="0028180F"/>
    <w:rsid w:val="00281D45"/>
    <w:rsid w:val="002821C9"/>
    <w:rsid w:val="00282940"/>
    <w:rsid w:val="00282E02"/>
    <w:rsid w:val="00282F47"/>
    <w:rsid w:val="002832A4"/>
    <w:rsid w:val="0028349B"/>
    <w:rsid w:val="0028353B"/>
    <w:rsid w:val="00283741"/>
    <w:rsid w:val="00283A0F"/>
    <w:rsid w:val="00283E45"/>
    <w:rsid w:val="0028413D"/>
    <w:rsid w:val="00284405"/>
    <w:rsid w:val="00284856"/>
    <w:rsid w:val="00284F76"/>
    <w:rsid w:val="00284FCE"/>
    <w:rsid w:val="00285498"/>
    <w:rsid w:val="00285543"/>
    <w:rsid w:val="002857FA"/>
    <w:rsid w:val="00285822"/>
    <w:rsid w:val="002859B0"/>
    <w:rsid w:val="00285B80"/>
    <w:rsid w:val="00285C71"/>
    <w:rsid w:val="00286326"/>
    <w:rsid w:val="002864EF"/>
    <w:rsid w:val="0028654B"/>
    <w:rsid w:val="002866E5"/>
    <w:rsid w:val="002867D4"/>
    <w:rsid w:val="00286A88"/>
    <w:rsid w:val="00286D07"/>
    <w:rsid w:val="00286DB3"/>
    <w:rsid w:val="00286FF6"/>
    <w:rsid w:val="00287090"/>
    <w:rsid w:val="002870A0"/>
    <w:rsid w:val="00287381"/>
    <w:rsid w:val="00287ACF"/>
    <w:rsid w:val="00287C26"/>
    <w:rsid w:val="00287D67"/>
    <w:rsid w:val="00287D96"/>
    <w:rsid w:val="00287DEB"/>
    <w:rsid w:val="0029001B"/>
    <w:rsid w:val="0029002E"/>
    <w:rsid w:val="0029013C"/>
    <w:rsid w:val="00290372"/>
    <w:rsid w:val="0029080C"/>
    <w:rsid w:val="00290862"/>
    <w:rsid w:val="002908EF"/>
    <w:rsid w:val="00290AF3"/>
    <w:rsid w:val="00290B37"/>
    <w:rsid w:val="00290E1B"/>
    <w:rsid w:val="00290F35"/>
    <w:rsid w:val="00291232"/>
    <w:rsid w:val="002912AF"/>
    <w:rsid w:val="00291AB2"/>
    <w:rsid w:val="00291CC9"/>
    <w:rsid w:val="00291F90"/>
    <w:rsid w:val="00292663"/>
    <w:rsid w:val="00292822"/>
    <w:rsid w:val="00292BB1"/>
    <w:rsid w:val="00292C41"/>
    <w:rsid w:val="00292CAB"/>
    <w:rsid w:val="00292CFF"/>
    <w:rsid w:val="00292DA6"/>
    <w:rsid w:val="0029330E"/>
    <w:rsid w:val="00293384"/>
    <w:rsid w:val="00293D08"/>
    <w:rsid w:val="00293F17"/>
    <w:rsid w:val="00294175"/>
    <w:rsid w:val="00294368"/>
    <w:rsid w:val="002943AB"/>
    <w:rsid w:val="002943AD"/>
    <w:rsid w:val="0029441B"/>
    <w:rsid w:val="0029450B"/>
    <w:rsid w:val="0029454F"/>
    <w:rsid w:val="00294590"/>
    <w:rsid w:val="0029485E"/>
    <w:rsid w:val="00294898"/>
    <w:rsid w:val="00294ACD"/>
    <w:rsid w:val="00294B71"/>
    <w:rsid w:val="00294BB5"/>
    <w:rsid w:val="00294DCA"/>
    <w:rsid w:val="00294E2C"/>
    <w:rsid w:val="0029506E"/>
    <w:rsid w:val="00295336"/>
    <w:rsid w:val="0029590A"/>
    <w:rsid w:val="00295B5A"/>
    <w:rsid w:val="00295BED"/>
    <w:rsid w:val="00295E60"/>
    <w:rsid w:val="002960CC"/>
    <w:rsid w:val="002961CC"/>
    <w:rsid w:val="0029635E"/>
    <w:rsid w:val="002964D2"/>
    <w:rsid w:val="00296932"/>
    <w:rsid w:val="00296E4A"/>
    <w:rsid w:val="00297116"/>
    <w:rsid w:val="0029755D"/>
    <w:rsid w:val="002975F3"/>
    <w:rsid w:val="002977FA"/>
    <w:rsid w:val="00297830"/>
    <w:rsid w:val="0029786A"/>
    <w:rsid w:val="00297A7E"/>
    <w:rsid w:val="00297C18"/>
    <w:rsid w:val="00297D72"/>
    <w:rsid w:val="00297DA0"/>
    <w:rsid w:val="00297DC3"/>
    <w:rsid w:val="00297DDD"/>
    <w:rsid w:val="002A0131"/>
    <w:rsid w:val="002A028C"/>
    <w:rsid w:val="002A0326"/>
    <w:rsid w:val="002A0340"/>
    <w:rsid w:val="002A0544"/>
    <w:rsid w:val="002A0AE6"/>
    <w:rsid w:val="002A0D4A"/>
    <w:rsid w:val="002A0D79"/>
    <w:rsid w:val="002A116D"/>
    <w:rsid w:val="002A1199"/>
    <w:rsid w:val="002A160C"/>
    <w:rsid w:val="002A17D0"/>
    <w:rsid w:val="002A1972"/>
    <w:rsid w:val="002A19AD"/>
    <w:rsid w:val="002A1A09"/>
    <w:rsid w:val="002A1A85"/>
    <w:rsid w:val="002A1D5B"/>
    <w:rsid w:val="002A1D80"/>
    <w:rsid w:val="002A22D9"/>
    <w:rsid w:val="002A2926"/>
    <w:rsid w:val="002A2B8D"/>
    <w:rsid w:val="002A3321"/>
    <w:rsid w:val="002A3460"/>
    <w:rsid w:val="002A3667"/>
    <w:rsid w:val="002A375E"/>
    <w:rsid w:val="002A3872"/>
    <w:rsid w:val="002A389F"/>
    <w:rsid w:val="002A3AEA"/>
    <w:rsid w:val="002A3CAC"/>
    <w:rsid w:val="002A3D13"/>
    <w:rsid w:val="002A3D32"/>
    <w:rsid w:val="002A3EFC"/>
    <w:rsid w:val="002A4000"/>
    <w:rsid w:val="002A4018"/>
    <w:rsid w:val="002A41DC"/>
    <w:rsid w:val="002A4456"/>
    <w:rsid w:val="002A4633"/>
    <w:rsid w:val="002A465C"/>
    <w:rsid w:val="002A46B9"/>
    <w:rsid w:val="002A46DD"/>
    <w:rsid w:val="002A46F3"/>
    <w:rsid w:val="002A4724"/>
    <w:rsid w:val="002A4739"/>
    <w:rsid w:val="002A4C7A"/>
    <w:rsid w:val="002A4CD1"/>
    <w:rsid w:val="002A4D6D"/>
    <w:rsid w:val="002A4EE1"/>
    <w:rsid w:val="002A5100"/>
    <w:rsid w:val="002A5193"/>
    <w:rsid w:val="002A5402"/>
    <w:rsid w:val="002A56CC"/>
    <w:rsid w:val="002A5964"/>
    <w:rsid w:val="002A5975"/>
    <w:rsid w:val="002A5B49"/>
    <w:rsid w:val="002A5CC7"/>
    <w:rsid w:val="002A5D4D"/>
    <w:rsid w:val="002A60EC"/>
    <w:rsid w:val="002A6200"/>
    <w:rsid w:val="002A6215"/>
    <w:rsid w:val="002A674D"/>
    <w:rsid w:val="002A6AA4"/>
    <w:rsid w:val="002A7360"/>
    <w:rsid w:val="002A7509"/>
    <w:rsid w:val="002A76EF"/>
    <w:rsid w:val="002A7714"/>
    <w:rsid w:val="002A7DD2"/>
    <w:rsid w:val="002A7EA9"/>
    <w:rsid w:val="002A7F22"/>
    <w:rsid w:val="002A7FB9"/>
    <w:rsid w:val="002B011C"/>
    <w:rsid w:val="002B0734"/>
    <w:rsid w:val="002B0930"/>
    <w:rsid w:val="002B0951"/>
    <w:rsid w:val="002B0A50"/>
    <w:rsid w:val="002B0E78"/>
    <w:rsid w:val="002B1006"/>
    <w:rsid w:val="002B10BF"/>
    <w:rsid w:val="002B1142"/>
    <w:rsid w:val="002B116A"/>
    <w:rsid w:val="002B1429"/>
    <w:rsid w:val="002B184C"/>
    <w:rsid w:val="002B18AA"/>
    <w:rsid w:val="002B18B1"/>
    <w:rsid w:val="002B1BFB"/>
    <w:rsid w:val="002B1D5E"/>
    <w:rsid w:val="002B2117"/>
    <w:rsid w:val="002B2174"/>
    <w:rsid w:val="002B2928"/>
    <w:rsid w:val="002B2D1D"/>
    <w:rsid w:val="002B2FC3"/>
    <w:rsid w:val="002B370B"/>
    <w:rsid w:val="002B3C5B"/>
    <w:rsid w:val="002B3CC3"/>
    <w:rsid w:val="002B3F0D"/>
    <w:rsid w:val="002B3F21"/>
    <w:rsid w:val="002B40D0"/>
    <w:rsid w:val="002B4185"/>
    <w:rsid w:val="002B43A3"/>
    <w:rsid w:val="002B4572"/>
    <w:rsid w:val="002B464E"/>
    <w:rsid w:val="002B47E3"/>
    <w:rsid w:val="002B4804"/>
    <w:rsid w:val="002B4A24"/>
    <w:rsid w:val="002B4C8E"/>
    <w:rsid w:val="002B4D4A"/>
    <w:rsid w:val="002B4DA1"/>
    <w:rsid w:val="002B4DC0"/>
    <w:rsid w:val="002B4F5F"/>
    <w:rsid w:val="002B504A"/>
    <w:rsid w:val="002B504E"/>
    <w:rsid w:val="002B512B"/>
    <w:rsid w:val="002B5C17"/>
    <w:rsid w:val="002B5C60"/>
    <w:rsid w:val="002B5D9F"/>
    <w:rsid w:val="002B5DD4"/>
    <w:rsid w:val="002B5E25"/>
    <w:rsid w:val="002B6135"/>
    <w:rsid w:val="002B61C2"/>
    <w:rsid w:val="002B6502"/>
    <w:rsid w:val="002B6C25"/>
    <w:rsid w:val="002B6D44"/>
    <w:rsid w:val="002B6E92"/>
    <w:rsid w:val="002B7085"/>
    <w:rsid w:val="002B70B2"/>
    <w:rsid w:val="002B7220"/>
    <w:rsid w:val="002B731B"/>
    <w:rsid w:val="002B731C"/>
    <w:rsid w:val="002B75FE"/>
    <w:rsid w:val="002B76A2"/>
    <w:rsid w:val="002B7F3B"/>
    <w:rsid w:val="002C00AC"/>
    <w:rsid w:val="002C00BF"/>
    <w:rsid w:val="002C0375"/>
    <w:rsid w:val="002C05AE"/>
    <w:rsid w:val="002C0927"/>
    <w:rsid w:val="002C0BD0"/>
    <w:rsid w:val="002C0BFF"/>
    <w:rsid w:val="002C0CE7"/>
    <w:rsid w:val="002C0EB1"/>
    <w:rsid w:val="002C115E"/>
    <w:rsid w:val="002C12AE"/>
    <w:rsid w:val="002C12C8"/>
    <w:rsid w:val="002C1365"/>
    <w:rsid w:val="002C1477"/>
    <w:rsid w:val="002C152F"/>
    <w:rsid w:val="002C1700"/>
    <w:rsid w:val="002C1DA7"/>
    <w:rsid w:val="002C1F8A"/>
    <w:rsid w:val="002C1F90"/>
    <w:rsid w:val="002C21E7"/>
    <w:rsid w:val="002C2273"/>
    <w:rsid w:val="002C23D5"/>
    <w:rsid w:val="002C2465"/>
    <w:rsid w:val="002C2717"/>
    <w:rsid w:val="002C2893"/>
    <w:rsid w:val="002C29B2"/>
    <w:rsid w:val="002C2AFC"/>
    <w:rsid w:val="002C2E05"/>
    <w:rsid w:val="002C2E8B"/>
    <w:rsid w:val="002C30B3"/>
    <w:rsid w:val="002C31C0"/>
    <w:rsid w:val="002C3209"/>
    <w:rsid w:val="002C3289"/>
    <w:rsid w:val="002C361B"/>
    <w:rsid w:val="002C36C0"/>
    <w:rsid w:val="002C3769"/>
    <w:rsid w:val="002C37C2"/>
    <w:rsid w:val="002C3B71"/>
    <w:rsid w:val="002C3CDD"/>
    <w:rsid w:val="002C3F40"/>
    <w:rsid w:val="002C41A2"/>
    <w:rsid w:val="002C4483"/>
    <w:rsid w:val="002C4808"/>
    <w:rsid w:val="002C480C"/>
    <w:rsid w:val="002C4CBB"/>
    <w:rsid w:val="002C4D32"/>
    <w:rsid w:val="002C5156"/>
    <w:rsid w:val="002C5595"/>
    <w:rsid w:val="002C5620"/>
    <w:rsid w:val="002C58DA"/>
    <w:rsid w:val="002C5B89"/>
    <w:rsid w:val="002C5C53"/>
    <w:rsid w:val="002C5C5C"/>
    <w:rsid w:val="002C5D7D"/>
    <w:rsid w:val="002C5DA2"/>
    <w:rsid w:val="002C61CE"/>
    <w:rsid w:val="002C65EB"/>
    <w:rsid w:val="002C6832"/>
    <w:rsid w:val="002C6886"/>
    <w:rsid w:val="002C6CF6"/>
    <w:rsid w:val="002C7045"/>
    <w:rsid w:val="002C7123"/>
    <w:rsid w:val="002C7283"/>
    <w:rsid w:val="002C72A2"/>
    <w:rsid w:val="002C7356"/>
    <w:rsid w:val="002C73A4"/>
    <w:rsid w:val="002C75F5"/>
    <w:rsid w:val="002C76C2"/>
    <w:rsid w:val="002C7708"/>
    <w:rsid w:val="002C7C61"/>
    <w:rsid w:val="002C7CC0"/>
    <w:rsid w:val="002C7CC4"/>
    <w:rsid w:val="002C7E22"/>
    <w:rsid w:val="002C7E60"/>
    <w:rsid w:val="002C7E74"/>
    <w:rsid w:val="002C7F63"/>
    <w:rsid w:val="002D009B"/>
    <w:rsid w:val="002D00D2"/>
    <w:rsid w:val="002D034F"/>
    <w:rsid w:val="002D0820"/>
    <w:rsid w:val="002D0869"/>
    <w:rsid w:val="002D095C"/>
    <w:rsid w:val="002D09D4"/>
    <w:rsid w:val="002D1046"/>
    <w:rsid w:val="002D1086"/>
    <w:rsid w:val="002D122B"/>
    <w:rsid w:val="002D1AE4"/>
    <w:rsid w:val="002D1C0B"/>
    <w:rsid w:val="002D1E31"/>
    <w:rsid w:val="002D1ECD"/>
    <w:rsid w:val="002D207C"/>
    <w:rsid w:val="002D215A"/>
    <w:rsid w:val="002D2252"/>
    <w:rsid w:val="002D226C"/>
    <w:rsid w:val="002D23C8"/>
    <w:rsid w:val="002D259B"/>
    <w:rsid w:val="002D26EF"/>
    <w:rsid w:val="002D2915"/>
    <w:rsid w:val="002D29D0"/>
    <w:rsid w:val="002D2CA2"/>
    <w:rsid w:val="002D3077"/>
    <w:rsid w:val="002D3096"/>
    <w:rsid w:val="002D3398"/>
    <w:rsid w:val="002D3431"/>
    <w:rsid w:val="002D35CA"/>
    <w:rsid w:val="002D3755"/>
    <w:rsid w:val="002D3C06"/>
    <w:rsid w:val="002D3C55"/>
    <w:rsid w:val="002D407E"/>
    <w:rsid w:val="002D42A6"/>
    <w:rsid w:val="002D45EA"/>
    <w:rsid w:val="002D4826"/>
    <w:rsid w:val="002D492E"/>
    <w:rsid w:val="002D4A6D"/>
    <w:rsid w:val="002D4B0D"/>
    <w:rsid w:val="002D4C0C"/>
    <w:rsid w:val="002D4E8A"/>
    <w:rsid w:val="002D5064"/>
    <w:rsid w:val="002D50F3"/>
    <w:rsid w:val="002D533F"/>
    <w:rsid w:val="002D535C"/>
    <w:rsid w:val="002D5465"/>
    <w:rsid w:val="002D5591"/>
    <w:rsid w:val="002D57A0"/>
    <w:rsid w:val="002D5880"/>
    <w:rsid w:val="002D5A19"/>
    <w:rsid w:val="002D5AC6"/>
    <w:rsid w:val="002D5AD9"/>
    <w:rsid w:val="002D5D45"/>
    <w:rsid w:val="002D5D4A"/>
    <w:rsid w:val="002D5EFF"/>
    <w:rsid w:val="002D5F6B"/>
    <w:rsid w:val="002D61C8"/>
    <w:rsid w:val="002D61FF"/>
    <w:rsid w:val="002D621F"/>
    <w:rsid w:val="002D633C"/>
    <w:rsid w:val="002D66D1"/>
    <w:rsid w:val="002D6A02"/>
    <w:rsid w:val="002D6AB8"/>
    <w:rsid w:val="002D6AEE"/>
    <w:rsid w:val="002D6D0C"/>
    <w:rsid w:val="002D7394"/>
    <w:rsid w:val="002D7402"/>
    <w:rsid w:val="002D7492"/>
    <w:rsid w:val="002D78CD"/>
    <w:rsid w:val="002D79B2"/>
    <w:rsid w:val="002D7A70"/>
    <w:rsid w:val="002D7BC5"/>
    <w:rsid w:val="002D7C7F"/>
    <w:rsid w:val="002D7D27"/>
    <w:rsid w:val="002D7D93"/>
    <w:rsid w:val="002D7FA3"/>
    <w:rsid w:val="002E05F6"/>
    <w:rsid w:val="002E0620"/>
    <w:rsid w:val="002E0928"/>
    <w:rsid w:val="002E097B"/>
    <w:rsid w:val="002E0C5E"/>
    <w:rsid w:val="002E0E9F"/>
    <w:rsid w:val="002E1041"/>
    <w:rsid w:val="002E10E6"/>
    <w:rsid w:val="002E1102"/>
    <w:rsid w:val="002E11E5"/>
    <w:rsid w:val="002E11EA"/>
    <w:rsid w:val="002E129E"/>
    <w:rsid w:val="002E12D0"/>
    <w:rsid w:val="002E1350"/>
    <w:rsid w:val="002E171F"/>
    <w:rsid w:val="002E19BB"/>
    <w:rsid w:val="002E1A14"/>
    <w:rsid w:val="002E1A72"/>
    <w:rsid w:val="002E1C05"/>
    <w:rsid w:val="002E1EF8"/>
    <w:rsid w:val="002E2301"/>
    <w:rsid w:val="002E23A4"/>
    <w:rsid w:val="002E244C"/>
    <w:rsid w:val="002E253C"/>
    <w:rsid w:val="002E2611"/>
    <w:rsid w:val="002E2856"/>
    <w:rsid w:val="002E2AA3"/>
    <w:rsid w:val="002E2DA1"/>
    <w:rsid w:val="002E2F4F"/>
    <w:rsid w:val="002E2FCA"/>
    <w:rsid w:val="002E3001"/>
    <w:rsid w:val="002E3145"/>
    <w:rsid w:val="002E31C9"/>
    <w:rsid w:val="002E3366"/>
    <w:rsid w:val="002E3FF0"/>
    <w:rsid w:val="002E442A"/>
    <w:rsid w:val="002E448A"/>
    <w:rsid w:val="002E4786"/>
    <w:rsid w:val="002E4A39"/>
    <w:rsid w:val="002E4B99"/>
    <w:rsid w:val="002E506B"/>
    <w:rsid w:val="002E5350"/>
    <w:rsid w:val="002E5375"/>
    <w:rsid w:val="002E559D"/>
    <w:rsid w:val="002E5912"/>
    <w:rsid w:val="002E5C8F"/>
    <w:rsid w:val="002E5CD4"/>
    <w:rsid w:val="002E5D3C"/>
    <w:rsid w:val="002E60B6"/>
    <w:rsid w:val="002E64CB"/>
    <w:rsid w:val="002E6581"/>
    <w:rsid w:val="002E690E"/>
    <w:rsid w:val="002E690F"/>
    <w:rsid w:val="002E6BBA"/>
    <w:rsid w:val="002E6DE3"/>
    <w:rsid w:val="002E6FDA"/>
    <w:rsid w:val="002E704B"/>
    <w:rsid w:val="002E712A"/>
    <w:rsid w:val="002E71D2"/>
    <w:rsid w:val="002E7637"/>
    <w:rsid w:val="002E76D6"/>
    <w:rsid w:val="002E7D29"/>
    <w:rsid w:val="002E7EA4"/>
    <w:rsid w:val="002F0072"/>
    <w:rsid w:val="002F00D1"/>
    <w:rsid w:val="002F02E8"/>
    <w:rsid w:val="002F032A"/>
    <w:rsid w:val="002F03F1"/>
    <w:rsid w:val="002F04F5"/>
    <w:rsid w:val="002F0663"/>
    <w:rsid w:val="002F09ED"/>
    <w:rsid w:val="002F0C49"/>
    <w:rsid w:val="002F0CF0"/>
    <w:rsid w:val="002F0EF1"/>
    <w:rsid w:val="002F0F17"/>
    <w:rsid w:val="002F0F40"/>
    <w:rsid w:val="002F0FEA"/>
    <w:rsid w:val="002F10D5"/>
    <w:rsid w:val="002F1267"/>
    <w:rsid w:val="002F135D"/>
    <w:rsid w:val="002F1492"/>
    <w:rsid w:val="002F1684"/>
    <w:rsid w:val="002F179B"/>
    <w:rsid w:val="002F1DE1"/>
    <w:rsid w:val="002F1FE3"/>
    <w:rsid w:val="002F224E"/>
    <w:rsid w:val="002F2772"/>
    <w:rsid w:val="002F2815"/>
    <w:rsid w:val="002F2D38"/>
    <w:rsid w:val="002F32BB"/>
    <w:rsid w:val="002F334A"/>
    <w:rsid w:val="002F3474"/>
    <w:rsid w:val="002F3642"/>
    <w:rsid w:val="002F4535"/>
    <w:rsid w:val="002F461D"/>
    <w:rsid w:val="002F47C6"/>
    <w:rsid w:val="002F47E1"/>
    <w:rsid w:val="002F4BBD"/>
    <w:rsid w:val="002F50E7"/>
    <w:rsid w:val="002F5664"/>
    <w:rsid w:val="002F56EC"/>
    <w:rsid w:val="002F6037"/>
    <w:rsid w:val="002F63E3"/>
    <w:rsid w:val="002F65B7"/>
    <w:rsid w:val="002F6715"/>
    <w:rsid w:val="002F6762"/>
    <w:rsid w:val="002F6873"/>
    <w:rsid w:val="002F6A8A"/>
    <w:rsid w:val="002F6ABA"/>
    <w:rsid w:val="002F6B80"/>
    <w:rsid w:val="002F6BA9"/>
    <w:rsid w:val="002F6CFD"/>
    <w:rsid w:val="002F6F43"/>
    <w:rsid w:val="002F7076"/>
    <w:rsid w:val="002F7123"/>
    <w:rsid w:val="002F7374"/>
    <w:rsid w:val="002F7569"/>
    <w:rsid w:val="002F7B1C"/>
    <w:rsid w:val="002F7C10"/>
    <w:rsid w:val="0030011C"/>
    <w:rsid w:val="00300280"/>
    <w:rsid w:val="003005B0"/>
    <w:rsid w:val="0030093B"/>
    <w:rsid w:val="00300CE3"/>
    <w:rsid w:val="00300DAE"/>
    <w:rsid w:val="003011D8"/>
    <w:rsid w:val="00301223"/>
    <w:rsid w:val="00301242"/>
    <w:rsid w:val="0030124D"/>
    <w:rsid w:val="00301259"/>
    <w:rsid w:val="00301427"/>
    <w:rsid w:val="003014C6"/>
    <w:rsid w:val="003016B1"/>
    <w:rsid w:val="00301846"/>
    <w:rsid w:val="003018F7"/>
    <w:rsid w:val="00301986"/>
    <w:rsid w:val="00301BDD"/>
    <w:rsid w:val="00301C58"/>
    <w:rsid w:val="00301D66"/>
    <w:rsid w:val="00301E61"/>
    <w:rsid w:val="003022D1"/>
    <w:rsid w:val="003025A2"/>
    <w:rsid w:val="003025C0"/>
    <w:rsid w:val="00302701"/>
    <w:rsid w:val="003028A5"/>
    <w:rsid w:val="0030294C"/>
    <w:rsid w:val="003029A5"/>
    <w:rsid w:val="00302CAD"/>
    <w:rsid w:val="00302DBD"/>
    <w:rsid w:val="003030C8"/>
    <w:rsid w:val="00303126"/>
    <w:rsid w:val="0030322B"/>
    <w:rsid w:val="00303368"/>
    <w:rsid w:val="003034A7"/>
    <w:rsid w:val="00303642"/>
    <w:rsid w:val="003036F8"/>
    <w:rsid w:val="003038F1"/>
    <w:rsid w:val="00303A7D"/>
    <w:rsid w:val="00303C30"/>
    <w:rsid w:val="00303C88"/>
    <w:rsid w:val="00303D84"/>
    <w:rsid w:val="00303F0B"/>
    <w:rsid w:val="00303F0F"/>
    <w:rsid w:val="0030460E"/>
    <w:rsid w:val="0030477F"/>
    <w:rsid w:val="003048F3"/>
    <w:rsid w:val="0030498E"/>
    <w:rsid w:val="003049A2"/>
    <w:rsid w:val="00304CF7"/>
    <w:rsid w:val="003051C1"/>
    <w:rsid w:val="003053F5"/>
    <w:rsid w:val="003055D8"/>
    <w:rsid w:val="0030563D"/>
    <w:rsid w:val="00305690"/>
    <w:rsid w:val="003056F8"/>
    <w:rsid w:val="0030594D"/>
    <w:rsid w:val="00305CEC"/>
    <w:rsid w:val="00305E72"/>
    <w:rsid w:val="00305EE4"/>
    <w:rsid w:val="00306067"/>
    <w:rsid w:val="003063AC"/>
    <w:rsid w:val="00306718"/>
    <w:rsid w:val="00306953"/>
    <w:rsid w:val="00306A40"/>
    <w:rsid w:val="00306BA5"/>
    <w:rsid w:val="00306C7F"/>
    <w:rsid w:val="00306CA8"/>
    <w:rsid w:val="00307029"/>
    <w:rsid w:val="0030708F"/>
    <w:rsid w:val="00307338"/>
    <w:rsid w:val="00307BD5"/>
    <w:rsid w:val="00307C6E"/>
    <w:rsid w:val="00307F68"/>
    <w:rsid w:val="0031006A"/>
    <w:rsid w:val="00310172"/>
    <w:rsid w:val="00310386"/>
    <w:rsid w:val="00310938"/>
    <w:rsid w:val="00310A25"/>
    <w:rsid w:val="00310C40"/>
    <w:rsid w:val="00310CB9"/>
    <w:rsid w:val="00310D10"/>
    <w:rsid w:val="00310D77"/>
    <w:rsid w:val="00310DA1"/>
    <w:rsid w:val="00310FBA"/>
    <w:rsid w:val="003114F7"/>
    <w:rsid w:val="00311597"/>
    <w:rsid w:val="00311599"/>
    <w:rsid w:val="00311916"/>
    <w:rsid w:val="0031195E"/>
    <w:rsid w:val="00311C4C"/>
    <w:rsid w:val="00311D17"/>
    <w:rsid w:val="00311D3F"/>
    <w:rsid w:val="00311D63"/>
    <w:rsid w:val="0031206B"/>
    <w:rsid w:val="003120F8"/>
    <w:rsid w:val="003121F0"/>
    <w:rsid w:val="00312227"/>
    <w:rsid w:val="0031275E"/>
    <w:rsid w:val="00312C9C"/>
    <w:rsid w:val="00312E12"/>
    <w:rsid w:val="00313601"/>
    <w:rsid w:val="0031372D"/>
    <w:rsid w:val="0031372E"/>
    <w:rsid w:val="00313918"/>
    <w:rsid w:val="003140CE"/>
    <w:rsid w:val="00314735"/>
    <w:rsid w:val="00314B18"/>
    <w:rsid w:val="00314D8D"/>
    <w:rsid w:val="00314F11"/>
    <w:rsid w:val="00315114"/>
    <w:rsid w:val="003151D3"/>
    <w:rsid w:val="0031545C"/>
    <w:rsid w:val="00315BA4"/>
    <w:rsid w:val="00315CDD"/>
    <w:rsid w:val="00316151"/>
    <w:rsid w:val="00316333"/>
    <w:rsid w:val="003163DB"/>
    <w:rsid w:val="003164A3"/>
    <w:rsid w:val="003165CC"/>
    <w:rsid w:val="00316676"/>
    <w:rsid w:val="00316A55"/>
    <w:rsid w:val="00316A79"/>
    <w:rsid w:val="00316C71"/>
    <w:rsid w:val="00316F7D"/>
    <w:rsid w:val="00317404"/>
    <w:rsid w:val="00317437"/>
    <w:rsid w:val="003176AE"/>
    <w:rsid w:val="00317A41"/>
    <w:rsid w:val="00317D6E"/>
    <w:rsid w:val="00320674"/>
    <w:rsid w:val="0032070F"/>
    <w:rsid w:val="003208A1"/>
    <w:rsid w:val="00320A45"/>
    <w:rsid w:val="00320DE9"/>
    <w:rsid w:val="00321057"/>
    <w:rsid w:val="00321123"/>
    <w:rsid w:val="0032116C"/>
    <w:rsid w:val="00321426"/>
    <w:rsid w:val="0032149A"/>
    <w:rsid w:val="003218A9"/>
    <w:rsid w:val="00321A3B"/>
    <w:rsid w:val="00321A7A"/>
    <w:rsid w:val="00321AEE"/>
    <w:rsid w:val="003221A2"/>
    <w:rsid w:val="0032230F"/>
    <w:rsid w:val="00322381"/>
    <w:rsid w:val="0032254C"/>
    <w:rsid w:val="003225F6"/>
    <w:rsid w:val="0032268D"/>
    <w:rsid w:val="00322964"/>
    <w:rsid w:val="00322999"/>
    <w:rsid w:val="00322A46"/>
    <w:rsid w:val="00322F9C"/>
    <w:rsid w:val="0032312C"/>
    <w:rsid w:val="00323591"/>
    <w:rsid w:val="00323608"/>
    <w:rsid w:val="00323731"/>
    <w:rsid w:val="0032387D"/>
    <w:rsid w:val="00324164"/>
    <w:rsid w:val="003244EA"/>
    <w:rsid w:val="00324505"/>
    <w:rsid w:val="0032489D"/>
    <w:rsid w:val="003248EE"/>
    <w:rsid w:val="003249FC"/>
    <w:rsid w:val="00324A8C"/>
    <w:rsid w:val="00324DEC"/>
    <w:rsid w:val="0032501F"/>
    <w:rsid w:val="003251DE"/>
    <w:rsid w:val="003254DC"/>
    <w:rsid w:val="00325708"/>
    <w:rsid w:val="00325949"/>
    <w:rsid w:val="003259A9"/>
    <w:rsid w:val="00325A03"/>
    <w:rsid w:val="0032605D"/>
    <w:rsid w:val="003261DD"/>
    <w:rsid w:val="00326376"/>
    <w:rsid w:val="00326703"/>
    <w:rsid w:val="0032676C"/>
    <w:rsid w:val="003267DC"/>
    <w:rsid w:val="00326C38"/>
    <w:rsid w:val="00327313"/>
    <w:rsid w:val="0032735B"/>
    <w:rsid w:val="003274CA"/>
    <w:rsid w:val="00327683"/>
    <w:rsid w:val="00327732"/>
    <w:rsid w:val="00327737"/>
    <w:rsid w:val="00327740"/>
    <w:rsid w:val="003277E9"/>
    <w:rsid w:val="00327888"/>
    <w:rsid w:val="003279FA"/>
    <w:rsid w:val="00330020"/>
    <w:rsid w:val="00330183"/>
    <w:rsid w:val="00330222"/>
    <w:rsid w:val="00330235"/>
    <w:rsid w:val="003302D5"/>
    <w:rsid w:val="00330389"/>
    <w:rsid w:val="0033044B"/>
    <w:rsid w:val="0033075F"/>
    <w:rsid w:val="003308C3"/>
    <w:rsid w:val="00330983"/>
    <w:rsid w:val="00330AEF"/>
    <w:rsid w:val="00330C44"/>
    <w:rsid w:val="00330D54"/>
    <w:rsid w:val="0033104E"/>
    <w:rsid w:val="003311E3"/>
    <w:rsid w:val="0033135C"/>
    <w:rsid w:val="0033159B"/>
    <w:rsid w:val="00331729"/>
    <w:rsid w:val="0033173D"/>
    <w:rsid w:val="00331771"/>
    <w:rsid w:val="00331B4B"/>
    <w:rsid w:val="00331B63"/>
    <w:rsid w:val="00331BB5"/>
    <w:rsid w:val="00331D48"/>
    <w:rsid w:val="00331E46"/>
    <w:rsid w:val="00332268"/>
    <w:rsid w:val="00332817"/>
    <w:rsid w:val="00332922"/>
    <w:rsid w:val="00332A6E"/>
    <w:rsid w:val="00332B26"/>
    <w:rsid w:val="00332B80"/>
    <w:rsid w:val="00332DA8"/>
    <w:rsid w:val="00333135"/>
    <w:rsid w:val="003335B7"/>
    <w:rsid w:val="003336F3"/>
    <w:rsid w:val="00333773"/>
    <w:rsid w:val="00333B1D"/>
    <w:rsid w:val="00333D01"/>
    <w:rsid w:val="00333FB4"/>
    <w:rsid w:val="00334014"/>
    <w:rsid w:val="003343AE"/>
    <w:rsid w:val="00334921"/>
    <w:rsid w:val="00334D5C"/>
    <w:rsid w:val="00335007"/>
    <w:rsid w:val="0033503E"/>
    <w:rsid w:val="003350C5"/>
    <w:rsid w:val="003351F0"/>
    <w:rsid w:val="003353A3"/>
    <w:rsid w:val="003354A3"/>
    <w:rsid w:val="003354E9"/>
    <w:rsid w:val="00335626"/>
    <w:rsid w:val="003359FB"/>
    <w:rsid w:val="00335A27"/>
    <w:rsid w:val="00335BC5"/>
    <w:rsid w:val="00335BF2"/>
    <w:rsid w:val="00335CFD"/>
    <w:rsid w:val="00335D56"/>
    <w:rsid w:val="00335EA4"/>
    <w:rsid w:val="00335EC4"/>
    <w:rsid w:val="00335F3A"/>
    <w:rsid w:val="003364AB"/>
    <w:rsid w:val="003365C5"/>
    <w:rsid w:val="003366D1"/>
    <w:rsid w:val="00336777"/>
    <w:rsid w:val="00336C32"/>
    <w:rsid w:val="00337249"/>
    <w:rsid w:val="003375C7"/>
    <w:rsid w:val="003376FD"/>
    <w:rsid w:val="003377A2"/>
    <w:rsid w:val="00337984"/>
    <w:rsid w:val="00337EAF"/>
    <w:rsid w:val="00337F9C"/>
    <w:rsid w:val="00340017"/>
    <w:rsid w:val="003402F6"/>
    <w:rsid w:val="0034030B"/>
    <w:rsid w:val="00340494"/>
    <w:rsid w:val="0034055B"/>
    <w:rsid w:val="00340914"/>
    <w:rsid w:val="00340C67"/>
    <w:rsid w:val="00340D20"/>
    <w:rsid w:val="003411D9"/>
    <w:rsid w:val="003414D3"/>
    <w:rsid w:val="00341A13"/>
    <w:rsid w:val="00341A4D"/>
    <w:rsid w:val="00341C2E"/>
    <w:rsid w:val="00341D45"/>
    <w:rsid w:val="00341EAA"/>
    <w:rsid w:val="00341ED1"/>
    <w:rsid w:val="003420A1"/>
    <w:rsid w:val="003420D7"/>
    <w:rsid w:val="00342229"/>
    <w:rsid w:val="003422F2"/>
    <w:rsid w:val="00342616"/>
    <w:rsid w:val="0034275A"/>
    <w:rsid w:val="00342793"/>
    <w:rsid w:val="00342AA2"/>
    <w:rsid w:val="0034347C"/>
    <w:rsid w:val="003442E8"/>
    <w:rsid w:val="00344352"/>
    <w:rsid w:val="003444CB"/>
    <w:rsid w:val="003444E5"/>
    <w:rsid w:val="0034462A"/>
    <w:rsid w:val="003447E6"/>
    <w:rsid w:val="00344A37"/>
    <w:rsid w:val="00344A7C"/>
    <w:rsid w:val="00344B1D"/>
    <w:rsid w:val="00344C04"/>
    <w:rsid w:val="00344C19"/>
    <w:rsid w:val="00344D8B"/>
    <w:rsid w:val="00344E8E"/>
    <w:rsid w:val="00344EB4"/>
    <w:rsid w:val="003451FC"/>
    <w:rsid w:val="00345409"/>
    <w:rsid w:val="003454B8"/>
    <w:rsid w:val="003454D5"/>
    <w:rsid w:val="0034568E"/>
    <w:rsid w:val="003459E6"/>
    <w:rsid w:val="00345F73"/>
    <w:rsid w:val="003465F0"/>
    <w:rsid w:val="00346713"/>
    <w:rsid w:val="00346D22"/>
    <w:rsid w:val="00346F8A"/>
    <w:rsid w:val="00347299"/>
    <w:rsid w:val="003473E2"/>
    <w:rsid w:val="00347682"/>
    <w:rsid w:val="003479F6"/>
    <w:rsid w:val="00347B37"/>
    <w:rsid w:val="00347B4F"/>
    <w:rsid w:val="00347BF2"/>
    <w:rsid w:val="00347CEB"/>
    <w:rsid w:val="00347D96"/>
    <w:rsid w:val="00347DCD"/>
    <w:rsid w:val="00347E3E"/>
    <w:rsid w:val="00350173"/>
    <w:rsid w:val="00350679"/>
    <w:rsid w:val="00350741"/>
    <w:rsid w:val="003509E9"/>
    <w:rsid w:val="00350F0A"/>
    <w:rsid w:val="00350FBE"/>
    <w:rsid w:val="00351543"/>
    <w:rsid w:val="003515EA"/>
    <w:rsid w:val="003516EA"/>
    <w:rsid w:val="00351714"/>
    <w:rsid w:val="003517CC"/>
    <w:rsid w:val="00351AAF"/>
    <w:rsid w:val="00351C1E"/>
    <w:rsid w:val="00351ED4"/>
    <w:rsid w:val="00351F8F"/>
    <w:rsid w:val="003524EC"/>
    <w:rsid w:val="0035257C"/>
    <w:rsid w:val="00352B8C"/>
    <w:rsid w:val="00352D3E"/>
    <w:rsid w:val="00352D4E"/>
    <w:rsid w:val="00352E30"/>
    <w:rsid w:val="00353443"/>
    <w:rsid w:val="003534F3"/>
    <w:rsid w:val="00353625"/>
    <w:rsid w:val="00353787"/>
    <w:rsid w:val="00353F63"/>
    <w:rsid w:val="003540E3"/>
    <w:rsid w:val="0035443B"/>
    <w:rsid w:val="00354A7E"/>
    <w:rsid w:val="00354F31"/>
    <w:rsid w:val="00355199"/>
    <w:rsid w:val="0035539B"/>
    <w:rsid w:val="00355882"/>
    <w:rsid w:val="003558F8"/>
    <w:rsid w:val="0035599E"/>
    <w:rsid w:val="00355C24"/>
    <w:rsid w:val="00355CAF"/>
    <w:rsid w:val="003560BA"/>
    <w:rsid w:val="00356264"/>
    <w:rsid w:val="003562F5"/>
    <w:rsid w:val="0035639F"/>
    <w:rsid w:val="003568F9"/>
    <w:rsid w:val="00356949"/>
    <w:rsid w:val="00356ADB"/>
    <w:rsid w:val="00356B3C"/>
    <w:rsid w:val="00356C9E"/>
    <w:rsid w:val="00356CC1"/>
    <w:rsid w:val="00356D28"/>
    <w:rsid w:val="00356D7C"/>
    <w:rsid w:val="00356E4C"/>
    <w:rsid w:val="00356F50"/>
    <w:rsid w:val="00356FEF"/>
    <w:rsid w:val="0035704A"/>
    <w:rsid w:val="003570DE"/>
    <w:rsid w:val="00357137"/>
    <w:rsid w:val="00357157"/>
    <w:rsid w:val="00357261"/>
    <w:rsid w:val="00357568"/>
    <w:rsid w:val="00357635"/>
    <w:rsid w:val="0035764A"/>
    <w:rsid w:val="003579AB"/>
    <w:rsid w:val="00357CA2"/>
    <w:rsid w:val="00360064"/>
    <w:rsid w:val="003601AB"/>
    <w:rsid w:val="00360290"/>
    <w:rsid w:val="003608F8"/>
    <w:rsid w:val="00360A3F"/>
    <w:rsid w:val="00360FB4"/>
    <w:rsid w:val="00360FF9"/>
    <w:rsid w:val="00361043"/>
    <w:rsid w:val="003619C8"/>
    <w:rsid w:val="00361A4F"/>
    <w:rsid w:val="00361C12"/>
    <w:rsid w:val="00361D57"/>
    <w:rsid w:val="00361E55"/>
    <w:rsid w:val="00362261"/>
    <w:rsid w:val="00362291"/>
    <w:rsid w:val="003624EA"/>
    <w:rsid w:val="003625A8"/>
    <w:rsid w:val="0036261D"/>
    <w:rsid w:val="00362716"/>
    <w:rsid w:val="00362A27"/>
    <w:rsid w:val="00362A38"/>
    <w:rsid w:val="00362CA3"/>
    <w:rsid w:val="00362CFE"/>
    <w:rsid w:val="00362D5F"/>
    <w:rsid w:val="00363266"/>
    <w:rsid w:val="00363361"/>
    <w:rsid w:val="0036356A"/>
    <w:rsid w:val="0036374A"/>
    <w:rsid w:val="00363764"/>
    <w:rsid w:val="00363895"/>
    <w:rsid w:val="00363A01"/>
    <w:rsid w:val="00363A7F"/>
    <w:rsid w:val="00363B3E"/>
    <w:rsid w:val="00363D62"/>
    <w:rsid w:val="00363EB6"/>
    <w:rsid w:val="0036433F"/>
    <w:rsid w:val="003647B6"/>
    <w:rsid w:val="00364CA4"/>
    <w:rsid w:val="00364E3F"/>
    <w:rsid w:val="00364E50"/>
    <w:rsid w:val="00364E84"/>
    <w:rsid w:val="0036519F"/>
    <w:rsid w:val="00365200"/>
    <w:rsid w:val="00365698"/>
    <w:rsid w:val="003656B8"/>
    <w:rsid w:val="003657E4"/>
    <w:rsid w:val="00365832"/>
    <w:rsid w:val="00365921"/>
    <w:rsid w:val="003659F2"/>
    <w:rsid w:val="00365C88"/>
    <w:rsid w:val="00365CAD"/>
    <w:rsid w:val="00365CAE"/>
    <w:rsid w:val="00365DC2"/>
    <w:rsid w:val="00366312"/>
    <w:rsid w:val="0036656B"/>
    <w:rsid w:val="003665AD"/>
    <w:rsid w:val="00366601"/>
    <w:rsid w:val="003666C8"/>
    <w:rsid w:val="00366970"/>
    <w:rsid w:val="00366B37"/>
    <w:rsid w:val="00366C68"/>
    <w:rsid w:val="00366E6D"/>
    <w:rsid w:val="00366FA4"/>
    <w:rsid w:val="00366FFE"/>
    <w:rsid w:val="003670B0"/>
    <w:rsid w:val="0036725B"/>
    <w:rsid w:val="00367481"/>
    <w:rsid w:val="00367773"/>
    <w:rsid w:val="00367921"/>
    <w:rsid w:val="003679B0"/>
    <w:rsid w:val="00367A32"/>
    <w:rsid w:val="00367A8C"/>
    <w:rsid w:val="00367D86"/>
    <w:rsid w:val="00367F7B"/>
    <w:rsid w:val="0037021F"/>
    <w:rsid w:val="00370704"/>
    <w:rsid w:val="00370C65"/>
    <w:rsid w:val="00370CB8"/>
    <w:rsid w:val="00370E84"/>
    <w:rsid w:val="0037124C"/>
    <w:rsid w:val="003713A2"/>
    <w:rsid w:val="003713AF"/>
    <w:rsid w:val="003713CD"/>
    <w:rsid w:val="003717DD"/>
    <w:rsid w:val="00371855"/>
    <w:rsid w:val="00371CC7"/>
    <w:rsid w:val="00371FF9"/>
    <w:rsid w:val="00372530"/>
    <w:rsid w:val="003725F5"/>
    <w:rsid w:val="003727A6"/>
    <w:rsid w:val="00372BA3"/>
    <w:rsid w:val="00372DAE"/>
    <w:rsid w:val="00372DFF"/>
    <w:rsid w:val="00373423"/>
    <w:rsid w:val="0037358F"/>
    <w:rsid w:val="00373AA5"/>
    <w:rsid w:val="00373C28"/>
    <w:rsid w:val="00373D11"/>
    <w:rsid w:val="00373D70"/>
    <w:rsid w:val="00373D7C"/>
    <w:rsid w:val="00373DC0"/>
    <w:rsid w:val="0037413E"/>
    <w:rsid w:val="00374364"/>
    <w:rsid w:val="0037474E"/>
    <w:rsid w:val="00374AAC"/>
    <w:rsid w:val="00374BE5"/>
    <w:rsid w:val="00374D16"/>
    <w:rsid w:val="003750CA"/>
    <w:rsid w:val="003754D2"/>
    <w:rsid w:val="003754E2"/>
    <w:rsid w:val="0037557D"/>
    <w:rsid w:val="0037582E"/>
    <w:rsid w:val="003758A1"/>
    <w:rsid w:val="00375D12"/>
    <w:rsid w:val="00375E9E"/>
    <w:rsid w:val="00375FF0"/>
    <w:rsid w:val="003767F4"/>
    <w:rsid w:val="00376E60"/>
    <w:rsid w:val="00376F0F"/>
    <w:rsid w:val="00377077"/>
    <w:rsid w:val="0037712C"/>
    <w:rsid w:val="0037728D"/>
    <w:rsid w:val="0037787F"/>
    <w:rsid w:val="003779D8"/>
    <w:rsid w:val="00380338"/>
    <w:rsid w:val="0038066D"/>
    <w:rsid w:val="003807DB"/>
    <w:rsid w:val="003809F9"/>
    <w:rsid w:val="00380A04"/>
    <w:rsid w:val="00380A52"/>
    <w:rsid w:val="00380B4B"/>
    <w:rsid w:val="00380BEA"/>
    <w:rsid w:val="00380C75"/>
    <w:rsid w:val="00380FB5"/>
    <w:rsid w:val="0038103F"/>
    <w:rsid w:val="0038105C"/>
    <w:rsid w:val="003812F6"/>
    <w:rsid w:val="0038136A"/>
    <w:rsid w:val="0038154D"/>
    <w:rsid w:val="00381A21"/>
    <w:rsid w:val="00381E7C"/>
    <w:rsid w:val="00382423"/>
    <w:rsid w:val="003824F6"/>
    <w:rsid w:val="00382711"/>
    <w:rsid w:val="003829A8"/>
    <w:rsid w:val="00382A7F"/>
    <w:rsid w:val="00382D58"/>
    <w:rsid w:val="00382E97"/>
    <w:rsid w:val="00383002"/>
    <w:rsid w:val="0038343D"/>
    <w:rsid w:val="003835D2"/>
    <w:rsid w:val="00383C82"/>
    <w:rsid w:val="00384028"/>
    <w:rsid w:val="00384092"/>
    <w:rsid w:val="0038418C"/>
    <w:rsid w:val="00384497"/>
    <w:rsid w:val="003846D0"/>
    <w:rsid w:val="003846FB"/>
    <w:rsid w:val="00384852"/>
    <w:rsid w:val="0038486B"/>
    <w:rsid w:val="003850B8"/>
    <w:rsid w:val="00385199"/>
    <w:rsid w:val="0038591E"/>
    <w:rsid w:val="00385FC3"/>
    <w:rsid w:val="00386054"/>
    <w:rsid w:val="003860F6"/>
    <w:rsid w:val="0038634D"/>
    <w:rsid w:val="00386525"/>
    <w:rsid w:val="00386856"/>
    <w:rsid w:val="00386A22"/>
    <w:rsid w:val="00386B97"/>
    <w:rsid w:val="00386C7A"/>
    <w:rsid w:val="00387350"/>
    <w:rsid w:val="00387403"/>
    <w:rsid w:val="0038760E"/>
    <w:rsid w:val="00387714"/>
    <w:rsid w:val="003877AA"/>
    <w:rsid w:val="00387856"/>
    <w:rsid w:val="003879AF"/>
    <w:rsid w:val="00387ABD"/>
    <w:rsid w:val="00387C54"/>
    <w:rsid w:val="00387C70"/>
    <w:rsid w:val="00387DBD"/>
    <w:rsid w:val="0039001E"/>
    <w:rsid w:val="00390033"/>
    <w:rsid w:val="00390626"/>
    <w:rsid w:val="00390BF7"/>
    <w:rsid w:val="00390CE9"/>
    <w:rsid w:val="00390DF2"/>
    <w:rsid w:val="0039126E"/>
    <w:rsid w:val="00391466"/>
    <w:rsid w:val="0039170B"/>
    <w:rsid w:val="0039174B"/>
    <w:rsid w:val="003917DF"/>
    <w:rsid w:val="00391A1B"/>
    <w:rsid w:val="00391FFD"/>
    <w:rsid w:val="00392062"/>
    <w:rsid w:val="003923BF"/>
    <w:rsid w:val="0039270E"/>
    <w:rsid w:val="003928AA"/>
    <w:rsid w:val="003929F5"/>
    <w:rsid w:val="00392E06"/>
    <w:rsid w:val="003930AF"/>
    <w:rsid w:val="0039326E"/>
    <w:rsid w:val="00393597"/>
    <w:rsid w:val="00393703"/>
    <w:rsid w:val="00393782"/>
    <w:rsid w:val="00393822"/>
    <w:rsid w:val="00393982"/>
    <w:rsid w:val="00393A89"/>
    <w:rsid w:val="00393BE7"/>
    <w:rsid w:val="00393F10"/>
    <w:rsid w:val="00393FFC"/>
    <w:rsid w:val="0039407B"/>
    <w:rsid w:val="003941C3"/>
    <w:rsid w:val="003942A4"/>
    <w:rsid w:val="00394379"/>
    <w:rsid w:val="003944A3"/>
    <w:rsid w:val="0039456F"/>
    <w:rsid w:val="0039461E"/>
    <w:rsid w:val="0039468E"/>
    <w:rsid w:val="00394A7B"/>
    <w:rsid w:val="00394C3D"/>
    <w:rsid w:val="00394F14"/>
    <w:rsid w:val="00394F37"/>
    <w:rsid w:val="00395101"/>
    <w:rsid w:val="00395183"/>
    <w:rsid w:val="003951E4"/>
    <w:rsid w:val="003952A7"/>
    <w:rsid w:val="00395416"/>
    <w:rsid w:val="00395615"/>
    <w:rsid w:val="003958CC"/>
    <w:rsid w:val="00395962"/>
    <w:rsid w:val="00395B91"/>
    <w:rsid w:val="003960A9"/>
    <w:rsid w:val="0039654A"/>
    <w:rsid w:val="00396652"/>
    <w:rsid w:val="00396809"/>
    <w:rsid w:val="00396839"/>
    <w:rsid w:val="00396B50"/>
    <w:rsid w:val="00396BD2"/>
    <w:rsid w:val="00396E92"/>
    <w:rsid w:val="003970FD"/>
    <w:rsid w:val="003975E4"/>
    <w:rsid w:val="00397775"/>
    <w:rsid w:val="00397904"/>
    <w:rsid w:val="003A0032"/>
    <w:rsid w:val="003A01CC"/>
    <w:rsid w:val="003A027B"/>
    <w:rsid w:val="003A02F9"/>
    <w:rsid w:val="003A03EF"/>
    <w:rsid w:val="003A061D"/>
    <w:rsid w:val="003A065B"/>
    <w:rsid w:val="003A06C1"/>
    <w:rsid w:val="003A07CD"/>
    <w:rsid w:val="003A08B2"/>
    <w:rsid w:val="003A1378"/>
    <w:rsid w:val="003A1402"/>
    <w:rsid w:val="003A1785"/>
    <w:rsid w:val="003A18AF"/>
    <w:rsid w:val="003A1A8D"/>
    <w:rsid w:val="003A1E7E"/>
    <w:rsid w:val="003A1ED9"/>
    <w:rsid w:val="003A25D9"/>
    <w:rsid w:val="003A2610"/>
    <w:rsid w:val="003A265A"/>
    <w:rsid w:val="003A2816"/>
    <w:rsid w:val="003A2B45"/>
    <w:rsid w:val="003A2E29"/>
    <w:rsid w:val="003A2E41"/>
    <w:rsid w:val="003A30CF"/>
    <w:rsid w:val="003A30E6"/>
    <w:rsid w:val="003A3B2F"/>
    <w:rsid w:val="003A3B52"/>
    <w:rsid w:val="003A3C64"/>
    <w:rsid w:val="003A3D01"/>
    <w:rsid w:val="003A3FF9"/>
    <w:rsid w:val="003A413A"/>
    <w:rsid w:val="003A4C1A"/>
    <w:rsid w:val="003A5036"/>
    <w:rsid w:val="003A5863"/>
    <w:rsid w:val="003A5C33"/>
    <w:rsid w:val="003A6121"/>
    <w:rsid w:val="003A6237"/>
    <w:rsid w:val="003A664E"/>
    <w:rsid w:val="003A66FA"/>
    <w:rsid w:val="003A6899"/>
    <w:rsid w:val="003A69A3"/>
    <w:rsid w:val="003A6ACF"/>
    <w:rsid w:val="003A6C75"/>
    <w:rsid w:val="003A6FB1"/>
    <w:rsid w:val="003A713B"/>
    <w:rsid w:val="003A72ED"/>
    <w:rsid w:val="003A7398"/>
    <w:rsid w:val="003A7404"/>
    <w:rsid w:val="003A75AB"/>
    <w:rsid w:val="003A7618"/>
    <w:rsid w:val="003A79D0"/>
    <w:rsid w:val="003B00BD"/>
    <w:rsid w:val="003B0532"/>
    <w:rsid w:val="003B0847"/>
    <w:rsid w:val="003B09F7"/>
    <w:rsid w:val="003B0ACC"/>
    <w:rsid w:val="003B0E84"/>
    <w:rsid w:val="003B1151"/>
    <w:rsid w:val="003B123B"/>
    <w:rsid w:val="003B1294"/>
    <w:rsid w:val="003B12D2"/>
    <w:rsid w:val="003B1382"/>
    <w:rsid w:val="003B15BD"/>
    <w:rsid w:val="003B1975"/>
    <w:rsid w:val="003B1ADF"/>
    <w:rsid w:val="003B1C54"/>
    <w:rsid w:val="003B1F26"/>
    <w:rsid w:val="003B1F45"/>
    <w:rsid w:val="003B22D4"/>
    <w:rsid w:val="003B259B"/>
    <w:rsid w:val="003B26F9"/>
    <w:rsid w:val="003B2813"/>
    <w:rsid w:val="003B2A08"/>
    <w:rsid w:val="003B2CA0"/>
    <w:rsid w:val="003B2DA2"/>
    <w:rsid w:val="003B2EA7"/>
    <w:rsid w:val="003B2EC5"/>
    <w:rsid w:val="003B30E8"/>
    <w:rsid w:val="003B3208"/>
    <w:rsid w:val="003B34B4"/>
    <w:rsid w:val="003B3591"/>
    <w:rsid w:val="003B3603"/>
    <w:rsid w:val="003B3754"/>
    <w:rsid w:val="003B3833"/>
    <w:rsid w:val="003B3A0E"/>
    <w:rsid w:val="003B3A64"/>
    <w:rsid w:val="003B3B18"/>
    <w:rsid w:val="003B3B82"/>
    <w:rsid w:val="003B3E7A"/>
    <w:rsid w:val="003B3E99"/>
    <w:rsid w:val="003B4099"/>
    <w:rsid w:val="003B4300"/>
    <w:rsid w:val="003B433A"/>
    <w:rsid w:val="003B4419"/>
    <w:rsid w:val="003B459A"/>
    <w:rsid w:val="003B46EE"/>
    <w:rsid w:val="003B4706"/>
    <w:rsid w:val="003B5089"/>
    <w:rsid w:val="003B51BA"/>
    <w:rsid w:val="003B52A8"/>
    <w:rsid w:val="003B5435"/>
    <w:rsid w:val="003B59E0"/>
    <w:rsid w:val="003B5B41"/>
    <w:rsid w:val="003B5B85"/>
    <w:rsid w:val="003B5B8D"/>
    <w:rsid w:val="003B5DEA"/>
    <w:rsid w:val="003B5FA8"/>
    <w:rsid w:val="003B6100"/>
    <w:rsid w:val="003B63EB"/>
    <w:rsid w:val="003B6469"/>
    <w:rsid w:val="003B6864"/>
    <w:rsid w:val="003B694F"/>
    <w:rsid w:val="003B6BB4"/>
    <w:rsid w:val="003B6DB5"/>
    <w:rsid w:val="003B6F7C"/>
    <w:rsid w:val="003B70CC"/>
    <w:rsid w:val="003B7207"/>
    <w:rsid w:val="003B7473"/>
    <w:rsid w:val="003B7500"/>
    <w:rsid w:val="003B76E6"/>
    <w:rsid w:val="003B77BD"/>
    <w:rsid w:val="003B7944"/>
    <w:rsid w:val="003B7C5E"/>
    <w:rsid w:val="003B7D8D"/>
    <w:rsid w:val="003B7E34"/>
    <w:rsid w:val="003B7EEC"/>
    <w:rsid w:val="003C043C"/>
    <w:rsid w:val="003C0567"/>
    <w:rsid w:val="003C090B"/>
    <w:rsid w:val="003C0DEE"/>
    <w:rsid w:val="003C0F3B"/>
    <w:rsid w:val="003C100E"/>
    <w:rsid w:val="003C119B"/>
    <w:rsid w:val="003C1540"/>
    <w:rsid w:val="003C15B0"/>
    <w:rsid w:val="003C15F0"/>
    <w:rsid w:val="003C1748"/>
    <w:rsid w:val="003C18DE"/>
    <w:rsid w:val="003C1942"/>
    <w:rsid w:val="003C19D3"/>
    <w:rsid w:val="003C1A28"/>
    <w:rsid w:val="003C1AE7"/>
    <w:rsid w:val="003C1B22"/>
    <w:rsid w:val="003C1B92"/>
    <w:rsid w:val="003C1C54"/>
    <w:rsid w:val="003C1E03"/>
    <w:rsid w:val="003C2751"/>
    <w:rsid w:val="003C2832"/>
    <w:rsid w:val="003C286A"/>
    <w:rsid w:val="003C2A2D"/>
    <w:rsid w:val="003C2B6C"/>
    <w:rsid w:val="003C2BF2"/>
    <w:rsid w:val="003C2C1B"/>
    <w:rsid w:val="003C3072"/>
    <w:rsid w:val="003C30C8"/>
    <w:rsid w:val="003C350C"/>
    <w:rsid w:val="003C368C"/>
    <w:rsid w:val="003C39E1"/>
    <w:rsid w:val="003C3AE9"/>
    <w:rsid w:val="003C3B3B"/>
    <w:rsid w:val="003C3C04"/>
    <w:rsid w:val="003C3D2C"/>
    <w:rsid w:val="003C43D7"/>
    <w:rsid w:val="003C45A6"/>
    <w:rsid w:val="003C4862"/>
    <w:rsid w:val="003C4B5D"/>
    <w:rsid w:val="003C4DA6"/>
    <w:rsid w:val="003C4F0C"/>
    <w:rsid w:val="003C525D"/>
    <w:rsid w:val="003C596A"/>
    <w:rsid w:val="003C5B3A"/>
    <w:rsid w:val="003C5BC3"/>
    <w:rsid w:val="003C5D34"/>
    <w:rsid w:val="003C5E70"/>
    <w:rsid w:val="003C61C4"/>
    <w:rsid w:val="003C63FC"/>
    <w:rsid w:val="003C6511"/>
    <w:rsid w:val="003C6568"/>
    <w:rsid w:val="003C680C"/>
    <w:rsid w:val="003C690C"/>
    <w:rsid w:val="003C6A42"/>
    <w:rsid w:val="003C6ABB"/>
    <w:rsid w:val="003C709A"/>
    <w:rsid w:val="003C7138"/>
    <w:rsid w:val="003C72F9"/>
    <w:rsid w:val="003C7733"/>
    <w:rsid w:val="003C77E2"/>
    <w:rsid w:val="003C7906"/>
    <w:rsid w:val="003C79B0"/>
    <w:rsid w:val="003C7CC3"/>
    <w:rsid w:val="003C7E5C"/>
    <w:rsid w:val="003C7E9B"/>
    <w:rsid w:val="003D062B"/>
    <w:rsid w:val="003D079E"/>
    <w:rsid w:val="003D0A63"/>
    <w:rsid w:val="003D0B24"/>
    <w:rsid w:val="003D0DB2"/>
    <w:rsid w:val="003D0E3A"/>
    <w:rsid w:val="003D0F5E"/>
    <w:rsid w:val="003D0F64"/>
    <w:rsid w:val="003D1001"/>
    <w:rsid w:val="003D128F"/>
    <w:rsid w:val="003D169F"/>
    <w:rsid w:val="003D180B"/>
    <w:rsid w:val="003D2493"/>
    <w:rsid w:val="003D255E"/>
    <w:rsid w:val="003D25C9"/>
    <w:rsid w:val="003D2BB6"/>
    <w:rsid w:val="003D2BDE"/>
    <w:rsid w:val="003D300C"/>
    <w:rsid w:val="003D3179"/>
    <w:rsid w:val="003D323C"/>
    <w:rsid w:val="003D3512"/>
    <w:rsid w:val="003D368C"/>
    <w:rsid w:val="003D36C1"/>
    <w:rsid w:val="003D37A3"/>
    <w:rsid w:val="003D37FE"/>
    <w:rsid w:val="003D3892"/>
    <w:rsid w:val="003D3A88"/>
    <w:rsid w:val="003D3B96"/>
    <w:rsid w:val="003D3EB5"/>
    <w:rsid w:val="003D4089"/>
    <w:rsid w:val="003D41CE"/>
    <w:rsid w:val="003D4295"/>
    <w:rsid w:val="003D43B8"/>
    <w:rsid w:val="003D475B"/>
    <w:rsid w:val="003D4AAC"/>
    <w:rsid w:val="003D4BF8"/>
    <w:rsid w:val="003D4DEB"/>
    <w:rsid w:val="003D50FC"/>
    <w:rsid w:val="003D5102"/>
    <w:rsid w:val="003D51CB"/>
    <w:rsid w:val="003D563D"/>
    <w:rsid w:val="003D581D"/>
    <w:rsid w:val="003D59D0"/>
    <w:rsid w:val="003D5B3B"/>
    <w:rsid w:val="003D5B3D"/>
    <w:rsid w:val="003D5B91"/>
    <w:rsid w:val="003D5F87"/>
    <w:rsid w:val="003D64F0"/>
    <w:rsid w:val="003D6879"/>
    <w:rsid w:val="003D68B9"/>
    <w:rsid w:val="003D6A09"/>
    <w:rsid w:val="003D6B9D"/>
    <w:rsid w:val="003D6CE3"/>
    <w:rsid w:val="003D6D72"/>
    <w:rsid w:val="003D6EB0"/>
    <w:rsid w:val="003D70EC"/>
    <w:rsid w:val="003D72A7"/>
    <w:rsid w:val="003D779B"/>
    <w:rsid w:val="003D7887"/>
    <w:rsid w:val="003D7998"/>
    <w:rsid w:val="003D7A14"/>
    <w:rsid w:val="003D7D2B"/>
    <w:rsid w:val="003E011F"/>
    <w:rsid w:val="003E0146"/>
    <w:rsid w:val="003E014B"/>
    <w:rsid w:val="003E0205"/>
    <w:rsid w:val="003E0440"/>
    <w:rsid w:val="003E050A"/>
    <w:rsid w:val="003E0959"/>
    <w:rsid w:val="003E09A2"/>
    <w:rsid w:val="003E0AE6"/>
    <w:rsid w:val="003E0AEB"/>
    <w:rsid w:val="003E0C92"/>
    <w:rsid w:val="003E0DBC"/>
    <w:rsid w:val="003E1019"/>
    <w:rsid w:val="003E13C7"/>
    <w:rsid w:val="003E142E"/>
    <w:rsid w:val="003E1CBA"/>
    <w:rsid w:val="003E1D9D"/>
    <w:rsid w:val="003E1E1C"/>
    <w:rsid w:val="003E2221"/>
    <w:rsid w:val="003E22BC"/>
    <w:rsid w:val="003E2405"/>
    <w:rsid w:val="003E252E"/>
    <w:rsid w:val="003E2928"/>
    <w:rsid w:val="003E2948"/>
    <w:rsid w:val="003E2FAF"/>
    <w:rsid w:val="003E2FB1"/>
    <w:rsid w:val="003E330D"/>
    <w:rsid w:val="003E38DE"/>
    <w:rsid w:val="003E398B"/>
    <w:rsid w:val="003E3A98"/>
    <w:rsid w:val="003E3FF1"/>
    <w:rsid w:val="003E425A"/>
    <w:rsid w:val="003E4284"/>
    <w:rsid w:val="003E4374"/>
    <w:rsid w:val="003E4760"/>
    <w:rsid w:val="003E47E4"/>
    <w:rsid w:val="003E483F"/>
    <w:rsid w:val="003E49B9"/>
    <w:rsid w:val="003E4EBB"/>
    <w:rsid w:val="003E502F"/>
    <w:rsid w:val="003E518D"/>
    <w:rsid w:val="003E51D1"/>
    <w:rsid w:val="003E543F"/>
    <w:rsid w:val="003E5549"/>
    <w:rsid w:val="003E55DA"/>
    <w:rsid w:val="003E5669"/>
    <w:rsid w:val="003E5A8D"/>
    <w:rsid w:val="003E5AC8"/>
    <w:rsid w:val="003E5EF0"/>
    <w:rsid w:val="003E6329"/>
    <w:rsid w:val="003E63F6"/>
    <w:rsid w:val="003E65BC"/>
    <w:rsid w:val="003E6AB4"/>
    <w:rsid w:val="003E6B88"/>
    <w:rsid w:val="003E6C9B"/>
    <w:rsid w:val="003E6C9F"/>
    <w:rsid w:val="003E71B7"/>
    <w:rsid w:val="003E744C"/>
    <w:rsid w:val="003E7514"/>
    <w:rsid w:val="003E7CFE"/>
    <w:rsid w:val="003E7E69"/>
    <w:rsid w:val="003E7FFB"/>
    <w:rsid w:val="003F020D"/>
    <w:rsid w:val="003F05F9"/>
    <w:rsid w:val="003F0ABF"/>
    <w:rsid w:val="003F0AE7"/>
    <w:rsid w:val="003F0B15"/>
    <w:rsid w:val="003F0BB6"/>
    <w:rsid w:val="003F0CD8"/>
    <w:rsid w:val="003F0D41"/>
    <w:rsid w:val="003F1031"/>
    <w:rsid w:val="003F1518"/>
    <w:rsid w:val="003F157A"/>
    <w:rsid w:val="003F184F"/>
    <w:rsid w:val="003F1E12"/>
    <w:rsid w:val="003F2247"/>
    <w:rsid w:val="003F23AC"/>
    <w:rsid w:val="003F2444"/>
    <w:rsid w:val="003F248C"/>
    <w:rsid w:val="003F2546"/>
    <w:rsid w:val="003F25CC"/>
    <w:rsid w:val="003F25E6"/>
    <w:rsid w:val="003F27B1"/>
    <w:rsid w:val="003F2B9C"/>
    <w:rsid w:val="003F2D0A"/>
    <w:rsid w:val="003F3207"/>
    <w:rsid w:val="003F3220"/>
    <w:rsid w:val="003F332F"/>
    <w:rsid w:val="003F3795"/>
    <w:rsid w:val="003F3C5F"/>
    <w:rsid w:val="003F3CFB"/>
    <w:rsid w:val="003F4B67"/>
    <w:rsid w:val="003F4FCD"/>
    <w:rsid w:val="003F53AE"/>
    <w:rsid w:val="003F5875"/>
    <w:rsid w:val="003F5B9F"/>
    <w:rsid w:val="003F5C95"/>
    <w:rsid w:val="003F5CF5"/>
    <w:rsid w:val="003F64E2"/>
    <w:rsid w:val="003F67F6"/>
    <w:rsid w:val="003F6A2F"/>
    <w:rsid w:val="003F6AE4"/>
    <w:rsid w:val="003F6D59"/>
    <w:rsid w:val="003F71D5"/>
    <w:rsid w:val="003F73C2"/>
    <w:rsid w:val="003F73C8"/>
    <w:rsid w:val="003F74A7"/>
    <w:rsid w:val="003F7703"/>
    <w:rsid w:val="003F7773"/>
    <w:rsid w:val="003F793D"/>
    <w:rsid w:val="003F7CA4"/>
    <w:rsid w:val="003F7E46"/>
    <w:rsid w:val="003F7EAC"/>
    <w:rsid w:val="00400143"/>
    <w:rsid w:val="00400273"/>
    <w:rsid w:val="0040063B"/>
    <w:rsid w:val="00400775"/>
    <w:rsid w:val="004008D0"/>
    <w:rsid w:val="00400A7F"/>
    <w:rsid w:val="00400BE3"/>
    <w:rsid w:val="00400C05"/>
    <w:rsid w:val="00400C2D"/>
    <w:rsid w:val="00400C8D"/>
    <w:rsid w:val="00400E37"/>
    <w:rsid w:val="0040117C"/>
    <w:rsid w:val="004011A2"/>
    <w:rsid w:val="0040140D"/>
    <w:rsid w:val="00401452"/>
    <w:rsid w:val="00401506"/>
    <w:rsid w:val="0040156B"/>
    <w:rsid w:val="00401607"/>
    <w:rsid w:val="00401800"/>
    <w:rsid w:val="0040193B"/>
    <w:rsid w:val="00401961"/>
    <w:rsid w:val="00401976"/>
    <w:rsid w:val="00401A99"/>
    <w:rsid w:val="00401BD0"/>
    <w:rsid w:val="00401D5E"/>
    <w:rsid w:val="00401E7A"/>
    <w:rsid w:val="00401E7B"/>
    <w:rsid w:val="00402195"/>
    <w:rsid w:val="00402481"/>
    <w:rsid w:val="0040251F"/>
    <w:rsid w:val="00402637"/>
    <w:rsid w:val="00402910"/>
    <w:rsid w:val="0040305B"/>
    <w:rsid w:val="00403377"/>
    <w:rsid w:val="004034B7"/>
    <w:rsid w:val="00403930"/>
    <w:rsid w:val="004039DB"/>
    <w:rsid w:val="004039F4"/>
    <w:rsid w:val="00403AC2"/>
    <w:rsid w:val="00404089"/>
    <w:rsid w:val="00404106"/>
    <w:rsid w:val="0040429B"/>
    <w:rsid w:val="004042BB"/>
    <w:rsid w:val="004042E9"/>
    <w:rsid w:val="00404510"/>
    <w:rsid w:val="004045D0"/>
    <w:rsid w:val="0040491E"/>
    <w:rsid w:val="00404B78"/>
    <w:rsid w:val="00404CAF"/>
    <w:rsid w:val="0040519E"/>
    <w:rsid w:val="00405236"/>
    <w:rsid w:val="00405433"/>
    <w:rsid w:val="004054CE"/>
    <w:rsid w:val="0040558F"/>
    <w:rsid w:val="004055E8"/>
    <w:rsid w:val="00405870"/>
    <w:rsid w:val="00405A11"/>
    <w:rsid w:val="00405B06"/>
    <w:rsid w:val="00405BAD"/>
    <w:rsid w:val="00405F76"/>
    <w:rsid w:val="00406036"/>
    <w:rsid w:val="00406278"/>
    <w:rsid w:val="0040661D"/>
    <w:rsid w:val="004068A7"/>
    <w:rsid w:val="00406A4C"/>
    <w:rsid w:val="00406A82"/>
    <w:rsid w:val="00406A88"/>
    <w:rsid w:val="00406C50"/>
    <w:rsid w:val="00406EBB"/>
    <w:rsid w:val="00406F27"/>
    <w:rsid w:val="004071DE"/>
    <w:rsid w:val="004075A4"/>
    <w:rsid w:val="0040767D"/>
    <w:rsid w:val="004077BC"/>
    <w:rsid w:val="00407EA7"/>
    <w:rsid w:val="00407ED2"/>
    <w:rsid w:val="00410157"/>
    <w:rsid w:val="0041031E"/>
    <w:rsid w:val="00410492"/>
    <w:rsid w:val="004104AD"/>
    <w:rsid w:val="004105F2"/>
    <w:rsid w:val="004106A2"/>
    <w:rsid w:val="00410710"/>
    <w:rsid w:val="00410771"/>
    <w:rsid w:val="004108AE"/>
    <w:rsid w:val="004108F0"/>
    <w:rsid w:val="004108FB"/>
    <w:rsid w:val="004109E3"/>
    <w:rsid w:val="00410D7C"/>
    <w:rsid w:val="00411012"/>
    <w:rsid w:val="00411170"/>
    <w:rsid w:val="00411574"/>
    <w:rsid w:val="004118A3"/>
    <w:rsid w:val="004119C7"/>
    <w:rsid w:val="00411A04"/>
    <w:rsid w:val="00411B32"/>
    <w:rsid w:val="00411DE8"/>
    <w:rsid w:val="00411F24"/>
    <w:rsid w:val="004120B6"/>
    <w:rsid w:val="00412281"/>
    <w:rsid w:val="00412365"/>
    <w:rsid w:val="00412673"/>
    <w:rsid w:val="00412791"/>
    <w:rsid w:val="004128F0"/>
    <w:rsid w:val="00412A32"/>
    <w:rsid w:val="00412C42"/>
    <w:rsid w:val="00412D8C"/>
    <w:rsid w:val="00412E6E"/>
    <w:rsid w:val="00412FBB"/>
    <w:rsid w:val="0041315D"/>
    <w:rsid w:val="0041359D"/>
    <w:rsid w:val="0041371C"/>
    <w:rsid w:val="004137F5"/>
    <w:rsid w:val="004141E0"/>
    <w:rsid w:val="004142DC"/>
    <w:rsid w:val="004142E7"/>
    <w:rsid w:val="0041447A"/>
    <w:rsid w:val="00414834"/>
    <w:rsid w:val="0041487B"/>
    <w:rsid w:val="0041489E"/>
    <w:rsid w:val="00414C88"/>
    <w:rsid w:val="00414CA2"/>
    <w:rsid w:val="00414D04"/>
    <w:rsid w:val="00414D1D"/>
    <w:rsid w:val="00414DB4"/>
    <w:rsid w:val="00414F6E"/>
    <w:rsid w:val="0041512B"/>
    <w:rsid w:val="0041538C"/>
    <w:rsid w:val="00415461"/>
    <w:rsid w:val="00415700"/>
    <w:rsid w:val="00415866"/>
    <w:rsid w:val="004159B0"/>
    <w:rsid w:val="00415A54"/>
    <w:rsid w:val="00415A56"/>
    <w:rsid w:val="00415ABF"/>
    <w:rsid w:val="00415B17"/>
    <w:rsid w:val="00415C92"/>
    <w:rsid w:val="00415D15"/>
    <w:rsid w:val="00415D8A"/>
    <w:rsid w:val="00415E7D"/>
    <w:rsid w:val="00415E9F"/>
    <w:rsid w:val="00416660"/>
    <w:rsid w:val="00416809"/>
    <w:rsid w:val="00416829"/>
    <w:rsid w:val="004168D8"/>
    <w:rsid w:val="00416B88"/>
    <w:rsid w:val="00416BE7"/>
    <w:rsid w:val="0041728B"/>
    <w:rsid w:val="00417391"/>
    <w:rsid w:val="00417397"/>
    <w:rsid w:val="00417543"/>
    <w:rsid w:val="004175E8"/>
    <w:rsid w:val="00417670"/>
    <w:rsid w:val="00417881"/>
    <w:rsid w:val="0041FF37"/>
    <w:rsid w:val="004203D3"/>
    <w:rsid w:val="00420791"/>
    <w:rsid w:val="00420832"/>
    <w:rsid w:val="00420B02"/>
    <w:rsid w:val="00420F08"/>
    <w:rsid w:val="00420FD1"/>
    <w:rsid w:val="004212A0"/>
    <w:rsid w:val="0042130D"/>
    <w:rsid w:val="0042157D"/>
    <w:rsid w:val="00421A24"/>
    <w:rsid w:val="0042246E"/>
    <w:rsid w:val="004225E7"/>
    <w:rsid w:val="004229CD"/>
    <w:rsid w:val="00422A34"/>
    <w:rsid w:val="00422C6D"/>
    <w:rsid w:val="00422C95"/>
    <w:rsid w:val="0042357B"/>
    <w:rsid w:val="004235FE"/>
    <w:rsid w:val="0042388D"/>
    <w:rsid w:val="00423B89"/>
    <w:rsid w:val="00423E16"/>
    <w:rsid w:val="0042400C"/>
    <w:rsid w:val="004241C9"/>
    <w:rsid w:val="004243A1"/>
    <w:rsid w:val="004243C2"/>
    <w:rsid w:val="0042443E"/>
    <w:rsid w:val="00424D1D"/>
    <w:rsid w:val="00424EE2"/>
    <w:rsid w:val="004250AF"/>
    <w:rsid w:val="004250BF"/>
    <w:rsid w:val="0042519C"/>
    <w:rsid w:val="004257C8"/>
    <w:rsid w:val="0042588D"/>
    <w:rsid w:val="00425ADF"/>
    <w:rsid w:val="004261B3"/>
    <w:rsid w:val="004263EB"/>
    <w:rsid w:val="00426435"/>
    <w:rsid w:val="00426480"/>
    <w:rsid w:val="004264CA"/>
    <w:rsid w:val="004265B6"/>
    <w:rsid w:val="00426AAF"/>
    <w:rsid w:val="00426FDE"/>
    <w:rsid w:val="004272DD"/>
    <w:rsid w:val="004273C8"/>
    <w:rsid w:val="0042769D"/>
    <w:rsid w:val="0042794C"/>
    <w:rsid w:val="00427C4D"/>
    <w:rsid w:val="00427EF8"/>
    <w:rsid w:val="00427FAB"/>
    <w:rsid w:val="004303EF"/>
    <w:rsid w:val="00430808"/>
    <w:rsid w:val="004309BE"/>
    <w:rsid w:val="00430CC2"/>
    <w:rsid w:val="00430D53"/>
    <w:rsid w:val="00430DF6"/>
    <w:rsid w:val="00431187"/>
    <w:rsid w:val="0043166A"/>
    <w:rsid w:val="00431852"/>
    <w:rsid w:val="00431855"/>
    <w:rsid w:val="00431D0E"/>
    <w:rsid w:val="00431DC8"/>
    <w:rsid w:val="00431F3C"/>
    <w:rsid w:val="00432711"/>
    <w:rsid w:val="00432AE5"/>
    <w:rsid w:val="00432B4B"/>
    <w:rsid w:val="00432CE2"/>
    <w:rsid w:val="00432E41"/>
    <w:rsid w:val="00432ED7"/>
    <w:rsid w:val="00432F8F"/>
    <w:rsid w:val="0043386E"/>
    <w:rsid w:val="004338F9"/>
    <w:rsid w:val="00433B64"/>
    <w:rsid w:val="00433C4C"/>
    <w:rsid w:val="00433E58"/>
    <w:rsid w:val="00433F0F"/>
    <w:rsid w:val="00434103"/>
    <w:rsid w:val="00434859"/>
    <w:rsid w:val="00434E72"/>
    <w:rsid w:val="00434E93"/>
    <w:rsid w:val="00434F04"/>
    <w:rsid w:val="0043525C"/>
    <w:rsid w:val="004355FC"/>
    <w:rsid w:val="004356A6"/>
    <w:rsid w:val="004357AA"/>
    <w:rsid w:val="004357D6"/>
    <w:rsid w:val="00435978"/>
    <w:rsid w:val="00435A19"/>
    <w:rsid w:val="00435C76"/>
    <w:rsid w:val="00435F41"/>
    <w:rsid w:val="0043624D"/>
    <w:rsid w:val="004362C5"/>
    <w:rsid w:val="00436545"/>
    <w:rsid w:val="0043656C"/>
    <w:rsid w:val="004365A8"/>
    <w:rsid w:val="0043674B"/>
    <w:rsid w:val="00436AD1"/>
    <w:rsid w:val="00436AEA"/>
    <w:rsid w:val="00436AFF"/>
    <w:rsid w:val="00436C7C"/>
    <w:rsid w:val="00436D6F"/>
    <w:rsid w:val="00436F84"/>
    <w:rsid w:val="004374C8"/>
    <w:rsid w:val="00437E60"/>
    <w:rsid w:val="00440234"/>
    <w:rsid w:val="0044030D"/>
    <w:rsid w:val="004403B1"/>
    <w:rsid w:val="004404A3"/>
    <w:rsid w:val="004405FF"/>
    <w:rsid w:val="00440642"/>
    <w:rsid w:val="00440B61"/>
    <w:rsid w:val="00440C34"/>
    <w:rsid w:val="00440D28"/>
    <w:rsid w:val="00440E19"/>
    <w:rsid w:val="00440FA0"/>
    <w:rsid w:val="00441756"/>
    <w:rsid w:val="0044175C"/>
    <w:rsid w:val="00441895"/>
    <w:rsid w:val="00441B08"/>
    <w:rsid w:val="0044255A"/>
    <w:rsid w:val="004428A0"/>
    <w:rsid w:val="00442910"/>
    <w:rsid w:val="00442BC0"/>
    <w:rsid w:val="00442CE7"/>
    <w:rsid w:val="00442E0E"/>
    <w:rsid w:val="00443138"/>
    <w:rsid w:val="0044361E"/>
    <w:rsid w:val="004438E3"/>
    <w:rsid w:val="0044396A"/>
    <w:rsid w:val="00443AB0"/>
    <w:rsid w:val="00443F07"/>
    <w:rsid w:val="00443F0A"/>
    <w:rsid w:val="00443FF9"/>
    <w:rsid w:val="0044420D"/>
    <w:rsid w:val="004445D6"/>
    <w:rsid w:val="004446D9"/>
    <w:rsid w:val="00444958"/>
    <w:rsid w:val="00444A46"/>
    <w:rsid w:val="00444B1D"/>
    <w:rsid w:val="00444D0D"/>
    <w:rsid w:val="00444F29"/>
    <w:rsid w:val="00445074"/>
    <w:rsid w:val="0044523F"/>
    <w:rsid w:val="00445696"/>
    <w:rsid w:val="004457B3"/>
    <w:rsid w:val="004457EE"/>
    <w:rsid w:val="004458FE"/>
    <w:rsid w:val="004459E0"/>
    <w:rsid w:val="004459E7"/>
    <w:rsid w:val="00445ACA"/>
    <w:rsid w:val="00445E43"/>
    <w:rsid w:val="00445E58"/>
    <w:rsid w:val="00445F1B"/>
    <w:rsid w:val="0044612D"/>
    <w:rsid w:val="004464D0"/>
    <w:rsid w:val="004466FF"/>
    <w:rsid w:val="00446A74"/>
    <w:rsid w:val="00446C0C"/>
    <w:rsid w:val="00446EE6"/>
    <w:rsid w:val="0044719F"/>
    <w:rsid w:val="0044732F"/>
    <w:rsid w:val="00447481"/>
    <w:rsid w:val="004474B7"/>
    <w:rsid w:val="00447544"/>
    <w:rsid w:val="0044764A"/>
    <w:rsid w:val="004478EB"/>
    <w:rsid w:val="00447A84"/>
    <w:rsid w:val="00447AF9"/>
    <w:rsid w:val="00447D41"/>
    <w:rsid w:val="00447E03"/>
    <w:rsid w:val="00450581"/>
    <w:rsid w:val="004509F7"/>
    <w:rsid w:val="00450C5F"/>
    <w:rsid w:val="00450D7E"/>
    <w:rsid w:val="004510AE"/>
    <w:rsid w:val="00451305"/>
    <w:rsid w:val="004514A8"/>
    <w:rsid w:val="004514FE"/>
    <w:rsid w:val="004515A1"/>
    <w:rsid w:val="00451B45"/>
    <w:rsid w:val="00452551"/>
    <w:rsid w:val="00452574"/>
    <w:rsid w:val="0045268A"/>
    <w:rsid w:val="004526D7"/>
    <w:rsid w:val="004527C2"/>
    <w:rsid w:val="00452D3F"/>
    <w:rsid w:val="00452DE1"/>
    <w:rsid w:val="0045349F"/>
    <w:rsid w:val="00453659"/>
    <w:rsid w:val="00453783"/>
    <w:rsid w:val="00453837"/>
    <w:rsid w:val="00453A9C"/>
    <w:rsid w:val="00453E7A"/>
    <w:rsid w:val="00453E81"/>
    <w:rsid w:val="00453F31"/>
    <w:rsid w:val="004540EB"/>
    <w:rsid w:val="004543FD"/>
    <w:rsid w:val="0045466F"/>
    <w:rsid w:val="00454734"/>
    <w:rsid w:val="00454762"/>
    <w:rsid w:val="004548FF"/>
    <w:rsid w:val="00454915"/>
    <w:rsid w:val="0045494B"/>
    <w:rsid w:val="00454A52"/>
    <w:rsid w:val="00454A86"/>
    <w:rsid w:val="00454B73"/>
    <w:rsid w:val="00454B84"/>
    <w:rsid w:val="00454C20"/>
    <w:rsid w:val="00454CB6"/>
    <w:rsid w:val="00454DB9"/>
    <w:rsid w:val="00454EE3"/>
    <w:rsid w:val="00455066"/>
    <w:rsid w:val="00455C3F"/>
    <w:rsid w:val="00455C8A"/>
    <w:rsid w:val="00455DDC"/>
    <w:rsid w:val="004562B1"/>
    <w:rsid w:val="00456510"/>
    <w:rsid w:val="00456613"/>
    <w:rsid w:val="0045688D"/>
    <w:rsid w:val="00456D2E"/>
    <w:rsid w:val="00456E31"/>
    <w:rsid w:val="00456E7A"/>
    <w:rsid w:val="00456F1E"/>
    <w:rsid w:val="00456FB0"/>
    <w:rsid w:val="004570CC"/>
    <w:rsid w:val="00457284"/>
    <w:rsid w:val="00457371"/>
    <w:rsid w:val="00457CCD"/>
    <w:rsid w:val="00457E14"/>
    <w:rsid w:val="00457E56"/>
    <w:rsid w:val="00457F34"/>
    <w:rsid w:val="0046061E"/>
    <w:rsid w:val="00460992"/>
    <w:rsid w:val="00460B5D"/>
    <w:rsid w:val="00461357"/>
    <w:rsid w:val="004613AB"/>
    <w:rsid w:val="0046163D"/>
    <w:rsid w:val="00461674"/>
    <w:rsid w:val="00461707"/>
    <w:rsid w:val="00461779"/>
    <w:rsid w:val="00461964"/>
    <w:rsid w:val="004620CF"/>
    <w:rsid w:val="004620EE"/>
    <w:rsid w:val="0046221D"/>
    <w:rsid w:val="00462310"/>
    <w:rsid w:val="00462490"/>
    <w:rsid w:val="0046277A"/>
    <w:rsid w:val="004629DF"/>
    <w:rsid w:val="00462C4F"/>
    <w:rsid w:val="00462D51"/>
    <w:rsid w:val="00462DF9"/>
    <w:rsid w:val="004636D2"/>
    <w:rsid w:val="004639F5"/>
    <w:rsid w:val="00463A43"/>
    <w:rsid w:val="00463A7F"/>
    <w:rsid w:val="00463D59"/>
    <w:rsid w:val="00463DAE"/>
    <w:rsid w:val="00463FAC"/>
    <w:rsid w:val="004640E0"/>
    <w:rsid w:val="00464128"/>
    <w:rsid w:val="00464386"/>
    <w:rsid w:val="00464550"/>
    <w:rsid w:val="00464607"/>
    <w:rsid w:val="00464618"/>
    <w:rsid w:val="00464B41"/>
    <w:rsid w:val="00464C25"/>
    <w:rsid w:val="004650F6"/>
    <w:rsid w:val="004651B1"/>
    <w:rsid w:val="004656A3"/>
    <w:rsid w:val="00465856"/>
    <w:rsid w:val="0046595A"/>
    <w:rsid w:val="00465B4D"/>
    <w:rsid w:val="00465F47"/>
    <w:rsid w:val="0046618C"/>
    <w:rsid w:val="00466223"/>
    <w:rsid w:val="00466318"/>
    <w:rsid w:val="004664BC"/>
    <w:rsid w:val="00466BF0"/>
    <w:rsid w:val="00466D31"/>
    <w:rsid w:val="004672EE"/>
    <w:rsid w:val="004675DC"/>
    <w:rsid w:val="004678C6"/>
    <w:rsid w:val="00467A6D"/>
    <w:rsid w:val="00467D2C"/>
    <w:rsid w:val="00467D51"/>
    <w:rsid w:val="00467FE9"/>
    <w:rsid w:val="00470019"/>
    <w:rsid w:val="004700D2"/>
    <w:rsid w:val="004701BD"/>
    <w:rsid w:val="00470260"/>
    <w:rsid w:val="004704B5"/>
    <w:rsid w:val="004705D5"/>
    <w:rsid w:val="0047077D"/>
    <w:rsid w:val="004708FB"/>
    <w:rsid w:val="00470B6C"/>
    <w:rsid w:val="00470CBF"/>
    <w:rsid w:val="00470ED6"/>
    <w:rsid w:val="00470FC8"/>
    <w:rsid w:val="004715ED"/>
    <w:rsid w:val="0047167C"/>
    <w:rsid w:val="0047168B"/>
    <w:rsid w:val="0047179A"/>
    <w:rsid w:val="0047199D"/>
    <w:rsid w:val="00471D6F"/>
    <w:rsid w:val="00471F90"/>
    <w:rsid w:val="0047207E"/>
    <w:rsid w:val="00472098"/>
    <w:rsid w:val="004721A2"/>
    <w:rsid w:val="00472624"/>
    <w:rsid w:val="004729D7"/>
    <w:rsid w:val="00472AD3"/>
    <w:rsid w:val="00472D27"/>
    <w:rsid w:val="00472E94"/>
    <w:rsid w:val="00472F4A"/>
    <w:rsid w:val="00473421"/>
    <w:rsid w:val="00473AE7"/>
    <w:rsid w:val="00473C12"/>
    <w:rsid w:val="00473D6B"/>
    <w:rsid w:val="00474177"/>
    <w:rsid w:val="004744AE"/>
    <w:rsid w:val="004746EB"/>
    <w:rsid w:val="00474743"/>
    <w:rsid w:val="00474862"/>
    <w:rsid w:val="00474E3B"/>
    <w:rsid w:val="0047513C"/>
    <w:rsid w:val="00475327"/>
    <w:rsid w:val="00475467"/>
    <w:rsid w:val="00475801"/>
    <w:rsid w:val="0047596B"/>
    <w:rsid w:val="00475E06"/>
    <w:rsid w:val="00475F68"/>
    <w:rsid w:val="00475FBD"/>
    <w:rsid w:val="004765CA"/>
    <w:rsid w:val="00476830"/>
    <w:rsid w:val="00476C29"/>
    <w:rsid w:val="00477394"/>
    <w:rsid w:val="004774A8"/>
    <w:rsid w:val="0047786C"/>
    <w:rsid w:val="00477CF8"/>
    <w:rsid w:val="00477E56"/>
    <w:rsid w:val="00480325"/>
    <w:rsid w:val="00480407"/>
    <w:rsid w:val="004805CE"/>
    <w:rsid w:val="0048067D"/>
    <w:rsid w:val="004807B1"/>
    <w:rsid w:val="0048097A"/>
    <w:rsid w:val="00480BC0"/>
    <w:rsid w:val="00480C6E"/>
    <w:rsid w:val="00480FF2"/>
    <w:rsid w:val="004812BE"/>
    <w:rsid w:val="00481302"/>
    <w:rsid w:val="00481306"/>
    <w:rsid w:val="00481539"/>
    <w:rsid w:val="004819AE"/>
    <w:rsid w:val="004819ED"/>
    <w:rsid w:val="00481CC4"/>
    <w:rsid w:val="00481D42"/>
    <w:rsid w:val="00481DAD"/>
    <w:rsid w:val="0048205A"/>
    <w:rsid w:val="0048222E"/>
    <w:rsid w:val="0048251C"/>
    <w:rsid w:val="004827F3"/>
    <w:rsid w:val="00482AE1"/>
    <w:rsid w:val="00483537"/>
    <w:rsid w:val="0048366F"/>
    <w:rsid w:val="00483A6E"/>
    <w:rsid w:val="00483AA0"/>
    <w:rsid w:val="00483B87"/>
    <w:rsid w:val="00483B9F"/>
    <w:rsid w:val="00483DB0"/>
    <w:rsid w:val="00483EA5"/>
    <w:rsid w:val="00484090"/>
    <w:rsid w:val="004841BD"/>
    <w:rsid w:val="00484549"/>
    <w:rsid w:val="00484592"/>
    <w:rsid w:val="004846B4"/>
    <w:rsid w:val="00484912"/>
    <w:rsid w:val="00484E66"/>
    <w:rsid w:val="004850B2"/>
    <w:rsid w:val="004850E3"/>
    <w:rsid w:val="0048527E"/>
    <w:rsid w:val="004853CA"/>
    <w:rsid w:val="004853DE"/>
    <w:rsid w:val="00485429"/>
    <w:rsid w:val="004855E5"/>
    <w:rsid w:val="00485663"/>
    <w:rsid w:val="00485811"/>
    <w:rsid w:val="00485843"/>
    <w:rsid w:val="00485ACA"/>
    <w:rsid w:val="00485C90"/>
    <w:rsid w:val="00485DC0"/>
    <w:rsid w:val="00485F81"/>
    <w:rsid w:val="00486298"/>
    <w:rsid w:val="004863EC"/>
    <w:rsid w:val="00486763"/>
    <w:rsid w:val="004868B2"/>
    <w:rsid w:val="00486A8D"/>
    <w:rsid w:val="00486AEC"/>
    <w:rsid w:val="00486C9E"/>
    <w:rsid w:val="00486DF8"/>
    <w:rsid w:val="00486F89"/>
    <w:rsid w:val="0048700B"/>
    <w:rsid w:val="00487278"/>
    <w:rsid w:val="00487424"/>
    <w:rsid w:val="00487874"/>
    <w:rsid w:val="00487BAA"/>
    <w:rsid w:val="00487BC1"/>
    <w:rsid w:val="00487BED"/>
    <w:rsid w:val="00487F1B"/>
    <w:rsid w:val="00487F91"/>
    <w:rsid w:val="00487FA6"/>
    <w:rsid w:val="004904D4"/>
    <w:rsid w:val="004904EC"/>
    <w:rsid w:val="004905A6"/>
    <w:rsid w:val="00490846"/>
    <w:rsid w:val="0049090F"/>
    <w:rsid w:val="00490DBC"/>
    <w:rsid w:val="00491384"/>
    <w:rsid w:val="00491426"/>
    <w:rsid w:val="00491467"/>
    <w:rsid w:val="00491821"/>
    <w:rsid w:val="00491878"/>
    <w:rsid w:val="00491898"/>
    <w:rsid w:val="00491B52"/>
    <w:rsid w:val="00491E3E"/>
    <w:rsid w:val="00491F2D"/>
    <w:rsid w:val="0049238E"/>
    <w:rsid w:val="004923BE"/>
    <w:rsid w:val="004923C2"/>
    <w:rsid w:val="00492460"/>
    <w:rsid w:val="00492797"/>
    <w:rsid w:val="00492A95"/>
    <w:rsid w:val="00492B72"/>
    <w:rsid w:val="00492FAB"/>
    <w:rsid w:val="0049306C"/>
    <w:rsid w:val="004930A3"/>
    <w:rsid w:val="004934FF"/>
    <w:rsid w:val="00493678"/>
    <w:rsid w:val="00493AC9"/>
    <w:rsid w:val="00493B34"/>
    <w:rsid w:val="00493D56"/>
    <w:rsid w:val="004940F5"/>
    <w:rsid w:val="00494128"/>
    <w:rsid w:val="00494208"/>
    <w:rsid w:val="004946D9"/>
    <w:rsid w:val="004949A7"/>
    <w:rsid w:val="00494B1C"/>
    <w:rsid w:val="00494C16"/>
    <w:rsid w:val="00495264"/>
    <w:rsid w:val="00495443"/>
    <w:rsid w:val="00495444"/>
    <w:rsid w:val="00495490"/>
    <w:rsid w:val="004956ED"/>
    <w:rsid w:val="004959F0"/>
    <w:rsid w:val="00495C52"/>
    <w:rsid w:val="00495E29"/>
    <w:rsid w:val="00495FE9"/>
    <w:rsid w:val="004961DF"/>
    <w:rsid w:val="0049647D"/>
    <w:rsid w:val="00496675"/>
    <w:rsid w:val="004968A8"/>
    <w:rsid w:val="00496ACA"/>
    <w:rsid w:val="00496B4B"/>
    <w:rsid w:val="00496B53"/>
    <w:rsid w:val="00496C49"/>
    <w:rsid w:val="00496D7F"/>
    <w:rsid w:val="0049746A"/>
    <w:rsid w:val="004978ED"/>
    <w:rsid w:val="0049791B"/>
    <w:rsid w:val="00497988"/>
    <w:rsid w:val="00497C38"/>
    <w:rsid w:val="00497E3A"/>
    <w:rsid w:val="00497E67"/>
    <w:rsid w:val="00497F07"/>
    <w:rsid w:val="00497F5B"/>
    <w:rsid w:val="004A0306"/>
    <w:rsid w:val="004A0651"/>
    <w:rsid w:val="004A0792"/>
    <w:rsid w:val="004A087F"/>
    <w:rsid w:val="004A0AFD"/>
    <w:rsid w:val="004A0B99"/>
    <w:rsid w:val="004A0D1C"/>
    <w:rsid w:val="004A128B"/>
    <w:rsid w:val="004A1328"/>
    <w:rsid w:val="004A1457"/>
    <w:rsid w:val="004A16C6"/>
    <w:rsid w:val="004A1711"/>
    <w:rsid w:val="004A1785"/>
    <w:rsid w:val="004A19A0"/>
    <w:rsid w:val="004A1E3A"/>
    <w:rsid w:val="004A24F7"/>
    <w:rsid w:val="004A2A28"/>
    <w:rsid w:val="004A2C1A"/>
    <w:rsid w:val="004A2C6A"/>
    <w:rsid w:val="004A2CE3"/>
    <w:rsid w:val="004A2E99"/>
    <w:rsid w:val="004A36D5"/>
    <w:rsid w:val="004A37DF"/>
    <w:rsid w:val="004A3927"/>
    <w:rsid w:val="004A3ACB"/>
    <w:rsid w:val="004A40DC"/>
    <w:rsid w:val="004A4258"/>
    <w:rsid w:val="004A443F"/>
    <w:rsid w:val="004A48A4"/>
    <w:rsid w:val="004A4997"/>
    <w:rsid w:val="004A49AE"/>
    <w:rsid w:val="004A49D3"/>
    <w:rsid w:val="004A4A80"/>
    <w:rsid w:val="004A4CE6"/>
    <w:rsid w:val="004A4F04"/>
    <w:rsid w:val="004A5105"/>
    <w:rsid w:val="004A5153"/>
    <w:rsid w:val="004A53D6"/>
    <w:rsid w:val="004A54BF"/>
    <w:rsid w:val="004A5A37"/>
    <w:rsid w:val="004A5B02"/>
    <w:rsid w:val="004A5D50"/>
    <w:rsid w:val="004A5F26"/>
    <w:rsid w:val="004A60C7"/>
    <w:rsid w:val="004A62B2"/>
    <w:rsid w:val="004A6587"/>
    <w:rsid w:val="004A68B9"/>
    <w:rsid w:val="004A6969"/>
    <w:rsid w:val="004A6AD8"/>
    <w:rsid w:val="004A6B37"/>
    <w:rsid w:val="004A7035"/>
    <w:rsid w:val="004A73E7"/>
    <w:rsid w:val="004A7446"/>
    <w:rsid w:val="004A74A9"/>
    <w:rsid w:val="004A7696"/>
    <w:rsid w:val="004A76E3"/>
    <w:rsid w:val="004A7A33"/>
    <w:rsid w:val="004A7A96"/>
    <w:rsid w:val="004A7BCC"/>
    <w:rsid w:val="004A7C58"/>
    <w:rsid w:val="004A7D50"/>
    <w:rsid w:val="004A7DCA"/>
    <w:rsid w:val="004A7F29"/>
    <w:rsid w:val="004B060D"/>
    <w:rsid w:val="004B0C43"/>
    <w:rsid w:val="004B13EB"/>
    <w:rsid w:val="004B1639"/>
    <w:rsid w:val="004B1753"/>
    <w:rsid w:val="004B1ABF"/>
    <w:rsid w:val="004B1D25"/>
    <w:rsid w:val="004B1D55"/>
    <w:rsid w:val="004B20FB"/>
    <w:rsid w:val="004B2208"/>
    <w:rsid w:val="004B25DD"/>
    <w:rsid w:val="004B28A9"/>
    <w:rsid w:val="004B2A1A"/>
    <w:rsid w:val="004B2A25"/>
    <w:rsid w:val="004B2B11"/>
    <w:rsid w:val="004B2BB3"/>
    <w:rsid w:val="004B2D21"/>
    <w:rsid w:val="004B2D3B"/>
    <w:rsid w:val="004B330D"/>
    <w:rsid w:val="004B3400"/>
    <w:rsid w:val="004B3489"/>
    <w:rsid w:val="004B3723"/>
    <w:rsid w:val="004B3766"/>
    <w:rsid w:val="004B376C"/>
    <w:rsid w:val="004B3803"/>
    <w:rsid w:val="004B3912"/>
    <w:rsid w:val="004B3962"/>
    <w:rsid w:val="004B3AF1"/>
    <w:rsid w:val="004B3B16"/>
    <w:rsid w:val="004B3C5B"/>
    <w:rsid w:val="004B3C78"/>
    <w:rsid w:val="004B3C93"/>
    <w:rsid w:val="004B46DE"/>
    <w:rsid w:val="004B4737"/>
    <w:rsid w:val="004B4AAF"/>
    <w:rsid w:val="004B4B5E"/>
    <w:rsid w:val="004B4F5D"/>
    <w:rsid w:val="004B51B9"/>
    <w:rsid w:val="004B5220"/>
    <w:rsid w:val="004B52C7"/>
    <w:rsid w:val="004B55C6"/>
    <w:rsid w:val="004B5693"/>
    <w:rsid w:val="004B5696"/>
    <w:rsid w:val="004B5737"/>
    <w:rsid w:val="004B5B9A"/>
    <w:rsid w:val="004B6081"/>
    <w:rsid w:val="004B6118"/>
    <w:rsid w:val="004B640A"/>
    <w:rsid w:val="004B692B"/>
    <w:rsid w:val="004B6D75"/>
    <w:rsid w:val="004B6E76"/>
    <w:rsid w:val="004B6FF7"/>
    <w:rsid w:val="004B7015"/>
    <w:rsid w:val="004B71FB"/>
    <w:rsid w:val="004B7223"/>
    <w:rsid w:val="004B763D"/>
    <w:rsid w:val="004B7758"/>
    <w:rsid w:val="004B7888"/>
    <w:rsid w:val="004B78F1"/>
    <w:rsid w:val="004B7939"/>
    <w:rsid w:val="004B796F"/>
    <w:rsid w:val="004B7A63"/>
    <w:rsid w:val="004B7B57"/>
    <w:rsid w:val="004C02F1"/>
    <w:rsid w:val="004C0798"/>
    <w:rsid w:val="004C0B81"/>
    <w:rsid w:val="004C0C41"/>
    <w:rsid w:val="004C0CC8"/>
    <w:rsid w:val="004C0F31"/>
    <w:rsid w:val="004C12C7"/>
    <w:rsid w:val="004C17FD"/>
    <w:rsid w:val="004C1BE6"/>
    <w:rsid w:val="004C1CEE"/>
    <w:rsid w:val="004C1D55"/>
    <w:rsid w:val="004C1EC3"/>
    <w:rsid w:val="004C2030"/>
    <w:rsid w:val="004C21A2"/>
    <w:rsid w:val="004C2252"/>
    <w:rsid w:val="004C27E6"/>
    <w:rsid w:val="004C290D"/>
    <w:rsid w:val="004C2B73"/>
    <w:rsid w:val="004C2C7E"/>
    <w:rsid w:val="004C2D7B"/>
    <w:rsid w:val="004C3050"/>
    <w:rsid w:val="004C31C5"/>
    <w:rsid w:val="004C32FB"/>
    <w:rsid w:val="004C33E1"/>
    <w:rsid w:val="004C34A8"/>
    <w:rsid w:val="004C3616"/>
    <w:rsid w:val="004C3682"/>
    <w:rsid w:val="004C3742"/>
    <w:rsid w:val="004C3762"/>
    <w:rsid w:val="004C37EA"/>
    <w:rsid w:val="004C3981"/>
    <w:rsid w:val="004C3C15"/>
    <w:rsid w:val="004C4001"/>
    <w:rsid w:val="004C4139"/>
    <w:rsid w:val="004C4304"/>
    <w:rsid w:val="004C4388"/>
    <w:rsid w:val="004C43A8"/>
    <w:rsid w:val="004C43FA"/>
    <w:rsid w:val="004C445B"/>
    <w:rsid w:val="004C45EC"/>
    <w:rsid w:val="004C469B"/>
    <w:rsid w:val="004C4872"/>
    <w:rsid w:val="004C4964"/>
    <w:rsid w:val="004C4976"/>
    <w:rsid w:val="004C4C3A"/>
    <w:rsid w:val="004C4FD0"/>
    <w:rsid w:val="004C5060"/>
    <w:rsid w:val="004C5091"/>
    <w:rsid w:val="004C50F4"/>
    <w:rsid w:val="004C51A2"/>
    <w:rsid w:val="004C5B03"/>
    <w:rsid w:val="004C5BC0"/>
    <w:rsid w:val="004C5C38"/>
    <w:rsid w:val="004C5D86"/>
    <w:rsid w:val="004C5EAD"/>
    <w:rsid w:val="004C5FF9"/>
    <w:rsid w:val="004C6114"/>
    <w:rsid w:val="004C614F"/>
    <w:rsid w:val="004C634A"/>
    <w:rsid w:val="004C6621"/>
    <w:rsid w:val="004C6BB9"/>
    <w:rsid w:val="004C6ECF"/>
    <w:rsid w:val="004C6F46"/>
    <w:rsid w:val="004C6F86"/>
    <w:rsid w:val="004C7128"/>
    <w:rsid w:val="004C7830"/>
    <w:rsid w:val="004C7A20"/>
    <w:rsid w:val="004C7B2F"/>
    <w:rsid w:val="004C7BC3"/>
    <w:rsid w:val="004C7C49"/>
    <w:rsid w:val="004C7FAE"/>
    <w:rsid w:val="004D01C1"/>
    <w:rsid w:val="004D05EC"/>
    <w:rsid w:val="004D0670"/>
    <w:rsid w:val="004D06C6"/>
    <w:rsid w:val="004D0B49"/>
    <w:rsid w:val="004D0CAD"/>
    <w:rsid w:val="004D0CF8"/>
    <w:rsid w:val="004D0E2A"/>
    <w:rsid w:val="004D1210"/>
    <w:rsid w:val="004D1239"/>
    <w:rsid w:val="004D13E2"/>
    <w:rsid w:val="004D17C5"/>
    <w:rsid w:val="004D19EC"/>
    <w:rsid w:val="004D1A77"/>
    <w:rsid w:val="004D1B14"/>
    <w:rsid w:val="004D1E32"/>
    <w:rsid w:val="004D21DB"/>
    <w:rsid w:val="004D2576"/>
    <w:rsid w:val="004D2868"/>
    <w:rsid w:val="004D2872"/>
    <w:rsid w:val="004D2A78"/>
    <w:rsid w:val="004D2B67"/>
    <w:rsid w:val="004D2E4C"/>
    <w:rsid w:val="004D34CA"/>
    <w:rsid w:val="004D354D"/>
    <w:rsid w:val="004D3D00"/>
    <w:rsid w:val="004D3D68"/>
    <w:rsid w:val="004D3D6B"/>
    <w:rsid w:val="004D3E57"/>
    <w:rsid w:val="004D4013"/>
    <w:rsid w:val="004D427B"/>
    <w:rsid w:val="004D459F"/>
    <w:rsid w:val="004D46BB"/>
    <w:rsid w:val="004D47C7"/>
    <w:rsid w:val="004D4D65"/>
    <w:rsid w:val="004D4D7A"/>
    <w:rsid w:val="004D4E4A"/>
    <w:rsid w:val="004D5070"/>
    <w:rsid w:val="004D5140"/>
    <w:rsid w:val="004D5188"/>
    <w:rsid w:val="004D5247"/>
    <w:rsid w:val="004D5768"/>
    <w:rsid w:val="004D5781"/>
    <w:rsid w:val="004D5803"/>
    <w:rsid w:val="004D58A7"/>
    <w:rsid w:val="004D5B4E"/>
    <w:rsid w:val="004D5D88"/>
    <w:rsid w:val="004D5E0B"/>
    <w:rsid w:val="004D5F8B"/>
    <w:rsid w:val="004D6021"/>
    <w:rsid w:val="004D615F"/>
    <w:rsid w:val="004D67C2"/>
    <w:rsid w:val="004D68D4"/>
    <w:rsid w:val="004D6905"/>
    <w:rsid w:val="004D6EC6"/>
    <w:rsid w:val="004D731F"/>
    <w:rsid w:val="004D75ED"/>
    <w:rsid w:val="004D77E0"/>
    <w:rsid w:val="004D7984"/>
    <w:rsid w:val="004D7F37"/>
    <w:rsid w:val="004E03B3"/>
    <w:rsid w:val="004E03D3"/>
    <w:rsid w:val="004E04D2"/>
    <w:rsid w:val="004E0504"/>
    <w:rsid w:val="004E0578"/>
    <w:rsid w:val="004E0644"/>
    <w:rsid w:val="004E0882"/>
    <w:rsid w:val="004E088A"/>
    <w:rsid w:val="004E0A0F"/>
    <w:rsid w:val="004E0A9A"/>
    <w:rsid w:val="004E0A9F"/>
    <w:rsid w:val="004E0B90"/>
    <w:rsid w:val="004E0EFA"/>
    <w:rsid w:val="004E0F83"/>
    <w:rsid w:val="004E14F5"/>
    <w:rsid w:val="004E1783"/>
    <w:rsid w:val="004E18AD"/>
    <w:rsid w:val="004E1DBA"/>
    <w:rsid w:val="004E1DC4"/>
    <w:rsid w:val="004E23A6"/>
    <w:rsid w:val="004E24C2"/>
    <w:rsid w:val="004E251C"/>
    <w:rsid w:val="004E26C8"/>
    <w:rsid w:val="004E27E4"/>
    <w:rsid w:val="004E2D49"/>
    <w:rsid w:val="004E2D57"/>
    <w:rsid w:val="004E2D97"/>
    <w:rsid w:val="004E3024"/>
    <w:rsid w:val="004E323A"/>
    <w:rsid w:val="004E3275"/>
    <w:rsid w:val="004E32EA"/>
    <w:rsid w:val="004E32F9"/>
    <w:rsid w:val="004E3934"/>
    <w:rsid w:val="004E41E6"/>
    <w:rsid w:val="004E434B"/>
    <w:rsid w:val="004E4534"/>
    <w:rsid w:val="004E47FA"/>
    <w:rsid w:val="004E48A4"/>
    <w:rsid w:val="004E4971"/>
    <w:rsid w:val="004E4FD8"/>
    <w:rsid w:val="004E5965"/>
    <w:rsid w:val="004E5AE1"/>
    <w:rsid w:val="004E5BEB"/>
    <w:rsid w:val="004E5C45"/>
    <w:rsid w:val="004E5CD6"/>
    <w:rsid w:val="004E5F0E"/>
    <w:rsid w:val="004E60D0"/>
    <w:rsid w:val="004E6588"/>
    <w:rsid w:val="004E65E9"/>
    <w:rsid w:val="004E6A67"/>
    <w:rsid w:val="004E7100"/>
    <w:rsid w:val="004E7162"/>
    <w:rsid w:val="004E746C"/>
    <w:rsid w:val="004E759B"/>
    <w:rsid w:val="004E7817"/>
    <w:rsid w:val="004E78C2"/>
    <w:rsid w:val="004E7A55"/>
    <w:rsid w:val="004E7AE4"/>
    <w:rsid w:val="004E7BB7"/>
    <w:rsid w:val="004E7BED"/>
    <w:rsid w:val="004E7D2D"/>
    <w:rsid w:val="004E7E56"/>
    <w:rsid w:val="004E7E60"/>
    <w:rsid w:val="004E7E8D"/>
    <w:rsid w:val="004F045C"/>
    <w:rsid w:val="004F05C5"/>
    <w:rsid w:val="004F0650"/>
    <w:rsid w:val="004F0816"/>
    <w:rsid w:val="004F098D"/>
    <w:rsid w:val="004F0FA2"/>
    <w:rsid w:val="004F1076"/>
    <w:rsid w:val="004F13DF"/>
    <w:rsid w:val="004F176C"/>
    <w:rsid w:val="004F1AC3"/>
    <w:rsid w:val="004F1AE6"/>
    <w:rsid w:val="004F1B3C"/>
    <w:rsid w:val="004F1C3C"/>
    <w:rsid w:val="004F1D8F"/>
    <w:rsid w:val="004F1FA1"/>
    <w:rsid w:val="004F200F"/>
    <w:rsid w:val="004F2035"/>
    <w:rsid w:val="004F20CA"/>
    <w:rsid w:val="004F20FB"/>
    <w:rsid w:val="004F21EC"/>
    <w:rsid w:val="004F2241"/>
    <w:rsid w:val="004F230B"/>
    <w:rsid w:val="004F23B0"/>
    <w:rsid w:val="004F242E"/>
    <w:rsid w:val="004F24AB"/>
    <w:rsid w:val="004F2617"/>
    <w:rsid w:val="004F26F2"/>
    <w:rsid w:val="004F28CC"/>
    <w:rsid w:val="004F29BD"/>
    <w:rsid w:val="004F29C0"/>
    <w:rsid w:val="004F2BB1"/>
    <w:rsid w:val="004F2D38"/>
    <w:rsid w:val="004F2E45"/>
    <w:rsid w:val="004F2F98"/>
    <w:rsid w:val="004F34E3"/>
    <w:rsid w:val="004F3639"/>
    <w:rsid w:val="004F395A"/>
    <w:rsid w:val="004F3A0C"/>
    <w:rsid w:val="004F3B0F"/>
    <w:rsid w:val="004F3DD3"/>
    <w:rsid w:val="004F3F36"/>
    <w:rsid w:val="004F407C"/>
    <w:rsid w:val="004F4373"/>
    <w:rsid w:val="004F445F"/>
    <w:rsid w:val="004F44F3"/>
    <w:rsid w:val="004F4B51"/>
    <w:rsid w:val="004F4D0C"/>
    <w:rsid w:val="004F4DE6"/>
    <w:rsid w:val="004F4ED1"/>
    <w:rsid w:val="004F5040"/>
    <w:rsid w:val="004F52A5"/>
    <w:rsid w:val="004F542C"/>
    <w:rsid w:val="004F56B2"/>
    <w:rsid w:val="004F5750"/>
    <w:rsid w:val="004F57C2"/>
    <w:rsid w:val="004F5C7D"/>
    <w:rsid w:val="004F614F"/>
    <w:rsid w:val="004F6674"/>
    <w:rsid w:val="004F67AC"/>
    <w:rsid w:val="004F695A"/>
    <w:rsid w:val="004F6AE1"/>
    <w:rsid w:val="004F6C2E"/>
    <w:rsid w:val="004F6F6B"/>
    <w:rsid w:val="004F7102"/>
    <w:rsid w:val="004F7179"/>
    <w:rsid w:val="004F7270"/>
    <w:rsid w:val="004F72E7"/>
    <w:rsid w:val="004F75A7"/>
    <w:rsid w:val="004F76AB"/>
    <w:rsid w:val="004F77B6"/>
    <w:rsid w:val="004F77D7"/>
    <w:rsid w:val="004F7815"/>
    <w:rsid w:val="004F787E"/>
    <w:rsid w:val="004F7C30"/>
    <w:rsid w:val="004F7CBF"/>
    <w:rsid w:val="004F7F1E"/>
    <w:rsid w:val="00500270"/>
    <w:rsid w:val="00500481"/>
    <w:rsid w:val="005005A8"/>
    <w:rsid w:val="00500A64"/>
    <w:rsid w:val="00500B68"/>
    <w:rsid w:val="00500B83"/>
    <w:rsid w:val="00500BEC"/>
    <w:rsid w:val="00500C8B"/>
    <w:rsid w:val="00500CB6"/>
    <w:rsid w:val="00501250"/>
    <w:rsid w:val="005016A1"/>
    <w:rsid w:val="00501908"/>
    <w:rsid w:val="00501A80"/>
    <w:rsid w:val="00501B5D"/>
    <w:rsid w:val="00501F78"/>
    <w:rsid w:val="0050218C"/>
    <w:rsid w:val="005023C2"/>
    <w:rsid w:val="0050246C"/>
    <w:rsid w:val="005024CB"/>
    <w:rsid w:val="005027D2"/>
    <w:rsid w:val="00502CB5"/>
    <w:rsid w:val="00502CEB"/>
    <w:rsid w:val="00502D44"/>
    <w:rsid w:val="00502DF7"/>
    <w:rsid w:val="00502FA4"/>
    <w:rsid w:val="00503055"/>
    <w:rsid w:val="00503315"/>
    <w:rsid w:val="0050333C"/>
    <w:rsid w:val="005033C4"/>
    <w:rsid w:val="0050343A"/>
    <w:rsid w:val="00503887"/>
    <w:rsid w:val="005038DA"/>
    <w:rsid w:val="00503BB4"/>
    <w:rsid w:val="00503BEA"/>
    <w:rsid w:val="00503C2E"/>
    <w:rsid w:val="00503DCA"/>
    <w:rsid w:val="00503F9F"/>
    <w:rsid w:val="00504091"/>
    <w:rsid w:val="00504106"/>
    <w:rsid w:val="005044C2"/>
    <w:rsid w:val="005044D6"/>
    <w:rsid w:val="00504608"/>
    <w:rsid w:val="005047E6"/>
    <w:rsid w:val="0050490A"/>
    <w:rsid w:val="00504AAD"/>
    <w:rsid w:val="00504C74"/>
    <w:rsid w:val="00504C98"/>
    <w:rsid w:val="00504D60"/>
    <w:rsid w:val="0050544A"/>
    <w:rsid w:val="0050593B"/>
    <w:rsid w:val="00505973"/>
    <w:rsid w:val="00505CBC"/>
    <w:rsid w:val="00505F47"/>
    <w:rsid w:val="00506283"/>
    <w:rsid w:val="005064BA"/>
    <w:rsid w:val="005066D2"/>
    <w:rsid w:val="00506C03"/>
    <w:rsid w:val="00506FC4"/>
    <w:rsid w:val="005070D9"/>
    <w:rsid w:val="005075DE"/>
    <w:rsid w:val="005077BC"/>
    <w:rsid w:val="005077DE"/>
    <w:rsid w:val="0050787F"/>
    <w:rsid w:val="00507887"/>
    <w:rsid w:val="0050788D"/>
    <w:rsid w:val="00507B68"/>
    <w:rsid w:val="005102B6"/>
    <w:rsid w:val="00510521"/>
    <w:rsid w:val="005105ED"/>
    <w:rsid w:val="005109BE"/>
    <w:rsid w:val="00510AE1"/>
    <w:rsid w:val="00510B5B"/>
    <w:rsid w:val="00510EB3"/>
    <w:rsid w:val="00510F1D"/>
    <w:rsid w:val="0051111E"/>
    <w:rsid w:val="0051117D"/>
    <w:rsid w:val="005111F0"/>
    <w:rsid w:val="00511257"/>
    <w:rsid w:val="005113CD"/>
    <w:rsid w:val="00511455"/>
    <w:rsid w:val="005117AB"/>
    <w:rsid w:val="00511F4E"/>
    <w:rsid w:val="00511F7E"/>
    <w:rsid w:val="005122B8"/>
    <w:rsid w:val="00512465"/>
    <w:rsid w:val="005126A1"/>
    <w:rsid w:val="00512A32"/>
    <w:rsid w:val="00512B26"/>
    <w:rsid w:val="00512CD9"/>
    <w:rsid w:val="00513090"/>
    <w:rsid w:val="00513118"/>
    <w:rsid w:val="0051312E"/>
    <w:rsid w:val="00513781"/>
    <w:rsid w:val="005138DA"/>
    <w:rsid w:val="00513969"/>
    <w:rsid w:val="00513B85"/>
    <w:rsid w:val="00513EA2"/>
    <w:rsid w:val="00513EDD"/>
    <w:rsid w:val="00513FF9"/>
    <w:rsid w:val="00514626"/>
    <w:rsid w:val="00514B3E"/>
    <w:rsid w:val="00514BAF"/>
    <w:rsid w:val="00514BCD"/>
    <w:rsid w:val="00514ED8"/>
    <w:rsid w:val="00514F87"/>
    <w:rsid w:val="00515026"/>
    <w:rsid w:val="00515085"/>
    <w:rsid w:val="00515211"/>
    <w:rsid w:val="005152B1"/>
    <w:rsid w:val="00515471"/>
    <w:rsid w:val="00515763"/>
    <w:rsid w:val="00515AE9"/>
    <w:rsid w:val="00515B5D"/>
    <w:rsid w:val="005163BF"/>
    <w:rsid w:val="00516494"/>
    <w:rsid w:val="005164FB"/>
    <w:rsid w:val="005168AE"/>
    <w:rsid w:val="00516BA6"/>
    <w:rsid w:val="005173CA"/>
    <w:rsid w:val="005173E6"/>
    <w:rsid w:val="005175A3"/>
    <w:rsid w:val="0051794A"/>
    <w:rsid w:val="00517BF1"/>
    <w:rsid w:val="0052002C"/>
    <w:rsid w:val="00520052"/>
    <w:rsid w:val="0052040A"/>
    <w:rsid w:val="0052070D"/>
    <w:rsid w:val="005207F1"/>
    <w:rsid w:val="005207F4"/>
    <w:rsid w:val="00520AC7"/>
    <w:rsid w:val="00520CA8"/>
    <w:rsid w:val="00520CB9"/>
    <w:rsid w:val="00520EC5"/>
    <w:rsid w:val="00521223"/>
    <w:rsid w:val="00521284"/>
    <w:rsid w:val="005213B8"/>
    <w:rsid w:val="005214AD"/>
    <w:rsid w:val="0052155B"/>
    <w:rsid w:val="005219B5"/>
    <w:rsid w:val="00521C0A"/>
    <w:rsid w:val="00522317"/>
    <w:rsid w:val="00522F80"/>
    <w:rsid w:val="005230A0"/>
    <w:rsid w:val="00523179"/>
    <w:rsid w:val="005232D3"/>
    <w:rsid w:val="0052330F"/>
    <w:rsid w:val="00523396"/>
    <w:rsid w:val="0052342D"/>
    <w:rsid w:val="0052343E"/>
    <w:rsid w:val="005234CB"/>
    <w:rsid w:val="005234FA"/>
    <w:rsid w:val="0052381C"/>
    <w:rsid w:val="005238EF"/>
    <w:rsid w:val="00523C06"/>
    <w:rsid w:val="00523F56"/>
    <w:rsid w:val="00523F62"/>
    <w:rsid w:val="00523FCD"/>
    <w:rsid w:val="00524216"/>
    <w:rsid w:val="005243F7"/>
    <w:rsid w:val="00524515"/>
    <w:rsid w:val="00524656"/>
    <w:rsid w:val="0052486F"/>
    <w:rsid w:val="00524972"/>
    <w:rsid w:val="00524AC0"/>
    <w:rsid w:val="00524EF3"/>
    <w:rsid w:val="005250F4"/>
    <w:rsid w:val="005252ED"/>
    <w:rsid w:val="005254A8"/>
    <w:rsid w:val="00525506"/>
    <w:rsid w:val="005256BB"/>
    <w:rsid w:val="005257E1"/>
    <w:rsid w:val="005257EE"/>
    <w:rsid w:val="00525855"/>
    <w:rsid w:val="0052593D"/>
    <w:rsid w:val="005259E7"/>
    <w:rsid w:val="00525AFC"/>
    <w:rsid w:val="00525C61"/>
    <w:rsid w:val="00525E21"/>
    <w:rsid w:val="00526043"/>
    <w:rsid w:val="005261D3"/>
    <w:rsid w:val="00526277"/>
    <w:rsid w:val="005262A4"/>
    <w:rsid w:val="00526401"/>
    <w:rsid w:val="0052659F"/>
    <w:rsid w:val="0052667F"/>
    <w:rsid w:val="005267C8"/>
    <w:rsid w:val="00526978"/>
    <w:rsid w:val="00526A42"/>
    <w:rsid w:val="00526ABC"/>
    <w:rsid w:val="00526CDB"/>
    <w:rsid w:val="00526FF5"/>
    <w:rsid w:val="005271F0"/>
    <w:rsid w:val="00527289"/>
    <w:rsid w:val="0052734B"/>
    <w:rsid w:val="00527DF4"/>
    <w:rsid w:val="00527FEE"/>
    <w:rsid w:val="005300F2"/>
    <w:rsid w:val="00530133"/>
    <w:rsid w:val="005301C6"/>
    <w:rsid w:val="0053032A"/>
    <w:rsid w:val="005304E9"/>
    <w:rsid w:val="00530673"/>
    <w:rsid w:val="0053086C"/>
    <w:rsid w:val="00530AFE"/>
    <w:rsid w:val="00530CE4"/>
    <w:rsid w:val="00530D42"/>
    <w:rsid w:val="00530FA2"/>
    <w:rsid w:val="00531425"/>
    <w:rsid w:val="0053160B"/>
    <w:rsid w:val="0053163E"/>
    <w:rsid w:val="005319F8"/>
    <w:rsid w:val="00531D8D"/>
    <w:rsid w:val="00531DF4"/>
    <w:rsid w:val="00531F69"/>
    <w:rsid w:val="00532110"/>
    <w:rsid w:val="0053219A"/>
    <w:rsid w:val="00532256"/>
    <w:rsid w:val="005322F9"/>
    <w:rsid w:val="005323CD"/>
    <w:rsid w:val="005329F4"/>
    <w:rsid w:val="00532E8D"/>
    <w:rsid w:val="00533742"/>
    <w:rsid w:val="00533764"/>
    <w:rsid w:val="00533787"/>
    <w:rsid w:val="005337C4"/>
    <w:rsid w:val="005337D2"/>
    <w:rsid w:val="005339FB"/>
    <w:rsid w:val="0053420F"/>
    <w:rsid w:val="005348A7"/>
    <w:rsid w:val="005348F0"/>
    <w:rsid w:val="00534B61"/>
    <w:rsid w:val="00534F7E"/>
    <w:rsid w:val="00535038"/>
    <w:rsid w:val="00535365"/>
    <w:rsid w:val="00535506"/>
    <w:rsid w:val="00535572"/>
    <w:rsid w:val="00535CAF"/>
    <w:rsid w:val="00535CBA"/>
    <w:rsid w:val="00535D44"/>
    <w:rsid w:val="00535E28"/>
    <w:rsid w:val="00536178"/>
    <w:rsid w:val="00536210"/>
    <w:rsid w:val="005366DD"/>
    <w:rsid w:val="00536755"/>
    <w:rsid w:val="005367B0"/>
    <w:rsid w:val="005367FA"/>
    <w:rsid w:val="00536854"/>
    <w:rsid w:val="00536870"/>
    <w:rsid w:val="00536B01"/>
    <w:rsid w:val="00536CFB"/>
    <w:rsid w:val="00536ECD"/>
    <w:rsid w:val="00536EF1"/>
    <w:rsid w:val="00537337"/>
    <w:rsid w:val="0053743D"/>
    <w:rsid w:val="0053765A"/>
    <w:rsid w:val="0053791D"/>
    <w:rsid w:val="00537D0B"/>
    <w:rsid w:val="00537D26"/>
    <w:rsid w:val="00537F29"/>
    <w:rsid w:val="00537FE0"/>
    <w:rsid w:val="00540126"/>
    <w:rsid w:val="005402D5"/>
    <w:rsid w:val="00540573"/>
    <w:rsid w:val="00540585"/>
    <w:rsid w:val="005406C3"/>
    <w:rsid w:val="0054072E"/>
    <w:rsid w:val="00540839"/>
    <w:rsid w:val="00540958"/>
    <w:rsid w:val="00540AF9"/>
    <w:rsid w:val="00540BD5"/>
    <w:rsid w:val="00540F6B"/>
    <w:rsid w:val="00541143"/>
    <w:rsid w:val="00541294"/>
    <w:rsid w:val="0054129E"/>
    <w:rsid w:val="0054135D"/>
    <w:rsid w:val="00541423"/>
    <w:rsid w:val="00541AE4"/>
    <w:rsid w:val="00541BE7"/>
    <w:rsid w:val="00541C99"/>
    <w:rsid w:val="00541E67"/>
    <w:rsid w:val="00541E70"/>
    <w:rsid w:val="00541F3A"/>
    <w:rsid w:val="0054202A"/>
    <w:rsid w:val="00542341"/>
    <w:rsid w:val="00542347"/>
    <w:rsid w:val="0054253B"/>
    <w:rsid w:val="00542C9C"/>
    <w:rsid w:val="005432CC"/>
    <w:rsid w:val="00543446"/>
    <w:rsid w:val="0054345C"/>
    <w:rsid w:val="00543795"/>
    <w:rsid w:val="0054386C"/>
    <w:rsid w:val="00543C71"/>
    <w:rsid w:val="00543EE4"/>
    <w:rsid w:val="0054410A"/>
    <w:rsid w:val="005441B0"/>
    <w:rsid w:val="005441F5"/>
    <w:rsid w:val="005441FD"/>
    <w:rsid w:val="00544210"/>
    <w:rsid w:val="00544257"/>
    <w:rsid w:val="00544540"/>
    <w:rsid w:val="00544715"/>
    <w:rsid w:val="005447B4"/>
    <w:rsid w:val="005447E7"/>
    <w:rsid w:val="00544928"/>
    <w:rsid w:val="00544C4D"/>
    <w:rsid w:val="00544D49"/>
    <w:rsid w:val="00544E67"/>
    <w:rsid w:val="00544FF0"/>
    <w:rsid w:val="0054500A"/>
    <w:rsid w:val="005450D1"/>
    <w:rsid w:val="00545550"/>
    <w:rsid w:val="00545691"/>
    <w:rsid w:val="005458A0"/>
    <w:rsid w:val="005458ED"/>
    <w:rsid w:val="00545AB0"/>
    <w:rsid w:val="00545E86"/>
    <w:rsid w:val="00546083"/>
    <w:rsid w:val="00546700"/>
    <w:rsid w:val="00546730"/>
    <w:rsid w:val="0054706B"/>
    <w:rsid w:val="005471D4"/>
    <w:rsid w:val="0054733F"/>
    <w:rsid w:val="00547470"/>
    <w:rsid w:val="005476F2"/>
    <w:rsid w:val="00547A73"/>
    <w:rsid w:val="00547C2A"/>
    <w:rsid w:val="00547DAE"/>
    <w:rsid w:val="00547EA1"/>
    <w:rsid w:val="00547F62"/>
    <w:rsid w:val="005500CF"/>
    <w:rsid w:val="00550373"/>
    <w:rsid w:val="00550569"/>
    <w:rsid w:val="005506FE"/>
    <w:rsid w:val="0055075F"/>
    <w:rsid w:val="005508F9"/>
    <w:rsid w:val="00550C81"/>
    <w:rsid w:val="00550CB0"/>
    <w:rsid w:val="00550CE2"/>
    <w:rsid w:val="00551003"/>
    <w:rsid w:val="005511E7"/>
    <w:rsid w:val="00551322"/>
    <w:rsid w:val="00551BB6"/>
    <w:rsid w:val="00551D2C"/>
    <w:rsid w:val="00551E0B"/>
    <w:rsid w:val="00551F0B"/>
    <w:rsid w:val="00551FAD"/>
    <w:rsid w:val="00552215"/>
    <w:rsid w:val="005525E2"/>
    <w:rsid w:val="00552CF9"/>
    <w:rsid w:val="00552EE9"/>
    <w:rsid w:val="005531E0"/>
    <w:rsid w:val="005532C2"/>
    <w:rsid w:val="005532D0"/>
    <w:rsid w:val="0055354F"/>
    <w:rsid w:val="00553633"/>
    <w:rsid w:val="005538DA"/>
    <w:rsid w:val="00553C3C"/>
    <w:rsid w:val="0055416D"/>
    <w:rsid w:val="005542DA"/>
    <w:rsid w:val="005542F3"/>
    <w:rsid w:val="00554537"/>
    <w:rsid w:val="005545CC"/>
    <w:rsid w:val="0055467E"/>
    <w:rsid w:val="00554714"/>
    <w:rsid w:val="005547C2"/>
    <w:rsid w:val="00554CD9"/>
    <w:rsid w:val="00554D5D"/>
    <w:rsid w:val="00554E75"/>
    <w:rsid w:val="0055526A"/>
    <w:rsid w:val="0055530C"/>
    <w:rsid w:val="005557C0"/>
    <w:rsid w:val="00555C70"/>
    <w:rsid w:val="00555C8E"/>
    <w:rsid w:val="00555D9A"/>
    <w:rsid w:val="00555FB6"/>
    <w:rsid w:val="00556098"/>
    <w:rsid w:val="00556116"/>
    <w:rsid w:val="0055620B"/>
    <w:rsid w:val="00556525"/>
    <w:rsid w:val="00556589"/>
    <w:rsid w:val="005565FB"/>
    <w:rsid w:val="00556887"/>
    <w:rsid w:val="005568A7"/>
    <w:rsid w:val="00556900"/>
    <w:rsid w:val="00556A27"/>
    <w:rsid w:val="00556CA3"/>
    <w:rsid w:val="00556DB3"/>
    <w:rsid w:val="005572B3"/>
    <w:rsid w:val="00557349"/>
    <w:rsid w:val="00557385"/>
    <w:rsid w:val="00557414"/>
    <w:rsid w:val="005574AF"/>
    <w:rsid w:val="005574BD"/>
    <w:rsid w:val="0055753E"/>
    <w:rsid w:val="00557557"/>
    <w:rsid w:val="00557A41"/>
    <w:rsid w:val="00557E9B"/>
    <w:rsid w:val="00560081"/>
    <w:rsid w:val="00560099"/>
    <w:rsid w:val="00560A86"/>
    <w:rsid w:val="00560ACF"/>
    <w:rsid w:val="00560CE4"/>
    <w:rsid w:val="00560CF9"/>
    <w:rsid w:val="00561012"/>
    <w:rsid w:val="005615BC"/>
    <w:rsid w:val="005615BD"/>
    <w:rsid w:val="005615E0"/>
    <w:rsid w:val="005616EF"/>
    <w:rsid w:val="00561911"/>
    <w:rsid w:val="00561967"/>
    <w:rsid w:val="00561E28"/>
    <w:rsid w:val="00561F3C"/>
    <w:rsid w:val="00562012"/>
    <w:rsid w:val="005624BD"/>
    <w:rsid w:val="0056279E"/>
    <w:rsid w:val="00562820"/>
    <w:rsid w:val="00562840"/>
    <w:rsid w:val="005628EF"/>
    <w:rsid w:val="00562994"/>
    <w:rsid w:val="00562F3D"/>
    <w:rsid w:val="00562FAA"/>
    <w:rsid w:val="00562FBA"/>
    <w:rsid w:val="005630C7"/>
    <w:rsid w:val="00563673"/>
    <w:rsid w:val="0056370D"/>
    <w:rsid w:val="00563A49"/>
    <w:rsid w:val="00563AB1"/>
    <w:rsid w:val="00563D89"/>
    <w:rsid w:val="00563F02"/>
    <w:rsid w:val="00564018"/>
    <w:rsid w:val="0056413A"/>
    <w:rsid w:val="0056421D"/>
    <w:rsid w:val="00564275"/>
    <w:rsid w:val="00564383"/>
    <w:rsid w:val="00564542"/>
    <w:rsid w:val="005646F6"/>
    <w:rsid w:val="00564A5F"/>
    <w:rsid w:val="005652AF"/>
    <w:rsid w:val="005652B7"/>
    <w:rsid w:val="00565344"/>
    <w:rsid w:val="00565690"/>
    <w:rsid w:val="005657D1"/>
    <w:rsid w:val="005657F4"/>
    <w:rsid w:val="0056583F"/>
    <w:rsid w:val="00565AB8"/>
    <w:rsid w:val="005662DA"/>
    <w:rsid w:val="00566511"/>
    <w:rsid w:val="00566B33"/>
    <w:rsid w:val="00566F4F"/>
    <w:rsid w:val="00567294"/>
    <w:rsid w:val="00567556"/>
    <w:rsid w:val="0056781D"/>
    <w:rsid w:val="0056788C"/>
    <w:rsid w:val="00567C39"/>
    <w:rsid w:val="00567E35"/>
    <w:rsid w:val="00567F9B"/>
    <w:rsid w:val="00570286"/>
    <w:rsid w:val="005703E9"/>
    <w:rsid w:val="0057061D"/>
    <w:rsid w:val="0057075C"/>
    <w:rsid w:val="00570A3B"/>
    <w:rsid w:val="00570C0E"/>
    <w:rsid w:val="00570EE4"/>
    <w:rsid w:val="00570F1A"/>
    <w:rsid w:val="00571127"/>
    <w:rsid w:val="0057134E"/>
    <w:rsid w:val="00571362"/>
    <w:rsid w:val="005714CF"/>
    <w:rsid w:val="005714E5"/>
    <w:rsid w:val="00571679"/>
    <w:rsid w:val="00571C8F"/>
    <w:rsid w:val="00571FE2"/>
    <w:rsid w:val="005720A2"/>
    <w:rsid w:val="00572374"/>
    <w:rsid w:val="0057259C"/>
    <w:rsid w:val="00572727"/>
    <w:rsid w:val="00572931"/>
    <w:rsid w:val="00572B80"/>
    <w:rsid w:val="00572BD4"/>
    <w:rsid w:val="00572D84"/>
    <w:rsid w:val="005730CA"/>
    <w:rsid w:val="00573353"/>
    <w:rsid w:val="00573609"/>
    <w:rsid w:val="005736AE"/>
    <w:rsid w:val="00573701"/>
    <w:rsid w:val="0057402B"/>
    <w:rsid w:val="0057420E"/>
    <w:rsid w:val="00574214"/>
    <w:rsid w:val="005743FD"/>
    <w:rsid w:val="00574472"/>
    <w:rsid w:val="00574503"/>
    <w:rsid w:val="00574764"/>
    <w:rsid w:val="0057488A"/>
    <w:rsid w:val="00574C19"/>
    <w:rsid w:val="00574FF8"/>
    <w:rsid w:val="00575051"/>
    <w:rsid w:val="00575144"/>
    <w:rsid w:val="00575181"/>
    <w:rsid w:val="0057531F"/>
    <w:rsid w:val="00575413"/>
    <w:rsid w:val="0057541F"/>
    <w:rsid w:val="005755DE"/>
    <w:rsid w:val="00575947"/>
    <w:rsid w:val="00575B35"/>
    <w:rsid w:val="00575BBE"/>
    <w:rsid w:val="00575DFA"/>
    <w:rsid w:val="00575E1C"/>
    <w:rsid w:val="00575F79"/>
    <w:rsid w:val="00576047"/>
    <w:rsid w:val="00576078"/>
    <w:rsid w:val="00576399"/>
    <w:rsid w:val="005764B4"/>
    <w:rsid w:val="00576555"/>
    <w:rsid w:val="0057667C"/>
    <w:rsid w:val="00576AAD"/>
    <w:rsid w:val="00576DBA"/>
    <w:rsid w:val="00576ED1"/>
    <w:rsid w:val="005770A9"/>
    <w:rsid w:val="005775F4"/>
    <w:rsid w:val="005776D8"/>
    <w:rsid w:val="00577ADE"/>
    <w:rsid w:val="00577C2B"/>
    <w:rsid w:val="00577EE0"/>
    <w:rsid w:val="005804A8"/>
    <w:rsid w:val="005804D9"/>
    <w:rsid w:val="00580812"/>
    <w:rsid w:val="005808E9"/>
    <w:rsid w:val="00580B3E"/>
    <w:rsid w:val="00580B76"/>
    <w:rsid w:val="00580D5A"/>
    <w:rsid w:val="00580D85"/>
    <w:rsid w:val="00580F7E"/>
    <w:rsid w:val="00581586"/>
    <w:rsid w:val="005817AD"/>
    <w:rsid w:val="00581949"/>
    <w:rsid w:val="005819FB"/>
    <w:rsid w:val="00581B08"/>
    <w:rsid w:val="00581E3F"/>
    <w:rsid w:val="00581EC3"/>
    <w:rsid w:val="00582296"/>
    <w:rsid w:val="0058249C"/>
    <w:rsid w:val="005824EC"/>
    <w:rsid w:val="0058269C"/>
    <w:rsid w:val="005828F7"/>
    <w:rsid w:val="00582B71"/>
    <w:rsid w:val="00582D03"/>
    <w:rsid w:val="005834E9"/>
    <w:rsid w:val="00583574"/>
    <w:rsid w:val="0058358D"/>
    <w:rsid w:val="0058377F"/>
    <w:rsid w:val="00583AFB"/>
    <w:rsid w:val="00583B2F"/>
    <w:rsid w:val="00583B45"/>
    <w:rsid w:val="00583BFF"/>
    <w:rsid w:val="00583C4E"/>
    <w:rsid w:val="00583FC3"/>
    <w:rsid w:val="0058426E"/>
    <w:rsid w:val="005843F9"/>
    <w:rsid w:val="00584491"/>
    <w:rsid w:val="005844EA"/>
    <w:rsid w:val="0058489D"/>
    <w:rsid w:val="00584914"/>
    <w:rsid w:val="0058498D"/>
    <w:rsid w:val="00584A98"/>
    <w:rsid w:val="00584E9D"/>
    <w:rsid w:val="005850D2"/>
    <w:rsid w:val="00585254"/>
    <w:rsid w:val="00585285"/>
    <w:rsid w:val="00585393"/>
    <w:rsid w:val="005853E7"/>
    <w:rsid w:val="0058540A"/>
    <w:rsid w:val="0058547D"/>
    <w:rsid w:val="00585632"/>
    <w:rsid w:val="0058592D"/>
    <w:rsid w:val="00586060"/>
    <w:rsid w:val="00586214"/>
    <w:rsid w:val="00586240"/>
    <w:rsid w:val="00586451"/>
    <w:rsid w:val="0058647F"/>
    <w:rsid w:val="00586750"/>
    <w:rsid w:val="0058697A"/>
    <w:rsid w:val="00586AA0"/>
    <w:rsid w:val="00586DFC"/>
    <w:rsid w:val="005870B1"/>
    <w:rsid w:val="0058728D"/>
    <w:rsid w:val="00587344"/>
    <w:rsid w:val="005873EE"/>
    <w:rsid w:val="0058741B"/>
    <w:rsid w:val="0058765A"/>
    <w:rsid w:val="00587917"/>
    <w:rsid w:val="00587CBF"/>
    <w:rsid w:val="00587FF2"/>
    <w:rsid w:val="00590079"/>
    <w:rsid w:val="005903A0"/>
    <w:rsid w:val="00590FCC"/>
    <w:rsid w:val="00591120"/>
    <w:rsid w:val="0059127E"/>
    <w:rsid w:val="00591D7C"/>
    <w:rsid w:val="00591EA5"/>
    <w:rsid w:val="00592640"/>
    <w:rsid w:val="0059266C"/>
    <w:rsid w:val="00592692"/>
    <w:rsid w:val="00592851"/>
    <w:rsid w:val="005929FB"/>
    <w:rsid w:val="00592B49"/>
    <w:rsid w:val="00592C39"/>
    <w:rsid w:val="00592C67"/>
    <w:rsid w:val="00592EFA"/>
    <w:rsid w:val="00592F23"/>
    <w:rsid w:val="00592F2E"/>
    <w:rsid w:val="005930CD"/>
    <w:rsid w:val="005933F5"/>
    <w:rsid w:val="00593641"/>
    <w:rsid w:val="00593B19"/>
    <w:rsid w:val="00593CC6"/>
    <w:rsid w:val="00593E26"/>
    <w:rsid w:val="00593EED"/>
    <w:rsid w:val="005943A8"/>
    <w:rsid w:val="00594795"/>
    <w:rsid w:val="00594889"/>
    <w:rsid w:val="0059494E"/>
    <w:rsid w:val="005949F1"/>
    <w:rsid w:val="00594A54"/>
    <w:rsid w:val="00594B22"/>
    <w:rsid w:val="00594B37"/>
    <w:rsid w:val="00594B9E"/>
    <w:rsid w:val="00594BF5"/>
    <w:rsid w:val="00594D5D"/>
    <w:rsid w:val="00594DC0"/>
    <w:rsid w:val="005953A7"/>
    <w:rsid w:val="00595AA1"/>
    <w:rsid w:val="00595EFE"/>
    <w:rsid w:val="005960FF"/>
    <w:rsid w:val="005967FE"/>
    <w:rsid w:val="00596D7A"/>
    <w:rsid w:val="00596DE2"/>
    <w:rsid w:val="00597063"/>
    <w:rsid w:val="005970FF"/>
    <w:rsid w:val="00597143"/>
    <w:rsid w:val="00597385"/>
    <w:rsid w:val="005974BE"/>
    <w:rsid w:val="005976AB"/>
    <w:rsid w:val="005976D6"/>
    <w:rsid w:val="00597A74"/>
    <w:rsid w:val="00597B3C"/>
    <w:rsid w:val="00597E7A"/>
    <w:rsid w:val="00597F20"/>
    <w:rsid w:val="005A0163"/>
    <w:rsid w:val="005A0424"/>
    <w:rsid w:val="005A05D2"/>
    <w:rsid w:val="005A0819"/>
    <w:rsid w:val="005A083E"/>
    <w:rsid w:val="005A0919"/>
    <w:rsid w:val="005A0D4C"/>
    <w:rsid w:val="005A0EA2"/>
    <w:rsid w:val="005A0EE6"/>
    <w:rsid w:val="005A1249"/>
    <w:rsid w:val="005A162F"/>
    <w:rsid w:val="005A184D"/>
    <w:rsid w:val="005A19F4"/>
    <w:rsid w:val="005A1A01"/>
    <w:rsid w:val="005A1AD2"/>
    <w:rsid w:val="005A1AD5"/>
    <w:rsid w:val="005A1AF6"/>
    <w:rsid w:val="005A1DFB"/>
    <w:rsid w:val="005A1F19"/>
    <w:rsid w:val="005A1F76"/>
    <w:rsid w:val="005A204A"/>
    <w:rsid w:val="005A207A"/>
    <w:rsid w:val="005A20AB"/>
    <w:rsid w:val="005A214C"/>
    <w:rsid w:val="005A266C"/>
    <w:rsid w:val="005A26C7"/>
    <w:rsid w:val="005A2949"/>
    <w:rsid w:val="005A2B2B"/>
    <w:rsid w:val="005A2BB1"/>
    <w:rsid w:val="005A2DC4"/>
    <w:rsid w:val="005A315B"/>
    <w:rsid w:val="005A322A"/>
    <w:rsid w:val="005A3486"/>
    <w:rsid w:val="005A34C9"/>
    <w:rsid w:val="005A3552"/>
    <w:rsid w:val="005A3B13"/>
    <w:rsid w:val="005A3D0B"/>
    <w:rsid w:val="005A3E7E"/>
    <w:rsid w:val="005A42E7"/>
    <w:rsid w:val="005A4468"/>
    <w:rsid w:val="005A4522"/>
    <w:rsid w:val="005A452C"/>
    <w:rsid w:val="005A45F8"/>
    <w:rsid w:val="005A4660"/>
    <w:rsid w:val="005A47A7"/>
    <w:rsid w:val="005A485B"/>
    <w:rsid w:val="005A4B36"/>
    <w:rsid w:val="005A4BF6"/>
    <w:rsid w:val="005A519E"/>
    <w:rsid w:val="005A548A"/>
    <w:rsid w:val="005A553F"/>
    <w:rsid w:val="005A55F6"/>
    <w:rsid w:val="005A580F"/>
    <w:rsid w:val="005A5D4A"/>
    <w:rsid w:val="005A600E"/>
    <w:rsid w:val="005A635A"/>
    <w:rsid w:val="005A63D8"/>
    <w:rsid w:val="005A6432"/>
    <w:rsid w:val="005A677F"/>
    <w:rsid w:val="005A685A"/>
    <w:rsid w:val="005A6D99"/>
    <w:rsid w:val="005A783C"/>
    <w:rsid w:val="005A7BED"/>
    <w:rsid w:val="005A7DD5"/>
    <w:rsid w:val="005A7DEF"/>
    <w:rsid w:val="005A7EAA"/>
    <w:rsid w:val="005A7F46"/>
    <w:rsid w:val="005B0018"/>
    <w:rsid w:val="005B0038"/>
    <w:rsid w:val="005B00DB"/>
    <w:rsid w:val="005B00E4"/>
    <w:rsid w:val="005B040F"/>
    <w:rsid w:val="005B0670"/>
    <w:rsid w:val="005B08B5"/>
    <w:rsid w:val="005B0912"/>
    <w:rsid w:val="005B0960"/>
    <w:rsid w:val="005B09CE"/>
    <w:rsid w:val="005B0CF0"/>
    <w:rsid w:val="005B0D35"/>
    <w:rsid w:val="005B0DCA"/>
    <w:rsid w:val="005B0DDD"/>
    <w:rsid w:val="005B0F93"/>
    <w:rsid w:val="005B12A8"/>
    <w:rsid w:val="005B141E"/>
    <w:rsid w:val="005B16E9"/>
    <w:rsid w:val="005B1861"/>
    <w:rsid w:val="005B189B"/>
    <w:rsid w:val="005B1952"/>
    <w:rsid w:val="005B1B68"/>
    <w:rsid w:val="005B1B8A"/>
    <w:rsid w:val="005B2071"/>
    <w:rsid w:val="005B2522"/>
    <w:rsid w:val="005B29BC"/>
    <w:rsid w:val="005B2E55"/>
    <w:rsid w:val="005B2FF9"/>
    <w:rsid w:val="005B3018"/>
    <w:rsid w:val="005B304F"/>
    <w:rsid w:val="005B32EC"/>
    <w:rsid w:val="005B3408"/>
    <w:rsid w:val="005B3425"/>
    <w:rsid w:val="005B397D"/>
    <w:rsid w:val="005B3BD1"/>
    <w:rsid w:val="005B41A2"/>
    <w:rsid w:val="005B4355"/>
    <w:rsid w:val="005B48DA"/>
    <w:rsid w:val="005B4ABE"/>
    <w:rsid w:val="005B4B0D"/>
    <w:rsid w:val="005B4E18"/>
    <w:rsid w:val="005B4ECB"/>
    <w:rsid w:val="005B51E0"/>
    <w:rsid w:val="005B5214"/>
    <w:rsid w:val="005B5312"/>
    <w:rsid w:val="005B532E"/>
    <w:rsid w:val="005B53CE"/>
    <w:rsid w:val="005B540F"/>
    <w:rsid w:val="005B55D1"/>
    <w:rsid w:val="005B57AA"/>
    <w:rsid w:val="005B5937"/>
    <w:rsid w:val="005B5F39"/>
    <w:rsid w:val="005B6480"/>
    <w:rsid w:val="005B682E"/>
    <w:rsid w:val="005B68E1"/>
    <w:rsid w:val="005B69A4"/>
    <w:rsid w:val="005B6D54"/>
    <w:rsid w:val="005B714D"/>
    <w:rsid w:val="005B71F6"/>
    <w:rsid w:val="005B743C"/>
    <w:rsid w:val="005B74CA"/>
    <w:rsid w:val="005B7545"/>
    <w:rsid w:val="005B76AB"/>
    <w:rsid w:val="005B7961"/>
    <w:rsid w:val="005B7B3B"/>
    <w:rsid w:val="005B7CEB"/>
    <w:rsid w:val="005B7D64"/>
    <w:rsid w:val="005B7E1A"/>
    <w:rsid w:val="005B7F04"/>
    <w:rsid w:val="005C0098"/>
    <w:rsid w:val="005C009C"/>
    <w:rsid w:val="005C04F5"/>
    <w:rsid w:val="005C0897"/>
    <w:rsid w:val="005C08EA"/>
    <w:rsid w:val="005C0A1B"/>
    <w:rsid w:val="005C0D1A"/>
    <w:rsid w:val="005C0DA0"/>
    <w:rsid w:val="005C0FDF"/>
    <w:rsid w:val="005C1165"/>
    <w:rsid w:val="005C130B"/>
    <w:rsid w:val="005C1AE2"/>
    <w:rsid w:val="005C1BFC"/>
    <w:rsid w:val="005C1C81"/>
    <w:rsid w:val="005C1C99"/>
    <w:rsid w:val="005C1E0C"/>
    <w:rsid w:val="005C2441"/>
    <w:rsid w:val="005C24AB"/>
    <w:rsid w:val="005C2531"/>
    <w:rsid w:val="005C2654"/>
    <w:rsid w:val="005C26DC"/>
    <w:rsid w:val="005C2726"/>
    <w:rsid w:val="005C2C30"/>
    <w:rsid w:val="005C2C51"/>
    <w:rsid w:val="005C2E8F"/>
    <w:rsid w:val="005C31AE"/>
    <w:rsid w:val="005C3322"/>
    <w:rsid w:val="005C3462"/>
    <w:rsid w:val="005C375D"/>
    <w:rsid w:val="005C3981"/>
    <w:rsid w:val="005C39B0"/>
    <w:rsid w:val="005C3C58"/>
    <w:rsid w:val="005C41B5"/>
    <w:rsid w:val="005C4209"/>
    <w:rsid w:val="005C428D"/>
    <w:rsid w:val="005C4324"/>
    <w:rsid w:val="005C4525"/>
    <w:rsid w:val="005C4B75"/>
    <w:rsid w:val="005C4F23"/>
    <w:rsid w:val="005C5097"/>
    <w:rsid w:val="005C5127"/>
    <w:rsid w:val="005C5155"/>
    <w:rsid w:val="005C5156"/>
    <w:rsid w:val="005C597B"/>
    <w:rsid w:val="005C5A01"/>
    <w:rsid w:val="005C5FBF"/>
    <w:rsid w:val="005C5FE1"/>
    <w:rsid w:val="005C6074"/>
    <w:rsid w:val="005C62F9"/>
    <w:rsid w:val="005C684D"/>
    <w:rsid w:val="005C68AC"/>
    <w:rsid w:val="005C69AA"/>
    <w:rsid w:val="005C69D2"/>
    <w:rsid w:val="005C6B8C"/>
    <w:rsid w:val="005C6BD6"/>
    <w:rsid w:val="005C6BDC"/>
    <w:rsid w:val="005C7201"/>
    <w:rsid w:val="005C780B"/>
    <w:rsid w:val="005C788F"/>
    <w:rsid w:val="005C7B2E"/>
    <w:rsid w:val="005D0107"/>
    <w:rsid w:val="005D0198"/>
    <w:rsid w:val="005D0199"/>
    <w:rsid w:val="005D01A6"/>
    <w:rsid w:val="005D01E5"/>
    <w:rsid w:val="005D03B7"/>
    <w:rsid w:val="005D0C03"/>
    <w:rsid w:val="005D0CBD"/>
    <w:rsid w:val="005D0DBC"/>
    <w:rsid w:val="005D0FCD"/>
    <w:rsid w:val="005D1340"/>
    <w:rsid w:val="005D1420"/>
    <w:rsid w:val="005D154A"/>
    <w:rsid w:val="005D15CD"/>
    <w:rsid w:val="005D1CCB"/>
    <w:rsid w:val="005D1FE9"/>
    <w:rsid w:val="005D20DC"/>
    <w:rsid w:val="005D23E5"/>
    <w:rsid w:val="005D253D"/>
    <w:rsid w:val="005D2BD1"/>
    <w:rsid w:val="005D2F1A"/>
    <w:rsid w:val="005D3258"/>
    <w:rsid w:val="005D346A"/>
    <w:rsid w:val="005D370E"/>
    <w:rsid w:val="005D37D3"/>
    <w:rsid w:val="005D3F89"/>
    <w:rsid w:val="005D42CA"/>
    <w:rsid w:val="005D42F4"/>
    <w:rsid w:val="005D44BE"/>
    <w:rsid w:val="005D44F2"/>
    <w:rsid w:val="005D497A"/>
    <w:rsid w:val="005D4A17"/>
    <w:rsid w:val="005D4B35"/>
    <w:rsid w:val="005D51AB"/>
    <w:rsid w:val="005D555A"/>
    <w:rsid w:val="005D5629"/>
    <w:rsid w:val="005D58C0"/>
    <w:rsid w:val="005D58D5"/>
    <w:rsid w:val="005D5A79"/>
    <w:rsid w:val="005D5BF1"/>
    <w:rsid w:val="005D5C80"/>
    <w:rsid w:val="005D5D0A"/>
    <w:rsid w:val="005D6194"/>
    <w:rsid w:val="005D630A"/>
    <w:rsid w:val="005D652B"/>
    <w:rsid w:val="005D6A31"/>
    <w:rsid w:val="005D6ACE"/>
    <w:rsid w:val="005D6D13"/>
    <w:rsid w:val="005D6D8F"/>
    <w:rsid w:val="005D6E7F"/>
    <w:rsid w:val="005D6F74"/>
    <w:rsid w:val="005D75FB"/>
    <w:rsid w:val="005D770D"/>
    <w:rsid w:val="005D7847"/>
    <w:rsid w:val="005D78A5"/>
    <w:rsid w:val="005D7AEA"/>
    <w:rsid w:val="005D7C7B"/>
    <w:rsid w:val="005E0397"/>
    <w:rsid w:val="005E03FE"/>
    <w:rsid w:val="005E08A2"/>
    <w:rsid w:val="005E0A93"/>
    <w:rsid w:val="005E0D8F"/>
    <w:rsid w:val="005E0D93"/>
    <w:rsid w:val="005E0DF7"/>
    <w:rsid w:val="005E1570"/>
    <w:rsid w:val="005E166B"/>
    <w:rsid w:val="005E176A"/>
    <w:rsid w:val="005E184B"/>
    <w:rsid w:val="005E1C38"/>
    <w:rsid w:val="005E22F2"/>
    <w:rsid w:val="005E2319"/>
    <w:rsid w:val="005E2512"/>
    <w:rsid w:val="005E260B"/>
    <w:rsid w:val="005E26DE"/>
    <w:rsid w:val="005E275A"/>
    <w:rsid w:val="005E27B6"/>
    <w:rsid w:val="005E27F2"/>
    <w:rsid w:val="005E2996"/>
    <w:rsid w:val="005E2B9E"/>
    <w:rsid w:val="005E2D40"/>
    <w:rsid w:val="005E2FB1"/>
    <w:rsid w:val="005E3057"/>
    <w:rsid w:val="005E31E5"/>
    <w:rsid w:val="005E3388"/>
    <w:rsid w:val="005E340C"/>
    <w:rsid w:val="005E3460"/>
    <w:rsid w:val="005E3503"/>
    <w:rsid w:val="005E36A4"/>
    <w:rsid w:val="005E375E"/>
    <w:rsid w:val="005E375F"/>
    <w:rsid w:val="005E3861"/>
    <w:rsid w:val="005E3963"/>
    <w:rsid w:val="005E39B4"/>
    <w:rsid w:val="005E3A7C"/>
    <w:rsid w:val="005E3B18"/>
    <w:rsid w:val="005E3B82"/>
    <w:rsid w:val="005E3E24"/>
    <w:rsid w:val="005E3FEF"/>
    <w:rsid w:val="005E419D"/>
    <w:rsid w:val="005E41ED"/>
    <w:rsid w:val="005E43BB"/>
    <w:rsid w:val="005E46A0"/>
    <w:rsid w:val="005E48C8"/>
    <w:rsid w:val="005E4CB3"/>
    <w:rsid w:val="005E4E2D"/>
    <w:rsid w:val="005E4E48"/>
    <w:rsid w:val="005E4E6B"/>
    <w:rsid w:val="005E5098"/>
    <w:rsid w:val="005E50C3"/>
    <w:rsid w:val="005E53F7"/>
    <w:rsid w:val="005E5568"/>
    <w:rsid w:val="005E55FA"/>
    <w:rsid w:val="005E5786"/>
    <w:rsid w:val="005E57A8"/>
    <w:rsid w:val="005E592D"/>
    <w:rsid w:val="005E59F9"/>
    <w:rsid w:val="005E5AE9"/>
    <w:rsid w:val="005E5CE3"/>
    <w:rsid w:val="005E5F36"/>
    <w:rsid w:val="005E6045"/>
    <w:rsid w:val="005E64A4"/>
    <w:rsid w:val="005E65ED"/>
    <w:rsid w:val="005E68F7"/>
    <w:rsid w:val="005E6AEF"/>
    <w:rsid w:val="005E6DD1"/>
    <w:rsid w:val="005E700A"/>
    <w:rsid w:val="005E7061"/>
    <w:rsid w:val="005E7100"/>
    <w:rsid w:val="005E7202"/>
    <w:rsid w:val="005E762B"/>
    <w:rsid w:val="005E7781"/>
    <w:rsid w:val="005E7790"/>
    <w:rsid w:val="005E77E6"/>
    <w:rsid w:val="005E78C1"/>
    <w:rsid w:val="005E791A"/>
    <w:rsid w:val="005E7AFE"/>
    <w:rsid w:val="005E7C45"/>
    <w:rsid w:val="005E7D83"/>
    <w:rsid w:val="005E7F0B"/>
    <w:rsid w:val="005F00BF"/>
    <w:rsid w:val="005F02E0"/>
    <w:rsid w:val="005F0450"/>
    <w:rsid w:val="005F046A"/>
    <w:rsid w:val="005F0494"/>
    <w:rsid w:val="005F06D9"/>
    <w:rsid w:val="005F0968"/>
    <w:rsid w:val="005F0A74"/>
    <w:rsid w:val="005F0F71"/>
    <w:rsid w:val="005F0F92"/>
    <w:rsid w:val="005F11D3"/>
    <w:rsid w:val="005F1203"/>
    <w:rsid w:val="005F1457"/>
    <w:rsid w:val="005F1878"/>
    <w:rsid w:val="005F1BCB"/>
    <w:rsid w:val="005F1C9A"/>
    <w:rsid w:val="005F1CA0"/>
    <w:rsid w:val="005F1EB2"/>
    <w:rsid w:val="005F1ED1"/>
    <w:rsid w:val="005F219A"/>
    <w:rsid w:val="005F24DF"/>
    <w:rsid w:val="005F24E1"/>
    <w:rsid w:val="005F27F1"/>
    <w:rsid w:val="005F2866"/>
    <w:rsid w:val="005F2870"/>
    <w:rsid w:val="005F289E"/>
    <w:rsid w:val="005F2983"/>
    <w:rsid w:val="005F2AA8"/>
    <w:rsid w:val="005F2B69"/>
    <w:rsid w:val="005F3068"/>
    <w:rsid w:val="005F3215"/>
    <w:rsid w:val="005F33EF"/>
    <w:rsid w:val="005F3AE3"/>
    <w:rsid w:val="005F3B22"/>
    <w:rsid w:val="005F40D2"/>
    <w:rsid w:val="005F4257"/>
    <w:rsid w:val="005F4389"/>
    <w:rsid w:val="005F43BE"/>
    <w:rsid w:val="005F4479"/>
    <w:rsid w:val="005F44EE"/>
    <w:rsid w:val="005F45D1"/>
    <w:rsid w:val="005F45D4"/>
    <w:rsid w:val="005F4854"/>
    <w:rsid w:val="005F49C8"/>
    <w:rsid w:val="005F4A71"/>
    <w:rsid w:val="005F4A82"/>
    <w:rsid w:val="005F4B7B"/>
    <w:rsid w:val="005F4B91"/>
    <w:rsid w:val="005F4BCA"/>
    <w:rsid w:val="005F514B"/>
    <w:rsid w:val="005F56A9"/>
    <w:rsid w:val="005F56C9"/>
    <w:rsid w:val="005F57FA"/>
    <w:rsid w:val="005F5A13"/>
    <w:rsid w:val="005F5C1D"/>
    <w:rsid w:val="005F5C9A"/>
    <w:rsid w:val="005F5D09"/>
    <w:rsid w:val="005F5D9F"/>
    <w:rsid w:val="005F60A5"/>
    <w:rsid w:val="005F6148"/>
    <w:rsid w:val="005F62A0"/>
    <w:rsid w:val="005F6507"/>
    <w:rsid w:val="005F65F9"/>
    <w:rsid w:val="005F6845"/>
    <w:rsid w:val="005F6FD1"/>
    <w:rsid w:val="005F6FD7"/>
    <w:rsid w:val="005F6FF0"/>
    <w:rsid w:val="005F71E6"/>
    <w:rsid w:val="005F73E4"/>
    <w:rsid w:val="005F74E4"/>
    <w:rsid w:val="005F7780"/>
    <w:rsid w:val="005F781C"/>
    <w:rsid w:val="005F7ABE"/>
    <w:rsid w:val="005F7CE7"/>
    <w:rsid w:val="005F7EDB"/>
    <w:rsid w:val="005F7F36"/>
    <w:rsid w:val="006004C5"/>
    <w:rsid w:val="0060071D"/>
    <w:rsid w:val="00600848"/>
    <w:rsid w:val="0060086A"/>
    <w:rsid w:val="00600A65"/>
    <w:rsid w:val="00600B93"/>
    <w:rsid w:val="00600D50"/>
    <w:rsid w:val="00600F0F"/>
    <w:rsid w:val="0060109B"/>
    <w:rsid w:val="006019CC"/>
    <w:rsid w:val="00601AF6"/>
    <w:rsid w:val="006020B2"/>
    <w:rsid w:val="00602215"/>
    <w:rsid w:val="00602398"/>
    <w:rsid w:val="006025D8"/>
    <w:rsid w:val="00602643"/>
    <w:rsid w:val="006026CF"/>
    <w:rsid w:val="006027AE"/>
    <w:rsid w:val="006027E6"/>
    <w:rsid w:val="00602840"/>
    <w:rsid w:val="00602E03"/>
    <w:rsid w:val="00602EE6"/>
    <w:rsid w:val="00603296"/>
    <w:rsid w:val="0060382D"/>
    <w:rsid w:val="0060390C"/>
    <w:rsid w:val="0060392E"/>
    <w:rsid w:val="00603A4E"/>
    <w:rsid w:val="00603B5F"/>
    <w:rsid w:val="00603BF9"/>
    <w:rsid w:val="00603C99"/>
    <w:rsid w:val="00603D2E"/>
    <w:rsid w:val="00603E3A"/>
    <w:rsid w:val="00603ECA"/>
    <w:rsid w:val="00603EE1"/>
    <w:rsid w:val="00604625"/>
    <w:rsid w:val="0060496E"/>
    <w:rsid w:val="00604AEC"/>
    <w:rsid w:val="00604CB0"/>
    <w:rsid w:val="00604E51"/>
    <w:rsid w:val="00605016"/>
    <w:rsid w:val="006051BA"/>
    <w:rsid w:val="00605253"/>
    <w:rsid w:val="00605458"/>
    <w:rsid w:val="006057C1"/>
    <w:rsid w:val="00605840"/>
    <w:rsid w:val="00605CA0"/>
    <w:rsid w:val="0060601D"/>
    <w:rsid w:val="00606264"/>
    <w:rsid w:val="00606453"/>
    <w:rsid w:val="006067C2"/>
    <w:rsid w:val="00606833"/>
    <w:rsid w:val="006069C0"/>
    <w:rsid w:val="006069C1"/>
    <w:rsid w:val="006069EB"/>
    <w:rsid w:val="00606AFD"/>
    <w:rsid w:val="00606B94"/>
    <w:rsid w:val="00606C84"/>
    <w:rsid w:val="00606DED"/>
    <w:rsid w:val="00606E4F"/>
    <w:rsid w:val="0060707E"/>
    <w:rsid w:val="00607773"/>
    <w:rsid w:val="0060784B"/>
    <w:rsid w:val="00607E66"/>
    <w:rsid w:val="00610070"/>
    <w:rsid w:val="006102C2"/>
    <w:rsid w:val="0061054A"/>
    <w:rsid w:val="006106BD"/>
    <w:rsid w:val="006108A3"/>
    <w:rsid w:val="00610BB6"/>
    <w:rsid w:val="00610E91"/>
    <w:rsid w:val="006115F2"/>
    <w:rsid w:val="0061170F"/>
    <w:rsid w:val="0061183A"/>
    <w:rsid w:val="0061187F"/>
    <w:rsid w:val="00611CD6"/>
    <w:rsid w:val="00611DF5"/>
    <w:rsid w:val="00611E91"/>
    <w:rsid w:val="006120FC"/>
    <w:rsid w:val="00612158"/>
    <w:rsid w:val="00612436"/>
    <w:rsid w:val="006127A3"/>
    <w:rsid w:val="006129DE"/>
    <w:rsid w:val="00613331"/>
    <w:rsid w:val="00613768"/>
    <w:rsid w:val="00613972"/>
    <w:rsid w:val="00613B2D"/>
    <w:rsid w:val="00614379"/>
    <w:rsid w:val="006143BD"/>
    <w:rsid w:val="00614434"/>
    <w:rsid w:val="006146A0"/>
    <w:rsid w:val="006154CF"/>
    <w:rsid w:val="006156A2"/>
    <w:rsid w:val="00615A56"/>
    <w:rsid w:val="00615B25"/>
    <w:rsid w:val="00615BB6"/>
    <w:rsid w:val="00615E42"/>
    <w:rsid w:val="0061600B"/>
    <w:rsid w:val="0061608F"/>
    <w:rsid w:val="0061622D"/>
    <w:rsid w:val="00616280"/>
    <w:rsid w:val="006166FD"/>
    <w:rsid w:val="006168DB"/>
    <w:rsid w:val="00616C60"/>
    <w:rsid w:val="006172AA"/>
    <w:rsid w:val="006173D6"/>
    <w:rsid w:val="00617708"/>
    <w:rsid w:val="00617A6D"/>
    <w:rsid w:val="00617AC0"/>
    <w:rsid w:val="00617B21"/>
    <w:rsid w:val="00617BA2"/>
    <w:rsid w:val="00617E32"/>
    <w:rsid w:val="00617EBA"/>
    <w:rsid w:val="0062018E"/>
    <w:rsid w:val="0062029B"/>
    <w:rsid w:val="00620357"/>
    <w:rsid w:val="006204F0"/>
    <w:rsid w:val="0062069A"/>
    <w:rsid w:val="006206B4"/>
    <w:rsid w:val="00620865"/>
    <w:rsid w:val="0062087E"/>
    <w:rsid w:val="00620AAD"/>
    <w:rsid w:val="00620B6F"/>
    <w:rsid w:val="00620C87"/>
    <w:rsid w:val="00620D9B"/>
    <w:rsid w:val="00620E9C"/>
    <w:rsid w:val="0062117F"/>
    <w:rsid w:val="00621248"/>
    <w:rsid w:val="006219AD"/>
    <w:rsid w:val="00621A71"/>
    <w:rsid w:val="00621ED8"/>
    <w:rsid w:val="006221AF"/>
    <w:rsid w:val="006221D0"/>
    <w:rsid w:val="0062234B"/>
    <w:rsid w:val="0062244D"/>
    <w:rsid w:val="00622529"/>
    <w:rsid w:val="006225B1"/>
    <w:rsid w:val="0062267B"/>
    <w:rsid w:val="006226F6"/>
    <w:rsid w:val="006227A8"/>
    <w:rsid w:val="006227ED"/>
    <w:rsid w:val="00622A3F"/>
    <w:rsid w:val="00622AC0"/>
    <w:rsid w:val="00622BEE"/>
    <w:rsid w:val="0062310B"/>
    <w:rsid w:val="0062355E"/>
    <w:rsid w:val="00623660"/>
    <w:rsid w:val="00623769"/>
    <w:rsid w:val="0062376A"/>
    <w:rsid w:val="006239A6"/>
    <w:rsid w:val="00623B8C"/>
    <w:rsid w:val="00623E38"/>
    <w:rsid w:val="00624086"/>
    <w:rsid w:val="00624631"/>
    <w:rsid w:val="00624DAD"/>
    <w:rsid w:val="0062504D"/>
    <w:rsid w:val="006251D4"/>
    <w:rsid w:val="0062522D"/>
    <w:rsid w:val="006253C4"/>
    <w:rsid w:val="0062551B"/>
    <w:rsid w:val="006259F7"/>
    <w:rsid w:val="00625BA5"/>
    <w:rsid w:val="00625D49"/>
    <w:rsid w:val="0062627F"/>
    <w:rsid w:val="006265B8"/>
    <w:rsid w:val="0062666B"/>
    <w:rsid w:val="00626784"/>
    <w:rsid w:val="006267B3"/>
    <w:rsid w:val="0062695F"/>
    <w:rsid w:val="00626968"/>
    <w:rsid w:val="00626F98"/>
    <w:rsid w:val="006271D8"/>
    <w:rsid w:val="006273F4"/>
    <w:rsid w:val="006275FC"/>
    <w:rsid w:val="006276CA"/>
    <w:rsid w:val="00627847"/>
    <w:rsid w:val="00627947"/>
    <w:rsid w:val="00627980"/>
    <w:rsid w:val="00627A39"/>
    <w:rsid w:val="00627B60"/>
    <w:rsid w:val="00627E98"/>
    <w:rsid w:val="00630327"/>
    <w:rsid w:val="006306A9"/>
    <w:rsid w:val="006306D4"/>
    <w:rsid w:val="006308F8"/>
    <w:rsid w:val="00630A5F"/>
    <w:rsid w:val="00630AA9"/>
    <w:rsid w:val="00630D37"/>
    <w:rsid w:val="00630D51"/>
    <w:rsid w:val="00630DF2"/>
    <w:rsid w:val="00630EEB"/>
    <w:rsid w:val="00630F07"/>
    <w:rsid w:val="00630F3C"/>
    <w:rsid w:val="00630F6A"/>
    <w:rsid w:val="0063139B"/>
    <w:rsid w:val="00631849"/>
    <w:rsid w:val="00631987"/>
    <w:rsid w:val="00631B46"/>
    <w:rsid w:val="00632048"/>
    <w:rsid w:val="006322B0"/>
    <w:rsid w:val="00632388"/>
    <w:rsid w:val="006323C7"/>
    <w:rsid w:val="00632519"/>
    <w:rsid w:val="00632C17"/>
    <w:rsid w:val="00632FCB"/>
    <w:rsid w:val="0063310B"/>
    <w:rsid w:val="006331B3"/>
    <w:rsid w:val="00633AA5"/>
    <w:rsid w:val="00633E65"/>
    <w:rsid w:val="00633EFB"/>
    <w:rsid w:val="00634077"/>
    <w:rsid w:val="006342B4"/>
    <w:rsid w:val="00634774"/>
    <w:rsid w:val="00634A44"/>
    <w:rsid w:val="00635A17"/>
    <w:rsid w:val="00635A86"/>
    <w:rsid w:val="00635B44"/>
    <w:rsid w:val="00635D1F"/>
    <w:rsid w:val="006362F7"/>
    <w:rsid w:val="006364E6"/>
    <w:rsid w:val="00636E66"/>
    <w:rsid w:val="00636F2E"/>
    <w:rsid w:val="00636FC6"/>
    <w:rsid w:val="00637084"/>
    <w:rsid w:val="006371A3"/>
    <w:rsid w:val="006379E0"/>
    <w:rsid w:val="00637A0F"/>
    <w:rsid w:val="00637AEA"/>
    <w:rsid w:val="00637BE9"/>
    <w:rsid w:val="00637F49"/>
    <w:rsid w:val="00637F54"/>
    <w:rsid w:val="00640030"/>
    <w:rsid w:val="006403DE"/>
    <w:rsid w:val="00640613"/>
    <w:rsid w:val="00640848"/>
    <w:rsid w:val="00640866"/>
    <w:rsid w:val="00640871"/>
    <w:rsid w:val="00640A20"/>
    <w:rsid w:val="00640AAD"/>
    <w:rsid w:val="00640C68"/>
    <w:rsid w:val="00641073"/>
    <w:rsid w:val="00641295"/>
    <w:rsid w:val="006413FB"/>
    <w:rsid w:val="0064168F"/>
    <w:rsid w:val="006418F0"/>
    <w:rsid w:val="00641AC9"/>
    <w:rsid w:val="00641B1C"/>
    <w:rsid w:val="00641B61"/>
    <w:rsid w:val="00641B74"/>
    <w:rsid w:val="00641BFA"/>
    <w:rsid w:val="00641CAD"/>
    <w:rsid w:val="00642045"/>
    <w:rsid w:val="0064219E"/>
    <w:rsid w:val="006421F6"/>
    <w:rsid w:val="006422DB"/>
    <w:rsid w:val="00642730"/>
    <w:rsid w:val="00642905"/>
    <w:rsid w:val="00642ED1"/>
    <w:rsid w:val="00643700"/>
    <w:rsid w:val="006437DC"/>
    <w:rsid w:val="00643A1E"/>
    <w:rsid w:val="00643E05"/>
    <w:rsid w:val="00643E38"/>
    <w:rsid w:val="006440CD"/>
    <w:rsid w:val="006440FC"/>
    <w:rsid w:val="00644108"/>
    <w:rsid w:val="0064448B"/>
    <w:rsid w:val="00644584"/>
    <w:rsid w:val="00644608"/>
    <w:rsid w:val="00644715"/>
    <w:rsid w:val="006448A1"/>
    <w:rsid w:val="0064496D"/>
    <w:rsid w:val="006449C7"/>
    <w:rsid w:val="00644C33"/>
    <w:rsid w:val="00644E20"/>
    <w:rsid w:val="00644EF4"/>
    <w:rsid w:val="006452A6"/>
    <w:rsid w:val="006455D4"/>
    <w:rsid w:val="006456B6"/>
    <w:rsid w:val="00645703"/>
    <w:rsid w:val="006457C7"/>
    <w:rsid w:val="00645A03"/>
    <w:rsid w:val="00645B26"/>
    <w:rsid w:val="00645BC6"/>
    <w:rsid w:val="00645CC8"/>
    <w:rsid w:val="00645DB2"/>
    <w:rsid w:val="00646165"/>
    <w:rsid w:val="00646D85"/>
    <w:rsid w:val="00646E94"/>
    <w:rsid w:val="00647083"/>
    <w:rsid w:val="00647490"/>
    <w:rsid w:val="00647639"/>
    <w:rsid w:val="0064771D"/>
    <w:rsid w:val="00647729"/>
    <w:rsid w:val="006477DE"/>
    <w:rsid w:val="00647801"/>
    <w:rsid w:val="00647834"/>
    <w:rsid w:val="00647B4F"/>
    <w:rsid w:val="00647D38"/>
    <w:rsid w:val="0065012A"/>
    <w:rsid w:val="006502D9"/>
    <w:rsid w:val="00650416"/>
    <w:rsid w:val="006507A2"/>
    <w:rsid w:val="006508C2"/>
    <w:rsid w:val="0065095F"/>
    <w:rsid w:val="00650B79"/>
    <w:rsid w:val="00650C2E"/>
    <w:rsid w:val="00650EAF"/>
    <w:rsid w:val="0065121C"/>
    <w:rsid w:val="006512EF"/>
    <w:rsid w:val="006513AC"/>
    <w:rsid w:val="00651463"/>
    <w:rsid w:val="006517F1"/>
    <w:rsid w:val="006518C9"/>
    <w:rsid w:val="00651996"/>
    <w:rsid w:val="00651A67"/>
    <w:rsid w:val="00651CE8"/>
    <w:rsid w:val="006520F6"/>
    <w:rsid w:val="00652107"/>
    <w:rsid w:val="00652162"/>
    <w:rsid w:val="0065233F"/>
    <w:rsid w:val="006525BF"/>
    <w:rsid w:val="006525E1"/>
    <w:rsid w:val="006526BE"/>
    <w:rsid w:val="006526CB"/>
    <w:rsid w:val="006526FD"/>
    <w:rsid w:val="006527DE"/>
    <w:rsid w:val="00652B69"/>
    <w:rsid w:val="00652BB6"/>
    <w:rsid w:val="00652E54"/>
    <w:rsid w:val="00653427"/>
    <w:rsid w:val="00653736"/>
    <w:rsid w:val="006537CC"/>
    <w:rsid w:val="006538E5"/>
    <w:rsid w:val="00653C88"/>
    <w:rsid w:val="00654C45"/>
    <w:rsid w:val="0065532B"/>
    <w:rsid w:val="006556F8"/>
    <w:rsid w:val="00655709"/>
    <w:rsid w:val="00655793"/>
    <w:rsid w:val="006558DE"/>
    <w:rsid w:val="00656807"/>
    <w:rsid w:val="006569F0"/>
    <w:rsid w:val="00656A08"/>
    <w:rsid w:val="00656EE9"/>
    <w:rsid w:val="00656F7F"/>
    <w:rsid w:val="0065706E"/>
    <w:rsid w:val="006570D6"/>
    <w:rsid w:val="00657619"/>
    <w:rsid w:val="006577AE"/>
    <w:rsid w:val="00657883"/>
    <w:rsid w:val="00657B4F"/>
    <w:rsid w:val="00657D0D"/>
    <w:rsid w:val="00657E5E"/>
    <w:rsid w:val="006601D5"/>
    <w:rsid w:val="006601E2"/>
    <w:rsid w:val="00660232"/>
    <w:rsid w:val="00660453"/>
    <w:rsid w:val="00660511"/>
    <w:rsid w:val="006605A3"/>
    <w:rsid w:val="006605F6"/>
    <w:rsid w:val="00660BA2"/>
    <w:rsid w:val="006615C1"/>
    <w:rsid w:val="0066174C"/>
    <w:rsid w:val="00661848"/>
    <w:rsid w:val="00661BAE"/>
    <w:rsid w:val="00661D8D"/>
    <w:rsid w:val="0066202E"/>
    <w:rsid w:val="00662594"/>
    <w:rsid w:val="006626B7"/>
    <w:rsid w:val="006629A0"/>
    <w:rsid w:val="00662A70"/>
    <w:rsid w:val="00662F3A"/>
    <w:rsid w:val="00662FBD"/>
    <w:rsid w:val="0066303E"/>
    <w:rsid w:val="00663097"/>
    <w:rsid w:val="00663165"/>
    <w:rsid w:val="00663346"/>
    <w:rsid w:val="00663384"/>
    <w:rsid w:val="006633A9"/>
    <w:rsid w:val="006633EA"/>
    <w:rsid w:val="006635A6"/>
    <w:rsid w:val="006635D8"/>
    <w:rsid w:val="00663628"/>
    <w:rsid w:val="0066366D"/>
    <w:rsid w:val="00663913"/>
    <w:rsid w:val="00663A6D"/>
    <w:rsid w:val="00663B48"/>
    <w:rsid w:val="00663C35"/>
    <w:rsid w:val="00663F45"/>
    <w:rsid w:val="0066420E"/>
    <w:rsid w:val="00664446"/>
    <w:rsid w:val="00664644"/>
    <w:rsid w:val="00664970"/>
    <w:rsid w:val="0066498F"/>
    <w:rsid w:val="00664A64"/>
    <w:rsid w:val="00664BA5"/>
    <w:rsid w:val="00664C56"/>
    <w:rsid w:val="00664D5C"/>
    <w:rsid w:val="00664DD2"/>
    <w:rsid w:val="00664FCB"/>
    <w:rsid w:val="00665019"/>
    <w:rsid w:val="00665386"/>
    <w:rsid w:val="006654DA"/>
    <w:rsid w:val="00665631"/>
    <w:rsid w:val="00665766"/>
    <w:rsid w:val="00665A4F"/>
    <w:rsid w:val="00665A6F"/>
    <w:rsid w:val="00665AF9"/>
    <w:rsid w:val="00665B32"/>
    <w:rsid w:val="006660D0"/>
    <w:rsid w:val="00666426"/>
    <w:rsid w:val="00666903"/>
    <w:rsid w:val="00666A2F"/>
    <w:rsid w:val="00666AAA"/>
    <w:rsid w:val="00666B84"/>
    <w:rsid w:val="00666E48"/>
    <w:rsid w:val="00666F63"/>
    <w:rsid w:val="0066719A"/>
    <w:rsid w:val="00667389"/>
    <w:rsid w:val="00667505"/>
    <w:rsid w:val="00667594"/>
    <w:rsid w:val="00667C26"/>
    <w:rsid w:val="006700D4"/>
    <w:rsid w:val="006701D0"/>
    <w:rsid w:val="00670252"/>
    <w:rsid w:val="006704EA"/>
    <w:rsid w:val="006704F2"/>
    <w:rsid w:val="006705A8"/>
    <w:rsid w:val="0067077B"/>
    <w:rsid w:val="006708AB"/>
    <w:rsid w:val="00670931"/>
    <w:rsid w:val="00670EC1"/>
    <w:rsid w:val="00670F01"/>
    <w:rsid w:val="00670FC2"/>
    <w:rsid w:val="00671092"/>
    <w:rsid w:val="00671277"/>
    <w:rsid w:val="00671527"/>
    <w:rsid w:val="006716D8"/>
    <w:rsid w:val="006716E6"/>
    <w:rsid w:val="0067197C"/>
    <w:rsid w:val="006721A8"/>
    <w:rsid w:val="00672208"/>
    <w:rsid w:val="006723B2"/>
    <w:rsid w:val="006725D5"/>
    <w:rsid w:val="006725EC"/>
    <w:rsid w:val="0067268F"/>
    <w:rsid w:val="006727DF"/>
    <w:rsid w:val="00672937"/>
    <w:rsid w:val="00672E22"/>
    <w:rsid w:val="00672E5F"/>
    <w:rsid w:val="00672F88"/>
    <w:rsid w:val="006730E4"/>
    <w:rsid w:val="00673131"/>
    <w:rsid w:val="00673191"/>
    <w:rsid w:val="0067323C"/>
    <w:rsid w:val="00673527"/>
    <w:rsid w:val="006735C6"/>
    <w:rsid w:val="00673A4F"/>
    <w:rsid w:val="00673ADA"/>
    <w:rsid w:val="00673BB3"/>
    <w:rsid w:val="00673C28"/>
    <w:rsid w:val="00673DF8"/>
    <w:rsid w:val="00673F3B"/>
    <w:rsid w:val="0067407B"/>
    <w:rsid w:val="00674141"/>
    <w:rsid w:val="0067415B"/>
    <w:rsid w:val="00674193"/>
    <w:rsid w:val="0067423E"/>
    <w:rsid w:val="00674393"/>
    <w:rsid w:val="006744B6"/>
    <w:rsid w:val="0067460A"/>
    <w:rsid w:val="0067475C"/>
    <w:rsid w:val="00674764"/>
    <w:rsid w:val="00674785"/>
    <w:rsid w:val="00674860"/>
    <w:rsid w:val="006748DB"/>
    <w:rsid w:val="00674A4D"/>
    <w:rsid w:val="00674A8C"/>
    <w:rsid w:val="0067507F"/>
    <w:rsid w:val="00675231"/>
    <w:rsid w:val="00675276"/>
    <w:rsid w:val="006755B4"/>
    <w:rsid w:val="00675885"/>
    <w:rsid w:val="006758BD"/>
    <w:rsid w:val="00675990"/>
    <w:rsid w:val="00675AB1"/>
    <w:rsid w:val="00675AB6"/>
    <w:rsid w:val="00675CE9"/>
    <w:rsid w:val="00675D49"/>
    <w:rsid w:val="00676333"/>
    <w:rsid w:val="006765F0"/>
    <w:rsid w:val="0067663A"/>
    <w:rsid w:val="00676652"/>
    <w:rsid w:val="006767D9"/>
    <w:rsid w:val="00676879"/>
    <w:rsid w:val="0067687B"/>
    <w:rsid w:val="0067696D"/>
    <w:rsid w:val="0067699F"/>
    <w:rsid w:val="00676B8E"/>
    <w:rsid w:val="00676E1F"/>
    <w:rsid w:val="00676F1D"/>
    <w:rsid w:val="00676FE1"/>
    <w:rsid w:val="00677043"/>
    <w:rsid w:val="00677201"/>
    <w:rsid w:val="0067767C"/>
    <w:rsid w:val="006779C5"/>
    <w:rsid w:val="00677CF4"/>
    <w:rsid w:val="00677EA5"/>
    <w:rsid w:val="00680067"/>
    <w:rsid w:val="006800A1"/>
    <w:rsid w:val="006801DF"/>
    <w:rsid w:val="0068026D"/>
    <w:rsid w:val="0068043C"/>
    <w:rsid w:val="0068083C"/>
    <w:rsid w:val="00680B34"/>
    <w:rsid w:val="00680B3F"/>
    <w:rsid w:val="00680F29"/>
    <w:rsid w:val="00680FF6"/>
    <w:rsid w:val="00681670"/>
    <w:rsid w:val="0068176B"/>
    <w:rsid w:val="00681E41"/>
    <w:rsid w:val="006823CF"/>
    <w:rsid w:val="00682448"/>
    <w:rsid w:val="00682687"/>
    <w:rsid w:val="00682967"/>
    <w:rsid w:val="00682AC4"/>
    <w:rsid w:val="00682CA6"/>
    <w:rsid w:val="00682D5A"/>
    <w:rsid w:val="00682E59"/>
    <w:rsid w:val="006833BA"/>
    <w:rsid w:val="00683711"/>
    <w:rsid w:val="006837D6"/>
    <w:rsid w:val="00683906"/>
    <w:rsid w:val="0068392B"/>
    <w:rsid w:val="00683DD2"/>
    <w:rsid w:val="00684027"/>
    <w:rsid w:val="006840F7"/>
    <w:rsid w:val="00684181"/>
    <w:rsid w:val="006841B9"/>
    <w:rsid w:val="00684221"/>
    <w:rsid w:val="006843DC"/>
    <w:rsid w:val="00684549"/>
    <w:rsid w:val="006845CE"/>
    <w:rsid w:val="006846A1"/>
    <w:rsid w:val="0068484C"/>
    <w:rsid w:val="00684B9A"/>
    <w:rsid w:val="00684FD1"/>
    <w:rsid w:val="00685023"/>
    <w:rsid w:val="006850D1"/>
    <w:rsid w:val="0068517A"/>
    <w:rsid w:val="0068530E"/>
    <w:rsid w:val="006855A3"/>
    <w:rsid w:val="00685836"/>
    <w:rsid w:val="0068585A"/>
    <w:rsid w:val="00685866"/>
    <w:rsid w:val="00685954"/>
    <w:rsid w:val="00685955"/>
    <w:rsid w:val="006859F7"/>
    <w:rsid w:val="00685B15"/>
    <w:rsid w:val="00685CB2"/>
    <w:rsid w:val="00685F91"/>
    <w:rsid w:val="0068605C"/>
    <w:rsid w:val="00686223"/>
    <w:rsid w:val="006862B9"/>
    <w:rsid w:val="0068650C"/>
    <w:rsid w:val="00686615"/>
    <w:rsid w:val="006866F0"/>
    <w:rsid w:val="0068684B"/>
    <w:rsid w:val="00686A6F"/>
    <w:rsid w:val="00686AFF"/>
    <w:rsid w:val="00686C25"/>
    <w:rsid w:val="00686D4A"/>
    <w:rsid w:val="00686D7F"/>
    <w:rsid w:val="00686E61"/>
    <w:rsid w:val="00686ECE"/>
    <w:rsid w:val="006870F5"/>
    <w:rsid w:val="00687438"/>
    <w:rsid w:val="00687506"/>
    <w:rsid w:val="006879AE"/>
    <w:rsid w:val="006879B9"/>
    <w:rsid w:val="00687AB9"/>
    <w:rsid w:val="00687D2E"/>
    <w:rsid w:val="006906D7"/>
    <w:rsid w:val="00690DD3"/>
    <w:rsid w:val="00690EBF"/>
    <w:rsid w:val="00690F49"/>
    <w:rsid w:val="006912BD"/>
    <w:rsid w:val="006912F5"/>
    <w:rsid w:val="0069162A"/>
    <w:rsid w:val="006916AD"/>
    <w:rsid w:val="006916D6"/>
    <w:rsid w:val="00691BBB"/>
    <w:rsid w:val="00691D2A"/>
    <w:rsid w:val="00691DA8"/>
    <w:rsid w:val="00691E18"/>
    <w:rsid w:val="00692026"/>
    <w:rsid w:val="0069205F"/>
    <w:rsid w:val="0069208C"/>
    <w:rsid w:val="00692475"/>
    <w:rsid w:val="00692477"/>
    <w:rsid w:val="00692577"/>
    <w:rsid w:val="00692A98"/>
    <w:rsid w:val="00692FA1"/>
    <w:rsid w:val="0069307B"/>
    <w:rsid w:val="0069346B"/>
    <w:rsid w:val="0069359A"/>
    <w:rsid w:val="0069371E"/>
    <w:rsid w:val="0069386E"/>
    <w:rsid w:val="00693A0D"/>
    <w:rsid w:val="00693BCE"/>
    <w:rsid w:val="00693BF3"/>
    <w:rsid w:val="00693EB7"/>
    <w:rsid w:val="0069406F"/>
    <w:rsid w:val="00694149"/>
    <w:rsid w:val="0069423D"/>
    <w:rsid w:val="0069434F"/>
    <w:rsid w:val="0069440B"/>
    <w:rsid w:val="0069450A"/>
    <w:rsid w:val="00694698"/>
    <w:rsid w:val="0069490E"/>
    <w:rsid w:val="00694A8F"/>
    <w:rsid w:val="00694B95"/>
    <w:rsid w:val="00694FDF"/>
    <w:rsid w:val="00695132"/>
    <w:rsid w:val="00695A92"/>
    <w:rsid w:val="00695C41"/>
    <w:rsid w:val="00695D3C"/>
    <w:rsid w:val="00695F61"/>
    <w:rsid w:val="00696222"/>
    <w:rsid w:val="0069675B"/>
    <w:rsid w:val="0069687F"/>
    <w:rsid w:val="00696B23"/>
    <w:rsid w:val="00696B26"/>
    <w:rsid w:val="00696C09"/>
    <w:rsid w:val="006970C5"/>
    <w:rsid w:val="0069726A"/>
    <w:rsid w:val="0069738C"/>
    <w:rsid w:val="0069751E"/>
    <w:rsid w:val="006975C4"/>
    <w:rsid w:val="00697813"/>
    <w:rsid w:val="00697A3D"/>
    <w:rsid w:val="00697A65"/>
    <w:rsid w:val="00697B7B"/>
    <w:rsid w:val="00697CA8"/>
    <w:rsid w:val="00697F86"/>
    <w:rsid w:val="006A0105"/>
    <w:rsid w:val="006A036B"/>
    <w:rsid w:val="006A08D7"/>
    <w:rsid w:val="006A0950"/>
    <w:rsid w:val="006A09F0"/>
    <w:rsid w:val="006A0A80"/>
    <w:rsid w:val="006A0B77"/>
    <w:rsid w:val="006A136E"/>
    <w:rsid w:val="006A1951"/>
    <w:rsid w:val="006A1A6C"/>
    <w:rsid w:val="006A1A7F"/>
    <w:rsid w:val="006A1BE0"/>
    <w:rsid w:val="006A1C3E"/>
    <w:rsid w:val="006A1E6F"/>
    <w:rsid w:val="006A21FE"/>
    <w:rsid w:val="006A2839"/>
    <w:rsid w:val="006A28AC"/>
    <w:rsid w:val="006A2CF0"/>
    <w:rsid w:val="006A2D64"/>
    <w:rsid w:val="006A3054"/>
    <w:rsid w:val="006A34B7"/>
    <w:rsid w:val="006A35C2"/>
    <w:rsid w:val="006A378D"/>
    <w:rsid w:val="006A3A0C"/>
    <w:rsid w:val="006A41A7"/>
    <w:rsid w:val="006A41B9"/>
    <w:rsid w:val="006A43AB"/>
    <w:rsid w:val="006A44C0"/>
    <w:rsid w:val="006A450A"/>
    <w:rsid w:val="006A45F1"/>
    <w:rsid w:val="006A46E4"/>
    <w:rsid w:val="006A4DDA"/>
    <w:rsid w:val="006A4F25"/>
    <w:rsid w:val="006A4F7B"/>
    <w:rsid w:val="006A4FD0"/>
    <w:rsid w:val="006A536E"/>
    <w:rsid w:val="006A5409"/>
    <w:rsid w:val="006A56A6"/>
    <w:rsid w:val="006A596A"/>
    <w:rsid w:val="006A5A45"/>
    <w:rsid w:val="006A5BAB"/>
    <w:rsid w:val="006A5D26"/>
    <w:rsid w:val="006A5FAA"/>
    <w:rsid w:val="006A622E"/>
    <w:rsid w:val="006A6287"/>
    <w:rsid w:val="006A6353"/>
    <w:rsid w:val="006A647C"/>
    <w:rsid w:val="006A667F"/>
    <w:rsid w:val="006A6858"/>
    <w:rsid w:val="006A6F3E"/>
    <w:rsid w:val="006A6F65"/>
    <w:rsid w:val="006A6FAF"/>
    <w:rsid w:val="006A7131"/>
    <w:rsid w:val="006A71CA"/>
    <w:rsid w:val="006A71E9"/>
    <w:rsid w:val="006A7350"/>
    <w:rsid w:val="006A763B"/>
    <w:rsid w:val="006A76A4"/>
    <w:rsid w:val="006A7EF5"/>
    <w:rsid w:val="006B011F"/>
    <w:rsid w:val="006B020B"/>
    <w:rsid w:val="006B043C"/>
    <w:rsid w:val="006B06A2"/>
    <w:rsid w:val="006B0763"/>
    <w:rsid w:val="006B086E"/>
    <w:rsid w:val="006B092B"/>
    <w:rsid w:val="006B0B59"/>
    <w:rsid w:val="006B0C53"/>
    <w:rsid w:val="006B1059"/>
    <w:rsid w:val="006B1106"/>
    <w:rsid w:val="006B11B2"/>
    <w:rsid w:val="006B139E"/>
    <w:rsid w:val="006B1E43"/>
    <w:rsid w:val="006B1F49"/>
    <w:rsid w:val="006B24A5"/>
    <w:rsid w:val="006B24DA"/>
    <w:rsid w:val="006B24E8"/>
    <w:rsid w:val="006B2591"/>
    <w:rsid w:val="006B25F1"/>
    <w:rsid w:val="006B27BB"/>
    <w:rsid w:val="006B2882"/>
    <w:rsid w:val="006B2895"/>
    <w:rsid w:val="006B28C5"/>
    <w:rsid w:val="006B2924"/>
    <w:rsid w:val="006B2D2C"/>
    <w:rsid w:val="006B2D39"/>
    <w:rsid w:val="006B3218"/>
    <w:rsid w:val="006B334D"/>
    <w:rsid w:val="006B3508"/>
    <w:rsid w:val="006B3FA3"/>
    <w:rsid w:val="006B40E2"/>
    <w:rsid w:val="006B4744"/>
    <w:rsid w:val="006B4B8D"/>
    <w:rsid w:val="006B4C0D"/>
    <w:rsid w:val="006B4D56"/>
    <w:rsid w:val="006B50EB"/>
    <w:rsid w:val="006B510B"/>
    <w:rsid w:val="006B52D6"/>
    <w:rsid w:val="006B545B"/>
    <w:rsid w:val="006B5524"/>
    <w:rsid w:val="006B591E"/>
    <w:rsid w:val="006B5B0C"/>
    <w:rsid w:val="006B5D05"/>
    <w:rsid w:val="006B5D4F"/>
    <w:rsid w:val="006B5E39"/>
    <w:rsid w:val="006B633D"/>
    <w:rsid w:val="006B657B"/>
    <w:rsid w:val="006B65B3"/>
    <w:rsid w:val="006B65C6"/>
    <w:rsid w:val="006B662F"/>
    <w:rsid w:val="006B6840"/>
    <w:rsid w:val="006B6E11"/>
    <w:rsid w:val="006B718E"/>
    <w:rsid w:val="006B77B4"/>
    <w:rsid w:val="006B78F7"/>
    <w:rsid w:val="006C012E"/>
    <w:rsid w:val="006C01B8"/>
    <w:rsid w:val="006C023D"/>
    <w:rsid w:val="006C0306"/>
    <w:rsid w:val="006C03F1"/>
    <w:rsid w:val="006C0BE5"/>
    <w:rsid w:val="006C0EE4"/>
    <w:rsid w:val="006C12FD"/>
    <w:rsid w:val="006C155C"/>
    <w:rsid w:val="006C16CA"/>
    <w:rsid w:val="006C17AC"/>
    <w:rsid w:val="006C18AA"/>
    <w:rsid w:val="006C1955"/>
    <w:rsid w:val="006C1A76"/>
    <w:rsid w:val="006C1E79"/>
    <w:rsid w:val="006C2243"/>
    <w:rsid w:val="006C2926"/>
    <w:rsid w:val="006C29A6"/>
    <w:rsid w:val="006C2A39"/>
    <w:rsid w:val="006C2A4A"/>
    <w:rsid w:val="006C2A9C"/>
    <w:rsid w:val="006C2CE9"/>
    <w:rsid w:val="006C32E8"/>
    <w:rsid w:val="006C333F"/>
    <w:rsid w:val="006C3715"/>
    <w:rsid w:val="006C383D"/>
    <w:rsid w:val="006C39C9"/>
    <w:rsid w:val="006C3B9C"/>
    <w:rsid w:val="006C3C8F"/>
    <w:rsid w:val="006C3D19"/>
    <w:rsid w:val="006C3E4E"/>
    <w:rsid w:val="006C47A3"/>
    <w:rsid w:val="006C4887"/>
    <w:rsid w:val="006C4B09"/>
    <w:rsid w:val="006C4B18"/>
    <w:rsid w:val="006C4BB7"/>
    <w:rsid w:val="006C4C66"/>
    <w:rsid w:val="006C5069"/>
    <w:rsid w:val="006C51D5"/>
    <w:rsid w:val="006C5266"/>
    <w:rsid w:val="006C538E"/>
    <w:rsid w:val="006C5994"/>
    <w:rsid w:val="006C5E6D"/>
    <w:rsid w:val="006C5F85"/>
    <w:rsid w:val="006C6185"/>
    <w:rsid w:val="006C6332"/>
    <w:rsid w:val="006C6501"/>
    <w:rsid w:val="006C6833"/>
    <w:rsid w:val="006C6DF6"/>
    <w:rsid w:val="006C6E6C"/>
    <w:rsid w:val="006C6EC0"/>
    <w:rsid w:val="006C6F38"/>
    <w:rsid w:val="006C6FDD"/>
    <w:rsid w:val="006C73C7"/>
    <w:rsid w:val="006C7601"/>
    <w:rsid w:val="006C769C"/>
    <w:rsid w:val="006C791D"/>
    <w:rsid w:val="006C7B7D"/>
    <w:rsid w:val="006D0077"/>
    <w:rsid w:val="006D00A4"/>
    <w:rsid w:val="006D044A"/>
    <w:rsid w:val="006D0888"/>
    <w:rsid w:val="006D0929"/>
    <w:rsid w:val="006D098C"/>
    <w:rsid w:val="006D0AA7"/>
    <w:rsid w:val="006D0C02"/>
    <w:rsid w:val="006D0E50"/>
    <w:rsid w:val="006D0F9D"/>
    <w:rsid w:val="006D1132"/>
    <w:rsid w:val="006D1157"/>
    <w:rsid w:val="006D11E9"/>
    <w:rsid w:val="006D12DC"/>
    <w:rsid w:val="006D13C6"/>
    <w:rsid w:val="006D1846"/>
    <w:rsid w:val="006D1A75"/>
    <w:rsid w:val="006D1CFF"/>
    <w:rsid w:val="006D2040"/>
    <w:rsid w:val="006D2134"/>
    <w:rsid w:val="006D22F0"/>
    <w:rsid w:val="006D262C"/>
    <w:rsid w:val="006D27F8"/>
    <w:rsid w:val="006D2915"/>
    <w:rsid w:val="006D2D4F"/>
    <w:rsid w:val="006D2DDB"/>
    <w:rsid w:val="006D2F17"/>
    <w:rsid w:val="006D355B"/>
    <w:rsid w:val="006D3722"/>
    <w:rsid w:val="006D3749"/>
    <w:rsid w:val="006D37D0"/>
    <w:rsid w:val="006D38B5"/>
    <w:rsid w:val="006D3928"/>
    <w:rsid w:val="006D39C6"/>
    <w:rsid w:val="006D3A93"/>
    <w:rsid w:val="006D3C0C"/>
    <w:rsid w:val="006D3D02"/>
    <w:rsid w:val="006D3EE8"/>
    <w:rsid w:val="006D3F2E"/>
    <w:rsid w:val="006D40FB"/>
    <w:rsid w:val="006D4191"/>
    <w:rsid w:val="006D41ED"/>
    <w:rsid w:val="006D428B"/>
    <w:rsid w:val="006D43A6"/>
    <w:rsid w:val="006D4466"/>
    <w:rsid w:val="006D4687"/>
    <w:rsid w:val="006D4694"/>
    <w:rsid w:val="006D46DD"/>
    <w:rsid w:val="006D47F6"/>
    <w:rsid w:val="006D4B89"/>
    <w:rsid w:val="006D4B8B"/>
    <w:rsid w:val="006D4C17"/>
    <w:rsid w:val="006D4F8D"/>
    <w:rsid w:val="006D55DC"/>
    <w:rsid w:val="006D5CBB"/>
    <w:rsid w:val="006D5D77"/>
    <w:rsid w:val="006D5FFE"/>
    <w:rsid w:val="006D6059"/>
    <w:rsid w:val="006D6296"/>
    <w:rsid w:val="006D62AC"/>
    <w:rsid w:val="006D633D"/>
    <w:rsid w:val="006D69F0"/>
    <w:rsid w:val="006D69F2"/>
    <w:rsid w:val="006D6A25"/>
    <w:rsid w:val="006D6A5F"/>
    <w:rsid w:val="006D6BC8"/>
    <w:rsid w:val="006D6C23"/>
    <w:rsid w:val="006D6C3B"/>
    <w:rsid w:val="006D6FC9"/>
    <w:rsid w:val="006D70B7"/>
    <w:rsid w:val="006D71ED"/>
    <w:rsid w:val="006D72B3"/>
    <w:rsid w:val="006D733A"/>
    <w:rsid w:val="006D74DE"/>
    <w:rsid w:val="006D7648"/>
    <w:rsid w:val="006D7AF1"/>
    <w:rsid w:val="006D7B27"/>
    <w:rsid w:val="006D7DAF"/>
    <w:rsid w:val="006D7F1D"/>
    <w:rsid w:val="006E0192"/>
    <w:rsid w:val="006E0228"/>
    <w:rsid w:val="006E02DC"/>
    <w:rsid w:val="006E0351"/>
    <w:rsid w:val="006E04CC"/>
    <w:rsid w:val="006E04CE"/>
    <w:rsid w:val="006E05A1"/>
    <w:rsid w:val="006E0C03"/>
    <w:rsid w:val="006E0FAC"/>
    <w:rsid w:val="006E1017"/>
    <w:rsid w:val="006E12C6"/>
    <w:rsid w:val="006E15C3"/>
    <w:rsid w:val="006E15EE"/>
    <w:rsid w:val="006E16ED"/>
    <w:rsid w:val="006E1874"/>
    <w:rsid w:val="006E1E20"/>
    <w:rsid w:val="006E204C"/>
    <w:rsid w:val="006E20E1"/>
    <w:rsid w:val="006E214B"/>
    <w:rsid w:val="006E251A"/>
    <w:rsid w:val="006E277D"/>
    <w:rsid w:val="006E2849"/>
    <w:rsid w:val="006E29A6"/>
    <w:rsid w:val="006E2B89"/>
    <w:rsid w:val="006E2C8A"/>
    <w:rsid w:val="006E310C"/>
    <w:rsid w:val="006E3122"/>
    <w:rsid w:val="006E3865"/>
    <w:rsid w:val="006E39F9"/>
    <w:rsid w:val="006E3BAE"/>
    <w:rsid w:val="006E4049"/>
    <w:rsid w:val="006E40C9"/>
    <w:rsid w:val="006E4BA7"/>
    <w:rsid w:val="006E4F51"/>
    <w:rsid w:val="006E502A"/>
    <w:rsid w:val="006E5113"/>
    <w:rsid w:val="006E5675"/>
    <w:rsid w:val="006E579E"/>
    <w:rsid w:val="006E58BA"/>
    <w:rsid w:val="006E5A94"/>
    <w:rsid w:val="006E5DA9"/>
    <w:rsid w:val="006E5E2B"/>
    <w:rsid w:val="006E5F2C"/>
    <w:rsid w:val="006E6045"/>
    <w:rsid w:val="006E618A"/>
    <w:rsid w:val="006E6422"/>
    <w:rsid w:val="006E644B"/>
    <w:rsid w:val="006E67C6"/>
    <w:rsid w:val="006E6864"/>
    <w:rsid w:val="006E69EF"/>
    <w:rsid w:val="006E6F3B"/>
    <w:rsid w:val="006E6F8C"/>
    <w:rsid w:val="006E6FA1"/>
    <w:rsid w:val="006E7109"/>
    <w:rsid w:val="006E73E6"/>
    <w:rsid w:val="006E75A2"/>
    <w:rsid w:val="006E7664"/>
    <w:rsid w:val="006E7A2F"/>
    <w:rsid w:val="006E7AA2"/>
    <w:rsid w:val="006E7C97"/>
    <w:rsid w:val="006F0081"/>
    <w:rsid w:val="006F0095"/>
    <w:rsid w:val="006F01D1"/>
    <w:rsid w:val="006F0394"/>
    <w:rsid w:val="006F0D60"/>
    <w:rsid w:val="006F156D"/>
    <w:rsid w:val="006F17F5"/>
    <w:rsid w:val="006F1B52"/>
    <w:rsid w:val="006F1BB3"/>
    <w:rsid w:val="006F1D86"/>
    <w:rsid w:val="006F1F1D"/>
    <w:rsid w:val="006F2063"/>
    <w:rsid w:val="006F2136"/>
    <w:rsid w:val="006F2232"/>
    <w:rsid w:val="006F2B97"/>
    <w:rsid w:val="006F2C7F"/>
    <w:rsid w:val="006F2D4F"/>
    <w:rsid w:val="006F2DD0"/>
    <w:rsid w:val="006F2F12"/>
    <w:rsid w:val="006F3072"/>
    <w:rsid w:val="006F3079"/>
    <w:rsid w:val="006F30FD"/>
    <w:rsid w:val="006F316B"/>
    <w:rsid w:val="006F322E"/>
    <w:rsid w:val="006F327C"/>
    <w:rsid w:val="006F3501"/>
    <w:rsid w:val="006F3778"/>
    <w:rsid w:val="006F37A4"/>
    <w:rsid w:val="006F37C9"/>
    <w:rsid w:val="006F3A03"/>
    <w:rsid w:val="006F3A2B"/>
    <w:rsid w:val="006F3DB3"/>
    <w:rsid w:val="006F421C"/>
    <w:rsid w:val="006F424F"/>
    <w:rsid w:val="006F43E8"/>
    <w:rsid w:val="006F45EF"/>
    <w:rsid w:val="006F4741"/>
    <w:rsid w:val="006F4E89"/>
    <w:rsid w:val="006F50DD"/>
    <w:rsid w:val="006F51B7"/>
    <w:rsid w:val="006F5246"/>
    <w:rsid w:val="006F5683"/>
    <w:rsid w:val="006F5703"/>
    <w:rsid w:val="006F592E"/>
    <w:rsid w:val="006F5A1C"/>
    <w:rsid w:val="006F5A2F"/>
    <w:rsid w:val="006F63ED"/>
    <w:rsid w:val="006F6441"/>
    <w:rsid w:val="006F6793"/>
    <w:rsid w:val="006F689F"/>
    <w:rsid w:val="006F6AE5"/>
    <w:rsid w:val="006F7098"/>
    <w:rsid w:val="006F71FA"/>
    <w:rsid w:val="006F721B"/>
    <w:rsid w:val="006F75D7"/>
    <w:rsid w:val="006F79C7"/>
    <w:rsid w:val="006F7C66"/>
    <w:rsid w:val="006F7D84"/>
    <w:rsid w:val="006F7E65"/>
    <w:rsid w:val="006F7EAB"/>
    <w:rsid w:val="00700509"/>
    <w:rsid w:val="007006D0"/>
    <w:rsid w:val="00700A19"/>
    <w:rsid w:val="00700B7C"/>
    <w:rsid w:val="00700C86"/>
    <w:rsid w:val="00700CDD"/>
    <w:rsid w:val="00700E74"/>
    <w:rsid w:val="007010B9"/>
    <w:rsid w:val="0070115B"/>
    <w:rsid w:val="0070118A"/>
    <w:rsid w:val="00701236"/>
    <w:rsid w:val="007014D9"/>
    <w:rsid w:val="007018C2"/>
    <w:rsid w:val="007018F8"/>
    <w:rsid w:val="00701A8B"/>
    <w:rsid w:val="00701D30"/>
    <w:rsid w:val="00701D92"/>
    <w:rsid w:val="00701E49"/>
    <w:rsid w:val="00701F58"/>
    <w:rsid w:val="00701F9F"/>
    <w:rsid w:val="00702114"/>
    <w:rsid w:val="0070213F"/>
    <w:rsid w:val="00702171"/>
    <w:rsid w:val="007021B0"/>
    <w:rsid w:val="007022A9"/>
    <w:rsid w:val="007024C9"/>
    <w:rsid w:val="0070254E"/>
    <w:rsid w:val="0070257C"/>
    <w:rsid w:val="00702622"/>
    <w:rsid w:val="00702899"/>
    <w:rsid w:val="00702D95"/>
    <w:rsid w:val="0070331B"/>
    <w:rsid w:val="00703824"/>
    <w:rsid w:val="0070382C"/>
    <w:rsid w:val="00703940"/>
    <w:rsid w:val="00703A78"/>
    <w:rsid w:val="00704240"/>
    <w:rsid w:val="007042A5"/>
    <w:rsid w:val="0070446D"/>
    <w:rsid w:val="007047B1"/>
    <w:rsid w:val="007047C0"/>
    <w:rsid w:val="007047C2"/>
    <w:rsid w:val="0070495A"/>
    <w:rsid w:val="00704A9E"/>
    <w:rsid w:val="00704AAF"/>
    <w:rsid w:val="00704AE6"/>
    <w:rsid w:val="00704B5C"/>
    <w:rsid w:val="00704D7B"/>
    <w:rsid w:val="00704DB0"/>
    <w:rsid w:val="00704EF3"/>
    <w:rsid w:val="00704FE4"/>
    <w:rsid w:val="00705360"/>
    <w:rsid w:val="0070536B"/>
    <w:rsid w:val="0070547E"/>
    <w:rsid w:val="0070554E"/>
    <w:rsid w:val="007057AE"/>
    <w:rsid w:val="00705897"/>
    <w:rsid w:val="00705B0D"/>
    <w:rsid w:val="00705EAD"/>
    <w:rsid w:val="00705ED1"/>
    <w:rsid w:val="007064B5"/>
    <w:rsid w:val="00706B03"/>
    <w:rsid w:val="00706C06"/>
    <w:rsid w:val="00706FEC"/>
    <w:rsid w:val="007070FF"/>
    <w:rsid w:val="0070781D"/>
    <w:rsid w:val="007078C9"/>
    <w:rsid w:val="00707AA3"/>
    <w:rsid w:val="0071000C"/>
    <w:rsid w:val="00710300"/>
    <w:rsid w:val="007103AC"/>
    <w:rsid w:val="00710593"/>
    <w:rsid w:val="007109B4"/>
    <w:rsid w:val="00710A69"/>
    <w:rsid w:val="00710DF3"/>
    <w:rsid w:val="0071105D"/>
    <w:rsid w:val="00711326"/>
    <w:rsid w:val="00711368"/>
    <w:rsid w:val="007116FD"/>
    <w:rsid w:val="007118B8"/>
    <w:rsid w:val="007119C9"/>
    <w:rsid w:val="007119E6"/>
    <w:rsid w:val="00711AAB"/>
    <w:rsid w:val="00711F0E"/>
    <w:rsid w:val="00711F35"/>
    <w:rsid w:val="00711FDD"/>
    <w:rsid w:val="007121A3"/>
    <w:rsid w:val="00712204"/>
    <w:rsid w:val="00712208"/>
    <w:rsid w:val="007126B7"/>
    <w:rsid w:val="007129D1"/>
    <w:rsid w:val="00712B8E"/>
    <w:rsid w:val="00712C58"/>
    <w:rsid w:val="00712D5D"/>
    <w:rsid w:val="00712F06"/>
    <w:rsid w:val="00713016"/>
    <w:rsid w:val="00713081"/>
    <w:rsid w:val="007136D1"/>
    <w:rsid w:val="00713742"/>
    <w:rsid w:val="00713C43"/>
    <w:rsid w:val="00713E68"/>
    <w:rsid w:val="00713ED6"/>
    <w:rsid w:val="00713FA1"/>
    <w:rsid w:val="00714016"/>
    <w:rsid w:val="0071486A"/>
    <w:rsid w:val="00714A3B"/>
    <w:rsid w:val="00714CFE"/>
    <w:rsid w:val="00714DC3"/>
    <w:rsid w:val="00714DF9"/>
    <w:rsid w:val="00714FB6"/>
    <w:rsid w:val="00715026"/>
    <w:rsid w:val="007150A6"/>
    <w:rsid w:val="007150EB"/>
    <w:rsid w:val="00715317"/>
    <w:rsid w:val="00715336"/>
    <w:rsid w:val="007156A1"/>
    <w:rsid w:val="00715872"/>
    <w:rsid w:val="00715AF4"/>
    <w:rsid w:val="00715BD1"/>
    <w:rsid w:val="00715CA2"/>
    <w:rsid w:val="00715D3C"/>
    <w:rsid w:val="00715F1A"/>
    <w:rsid w:val="007161B9"/>
    <w:rsid w:val="007161D1"/>
    <w:rsid w:val="0071633E"/>
    <w:rsid w:val="00716695"/>
    <w:rsid w:val="007166D4"/>
    <w:rsid w:val="00716AB0"/>
    <w:rsid w:val="00716D04"/>
    <w:rsid w:val="00716E67"/>
    <w:rsid w:val="00717185"/>
    <w:rsid w:val="0071723D"/>
    <w:rsid w:val="007175A0"/>
    <w:rsid w:val="007175FD"/>
    <w:rsid w:val="007177DE"/>
    <w:rsid w:val="00717A40"/>
    <w:rsid w:val="00717A92"/>
    <w:rsid w:val="00717D08"/>
    <w:rsid w:val="00717FAE"/>
    <w:rsid w:val="00720007"/>
    <w:rsid w:val="00720074"/>
    <w:rsid w:val="007200B6"/>
    <w:rsid w:val="0072031F"/>
    <w:rsid w:val="00720524"/>
    <w:rsid w:val="007205CA"/>
    <w:rsid w:val="007205DC"/>
    <w:rsid w:val="00720A49"/>
    <w:rsid w:val="00720D11"/>
    <w:rsid w:val="00721129"/>
    <w:rsid w:val="00721380"/>
    <w:rsid w:val="00721487"/>
    <w:rsid w:val="007216AD"/>
    <w:rsid w:val="00721787"/>
    <w:rsid w:val="007217D9"/>
    <w:rsid w:val="00721C24"/>
    <w:rsid w:val="00721F78"/>
    <w:rsid w:val="0072237C"/>
    <w:rsid w:val="00722412"/>
    <w:rsid w:val="007227A7"/>
    <w:rsid w:val="007228E5"/>
    <w:rsid w:val="00722B56"/>
    <w:rsid w:val="00722BA5"/>
    <w:rsid w:val="00722D7A"/>
    <w:rsid w:val="00723154"/>
    <w:rsid w:val="007234B6"/>
    <w:rsid w:val="007234E7"/>
    <w:rsid w:val="00723525"/>
    <w:rsid w:val="007236F1"/>
    <w:rsid w:val="00723ADC"/>
    <w:rsid w:val="00723B86"/>
    <w:rsid w:val="00723E68"/>
    <w:rsid w:val="007242BD"/>
    <w:rsid w:val="0072444A"/>
    <w:rsid w:val="007244DC"/>
    <w:rsid w:val="00724560"/>
    <w:rsid w:val="00724586"/>
    <w:rsid w:val="0072468E"/>
    <w:rsid w:val="00724691"/>
    <w:rsid w:val="00724907"/>
    <w:rsid w:val="00724A2E"/>
    <w:rsid w:val="00724A5C"/>
    <w:rsid w:val="00724AD5"/>
    <w:rsid w:val="00724D8F"/>
    <w:rsid w:val="00724EE9"/>
    <w:rsid w:val="00725023"/>
    <w:rsid w:val="0072503E"/>
    <w:rsid w:val="007250A9"/>
    <w:rsid w:val="007265D5"/>
    <w:rsid w:val="00726738"/>
    <w:rsid w:val="007267AA"/>
    <w:rsid w:val="00726A28"/>
    <w:rsid w:val="00726A6D"/>
    <w:rsid w:val="00726D64"/>
    <w:rsid w:val="00726EBD"/>
    <w:rsid w:val="00727352"/>
    <w:rsid w:val="00727865"/>
    <w:rsid w:val="00727A9B"/>
    <w:rsid w:val="007301E0"/>
    <w:rsid w:val="00730353"/>
    <w:rsid w:val="00730487"/>
    <w:rsid w:val="00730558"/>
    <w:rsid w:val="00730616"/>
    <w:rsid w:val="00730628"/>
    <w:rsid w:val="0073074F"/>
    <w:rsid w:val="00730774"/>
    <w:rsid w:val="00730861"/>
    <w:rsid w:val="007308EA"/>
    <w:rsid w:val="00730C94"/>
    <w:rsid w:val="00730EDA"/>
    <w:rsid w:val="0073104F"/>
    <w:rsid w:val="00731053"/>
    <w:rsid w:val="007310F1"/>
    <w:rsid w:val="007312AA"/>
    <w:rsid w:val="00731426"/>
    <w:rsid w:val="007314CA"/>
    <w:rsid w:val="00731840"/>
    <w:rsid w:val="00731960"/>
    <w:rsid w:val="00731C63"/>
    <w:rsid w:val="00732049"/>
    <w:rsid w:val="00732897"/>
    <w:rsid w:val="00732B2E"/>
    <w:rsid w:val="00732DA0"/>
    <w:rsid w:val="00733201"/>
    <w:rsid w:val="00733A8B"/>
    <w:rsid w:val="00733B00"/>
    <w:rsid w:val="00733CE6"/>
    <w:rsid w:val="00733F2E"/>
    <w:rsid w:val="0073411A"/>
    <w:rsid w:val="00734304"/>
    <w:rsid w:val="00734511"/>
    <w:rsid w:val="007349B9"/>
    <w:rsid w:val="00734BC1"/>
    <w:rsid w:val="00734DCE"/>
    <w:rsid w:val="00734F1B"/>
    <w:rsid w:val="00734F21"/>
    <w:rsid w:val="007350B8"/>
    <w:rsid w:val="0073537C"/>
    <w:rsid w:val="00735464"/>
    <w:rsid w:val="0073550F"/>
    <w:rsid w:val="007357BB"/>
    <w:rsid w:val="00735C88"/>
    <w:rsid w:val="00735D9B"/>
    <w:rsid w:val="00735DBE"/>
    <w:rsid w:val="00735EDB"/>
    <w:rsid w:val="00736042"/>
    <w:rsid w:val="00736426"/>
    <w:rsid w:val="00736496"/>
    <w:rsid w:val="0073652C"/>
    <w:rsid w:val="00736671"/>
    <w:rsid w:val="007368F2"/>
    <w:rsid w:val="00736B7A"/>
    <w:rsid w:val="00736CC9"/>
    <w:rsid w:val="00736D1B"/>
    <w:rsid w:val="00736DB1"/>
    <w:rsid w:val="00736DD2"/>
    <w:rsid w:val="00737670"/>
    <w:rsid w:val="007377C9"/>
    <w:rsid w:val="0073782F"/>
    <w:rsid w:val="0073787B"/>
    <w:rsid w:val="00737C8D"/>
    <w:rsid w:val="00737D6D"/>
    <w:rsid w:val="00740303"/>
    <w:rsid w:val="0074038F"/>
    <w:rsid w:val="00740795"/>
    <w:rsid w:val="00740BA4"/>
    <w:rsid w:val="00740C88"/>
    <w:rsid w:val="00741683"/>
    <w:rsid w:val="00741776"/>
    <w:rsid w:val="00741C1E"/>
    <w:rsid w:val="00741CAC"/>
    <w:rsid w:val="00741CD0"/>
    <w:rsid w:val="00741DC6"/>
    <w:rsid w:val="00741E03"/>
    <w:rsid w:val="00741EBB"/>
    <w:rsid w:val="00741FE1"/>
    <w:rsid w:val="00742138"/>
    <w:rsid w:val="00742402"/>
    <w:rsid w:val="007426B4"/>
    <w:rsid w:val="00742741"/>
    <w:rsid w:val="007429C2"/>
    <w:rsid w:val="007429D6"/>
    <w:rsid w:val="00742D72"/>
    <w:rsid w:val="00743116"/>
    <w:rsid w:val="00743272"/>
    <w:rsid w:val="0074327E"/>
    <w:rsid w:val="007435F9"/>
    <w:rsid w:val="00743680"/>
    <w:rsid w:val="007439BD"/>
    <w:rsid w:val="00743A5A"/>
    <w:rsid w:val="00743AAB"/>
    <w:rsid w:val="00743C06"/>
    <w:rsid w:val="00743C8D"/>
    <w:rsid w:val="00743FF6"/>
    <w:rsid w:val="007446C4"/>
    <w:rsid w:val="007447E2"/>
    <w:rsid w:val="00744859"/>
    <w:rsid w:val="00744B30"/>
    <w:rsid w:val="00744CDB"/>
    <w:rsid w:val="00744D56"/>
    <w:rsid w:val="00744DFB"/>
    <w:rsid w:val="00744E09"/>
    <w:rsid w:val="00745532"/>
    <w:rsid w:val="00745560"/>
    <w:rsid w:val="00745836"/>
    <w:rsid w:val="00745D64"/>
    <w:rsid w:val="00745E9A"/>
    <w:rsid w:val="00745E9E"/>
    <w:rsid w:val="00745F0E"/>
    <w:rsid w:val="00745FE9"/>
    <w:rsid w:val="0074613F"/>
    <w:rsid w:val="007462B0"/>
    <w:rsid w:val="007467E4"/>
    <w:rsid w:val="00746A79"/>
    <w:rsid w:val="00746E30"/>
    <w:rsid w:val="00746E90"/>
    <w:rsid w:val="00746E9E"/>
    <w:rsid w:val="007470CA"/>
    <w:rsid w:val="007471C0"/>
    <w:rsid w:val="00747A5E"/>
    <w:rsid w:val="00747A75"/>
    <w:rsid w:val="00747B48"/>
    <w:rsid w:val="00747BF0"/>
    <w:rsid w:val="00747D03"/>
    <w:rsid w:val="007504B7"/>
    <w:rsid w:val="007505F1"/>
    <w:rsid w:val="007507D7"/>
    <w:rsid w:val="0075088D"/>
    <w:rsid w:val="00750936"/>
    <w:rsid w:val="00750BD4"/>
    <w:rsid w:val="00750D17"/>
    <w:rsid w:val="00750D3B"/>
    <w:rsid w:val="0075110F"/>
    <w:rsid w:val="007516BC"/>
    <w:rsid w:val="00751755"/>
    <w:rsid w:val="0075177C"/>
    <w:rsid w:val="00751963"/>
    <w:rsid w:val="00751AA9"/>
    <w:rsid w:val="00751D4B"/>
    <w:rsid w:val="007520DD"/>
    <w:rsid w:val="00752126"/>
    <w:rsid w:val="00752245"/>
    <w:rsid w:val="0075226A"/>
    <w:rsid w:val="00752323"/>
    <w:rsid w:val="0075246C"/>
    <w:rsid w:val="00752640"/>
    <w:rsid w:val="00752941"/>
    <w:rsid w:val="0075325C"/>
    <w:rsid w:val="007537C2"/>
    <w:rsid w:val="00753803"/>
    <w:rsid w:val="00753DCB"/>
    <w:rsid w:val="00753E79"/>
    <w:rsid w:val="00753FAC"/>
    <w:rsid w:val="0075444F"/>
    <w:rsid w:val="007545AC"/>
    <w:rsid w:val="00754651"/>
    <w:rsid w:val="00754709"/>
    <w:rsid w:val="00754A59"/>
    <w:rsid w:val="00754D30"/>
    <w:rsid w:val="007552CF"/>
    <w:rsid w:val="00755507"/>
    <w:rsid w:val="007559CE"/>
    <w:rsid w:val="00755B60"/>
    <w:rsid w:val="00755DAE"/>
    <w:rsid w:val="00755E66"/>
    <w:rsid w:val="00756084"/>
    <w:rsid w:val="0075626C"/>
    <w:rsid w:val="00756380"/>
    <w:rsid w:val="007565A2"/>
    <w:rsid w:val="00756A61"/>
    <w:rsid w:val="00756AC8"/>
    <w:rsid w:val="00756B7E"/>
    <w:rsid w:val="00756DE4"/>
    <w:rsid w:val="00756F6A"/>
    <w:rsid w:val="007571A3"/>
    <w:rsid w:val="007604D6"/>
    <w:rsid w:val="007605A5"/>
    <w:rsid w:val="00760915"/>
    <w:rsid w:val="00760D7F"/>
    <w:rsid w:val="00760F24"/>
    <w:rsid w:val="007610C0"/>
    <w:rsid w:val="00761ABE"/>
    <w:rsid w:val="00761B19"/>
    <w:rsid w:val="00761CA7"/>
    <w:rsid w:val="00761DED"/>
    <w:rsid w:val="00761E4C"/>
    <w:rsid w:val="0076211B"/>
    <w:rsid w:val="007621DF"/>
    <w:rsid w:val="00762224"/>
    <w:rsid w:val="00762341"/>
    <w:rsid w:val="00762436"/>
    <w:rsid w:val="00762629"/>
    <w:rsid w:val="00762AEB"/>
    <w:rsid w:val="00762B9A"/>
    <w:rsid w:val="00762D38"/>
    <w:rsid w:val="00762EBA"/>
    <w:rsid w:val="007631CA"/>
    <w:rsid w:val="007631EC"/>
    <w:rsid w:val="0076321A"/>
    <w:rsid w:val="00763253"/>
    <w:rsid w:val="007632D5"/>
    <w:rsid w:val="00763328"/>
    <w:rsid w:val="00763365"/>
    <w:rsid w:val="0076357A"/>
    <w:rsid w:val="007636F9"/>
    <w:rsid w:val="007637D2"/>
    <w:rsid w:val="00763AAF"/>
    <w:rsid w:val="00763D7A"/>
    <w:rsid w:val="00763DAE"/>
    <w:rsid w:val="00763E24"/>
    <w:rsid w:val="00763E4F"/>
    <w:rsid w:val="00763F7B"/>
    <w:rsid w:val="007640D0"/>
    <w:rsid w:val="00764240"/>
    <w:rsid w:val="0076462A"/>
    <w:rsid w:val="00764777"/>
    <w:rsid w:val="007648BB"/>
    <w:rsid w:val="007648EC"/>
    <w:rsid w:val="007649BB"/>
    <w:rsid w:val="00764DE8"/>
    <w:rsid w:val="00764E22"/>
    <w:rsid w:val="00764EC5"/>
    <w:rsid w:val="007650E6"/>
    <w:rsid w:val="007651D9"/>
    <w:rsid w:val="00765540"/>
    <w:rsid w:val="007655E8"/>
    <w:rsid w:val="0076561F"/>
    <w:rsid w:val="0076565C"/>
    <w:rsid w:val="00765778"/>
    <w:rsid w:val="007657FC"/>
    <w:rsid w:val="00765C42"/>
    <w:rsid w:val="00765D6C"/>
    <w:rsid w:val="0076603A"/>
    <w:rsid w:val="0076615D"/>
    <w:rsid w:val="007661D0"/>
    <w:rsid w:val="0076692C"/>
    <w:rsid w:val="00766BC6"/>
    <w:rsid w:val="00766D80"/>
    <w:rsid w:val="007671E2"/>
    <w:rsid w:val="007674AA"/>
    <w:rsid w:val="00767596"/>
    <w:rsid w:val="00767971"/>
    <w:rsid w:val="00767AC5"/>
    <w:rsid w:val="00767C2A"/>
    <w:rsid w:val="00767FAF"/>
    <w:rsid w:val="007701C7"/>
    <w:rsid w:val="00770259"/>
    <w:rsid w:val="007702E9"/>
    <w:rsid w:val="00770341"/>
    <w:rsid w:val="007704A8"/>
    <w:rsid w:val="00770506"/>
    <w:rsid w:val="007706EE"/>
    <w:rsid w:val="007706F0"/>
    <w:rsid w:val="00770D64"/>
    <w:rsid w:val="00770DE4"/>
    <w:rsid w:val="00770E02"/>
    <w:rsid w:val="00770EB2"/>
    <w:rsid w:val="00770EBE"/>
    <w:rsid w:val="00770F01"/>
    <w:rsid w:val="00770FAC"/>
    <w:rsid w:val="007710F8"/>
    <w:rsid w:val="0077113D"/>
    <w:rsid w:val="00771733"/>
    <w:rsid w:val="007717E8"/>
    <w:rsid w:val="00771990"/>
    <w:rsid w:val="007719A3"/>
    <w:rsid w:val="007719A4"/>
    <w:rsid w:val="00771A82"/>
    <w:rsid w:val="00771AC5"/>
    <w:rsid w:val="00771ACA"/>
    <w:rsid w:val="00771B55"/>
    <w:rsid w:val="00772020"/>
    <w:rsid w:val="007722EE"/>
    <w:rsid w:val="00772440"/>
    <w:rsid w:val="00772753"/>
    <w:rsid w:val="007729DE"/>
    <w:rsid w:val="00773169"/>
    <w:rsid w:val="007732A6"/>
    <w:rsid w:val="00773328"/>
    <w:rsid w:val="0077337F"/>
    <w:rsid w:val="007734B1"/>
    <w:rsid w:val="007734F6"/>
    <w:rsid w:val="00773564"/>
    <w:rsid w:val="007738AD"/>
    <w:rsid w:val="00773CDF"/>
    <w:rsid w:val="00773E7B"/>
    <w:rsid w:val="007740D0"/>
    <w:rsid w:val="007741B7"/>
    <w:rsid w:val="00774237"/>
    <w:rsid w:val="007742F9"/>
    <w:rsid w:val="0077482B"/>
    <w:rsid w:val="0077498E"/>
    <w:rsid w:val="00774A7F"/>
    <w:rsid w:val="00774C67"/>
    <w:rsid w:val="00774F8F"/>
    <w:rsid w:val="007750D8"/>
    <w:rsid w:val="0077512D"/>
    <w:rsid w:val="007751BB"/>
    <w:rsid w:val="007753FD"/>
    <w:rsid w:val="00775CF4"/>
    <w:rsid w:val="00775F5C"/>
    <w:rsid w:val="00775FC2"/>
    <w:rsid w:val="00775FFC"/>
    <w:rsid w:val="00776311"/>
    <w:rsid w:val="00776332"/>
    <w:rsid w:val="007764FD"/>
    <w:rsid w:val="0077660E"/>
    <w:rsid w:val="00776821"/>
    <w:rsid w:val="00776957"/>
    <w:rsid w:val="00776A8B"/>
    <w:rsid w:val="0077703A"/>
    <w:rsid w:val="007770A3"/>
    <w:rsid w:val="007771F9"/>
    <w:rsid w:val="007774D4"/>
    <w:rsid w:val="007776B6"/>
    <w:rsid w:val="007776F7"/>
    <w:rsid w:val="007779E3"/>
    <w:rsid w:val="00777BCE"/>
    <w:rsid w:val="00777C73"/>
    <w:rsid w:val="00777F3D"/>
    <w:rsid w:val="007800F7"/>
    <w:rsid w:val="00780306"/>
    <w:rsid w:val="007803FD"/>
    <w:rsid w:val="00780494"/>
    <w:rsid w:val="00780518"/>
    <w:rsid w:val="007806FB"/>
    <w:rsid w:val="0078083B"/>
    <w:rsid w:val="00780930"/>
    <w:rsid w:val="00780B84"/>
    <w:rsid w:val="00780CED"/>
    <w:rsid w:val="00781205"/>
    <w:rsid w:val="007812CE"/>
    <w:rsid w:val="007814C2"/>
    <w:rsid w:val="0078182F"/>
    <w:rsid w:val="00781967"/>
    <w:rsid w:val="00781BE6"/>
    <w:rsid w:val="00782164"/>
    <w:rsid w:val="007823AE"/>
    <w:rsid w:val="007827AD"/>
    <w:rsid w:val="00782C65"/>
    <w:rsid w:val="00782EDC"/>
    <w:rsid w:val="00783012"/>
    <w:rsid w:val="00783286"/>
    <w:rsid w:val="0078355D"/>
    <w:rsid w:val="0078377E"/>
    <w:rsid w:val="007837F2"/>
    <w:rsid w:val="007839A3"/>
    <w:rsid w:val="00783A19"/>
    <w:rsid w:val="00783BE5"/>
    <w:rsid w:val="00783E94"/>
    <w:rsid w:val="00784784"/>
    <w:rsid w:val="00784A11"/>
    <w:rsid w:val="00784AE4"/>
    <w:rsid w:val="00784C95"/>
    <w:rsid w:val="00784D5B"/>
    <w:rsid w:val="00784FBA"/>
    <w:rsid w:val="0078526A"/>
    <w:rsid w:val="00785547"/>
    <w:rsid w:val="007855C2"/>
    <w:rsid w:val="007857BF"/>
    <w:rsid w:val="007857CC"/>
    <w:rsid w:val="00785B6E"/>
    <w:rsid w:val="00785DE0"/>
    <w:rsid w:val="00786131"/>
    <w:rsid w:val="0078621E"/>
    <w:rsid w:val="0078651C"/>
    <w:rsid w:val="00786576"/>
    <w:rsid w:val="007867B9"/>
    <w:rsid w:val="0078687F"/>
    <w:rsid w:val="00786999"/>
    <w:rsid w:val="00786CA2"/>
    <w:rsid w:val="00786DF4"/>
    <w:rsid w:val="00787117"/>
    <w:rsid w:val="007871CF"/>
    <w:rsid w:val="00787503"/>
    <w:rsid w:val="007876F3"/>
    <w:rsid w:val="007877FD"/>
    <w:rsid w:val="00787826"/>
    <w:rsid w:val="007879C9"/>
    <w:rsid w:val="00787AC8"/>
    <w:rsid w:val="00790000"/>
    <w:rsid w:val="00790042"/>
    <w:rsid w:val="00790542"/>
    <w:rsid w:val="007905FB"/>
    <w:rsid w:val="00790724"/>
    <w:rsid w:val="007909CA"/>
    <w:rsid w:val="00790AF2"/>
    <w:rsid w:val="00790BFA"/>
    <w:rsid w:val="00790F1B"/>
    <w:rsid w:val="0079129D"/>
    <w:rsid w:val="0079193D"/>
    <w:rsid w:val="00791A57"/>
    <w:rsid w:val="00791B00"/>
    <w:rsid w:val="00791CC1"/>
    <w:rsid w:val="007920C1"/>
    <w:rsid w:val="007920F2"/>
    <w:rsid w:val="00792171"/>
    <w:rsid w:val="0079231C"/>
    <w:rsid w:val="00792383"/>
    <w:rsid w:val="00792548"/>
    <w:rsid w:val="00792583"/>
    <w:rsid w:val="0079261F"/>
    <w:rsid w:val="007927FB"/>
    <w:rsid w:val="007931D0"/>
    <w:rsid w:val="0079324B"/>
    <w:rsid w:val="00793322"/>
    <w:rsid w:val="0079343B"/>
    <w:rsid w:val="007934B1"/>
    <w:rsid w:val="00793564"/>
    <w:rsid w:val="0079358F"/>
    <w:rsid w:val="00793AE3"/>
    <w:rsid w:val="00793E3B"/>
    <w:rsid w:val="00793F1D"/>
    <w:rsid w:val="00793FD7"/>
    <w:rsid w:val="007942E5"/>
    <w:rsid w:val="00794306"/>
    <w:rsid w:val="00794360"/>
    <w:rsid w:val="007945A9"/>
    <w:rsid w:val="00794867"/>
    <w:rsid w:val="007948D1"/>
    <w:rsid w:val="00794922"/>
    <w:rsid w:val="007952A4"/>
    <w:rsid w:val="007955CB"/>
    <w:rsid w:val="007955D4"/>
    <w:rsid w:val="0079565D"/>
    <w:rsid w:val="007957A0"/>
    <w:rsid w:val="00795968"/>
    <w:rsid w:val="00795AD6"/>
    <w:rsid w:val="00795E76"/>
    <w:rsid w:val="00796243"/>
    <w:rsid w:val="007966A9"/>
    <w:rsid w:val="00796917"/>
    <w:rsid w:val="007969FD"/>
    <w:rsid w:val="007970AE"/>
    <w:rsid w:val="00797343"/>
    <w:rsid w:val="00797453"/>
    <w:rsid w:val="007974E4"/>
    <w:rsid w:val="007977BE"/>
    <w:rsid w:val="007978FA"/>
    <w:rsid w:val="00797991"/>
    <w:rsid w:val="00797B7F"/>
    <w:rsid w:val="00797F9F"/>
    <w:rsid w:val="00797FD8"/>
    <w:rsid w:val="007A0105"/>
    <w:rsid w:val="007A01FE"/>
    <w:rsid w:val="007A0315"/>
    <w:rsid w:val="007A04CF"/>
    <w:rsid w:val="007A0B72"/>
    <w:rsid w:val="007A0CB9"/>
    <w:rsid w:val="007A0D3F"/>
    <w:rsid w:val="007A1100"/>
    <w:rsid w:val="007A112E"/>
    <w:rsid w:val="007A123D"/>
    <w:rsid w:val="007A1277"/>
    <w:rsid w:val="007A1348"/>
    <w:rsid w:val="007A135F"/>
    <w:rsid w:val="007A138F"/>
    <w:rsid w:val="007A15F9"/>
    <w:rsid w:val="007A18B5"/>
    <w:rsid w:val="007A1904"/>
    <w:rsid w:val="007A1C02"/>
    <w:rsid w:val="007A1C26"/>
    <w:rsid w:val="007A1D7A"/>
    <w:rsid w:val="007A1E9B"/>
    <w:rsid w:val="007A1ECA"/>
    <w:rsid w:val="007A215E"/>
    <w:rsid w:val="007A22AD"/>
    <w:rsid w:val="007A23F0"/>
    <w:rsid w:val="007A25F7"/>
    <w:rsid w:val="007A2AEB"/>
    <w:rsid w:val="007A2FF8"/>
    <w:rsid w:val="007A3217"/>
    <w:rsid w:val="007A3297"/>
    <w:rsid w:val="007A37D6"/>
    <w:rsid w:val="007A392C"/>
    <w:rsid w:val="007A3BD4"/>
    <w:rsid w:val="007A3FB5"/>
    <w:rsid w:val="007A4012"/>
    <w:rsid w:val="007A4158"/>
    <w:rsid w:val="007A4669"/>
    <w:rsid w:val="007A4775"/>
    <w:rsid w:val="007A4C2F"/>
    <w:rsid w:val="007A4D29"/>
    <w:rsid w:val="007A51A8"/>
    <w:rsid w:val="007A5863"/>
    <w:rsid w:val="007A5B23"/>
    <w:rsid w:val="007A5BB1"/>
    <w:rsid w:val="007A5BF8"/>
    <w:rsid w:val="007A5C7E"/>
    <w:rsid w:val="007A614C"/>
    <w:rsid w:val="007A62AA"/>
    <w:rsid w:val="007A63D5"/>
    <w:rsid w:val="007A65F3"/>
    <w:rsid w:val="007A675E"/>
    <w:rsid w:val="007A69DA"/>
    <w:rsid w:val="007A6E04"/>
    <w:rsid w:val="007A70DA"/>
    <w:rsid w:val="007A714B"/>
    <w:rsid w:val="007A716A"/>
    <w:rsid w:val="007A7365"/>
    <w:rsid w:val="007A7516"/>
    <w:rsid w:val="007A77A2"/>
    <w:rsid w:val="007A7A83"/>
    <w:rsid w:val="007A7C95"/>
    <w:rsid w:val="007A7ED8"/>
    <w:rsid w:val="007A7F99"/>
    <w:rsid w:val="007B00F5"/>
    <w:rsid w:val="007B0180"/>
    <w:rsid w:val="007B019C"/>
    <w:rsid w:val="007B0351"/>
    <w:rsid w:val="007B06DC"/>
    <w:rsid w:val="007B082A"/>
    <w:rsid w:val="007B0982"/>
    <w:rsid w:val="007B0D98"/>
    <w:rsid w:val="007B114F"/>
    <w:rsid w:val="007B12B8"/>
    <w:rsid w:val="007B1350"/>
    <w:rsid w:val="007B1596"/>
    <w:rsid w:val="007B15C0"/>
    <w:rsid w:val="007B179F"/>
    <w:rsid w:val="007B194E"/>
    <w:rsid w:val="007B19D9"/>
    <w:rsid w:val="007B1BF7"/>
    <w:rsid w:val="007B203C"/>
    <w:rsid w:val="007B2230"/>
    <w:rsid w:val="007B28A5"/>
    <w:rsid w:val="007B2AE2"/>
    <w:rsid w:val="007B2B86"/>
    <w:rsid w:val="007B2EFD"/>
    <w:rsid w:val="007B33AB"/>
    <w:rsid w:val="007B35C0"/>
    <w:rsid w:val="007B36AE"/>
    <w:rsid w:val="007B3839"/>
    <w:rsid w:val="007B3869"/>
    <w:rsid w:val="007B3948"/>
    <w:rsid w:val="007B3960"/>
    <w:rsid w:val="007B3CE1"/>
    <w:rsid w:val="007B3D0B"/>
    <w:rsid w:val="007B4032"/>
    <w:rsid w:val="007B4136"/>
    <w:rsid w:val="007B43E4"/>
    <w:rsid w:val="007B453E"/>
    <w:rsid w:val="007B473B"/>
    <w:rsid w:val="007B4830"/>
    <w:rsid w:val="007B485E"/>
    <w:rsid w:val="007B487A"/>
    <w:rsid w:val="007B4D00"/>
    <w:rsid w:val="007B4D0A"/>
    <w:rsid w:val="007B4F84"/>
    <w:rsid w:val="007B514C"/>
    <w:rsid w:val="007B5490"/>
    <w:rsid w:val="007B5C44"/>
    <w:rsid w:val="007B5CF2"/>
    <w:rsid w:val="007B5D25"/>
    <w:rsid w:val="007B6094"/>
    <w:rsid w:val="007B60ED"/>
    <w:rsid w:val="007B6347"/>
    <w:rsid w:val="007B6436"/>
    <w:rsid w:val="007B6728"/>
    <w:rsid w:val="007B679A"/>
    <w:rsid w:val="007B6911"/>
    <w:rsid w:val="007B6B57"/>
    <w:rsid w:val="007B6FFE"/>
    <w:rsid w:val="007B7123"/>
    <w:rsid w:val="007B7213"/>
    <w:rsid w:val="007B7270"/>
    <w:rsid w:val="007B7568"/>
    <w:rsid w:val="007B7584"/>
    <w:rsid w:val="007B779D"/>
    <w:rsid w:val="007B7A06"/>
    <w:rsid w:val="007B7F19"/>
    <w:rsid w:val="007B7F94"/>
    <w:rsid w:val="007B7FE2"/>
    <w:rsid w:val="007C010A"/>
    <w:rsid w:val="007C03DB"/>
    <w:rsid w:val="007C0498"/>
    <w:rsid w:val="007C0625"/>
    <w:rsid w:val="007C0870"/>
    <w:rsid w:val="007C0910"/>
    <w:rsid w:val="007C0C65"/>
    <w:rsid w:val="007C0F86"/>
    <w:rsid w:val="007C10EC"/>
    <w:rsid w:val="007C1275"/>
    <w:rsid w:val="007C12C8"/>
    <w:rsid w:val="007C19A3"/>
    <w:rsid w:val="007C1A15"/>
    <w:rsid w:val="007C1D28"/>
    <w:rsid w:val="007C2149"/>
    <w:rsid w:val="007C22F9"/>
    <w:rsid w:val="007C24C3"/>
    <w:rsid w:val="007C24FD"/>
    <w:rsid w:val="007C258F"/>
    <w:rsid w:val="007C29BD"/>
    <w:rsid w:val="007C2F08"/>
    <w:rsid w:val="007C3154"/>
    <w:rsid w:val="007C331D"/>
    <w:rsid w:val="007C33A7"/>
    <w:rsid w:val="007C37DC"/>
    <w:rsid w:val="007C3802"/>
    <w:rsid w:val="007C3A62"/>
    <w:rsid w:val="007C3A72"/>
    <w:rsid w:val="007C3B17"/>
    <w:rsid w:val="007C3EA1"/>
    <w:rsid w:val="007C40E9"/>
    <w:rsid w:val="007C4102"/>
    <w:rsid w:val="007C41D1"/>
    <w:rsid w:val="007C45FB"/>
    <w:rsid w:val="007C46D3"/>
    <w:rsid w:val="007C485C"/>
    <w:rsid w:val="007C4C14"/>
    <w:rsid w:val="007C5019"/>
    <w:rsid w:val="007C5277"/>
    <w:rsid w:val="007C558B"/>
    <w:rsid w:val="007C5EBD"/>
    <w:rsid w:val="007C60F4"/>
    <w:rsid w:val="007C61A0"/>
    <w:rsid w:val="007C61C2"/>
    <w:rsid w:val="007C6342"/>
    <w:rsid w:val="007C6799"/>
    <w:rsid w:val="007C67B7"/>
    <w:rsid w:val="007C68A4"/>
    <w:rsid w:val="007C68A6"/>
    <w:rsid w:val="007C69F5"/>
    <w:rsid w:val="007C6B3A"/>
    <w:rsid w:val="007C6E21"/>
    <w:rsid w:val="007C7154"/>
    <w:rsid w:val="007C723A"/>
    <w:rsid w:val="007C7265"/>
    <w:rsid w:val="007C7ACF"/>
    <w:rsid w:val="007C7AD6"/>
    <w:rsid w:val="007C7B51"/>
    <w:rsid w:val="007C7D22"/>
    <w:rsid w:val="007C7DF7"/>
    <w:rsid w:val="007CF606"/>
    <w:rsid w:val="007D0170"/>
    <w:rsid w:val="007D01AC"/>
    <w:rsid w:val="007D029E"/>
    <w:rsid w:val="007D033D"/>
    <w:rsid w:val="007D0534"/>
    <w:rsid w:val="007D06F6"/>
    <w:rsid w:val="007D089F"/>
    <w:rsid w:val="007D0F91"/>
    <w:rsid w:val="007D1170"/>
    <w:rsid w:val="007D121D"/>
    <w:rsid w:val="007D1277"/>
    <w:rsid w:val="007D12E8"/>
    <w:rsid w:val="007D13B8"/>
    <w:rsid w:val="007D1762"/>
    <w:rsid w:val="007D17AD"/>
    <w:rsid w:val="007D1A3F"/>
    <w:rsid w:val="007D1AB9"/>
    <w:rsid w:val="007D1E61"/>
    <w:rsid w:val="007D1E67"/>
    <w:rsid w:val="007D1F3E"/>
    <w:rsid w:val="007D207F"/>
    <w:rsid w:val="007D20EA"/>
    <w:rsid w:val="007D2101"/>
    <w:rsid w:val="007D214F"/>
    <w:rsid w:val="007D218A"/>
    <w:rsid w:val="007D2344"/>
    <w:rsid w:val="007D238C"/>
    <w:rsid w:val="007D2665"/>
    <w:rsid w:val="007D27F4"/>
    <w:rsid w:val="007D292C"/>
    <w:rsid w:val="007D2A43"/>
    <w:rsid w:val="007D2D9A"/>
    <w:rsid w:val="007D2F52"/>
    <w:rsid w:val="007D301C"/>
    <w:rsid w:val="007D32F6"/>
    <w:rsid w:val="007D33D2"/>
    <w:rsid w:val="007D36D7"/>
    <w:rsid w:val="007D3748"/>
    <w:rsid w:val="007D3A24"/>
    <w:rsid w:val="007D3B86"/>
    <w:rsid w:val="007D3C20"/>
    <w:rsid w:val="007D3F58"/>
    <w:rsid w:val="007D400C"/>
    <w:rsid w:val="007D4134"/>
    <w:rsid w:val="007D4252"/>
    <w:rsid w:val="007D43E3"/>
    <w:rsid w:val="007D48EC"/>
    <w:rsid w:val="007D4A2E"/>
    <w:rsid w:val="007D4AEC"/>
    <w:rsid w:val="007D4C5B"/>
    <w:rsid w:val="007D4CBE"/>
    <w:rsid w:val="007D5148"/>
    <w:rsid w:val="007D51B9"/>
    <w:rsid w:val="007D5493"/>
    <w:rsid w:val="007D55E2"/>
    <w:rsid w:val="007D5662"/>
    <w:rsid w:val="007D56C8"/>
    <w:rsid w:val="007D56D8"/>
    <w:rsid w:val="007D592E"/>
    <w:rsid w:val="007D5C60"/>
    <w:rsid w:val="007D5D34"/>
    <w:rsid w:val="007D6357"/>
    <w:rsid w:val="007D64F0"/>
    <w:rsid w:val="007D6638"/>
    <w:rsid w:val="007D667E"/>
    <w:rsid w:val="007D6766"/>
    <w:rsid w:val="007D678B"/>
    <w:rsid w:val="007D68ED"/>
    <w:rsid w:val="007D6A1A"/>
    <w:rsid w:val="007D6B59"/>
    <w:rsid w:val="007D6BA8"/>
    <w:rsid w:val="007D6BBC"/>
    <w:rsid w:val="007D6ECF"/>
    <w:rsid w:val="007D6F1D"/>
    <w:rsid w:val="007D773D"/>
    <w:rsid w:val="007D77BC"/>
    <w:rsid w:val="007D7B07"/>
    <w:rsid w:val="007D7BCB"/>
    <w:rsid w:val="007D7C1B"/>
    <w:rsid w:val="007D7C83"/>
    <w:rsid w:val="007E01C9"/>
    <w:rsid w:val="007E0218"/>
    <w:rsid w:val="007E063B"/>
    <w:rsid w:val="007E0833"/>
    <w:rsid w:val="007E084D"/>
    <w:rsid w:val="007E0BC4"/>
    <w:rsid w:val="007E0D05"/>
    <w:rsid w:val="007E0D88"/>
    <w:rsid w:val="007E0E18"/>
    <w:rsid w:val="007E0FF7"/>
    <w:rsid w:val="007E10A0"/>
    <w:rsid w:val="007E15BC"/>
    <w:rsid w:val="007E16A4"/>
    <w:rsid w:val="007E17B0"/>
    <w:rsid w:val="007E1AF7"/>
    <w:rsid w:val="007E1B54"/>
    <w:rsid w:val="007E1C2F"/>
    <w:rsid w:val="007E2962"/>
    <w:rsid w:val="007E2B3F"/>
    <w:rsid w:val="007E300C"/>
    <w:rsid w:val="007E341F"/>
    <w:rsid w:val="007E3A63"/>
    <w:rsid w:val="007E3AE6"/>
    <w:rsid w:val="007E3B12"/>
    <w:rsid w:val="007E3B7C"/>
    <w:rsid w:val="007E3CB1"/>
    <w:rsid w:val="007E41F3"/>
    <w:rsid w:val="007E4260"/>
    <w:rsid w:val="007E428C"/>
    <w:rsid w:val="007E42A5"/>
    <w:rsid w:val="007E4351"/>
    <w:rsid w:val="007E4489"/>
    <w:rsid w:val="007E44EF"/>
    <w:rsid w:val="007E459B"/>
    <w:rsid w:val="007E479D"/>
    <w:rsid w:val="007E4D49"/>
    <w:rsid w:val="007E4D68"/>
    <w:rsid w:val="007E4D86"/>
    <w:rsid w:val="007E4E18"/>
    <w:rsid w:val="007E527F"/>
    <w:rsid w:val="007E531A"/>
    <w:rsid w:val="007E537D"/>
    <w:rsid w:val="007E5509"/>
    <w:rsid w:val="007E551D"/>
    <w:rsid w:val="007E56C6"/>
    <w:rsid w:val="007E580D"/>
    <w:rsid w:val="007E5C04"/>
    <w:rsid w:val="007E5C4C"/>
    <w:rsid w:val="007E5DBF"/>
    <w:rsid w:val="007E5F6C"/>
    <w:rsid w:val="007E613B"/>
    <w:rsid w:val="007E62FA"/>
    <w:rsid w:val="007E632F"/>
    <w:rsid w:val="007E6694"/>
    <w:rsid w:val="007E6944"/>
    <w:rsid w:val="007E6A85"/>
    <w:rsid w:val="007E6E59"/>
    <w:rsid w:val="007E6E98"/>
    <w:rsid w:val="007E6F51"/>
    <w:rsid w:val="007E6F60"/>
    <w:rsid w:val="007E7099"/>
    <w:rsid w:val="007E72B8"/>
    <w:rsid w:val="007E7326"/>
    <w:rsid w:val="007E7357"/>
    <w:rsid w:val="007E73C0"/>
    <w:rsid w:val="007E7438"/>
    <w:rsid w:val="007E744A"/>
    <w:rsid w:val="007E76F7"/>
    <w:rsid w:val="007E7D69"/>
    <w:rsid w:val="007E7D86"/>
    <w:rsid w:val="007E7DA2"/>
    <w:rsid w:val="007E7DDB"/>
    <w:rsid w:val="007E7F12"/>
    <w:rsid w:val="007F02F3"/>
    <w:rsid w:val="007F039A"/>
    <w:rsid w:val="007F0893"/>
    <w:rsid w:val="007F0DD2"/>
    <w:rsid w:val="007F0F93"/>
    <w:rsid w:val="007F103B"/>
    <w:rsid w:val="007F1128"/>
    <w:rsid w:val="007F11A9"/>
    <w:rsid w:val="007F13A0"/>
    <w:rsid w:val="007F145F"/>
    <w:rsid w:val="007F1669"/>
    <w:rsid w:val="007F1CF8"/>
    <w:rsid w:val="007F1D52"/>
    <w:rsid w:val="007F235B"/>
    <w:rsid w:val="007F2902"/>
    <w:rsid w:val="007F2AFC"/>
    <w:rsid w:val="007F2E84"/>
    <w:rsid w:val="007F2E99"/>
    <w:rsid w:val="007F2EED"/>
    <w:rsid w:val="007F2FC4"/>
    <w:rsid w:val="007F3010"/>
    <w:rsid w:val="007F3066"/>
    <w:rsid w:val="007F31A4"/>
    <w:rsid w:val="007F32C6"/>
    <w:rsid w:val="007F3305"/>
    <w:rsid w:val="007F3419"/>
    <w:rsid w:val="007F3505"/>
    <w:rsid w:val="007F3703"/>
    <w:rsid w:val="007F370C"/>
    <w:rsid w:val="007F3864"/>
    <w:rsid w:val="007F3B89"/>
    <w:rsid w:val="007F3BED"/>
    <w:rsid w:val="007F3C38"/>
    <w:rsid w:val="007F3C3C"/>
    <w:rsid w:val="007F444A"/>
    <w:rsid w:val="007F4608"/>
    <w:rsid w:val="007F4721"/>
    <w:rsid w:val="007F4788"/>
    <w:rsid w:val="007F48E0"/>
    <w:rsid w:val="007F4BF5"/>
    <w:rsid w:val="007F4C12"/>
    <w:rsid w:val="007F4E28"/>
    <w:rsid w:val="007F4F1D"/>
    <w:rsid w:val="007F5222"/>
    <w:rsid w:val="007F536E"/>
    <w:rsid w:val="007F546E"/>
    <w:rsid w:val="007F5702"/>
    <w:rsid w:val="007F5841"/>
    <w:rsid w:val="007F593E"/>
    <w:rsid w:val="007F598E"/>
    <w:rsid w:val="007F5D28"/>
    <w:rsid w:val="007F5DCD"/>
    <w:rsid w:val="007F5FF7"/>
    <w:rsid w:val="007F6083"/>
    <w:rsid w:val="007F62F9"/>
    <w:rsid w:val="007F6496"/>
    <w:rsid w:val="007F6561"/>
    <w:rsid w:val="007F6771"/>
    <w:rsid w:val="007F6B3E"/>
    <w:rsid w:val="007F6BB6"/>
    <w:rsid w:val="007F6E3C"/>
    <w:rsid w:val="007F6EF8"/>
    <w:rsid w:val="007F7082"/>
    <w:rsid w:val="007F719B"/>
    <w:rsid w:val="007F71D0"/>
    <w:rsid w:val="007F7385"/>
    <w:rsid w:val="007F7391"/>
    <w:rsid w:val="007F76C0"/>
    <w:rsid w:val="007F7987"/>
    <w:rsid w:val="007F7B5B"/>
    <w:rsid w:val="007F7E65"/>
    <w:rsid w:val="00800026"/>
    <w:rsid w:val="008003AE"/>
    <w:rsid w:val="00800A6C"/>
    <w:rsid w:val="008012A9"/>
    <w:rsid w:val="00801683"/>
    <w:rsid w:val="008018FC"/>
    <w:rsid w:val="00801B62"/>
    <w:rsid w:val="00801D84"/>
    <w:rsid w:val="00801EEA"/>
    <w:rsid w:val="00801F3C"/>
    <w:rsid w:val="00801FE8"/>
    <w:rsid w:val="00802132"/>
    <w:rsid w:val="00802134"/>
    <w:rsid w:val="008022DB"/>
    <w:rsid w:val="0080235C"/>
    <w:rsid w:val="00802594"/>
    <w:rsid w:val="008025A4"/>
    <w:rsid w:val="00802631"/>
    <w:rsid w:val="00802EF6"/>
    <w:rsid w:val="00802F22"/>
    <w:rsid w:val="00803098"/>
    <w:rsid w:val="00803114"/>
    <w:rsid w:val="008032DF"/>
    <w:rsid w:val="0080332B"/>
    <w:rsid w:val="008033B9"/>
    <w:rsid w:val="0080359A"/>
    <w:rsid w:val="008036B1"/>
    <w:rsid w:val="008037E8"/>
    <w:rsid w:val="008039B1"/>
    <w:rsid w:val="00803A8F"/>
    <w:rsid w:val="00803B1E"/>
    <w:rsid w:val="00803C37"/>
    <w:rsid w:val="00803F3B"/>
    <w:rsid w:val="00804602"/>
    <w:rsid w:val="008046E7"/>
    <w:rsid w:val="00804A6D"/>
    <w:rsid w:val="0080502A"/>
    <w:rsid w:val="00805488"/>
    <w:rsid w:val="00805ED4"/>
    <w:rsid w:val="00805F59"/>
    <w:rsid w:val="008060CA"/>
    <w:rsid w:val="008061B5"/>
    <w:rsid w:val="0080634D"/>
    <w:rsid w:val="008063EA"/>
    <w:rsid w:val="0080665E"/>
    <w:rsid w:val="008066E9"/>
    <w:rsid w:val="0080693F"/>
    <w:rsid w:val="00806AF6"/>
    <w:rsid w:val="00806EF2"/>
    <w:rsid w:val="00807022"/>
    <w:rsid w:val="008072B6"/>
    <w:rsid w:val="008072D5"/>
    <w:rsid w:val="008074A2"/>
    <w:rsid w:val="008076D1"/>
    <w:rsid w:val="0080794E"/>
    <w:rsid w:val="00807A66"/>
    <w:rsid w:val="00807C10"/>
    <w:rsid w:val="00807FA1"/>
    <w:rsid w:val="008100B9"/>
    <w:rsid w:val="00810377"/>
    <w:rsid w:val="00810382"/>
    <w:rsid w:val="008107C6"/>
    <w:rsid w:val="008108AD"/>
    <w:rsid w:val="008109D3"/>
    <w:rsid w:val="00810BDF"/>
    <w:rsid w:val="0081108F"/>
    <w:rsid w:val="008114BA"/>
    <w:rsid w:val="0081155D"/>
    <w:rsid w:val="00811AD4"/>
    <w:rsid w:val="00811D4D"/>
    <w:rsid w:val="00812139"/>
    <w:rsid w:val="008122FD"/>
    <w:rsid w:val="00812368"/>
    <w:rsid w:val="0081260E"/>
    <w:rsid w:val="0081262C"/>
    <w:rsid w:val="008126F1"/>
    <w:rsid w:val="008127DB"/>
    <w:rsid w:val="0081280B"/>
    <w:rsid w:val="0081283B"/>
    <w:rsid w:val="00812977"/>
    <w:rsid w:val="00812B5A"/>
    <w:rsid w:val="00812CC9"/>
    <w:rsid w:val="00812E58"/>
    <w:rsid w:val="00813186"/>
    <w:rsid w:val="00813254"/>
    <w:rsid w:val="008138B2"/>
    <w:rsid w:val="008139C1"/>
    <w:rsid w:val="00813AAB"/>
    <w:rsid w:val="00813F32"/>
    <w:rsid w:val="00813FCC"/>
    <w:rsid w:val="00814036"/>
    <w:rsid w:val="0081408A"/>
    <w:rsid w:val="00814128"/>
    <w:rsid w:val="00814274"/>
    <w:rsid w:val="0081444B"/>
    <w:rsid w:val="00814535"/>
    <w:rsid w:val="00814731"/>
    <w:rsid w:val="00814867"/>
    <w:rsid w:val="00814995"/>
    <w:rsid w:val="008149D5"/>
    <w:rsid w:val="00814AB4"/>
    <w:rsid w:val="00814FBA"/>
    <w:rsid w:val="00814FE8"/>
    <w:rsid w:val="008150B9"/>
    <w:rsid w:val="008150D6"/>
    <w:rsid w:val="00815295"/>
    <w:rsid w:val="0081534D"/>
    <w:rsid w:val="008154CB"/>
    <w:rsid w:val="008157AA"/>
    <w:rsid w:val="00815AA7"/>
    <w:rsid w:val="00816373"/>
    <w:rsid w:val="008163D2"/>
    <w:rsid w:val="0081657A"/>
    <w:rsid w:val="008165BD"/>
    <w:rsid w:val="008168C3"/>
    <w:rsid w:val="00816B5D"/>
    <w:rsid w:val="00816C50"/>
    <w:rsid w:val="00816D32"/>
    <w:rsid w:val="00816D4D"/>
    <w:rsid w:val="00816DC7"/>
    <w:rsid w:val="0081713B"/>
    <w:rsid w:val="008171FE"/>
    <w:rsid w:val="008172A2"/>
    <w:rsid w:val="008172DE"/>
    <w:rsid w:val="00817310"/>
    <w:rsid w:val="00817354"/>
    <w:rsid w:val="00817761"/>
    <w:rsid w:val="008178BA"/>
    <w:rsid w:val="00817D91"/>
    <w:rsid w:val="00817DB2"/>
    <w:rsid w:val="00817FCD"/>
    <w:rsid w:val="008201A1"/>
    <w:rsid w:val="0082032C"/>
    <w:rsid w:val="00820767"/>
    <w:rsid w:val="008207CE"/>
    <w:rsid w:val="0082096F"/>
    <w:rsid w:val="00820D68"/>
    <w:rsid w:val="00821032"/>
    <w:rsid w:val="0082112B"/>
    <w:rsid w:val="008211E9"/>
    <w:rsid w:val="00821202"/>
    <w:rsid w:val="00821808"/>
    <w:rsid w:val="008218FC"/>
    <w:rsid w:val="00821B5F"/>
    <w:rsid w:val="00821D68"/>
    <w:rsid w:val="00822210"/>
    <w:rsid w:val="00822624"/>
    <w:rsid w:val="00822676"/>
    <w:rsid w:val="00822B45"/>
    <w:rsid w:val="00822BE0"/>
    <w:rsid w:val="00822C19"/>
    <w:rsid w:val="00822E17"/>
    <w:rsid w:val="0082306F"/>
    <w:rsid w:val="0082313F"/>
    <w:rsid w:val="0082321B"/>
    <w:rsid w:val="008232C3"/>
    <w:rsid w:val="008234BD"/>
    <w:rsid w:val="00823927"/>
    <w:rsid w:val="008239C8"/>
    <w:rsid w:val="00823DA1"/>
    <w:rsid w:val="00823DF5"/>
    <w:rsid w:val="00823E95"/>
    <w:rsid w:val="00824064"/>
    <w:rsid w:val="0082430F"/>
    <w:rsid w:val="008245BF"/>
    <w:rsid w:val="0082466D"/>
    <w:rsid w:val="008246C5"/>
    <w:rsid w:val="00824A8B"/>
    <w:rsid w:val="00824BFE"/>
    <w:rsid w:val="00824D84"/>
    <w:rsid w:val="00824E57"/>
    <w:rsid w:val="00824F73"/>
    <w:rsid w:val="00825D9C"/>
    <w:rsid w:val="00825F04"/>
    <w:rsid w:val="0082635D"/>
    <w:rsid w:val="008265CD"/>
    <w:rsid w:val="008265E9"/>
    <w:rsid w:val="00826763"/>
    <w:rsid w:val="008268DA"/>
    <w:rsid w:val="00826A64"/>
    <w:rsid w:val="00826B21"/>
    <w:rsid w:val="00826F1D"/>
    <w:rsid w:val="00826F7D"/>
    <w:rsid w:val="008270FB"/>
    <w:rsid w:val="00827293"/>
    <w:rsid w:val="008272C8"/>
    <w:rsid w:val="00827430"/>
    <w:rsid w:val="008274A3"/>
    <w:rsid w:val="0082790F"/>
    <w:rsid w:val="00827FC3"/>
    <w:rsid w:val="00830233"/>
    <w:rsid w:val="0083059E"/>
    <w:rsid w:val="00830632"/>
    <w:rsid w:val="008306C4"/>
    <w:rsid w:val="0083074F"/>
    <w:rsid w:val="008307DF"/>
    <w:rsid w:val="008311F5"/>
    <w:rsid w:val="00831219"/>
    <w:rsid w:val="0083124B"/>
    <w:rsid w:val="00831814"/>
    <w:rsid w:val="008318CC"/>
    <w:rsid w:val="0083198F"/>
    <w:rsid w:val="00831B47"/>
    <w:rsid w:val="00831C34"/>
    <w:rsid w:val="00831F6E"/>
    <w:rsid w:val="008323F1"/>
    <w:rsid w:val="0083285E"/>
    <w:rsid w:val="00832988"/>
    <w:rsid w:val="00832A8C"/>
    <w:rsid w:val="00832AE6"/>
    <w:rsid w:val="00832B8C"/>
    <w:rsid w:val="00832BA9"/>
    <w:rsid w:val="00832DDA"/>
    <w:rsid w:val="00832E27"/>
    <w:rsid w:val="00832F55"/>
    <w:rsid w:val="0083306C"/>
    <w:rsid w:val="0083333C"/>
    <w:rsid w:val="00833961"/>
    <w:rsid w:val="00833AB0"/>
    <w:rsid w:val="00833B16"/>
    <w:rsid w:val="00833B30"/>
    <w:rsid w:val="00833BCF"/>
    <w:rsid w:val="00833BD0"/>
    <w:rsid w:val="00833E95"/>
    <w:rsid w:val="00833F8D"/>
    <w:rsid w:val="008340B3"/>
    <w:rsid w:val="008343E9"/>
    <w:rsid w:val="008345AE"/>
    <w:rsid w:val="00834615"/>
    <w:rsid w:val="00834620"/>
    <w:rsid w:val="00834782"/>
    <w:rsid w:val="008349B7"/>
    <w:rsid w:val="00834BFD"/>
    <w:rsid w:val="00835018"/>
    <w:rsid w:val="008353BB"/>
    <w:rsid w:val="0083561B"/>
    <w:rsid w:val="00835708"/>
    <w:rsid w:val="0083582A"/>
    <w:rsid w:val="00835A76"/>
    <w:rsid w:val="00835B54"/>
    <w:rsid w:val="00835C9F"/>
    <w:rsid w:val="00835CCB"/>
    <w:rsid w:val="00835E25"/>
    <w:rsid w:val="00836153"/>
    <w:rsid w:val="00836699"/>
    <w:rsid w:val="00836C3C"/>
    <w:rsid w:val="00836E21"/>
    <w:rsid w:val="00836F14"/>
    <w:rsid w:val="0083706B"/>
    <w:rsid w:val="00837091"/>
    <w:rsid w:val="00837458"/>
    <w:rsid w:val="0083747C"/>
    <w:rsid w:val="008377B2"/>
    <w:rsid w:val="008378A7"/>
    <w:rsid w:val="00837906"/>
    <w:rsid w:val="00837EB4"/>
    <w:rsid w:val="008402CE"/>
    <w:rsid w:val="00840B14"/>
    <w:rsid w:val="00840E75"/>
    <w:rsid w:val="00840F12"/>
    <w:rsid w:val="00841111"/>
    <w:rsid w:val="0084142F"/>
    <w:rsid w:val="00841799"/>
    <w:rsid w:val="008418C1"/>
    <w:rsid w:val="0084193C"/>
    <w:rsid w:val="00841ABB"/>
    <w:rsid w:val="00841D3E"/>
    <w:rsid w:val="0084212F"/>
    <w:rsid w:val="008422EE"/>
    <w:rsid w:val="00842393"/>
    <w:rsid w:val="0084262B"/>
    <w:rsid w:val="00842637"/>
    <w:rsid w:val="0084270B"/>
    <w:rsid w:val="00842790"/>
    <w:rsid w:val="00842AB6"/>
    <w:rsid w:val="00842BB9"/>
    <w:rsid w:val="00842BD5"/>
    <w:rsid w:val="00842DAB"/>
    <w:rsid w:val="00842E8B"/>
    <w:rsid w:val="00842F0B"/>
    <w:rsid w:val="008430F1"/>
    <w:rsid w:val="008436FD"/>
    <w:rsid w:val="00843A37"/>
    <w:rsid w:val="00843AB4"/>
    <w:rsid w:val="00843DEB"/>
    <w:rsid w:val="00843E0E"/>
    <w:rsid w:val="00843EB1"/>
    <w:rsid w:val="008441E5"/>
    <w:rsid w:val="008441FF"/>
    <w:rsid w:val="00844200"/>
    <w:rsid w:val="008445A6"/>
    <w:rsid w:val="00844743"/>
    <w:rsid w:val="00844785"/>
    <w:rsid w:val="00844850"/>
    <w:rsid w:val="00844A6C"/>
    <w:rsid w:val="00844D03"/>
    <w:rsid w:val="00844DBE"/>
    <w:rsid w:val="00844F31"/>
    <w:rsid w:val="00844F4A"/>
    <w:rsid w:val="00845105"/>
    <w:rsid w:val="008454F5"/>
    <w:rsid w:val="00845532"/>
    <w:rsid w:val="00845799"/>
    <w:rsid w:val="00845820"/>
    <w:rsid w:val="008458F2"/>
    <w:rsid w:val="00845AAC"/>
    <w:rsid w:val="00845C89"/>
    <w:rsid w:val="00845FED"/>
    <w:rsid w:val="00846111"/>
    <w:rsid w:val="008468DC"/>
    <w:rsid w:val="00846D37"/>
    <w:rsid w:val="00847052"/>
    <w:rsid w:val="0084706C"/>
    <w:rsid w:val="0084737B"/>
    <w:rsid w:val="008474B6"/>
    <w:rsid w:val="008474EB"/>
    <w:rsid w:val="0084788E"/>
    <w:rsid w:val="008478D4"/>
    <w:rsid w:val="00847B37"/>
    <w:rsid w:val="00847CC4"/>
    <w:rsid w:val="00847D61"/>
    <w:rsid w:val="00847EDF"/>
    <w:rsid w:val="00847F93"/>
    <w:rsid w:val="00847F9E"/>
    <w:rsid w:val="0085020B"/>
    <w:rsid w:val="008502B1"/>
    <w:rsid w:val="0085033E"/>
    <w:rsid w:val="00850443"/>
    <w:rsid w:val="008504E9"/>
    <w:rsid w:val="00850528"/>
    <w:rsid w:val="0085063B"/>
    <w:rsid w:val="008507CC"/>
    <w:rsid w:val="00850B12"/>
    <w:rsid w:val="00850BDC"/>
    <w:rsid w:val="0085106D"/>
    <w:rsid w:val="00851122"/>
    <w:rsid w:val="008514C8"/>
    <w:rsid w:val="00851574"/>
    <w:rsid w:val="008517DC"/>
    <w:rsid w:val="00851924"/>
    <w:rsid w:val="0085198D"/>
    <w:rsid w:val="008519CB"/>
    <w:rsid w:val="00851E81"/>
    <w:rsid w:val="00851FAD"/>
    <w:rsid w:val="0085206B"/>
    <w:rsid w:val="00852147"/>
    <w:rsid w:val="00852220"/>
    <w:rsid w:val="008524A8"/>
    <w:rsid w:val="00852536"/>
    <w:rsid w:val="00852562"/>
    <w:rsid w:val="008525ED"/>
    <w:rsid w:val="00852B40"/>
    <w:rsid w:val="00852BCE"/>
    <w:rsid w:val="00852C60"/>
    <w:rsid w:val="00852DBF"/>
    <w:rsid w:val="00853385"/>
    <w:rsid w:val="008533DA"/>
    <w:rsid w:val="008535DF"/>
    <w:rsid w:val="008536A0"/>
    <w:rsid w:val="0085377D"/>
    <w:rsid w:val="00853895"/>
    <w:rsid w:val="00853BF0"/>
    <w:rsid w:val="00853DBF"/>
    <w:rsid w:val="00853E74"/>
    <w:rsid w:val="00853F2F"/>
    <w:rsid w:val="00854081"/>
    <w:rsid w:val="008544EA"/>
    <w:rsid w:val="008545A3"/>
    <w:rsid w:val="00854A89"/>
    <w:rsid w:val="00854B2A"/>
    <w:rsid w:val="00854C6F"/>
    <w:rsid w:val="0085508F"/>
    <w:rsid w:val="008551B4"/>
    <w:rsid w:val="0085521A"/>
    <w:rsid w:val="008553E5"/>
    <w:rsid w:val="0085580B"/>
    <w:rsid w:val="00855882"/>
    <w:rsid w:val="00855A58"/>
    <w:rsid w:val="00855B52"/>
    <w:rsid w:val="00855B76"/>
    <w:rsid w:val="00855EE6"/>
    <w:rsid w:val="008561F4"/>
    <w:rsid w:val="008567EC"/>
    <w:rsid w:val="0085696B"/>
    <w:rsid w:val="00856B32"/>
    <w:rsid w:val="00856DF3"/>
    <w:rsid w:val="00856FE9"/>
    <w:rsid w:val="00857265"/>
    <w:rsid w:val="008572BD"/>
    <w:rsid w:val="0085792E"/>
    <w:rsid w:val="00857E35"/>
    <w:rsid w:val="00860414"/>
    <w:rsid w:val="008605CA"/>
    <w:rsid w:val="00860BB2"/>
    <w:rsid w:val="00860F2C"/>
    <w:rsid w:val="00861851"/>
    <w:rsid w:val="008618F1"/>
    <w:rsid w:val="00861A0B"/>
    <w:rsid w:val="00861E24"/>
    <w:rsid w:val="00861EEF"/>
    <w:rsid w:val="00861FAB"/>
    <w:rsid w:val="00862AFB"/>
    <w:rsid w:val="00862BD9"/>
    <w:rsid w:val="00862C55"/>
    <w:rsid w:val="00862C5C"/>
    <w:rsid w:val="00862D22"/>
    <w:rsid w:val="00862D80"/>
    <w:rsid w:val="00862E44"/>
    <w:rsid w:val="00863255"/>
    <w:rsid w:val="00863368"/>
    <w:rsid w:val="008634AD"/>
    <w:rsid w:val="00863533"/>
    <w:rsid w:val="008636D3"/>
    <w:rsid w:val="00863937"/>
    <w:rsid w:val="0086394B"/>
    <w:rsid w:val="00863CD4"/>
    <w:rsid w:val="00863D5D"/>
    <w:rsid w:val="008642A0"/>
    <w:rsid w:val="0086447D"/>
    <w:rsid w:val="00864A3B"/>
    <w:rsid w:val="008652E2"/>
    <w:rsid w:val="00865352"/>
    <w:rsid w:val="0086558C"/>
    <w:rsid w:val="00865A68"/>
    <w:rsid w:val="00865BA1"/>
    <w:rsid w:val="00866016"/>
    <w:rsid w:val="00866514"/>
    <w:rsid w:val="0086656C"/>
    <w:rsid w:val="00867016"/>
    <w:rsid w:val="00867211"/>
    <w:rsid w:val="008676A4"/>
    <w:rsid w:val="008676B4"/>
    <w:rsid w:val="00867715"/>
    <w:rsid w:val="00867973"/>
    <w:rsid w:val="00867D04"/>
    <w:rsid w:val="00867F3E"/>
    <w:rsid w:val="0087001D"/>
    <w:rsid w:val="0087022F"/>
    <w:rsid w:val="0087032D"/>
    <w:rsid w:val="00870589"/>
    <w:rsid w:val="0087096D"/>
    <w:rsid w:val="00870C07"/>
    <w:rsid w:val="00870E85"/>
    <w:rsid w:val="00870FF1"/>
    <w:rsid w:val="00870FF9"/>
    <w:rsid w:val="00871B5D"/>
    <w:rsid w:val="00871FC1"/>
    <w:rsid w:val="008724EF"/>
    <w:rsid w:val="0087269E"/>
    <w:rsid w:val="008728F0"/>
    <w:rsid w:val="0087297F"/>
    <w:rsid w:val="008729B4"/>
    <w:rsid w:val="00872A87"/>
    <w:rsid w:val="00872C48"/>
    <w:rsid w:val="00872D9E"/>
    <w:rsid w:val="00872EEA"/>
    <w:rsid w:val="00873010"/>
    <w:rsid w:val="00873053"/>
    <w:rsid w:val="008730CC"/>
    <w:rsid w:val="00873126"/>
    <w:rsid w:val="008732D1"/>
    <w:rsid w:val="00873960"/>
    <w:rsid w:val="008739A6"/>
    <w:rsid w:val="00873A4C"/>
    <w:rsid w:val="00873B0B"/>
    <w:rsid w:val="00873B45"/>
    <w:rsid w:val="00873FF7"/>
    <w:rsid w:val="008742AB"/>
    <w:rsid w:val="0087434B"/>
    <w:rsid w:val="00874873"/>
    <w:rsid w:val="00874882"/>
    <w:rsid w:val="008748F0"/>
    <w:rsid w:val="008749B2"/>
    <w:rsid w:val="008749B5"/>
    <w:rsid w:val="00874B5C"/>
    <w:rsid w:val="00874C87"/>
    <w:rsid w:val="00874E0C"/>
    <w:rsid w:val="00875227"/>
    <w:rsid w:val="008752D5"/>
    <w:rsid w:val="00875439"/>
    <w:rsid w:val="00875549"/>
    <w:rsid w:val="008756CB"/>
    <w:rsid w:val="0087572C"/>
    <w:rsid w:val="00875898"/>
    <w:rsid w:val="008758B7"/>
    <w:rsid w:val="008758C2"/>
    <w:rsid w:val="008758C4"/>
    <w:rsid w:val="00875A57"/>
    <w:rsid w:val="00875C73"/>
    <w:rsid w:val="00875DDF"/>
    <w:rsid w:val="00876141"/>
    <w:rsid w:val="00876459"/>
    <w:rsid w:val="00876515"/>
    <w:rsid w:val="0087696B"/>
    <w:rsid w:val="00876BDC"/>
    <w:rsid w:val="00876DD5"/>
    <w:rsid w:val="008771C3"/>
    <w:rsid w:val="008771DC"/>
    <w:rsid w:val="0087741F"/>
    <w:rsid w:val="0087758F"/>
    <w:rsid w:val="00877722"/>
    <w:rsid w:val="00877C2F"/>
    <w:rsid w:val="00880016"/>
    <w:rsid w:val="0088015A"/>
    <w:rsid w:val="00880433"/>
    <w:rsid w:val="00880565"/>
    <w:rsid w:val="00880632"/>
    <w:rsid w:val="00880842"/>
    <w:rsid w:val="00880B71"/>
    <w:rsid w:val="00880BFD"/>
    <w:rsid w:val="00880ECA"/>
    <w:rsid w:val="00881100"/>
    <w:rsid w:val="00881375"/>
    <w:rsid w:val="00881463"/>
    <w:rsid w:val="008818B6"/>
    <w:rsid w:val="008818F7"/>
    <w:rsid w:val="00881B4B"/>
    <w:rsid w:val="00881C1B"/>
    <w:rsid w:val="00881D22"/>
    <w:rsid w:val="00881D60"/>
    <w:rsid w:val="00881EE0"/>
    <w:rsid w:val="0088211A"/>
    <w:rsid w:val="00882231"/>
    <w:rsid w:val="00882287"/>
    <w:rsid w:val="00882778"/>
    <w:rsid w:val="00882829"/>
    <w:rsid w:val="00882847"/>
    <w:rsid w:val="00882857"/>
    <w:rsid w:val="0088294E"/>
    <w:rsid w:val="00882A84"/>
    <w:rsid w:val="00882A96"/>
    <w:rsid w:val="00882B34"/>
    <w:rsid w:val="00882CBE"/>
    <w:rsid w:val="00882D81"/>
    <w:rsid w:val="00882EBA"/>
    <w:rsid w:val="00882FC0"/>
    <w:rsid w:val="00883009"/>
    <w:rsid w:val="008830EB"/>
    <w:rsid w:val="00883B5D"/>
    <w:rsid w:val="00883CB3"/>
    <w:rsid w:val="00883F7F"/>
    <w:rsid w:val="00883FE2"/>
    <w:rsid w:val="00884134"/>
    <w:rsid w:val="00884971"/>
    <w:rsid w:val="00884A7D"/>
    <w:rsid w:val="00884AEE"/>
    <w:rsid w:val="00884E0C"/>
    <w:rsid w:val="00884FEA"/>
    <w:rsid w:val="00885459"/>
    <w:rsid w:val="008855D4"/>
    <w:rsid w:val="008858E5"/>
    <w:rsid w:val="00885F89"/>
    <w:rsid w:val="0088634E"/>
    <w:rsid w:val="008863B4"/>
    <w:rsid w:val="008863F4"/>
    <w:rsid w:val="008865B6"/>
    <w:rsid w:val="00886699"/>
    <w:rsid w:val="00886A57"/>
    <w:rsid w:val="00886ACA"/>
    <w:rsid w:val="00886AE3"/>
    <w:rsid w:val="00886F83"/>
    <w:rsid w:val="00886F8C"/>
    <w:rsid w:val="00887110"/>
    <w:rsid w:val="00887301"/>
    <w:rsid w:val="008873D4"/>
    <w:rsid w:val="008875E1"/>
    <w:rsid w:val="00887A1F"/>
    <w:rsid w:val="00887CD0"/>
    <w:rsid w:val="00887CE7"/>
    <w:rsid w:val="00887F32"/>
    <w:rsid w:val="008901D1"/>
    <w:rsid w:val="00890397"/>
    <w:rsid w:val="008903CC"/>
    <w:rsid w:val="008904DF"/>
    <w:rsid w:val="00890698"/>
    <w:rsid w:val="00890857"/>
    <w:rsid w:val="00890989"/>
    <w:rsid w:val="00890A86"/>
    <w:rsid w:val="00890D69"/>
    <w:rsid w:val="0089103D"/>
    <w:rsid w:val="008910B5"/>
    <w:rsid w:val="00891576"/>
    <w:rsid w:val="0089183C"/>
    <w:rsid w:val="00891949"/>
    <w:rsid w:val="00891B0C"/>
    <w:rsid w:val="00892216"/>
    <w:rsid w:val="0089247E"/>
    <w:rsid w:val="008925CF"/>
    <w:rsid w:val="0089265A"/>
    <w:rsid w:val="008926C1"/>
    <w:rsid w:val="008926E0"/>
    <w:rsid w:val="00892940"/>
    <w:rsid w:val="00892C87"/>
    <w:rsid w:val="00892D4F"/>
    <w:rsid w:val="00892DD0"/>
    <w:rsid w:val="00892F9A"/>
    <w:rsid w:val="0089342A"/>
    <w:rsid w:val="0089378A"/>
    <w:rsid w:val="00893A80"/>
    <w:rsid w:val="00893B00"/>
    <w:rsid w:val="00893CE6"/>
    <w:rsid w:val="00893D8A"/>
    <w:rsid w:val="00893DC9"/>
    <w:rsid w:val="008944E2"/>
    <w:rsid w:val="00894547"/>
    <w:rsid w:val="008945C9"/>
    <w:rsid w:val="00894770"/>
    <w:rsid w:val="00894821"/>
    <w:rsid w:val="00894832"/>
    <w:rsid w:val="00894865"/>
    <w:rsid w:val="00894C18"/>
    <w:rsid w:val="00894CE0"/>
    <w:rsid w:val="00894D44"/>
    <w:rsid w:val="00894F21"/>
    <w:rsid w:val="008950B9"/>
    <w:rsid w:val="0089533A"/>
    <w:rsid w:val="0089536D"/>
    <w:rsid w:val="0089538F"/>
    <w:rsid w:val="0089579D"/>
    <w:rsid w:val="00895A18"/>
    <w:rsid w:val="00895D7A"/>
    <w:rsid w:val="00895EC7"/>
    <w:rsid w:val="008961A3"/>
    <w:rsid w:val="008961E3"/>
    <w:rsid w:val="00896499"/>
    <w:rsid w:val="0089675B"/>
    <w:rsid w:val="008968E9"/>
    <w:rsid w:val="0089699D"/>
    <w:rsid w:val="00896E2D"/>
    <w:rsid w:val="00897031"/>
    <w:rsid w:val="00897224"/>
    <w:rsid w:val="008974BA"/>
    <w:rsid w:val="008974F2"/>
    <w:rsid w:val="00897567"/>
    <w:rsid w:val="008A0249"/>
    <w:rsid w:val="008A02D4"/>
    <w:rsid w:val="008A06F7"/>
    <w:rsid w:val="008A0937"/>
    <w:rsid w:val="008A0C99"/>
    <w:rsid w:val="008A0D65"/>
    <w:rsid w:val="008A0F6E"/>
    <w:rsid w:val="008A1623"/>
    <w:rsid w:val="008A1B40"/>
    <w:rsid w:val="008A1C32"/>
    <w:rsid w:val="008A1D8D"/>
    <w:rsid w:val="008A221B"/>
    <w:rsid w:val="008A22F5"/>
    <w:rsid w:val="008A2511"/>
    <w:rsid w:val="008A2B25"/>
    <w:rsid w:val="008A2B54"/>
    <w:rsid w:val="008A2CD7"/>
    <w:rsid w:val="008A2CDF"/>
    <w:rsid w:val="008A2EE9"/>
    <w:rsid w:val="008A3267"/>
    <w:rsid w:val="008A33EB"/>
    <w:rsid w:val="008A34A4"/>
    <w:rsid w:val="008A35B2"/>
    <w:rsid w:val="008A3627"/>
    <w:rsid w:val="008A3900"/>
    <w:rsid w:val="008A396B"/>
    <w:rsid w:val="008A3E52"/>
    <w:rsid w:val="008A403C"/>
    <w:rsid w:val="008A40F9"/>
    <w:rsid w:val="008A42DB"/>
    <w:rsid w:val="008A4774"/>
    <w:rsid w:val="008A4A71"/>
    <w:rsid w:val="008A4D2A"/>
    <w:rsid w:val="008A4E3C"/>
    <w:rsid w:val="008A4FE2"/>
    <w:rsid w:val="008A5435"/>
    <w:rsid w:val="008A55C5"/>
    <w:rsid w:val="008A56B3"/>
    <w:rsid w:val="008A5B0F"/>
    <w:rsid w:val="008A5C31"/>
    <w:rsid w:val="008A5C8C"/>
    <w:rsid w:val="008A60DE"/>
    <w:rsid w:val="008A61BC"/>
    <w:rsid w:val="008A622D"/>
    <w:rsid w:val="008A6378"/>
    <w:rsid w:val="008A649E"/>
    <w:rsid w:val="008A6501"/>
    <w:rsid w:val="008A65A0"/>
    <w:rsid w:val="008A6691"/>
    <w:rsid w:val="008A6776"/>
    <w:rsid w:val="008A6A11"/>
    <w:rsid w:val="008A6D75"/>
    <w:rsid w:val="008A6F77"/>
    <w:rsid w:val="008A733E"/>
    <w:rsid w:val="008A7773"/>
    <w:rsid w:val="008A77FF"/>
    <w:rsid w:val="008A7896"/>
    <w:rsid w:val="008A7B76"/>
    <w:rsid w:val="008A7DFE"/>
    <w:rsid w:val="008A7E1C"/>
    <w:rsid w:val="008B03F0"/>
    <w:rsid w:val="008B0566"/>
    <w:rsid w:val="008B065C"/>
    <w:rsid w:val="008B067E"/>
    <w:rsid w:val="008B0B77"/>
    <w:rsid w:val="008B11D2"/>
    <w:rsid w:val="008B1368"/>
    <w:rsid w:val="008B16CC"/>
    <w:rsid w:val="008B1985"/>
    <w:rsid w:val="008B1C99"/>
    <w:rsid w:val="008B1E12"/>
    <w:rsid w:val="008B1EDB"/>
    <w:rsid w:val="008B2747"/>
    <w:rsid w:val="008B29C5"/>
    <w:rsid w:val="008B2AA6"/>
    <w:rsid w:val="008B2AB4"/>
    <w:rsid w:val="008B2D01"/>
    <w:rsid w:val="008B2DBF"/>
    <w:rsid w:val="008B2F81"/>
    <w:rsid w:val="008B33CA"/>
    <w:rsid w:val="008B3492"/>
    <w:rsid w:val="008B3527"/>
    <w:rsid w:val="008B3641"/>
    <w:rsid w:val="008B37E9"/>
    <w:rsid w:val="008B37F2"/>
    <w:rsid w:val="008B3E1A"/>
    <w:rsid w:val="008B4473"/>
    <w:rsid w:val="008B4475"/>
    <w:rsid w:val="008B44D5"/>
    <w:rsid w:val="008B4531"/>
    <w:rsid w:val="008B4A0C"/>
    <w:rsid w:val="008B4B45"/>
    <w:rsid w:val="008B4C20"/>
    <w:rsid w:val="008B4D85"/>
    <w:rsid w:val="008B4E48"/>
    <w:rsid w:val="008B4EEB"/>
    <w:rsid w:val="008B4F1A"/>
    <w:rsid w:val="008B4F5B"/>
    <w:rsid w:val="008B5271"/>
    <w:rsid w:val="008B52CB"/>
    <w:rsid w:val="008B53CB"/>
    <w:rsid w:val="008B54BF"/>
    <w:rsid w:val="008B54DC"/>
    <w:rsid w:val="008B5B09"/>
    <w:rsid w:val="008B5B10"/>
    <w:rsid w:val="008B5BC3"/>
    <w:rsid w:val="008B5F8B"/>
    <w:rsid w:val="008B634B"/>
    <w:rsid w:val="008B6400"/>
    <w:rsid w:val="008B64D6"/>
    <w:rsid w:val="008B6708"/>
    <w:rsid w:val="008B67FC"/>
    <w:rsid w:val="008B681C"/>
    <w:rsid w:val="008B6879"/>
    <w:rsid w:val="008B6A17"/>
    <w:rsid w:val="008B6B0A"/>
    <w:rsid w:val="008B6C15"/>
    <w:rsid w:val="008B6F98"/>
    <w:rsid w:val="008B7110"/>
    <w:rsid w:val="008B7641"/>
    <w:rsid w:val="008B797C"/>
    <w:rsid w:val="008B797E"/>
    <w:rsid w:val="008B7A7F"/>
    <w:rsid w:val="008B7E84"/>
    <w:rsid w:val="008C047F"/>
    <w:rsid w:val="008C0846"/>
    <w:rsid w:val="008C08EC"/>
    <w:rsid w:val="008C0BE2"/>
    <w:rsid w:val="008C0D0C"/>
    <w:rsid w:val="008C0F6B"/>
    <w:rsid w:val="008C1032"/>
    <w:rsid w:val="008C1220"/>
    <w:rsid w:val="008C12F9"/>
    <w:rsid w:val="008C1354"/>
    <w:rsid w:val="008C142E"/>
    <w:rsid w:val="008C16F9"/>
    <w:rsid w:val="008C18C1"/>
    <w:rsid w:val="008C1C00"/>
    <w:rsid w:val="008C1EB7"/>
    <w:rsid w:val="008C1F30"/>
    <w:rsid w:val="008C2207"/>
    <w:rsid w:val="008C22D0"/>
    <w:rsid w:val="008C22FF"/>
    <w:rsid w:val="008C275B"/>
    <w:rsid w:val="008C2FC2"/>
    <w:rsid w:val="008C2FE1"/>
    <w:rsid w:val="008C30DF"/>
    <w:rsid w:val="008C3226"/>
    <w:rsid w:val="008C3291"/>
    <w:rsid w:val="008C341F"/>
    <w:rsid w:val="008C3591"/>
    <w:rsid w:val="008C3EA4"/>
    <w:rsid w:val="008C426F"/>
    <w:rsid w:val="008C4872"/>
    <w:rsid w:val="008C4E1E"/>
    <w:rsid w:val="008C4F56"/>
    <w:rsid w:val="008C4F76"/>
    <w:rsid w:val="008C505F"/>
    <w:rsid w:val="008C50F7"/>
    <w:rsid w:val="008C52A3"/>
    <w:rsid w:val="008C5373"/>
    <w:rsid w:val="008C56B9"/>
    <w:rsid w:val="008C5811"/>
    <w:rsid w:val="008C58A8"/>
    <w:rsid w:val="008C58D8"/>
    <w:rsid w:val="008C5D09"/>
    <w:rsid w:val="008C5FF4"/>
    <w:rsid w:val="008C60B3"/>
    <w:rsid w:val="008C60F5"/>
    <w:rsid w:val="008C6111"/>
    <w:rsid w:val="008C63A1"/>
    <w:rsid w:val="008C6590"/>
    <w:rsid w:val="008C66B6"/>
    <w:rsid w:val="008C69F2"/>
    <w:rsid w:val="008C6F42"/>
    <w:rsid w:val="008C7179"/>
    <w:rsid w:val="008C767B"/>
    <w:rsid w:val="008C7854"/>
    <w:rsid w:val="008C7959"/>
    <w:rsid w:val="008C7B97"/>
    <w:rsid w:val="008C7D60"/>
    <w:rsid w:val="008C7F83"/>
    <w:rsid w:val="008D01D5"/>
    <w:rsid w:val="008D0241"/>
    <w:rsid w:val="008D02A2"/>
    <w:rsid w:val="008D0391"/>
    <w:rsid w:val="008D087F"/>
    <w:rsid w:val="008D089A"/>
    <w:rsid w:val="008D0A74"/>
    <w:rsid w:val="008D0AA7"/>
    <w:rsid w:val="008D0BFA"/>
    <w:rsid w:val="008D0C22"/>
    <w:rsid w:val="008D0FD2"/>
    <w:rsid w:val="008D15EE"/>
    <w:rsid w:val="008D16D2"/>
    <w:rsid w:val="008D16D6"/>
    <w:rsid w:val="008D189D"/>
    <w:rsid w:val="008D1ADA"/>
    <w:rsid w:val="008D1CFF"/>
    <w:rsid w:val="008D1DDD"/>
    <w:rsid w:val="008D1DEA"/>
    <w:rsid w:val="008D248B"/>
    <w:rsid w:val="008D2580"/>
    <w:rsid w:val="008D26E3"/>
    <w:rsid w:val="008D2C41"/>
    <w:rsid w:val="008D3397"/>
    <w:rsid w:val="008D33C4"/>
    <w:rsid w:val="008D3504"/>
    <w:rsid w:val="008D3517"/>
    <w:rsid w:val="008D353E"/>
    <w:rsid w:val="008D3712"/>
    <w:rsid w:val="008D389F"/>
    <w:rsid w:val="008D3973"/>
    <w:rsid w:val="008D3ADE"/>
    <w:rsid w:val="008D454B"/>
    <w:rsid w:val="008D4714"/>
    <w:rsid w:val="008D4AD3"/>
    <w:rsid w:val="008D4B93"/>
    <w:rsid w:val="008D4C2E"/>
    <w:rsid w:val="008D526A"/>
    <w:rsid w:val="008D5331"/>
    <w:rsid w:val="008D55CE"/>
    <w:rsid w:val="008D565F"/>
    <w:rsid w:val="008D57D6"/>
    <w:rsid w:val="008D5970"/>
    <w:rsid w:val="008D59BB"/>
    <w:rsid w:val="008D5B53"/>
    <w:rsid w:val="008D5C13"/>
    <w:rsid w:val="008D5D93"/>
    <w:rsid w:val="008D60E2"/>
    <w:rsid w:val="008D6198"/>
    <w:rsid w:val="008D62AF"/>
    <w:rsid w:val="008D636F"/>
    <w:rsid w:val="008D63A1"/>
    <w:rsid w:val="008D6765"/>
    <w:rsid w:val="008D68A4"/>
    <w:rsid w:val="008D68E5"/>
    <w:rsid w:val="008D69EA"/>
    <w:rsid w:val="008D6AAB"/>
    <w:rsid w:val="008D6D41"/>
    <w:rsid w:val="008D6E4D"/>
    <w:rsid w:val="008D6E8A"/>
    <w:rsid w:val="008D6F2D"/>
    <w:rsid w:val="008D70AE"/>
    <w:rsid w:val="008D7139"/>
    <w:rsid w:val="008D7270"/>
    <w:rsid w:val="008D72C1"/>
    <w:rsid w:val="008D758A"/>
    <w:rsid w:val="008D773C"/>
    <w:rsid w:val="008D7749"/>
    <w:rsid w:val="008D778F"/>
    <w:rsid w:val="008D7877"/>
    <w:rsid w:val="008D7A6A"/>
    <w:rsid w:val="008D7EF7"/>
    <w:rsid w:val="008D7FC8"/>
    <w:rsid w:val="008E0093"/>
    <w:rsid w:val="008E045A"/>
    <w:rsid w:val="008E06D6"/>
    <w:rsid w:val="008E076A"/>
    <w:rsid w:val="008E0B42"/>
    <w:rsid w:val="008E0C4E"/>
    <w:rsid w:val="008E0F1E"/>
    <w:rsid w:val="008E0FAC"/>
    <w:rsid w:val="008E1196"/>
    <w:rsid w:val="008E1721"/>
    <w:rsid w:val="008E1746"/>
    <w:rsid w:val="008E1880"/>
    <w:rsid w:val="008E1B3D"/>
    <w:rsid w:val="008E1F4E"/>
    <w:rsid w:val="008E20DC"/>
    <w:rsid w:val="008E223C"/>
    <w:rsid w:val="008E268F"/>
    <w:rsid w:val="008E27EF"/>
    <w:rsid w:val="008E2B25"/>
    <w:rsid w:val="008E32C6"/>
    <w:rsid w:val="008E3445"/>
    <w:rsid w:val="008E36AD"/>
    <w:rsid w:val="008E390D"/>
    <w:rsid w:val="008E3C68"/>
    <w:rsid w:val="008E44F0"/>
    <w:rsid w:val="008E473A"/>
    <w:rsid w:val="008E475E"/>
    <w:rsid w:val="008E49C5"/>
    <w:rsid w:val="008E4C6A"/>
    <w:rsid w:val="008E4EE8"/>
    <w:rsid w:val="008E4FE3"/>
    <w:rsid w:val="008E52A7"/>
    <w:rsid w:val="008E532F"/>
    <w:rsid w:val="008E5640"/>
    <w:rsid w:val="008E58E0"/>
    <w:rsid w:val="008E5960"/>
    <w:rsid w:val="008E5AEB"/>
    <w:rsid w:val="008E5F4A"/>
    <w:rsid w:val="008E5F80"/>
    <w:rsid w:val="008E64EB"/>
    <w:rsid w:val="008E6713"/>
    <w:rsid w:val="008E683C"/>
    <w:rsid w:val="008E68B5"/>
    <w:rsid w:val="008E68E6"/>
    <w:rsid w:val="008E709B"/>
    <w:rsid w:val="008E72A9"/>
    <w:rsid w:val="008E7359"/>
    <w:rsid w:val="008E73A0"/>
    <w:rsid w:val="008E74EA"/>
    <w:rsid w:val="008E76C4"/>
    <w:rsid w:val="008E7855"/>
    <w:rsid w:val="008E7A39"/>
    <w:rsid w:val="008E7AF7"/>
    <w:rsid w:val="008E7DB7"/>
    <w:rsid w:val="008E7F63"/>
    <w:rsid w:val="008F0153"/>
    <w:rsid w:val="008F047C"/>
    <w:rsid w:val="008F04E8"/>
    <w:rsid w:val="008F06A1"/>
    <w:rsid w:val="008F07EA"/>
    <w:rsid w:val="008F10DD"/>
    <w:rsid w:val="008F1260"/>
    <w:rsid w:val="008F167F"/>
    <w:rsid w:val="008F17B0"/>
    <w:rsid w:val="008F17B3"/>
    <w:rsid w:val="008F193A"/>
    <w:rsid w:val="008F20DB"/>
    <w:rsid w:val="008F213D"/>
    <w:rsid w:val="008F2344"/>
    <w:rsid w:val="008F29C6"/>
    <w:rsid w:val="008F2A99"/>
    <w:rsid w:val="008F2D11"/>
    <w:rsid w:val="008F2D79"/>
    <w:rsid w:val="008F2E19"/>
    <w:rsid w:val="008F2E22"/>
    <w:rsid w:val="008F3079"/>
    <w:rsid w:val="008F30DC"/>
    <w:rsid w:val="008F32BC"/>
    <w:rsid w:val="008F3343"/>
    <w:rsid w:val="008F34F3"/>
    <w:rsid w:val="008F358F"/>
    <w:rsid w:val="008F3F2C"/>
    <w:rsid w:val="008F3FCF"/>
    <w:rsid w:val="008F407B"/>
    <w:rsid w:val="008F43C0"/>
    <w:rsid w:val="008F45B8"/>
    <w:rsid w:val="008F46A7"/>
    <w:rsid w:val="008F4A3F"/>
    <w:rsid w:val="008F4F8D"/>
    <w:rsid w:val="008F5507"/>
    <w:rsid w:val="008F55FC"/>
    <w:rsid w:val="008F5B07"/>
    <w:rsid w:val="008F5CF0"/>
    <w:rsid w:val="008F5DF7"/>
    <w:rsid w:val="008F5E0D"/>
    <w:rsid w:val="008F5ED6"/>
    <w:rsid w:val="008F66A5"/>
    <w:rsid w:val="008F677E"/>
    <w:rsid w:val="008F69A8"/>
    <w:rsid w:val="008F6F0E"/>
    <w:rsid w:val="008F6F5D"/>
    <w:rsid w:val="008F72EB"/>
    <w:rsid w:val="008F7347"/>
    <w:rsid w:val="008F748D"/>
    <w:rsid w:val="008F761F"/>
    <w:rsid w:val="008F76B4"/>
    <w:rsid w:val="008F77A1"/>
    <w:rsid w:val="008F7C90"/>
    <w:rsid w:val="008F7CAD"/>
    <w:rsid w:val="009002B2"/>
    <w:rsid w:val="009003DD"/>
    <w:rsid w:val="00900479"/>
    <w:rsid w:val="009007F7"/>
    <w:rsid w:val="0090087A"/>
    <w:rsid w:val="009009E2"/>
    <w:rsid w:val="009009EA"/>
    <w:rsid w:val="00900B85"/>
    <w:rsid w:val="00900D2C"/>
    <w:rsid w:val="00900E7E"/>
    <w:rsid w:val="00900F9E"/>
    <w:rsid w:val="00901183"/>
    <w:rsid w:val="009011C4"/>
    <w:rsid w:val="00901228"/>
    <w:rsid w:val="009015B2"/>
    <w:rsid w:val="00901654"/>
    <w:rsid w:val="0090175E"/>
    <w:rsid w:val="00901822"/>
    <w:rsid w:val="0090192C"/>
    <w:rsid w:val="00901B34"/>
    <w:rsid w:val="00901C4C"/>
    <w:rsid w:val="00901D39"/>
    <w:rsid w:val="00902018"/>
    <w:rsid w:val="009022A1"/>
    <w:rsid w:val="009023AC"/>
    <w:rsid w:val="009023C8"/>
    <w:rsid w:val="009023D4"/>
    <w:rsid w:val="0090250F"/>
    <w:rsid w:val="00902524"/>
    <w:rsid w:val="009027C8"/>
    <w:rsid w:val="00902A07"/>
    <w:rsid w:val="00903507"/>
    <w:rsid w:val="0090355E"/>
    <w:rsid w:val="0090366A"/>
    <w:rsid w:val="009036CF"/>
    <w:rsid w:val="00903761"/>
    <w:rsid w:val="009038C9"/>
    <w:rsid w:val="00903A62"/>
    <w:rsid w:val="00903B92"/>
    <w:rsid w:val="009040A8"/>
    <w:rsid w:val="0090414C"/>
    <w:rsid w:val="00904259"/>
    <w:rsid w:val="00904271"/>
    <w:rsid w:val="009042AC"/>
    <w:rsid w:val="009042F3"/>
    <w:rsid w:val="00904382"/>
    <w:rsid w:val="0090463F"/>
    <w:rsid w:val="00904719"/>
    <w:rsid w:val="009047AF"/>
    <w:rsid w:val="009047FD"/>
    <w:rsid w:val="009048AD"/>
    <w:rsid w:val="009049E5"/>
    <w:rsid w:val="00904AD0"/>
    <w:rsid w:val="00904B0E"/>
    <w:rsid w:val="00904CFF"/>
    <w:rsid w:val="00904F4F"/>
    <w:rsid w:val="00905278"/>
    <w:rsid w:val="00905492"/>
    <w:rsid w:val="009055DD"/>
    <w:rsid w:val="00905C44"/>
    <w:rsid w:val="00905DB4"/>
    <w:rsid w:val="00906266"/>
    <w:rsid w:val="00906376"/>
    <w:rsid w:val="009063A3"/>
    <w:rsid w:val="009063AA"/>
    <w:rsid w:val="0090678C"/>
    <w:rsid w:val="00906D2F"/>
    <w:rsid w:val="00906D40"/>
    <w:rsid w:val="00906F30"/>
    <w:rsid w:val="00907043"/>
    <w:rsid w:val="0090720D"/>
    <w:rsid w:val="00907273"/>
    <w:rsid w:val="009072C3"/>
    <w:rsid w:val="009075F3"/>
    <w:rsid w:val="00907895"/>
    <w:rsid w:val="00907919"/>
    <w:rsid w:val="009079A6"/>
    <w:rsid w:val="00907F10"/>
    <w:rsid w:val="00907F9D"/>
    <w:rsid w:val="009100F8"/>
    <w:rsid w:val="009102F5"/>
    <w:rsid w:val="009104F0"/>
    <w:rsid w:val="009105D4"/>
    <w:rsid w:val="009105D8"/>
    <w:rsid w:val="00910731"/>
    <w:rsid w:val="0091089C"/>
    <w:rsid w:val="0091094F"/>
    <w:rsid w:val="00910A41"/>
    <w:rsid w:val="00910BE0"/>
    <w:rsid w:val="009112AF"/>
    <w:rsid w:val="009112B4"/>
    <w:rsid w:val="00911302"/>
    <w:rsid w:val="0091132A"/>
    <w:rsid w:val="009115BD"/>
    <w:rsid w:val="009118A8"/>
    <w:rsid w:val="0091190B"/>
    <w:rsid w:val="00911AB3"/>
    <w:rsid w:val="00911B1D"/>
    <w:rsid w:val="00911BA2"/>
    <w:rsid w:val="00911D8A"/>
    <w:rsid w:val="00911DF6"/>
    <w:rsid w:val="0091255F"/>
    <w:rsid w:val="00912A35"/>
    <w:rsid w:val="00912A45"/>
    <w:rsid w:val="00912B7D"/>
    <w:rsid w:val="00913057"/>
    <w:rsid w:val="00913372"/>
    <w:rsid w:val="0091370B"/>
    <w:rsid w:val="0091378F"/>
    <w:rsid w:val="00913819"/>
    <w:rsid w:val="00913965"/>
    <w:rsid w:val="00913B57"/>
    <w:rsid w:val="00913C22"/>
    <w:rsid w:val="00913D1F"/>
    <w:rsid w:val="00913DC0"/>
    <w:rsid w:val="00913EA1"/>
    <w:rsid w:val="00914466"/>
    <w:rsid w:val="0091446B"/>
    <w:rsid w:val="009145B8"/>
    <w:rsid w:val="009146A5"/>
    <w:rsid w:val="009146DF"/>
    <w:rsid w:val="00914C18"/>
    <w:rsid w:val="00915629"/>
    <w:rsid w:val="00915650"/>
    <w:rsid w:val="00915779"/>
    <w:rsid w:val="0091587B"/>
    <w:rsid w:val="00915BBC"/>
    <w:rsid w:val="00915BE2"/>
    <w:rsid w:val="00915C86"/>
    <w:rsid w:val="0091606D"/>
    <w:rsid w:val="009160DC"/>
    <w:rsid w:val="00916176"/>
    <w:rsid w:val="0091623D"/>
    <w:rsid w:val="00916307"/>
    <w:rsid w:val="00916570"/>
    <w:rsid w:val="0091665B"/>
    <w:rsid w:val="00916879"/>
    <w:rsid w:val="009169D8"/>
    <w:rsid w:val="00916B77"/>
    <w:rsid w:val="00916BDB"/>
    <w:rsid w:val="00916DB8"/>
    <w:rsid w:val="00917448"/>
    <w:rsid w:val="009176B1"/>
    <w:rsid w:val="00917C5D"/>
    <w:rsid w:val="00917D95"/>
    <w:rsid w:val="00917EF4"/>
    <w:rsid w:val="009200D9"/>
    <w:rsid w:val="0092011A"/>
    <w:rsid w:val="00920389"/>
    <w:rsid w:val="0092042D"/>
    <w:rsid w:val="0092047C"/>
    <w:rsid w:val="00920813"/>
    <w:rsid w:val="00920885"/>
    <w:rsid w:val="009208BB"/>
    <w:rsid w:val="00920AD4"/>
    <w:rsid w:val="00920DBE"/>
    <w:rsid w:val="009211AC"/>
    <w:rsid w:val="009213D4"/>
    <w:rsid w:val="0092150F"/>
    <w:rsid w:val="00921840"/>
    <w:rsid w:val="00921920"/>
    <w:rsid w:val="00921B26"/>
    <w:rsid w:val="00921D07"/>
    <w:rsid w:val="00921E32"/>
    <w:rsid w:val="00921F5C"/>
    <w:rsid w:val="00921FE5"/>
    <w:rsid w:val="009222A8"/>
    <w:rsid w:val="0092234E"/>
    <w:rsid w:val="009224B4"/>
    <w:rsid w:val="009229B4"/>
    <w:rsid w:val="009229BA"/>
    <w:rsid w:val="00922AF1"/>
    <w:rsid w:val="00922C9E"/>
    <w:rsid w:val="00922CE8"/>
    <w:rsid w:val="00922F0A"/>
    <w:rsid w:val="009230EB"/>
    <w:rsid w:val="00923238"/>
    <w:rsid w:val="0092328D"/>
    <w:rsid w:val="00923372"/>
    <w:rsid w:val="009234E2"/>
    <w:rsid w:val="009237A1"/>
    <w:rsid w:val="00923AD4"/>
    <w:rsid w:val="00923B7A"/>
    <w:rsid w:val="00923DD2"/>
    <w:rsid w:val="0092430C"/>
    <w:rsid w:val="0092431B"/>
    <w:rsid w:val="00924B4C"/>
    <w:rsid w:val="00924B59"/>
    <w:rsid w:val="00924C4C"/>
    <w:rsid w:val="0092502C"/>
    <w:rsid w:val="00925160"/>
    <w:rsid w:val="00925181"/>
    <w:rsid w:val="00925316"/>
    <w:rsid w:val="00925424"/>
    <w:rsid w:val="0092587A"/>
    <w:rsid w:val="00925998"/>
    <w:rsid w:val="00925B56"/>
    <w:rsid w:val="00925DBA"/>
    <w:rsid w:val="0092614E"/>
    <w:rsid w:val="00926481"/>
    <w:rsid w:val="009268B9"/>
    <w:rsid w:val="00926975"/>
    <w:rsid w:val="00926BB7"/>
    <w:rsid w:val="00926CA3"/>
    <w:rsid w:val="00926CB2"/>
    <w:rsid w:val="00926CCE"/>
    <w:rsid w:val="00927075"/>
    <w:rsid w:val="009271A5"/>
    <w:rsid w:val="00927437"/>
    <w:rsid w:val="00927561"/>
    <w:rsid w:val="009276C5"/>
    <w:rsid w:val="009276F7"/>
    <w:rsid w:val="009278B0"/>
    <w:rsid w:val="00927C61"/>
    <w:rsid w:val="0093029E"/>
    <w:rsid w:val="00930409"/>
    <w:rsid w:val="009304A5"/>
    <w:rsid w:val="009306D5"/>
    <w:rsid w:val="0093077D"/>
    <w:rsid w:val="009309BF"/>
    <w:rsid w:val="00930A48"/>
    <w:rsid w:val="00930B7D"/>
    <w:rsid w:val="00930D03"/>
    <w:rsid w:val="00931259"/>
    <w:rsid w:val="009312AF"/>
    <w:rsid w:val="0093141B"/>
    <w:rsid w:val="00931670"/>
    <w:rsid w:val="00931818"/>
    <w:rsid w:val="009318C8"/>
    <w:rsid w:val="009318D5"/>
    <w:rsid w:val="00931959"/>
    <w:rsid w:val="00931A46"/>
    <w:rsid w:val="00931BEF"/>
    <w:rsid w:val="00931C71"/>
    <w:rsid w:val="00931F83"/>
    <w:rsid w:val="00932186"/>
    <w:rsid w:val="00932493"/>
    <w:rsid w:val="00932695"/>
    <w:rsid w:val="009327C7"/>
    <w:rsid w:val="00932D24"/>
    <w:rsid w:val="0093301D"/>
    <w:rsid w:val="009330CB"/>
    <w:rsid w:val="0093331C"/>
    <w:rsid w:val="0093359A"/>
    <w:rsid w:val="00933911"/>
    <w:rsid w:val="00933EA5"/>
    <w:rsid w:val="00933EA8"/>
    <w:rsid w:val="009342B0"/>
    <w:rsid w:val="009344D0"/>
    <w:rsid w:val="00934725"/>
    <w:rsid w:val="00934921"/>
    <w:rsid w:val="00934992"/>
    <w:rsid w:val="00934D72"/>
    <w:rsid w:val="00934F1E"/>
    <w:rsid w:val="009352AF"/>
    <w:rsid w:val="00935362"/>
    <w:rsid w:val="009354B0"/>
    <w:rsid w:val="00935956"/>
    <w:rsid w:val="009359A3"/>
    <w:rsid w:val="009359BE"/>
    <w:rsid w:val="00935FC1"/>
    <w:rsid w:val="009364A6"/>
    <w:rsid w:val="00936A1D"/>
    <w:rsid w:val="00936C94"/>
    <w:rsid w:val="00936EAC"/>
    <w:rsid w:val="00936FDC"/>
    <w:rsid w:val="00937645"/>
    <w:rsid w:val="0093777B"/>
    <w:rsid w:val="009377B0"/>
    <w:rsid w:val="0093783B"/>
    <w:rsid w:val="009378F1"/>
    <w:rsid w:val="00937904"/>
    <w:rsid w:val="00937A40"/>
    <w:rsid w:val="00937CB9"/>
    <w:rsid w:val="00937D9A"/>
    <w:rsid w:val="00937E17"/>
    <w:rsid w:val="00937E51"/>
    <w:rsid w:val="00937E7D"/>
    <w:rsid w:val="00937ECD"/>
    <w:rsid w:val="00937FB6"/>
    <w:rsid w:val="00940392"/>
    <w:rsid w:val="00940781"/>
    <w:rsid w:val="0094084B"/>
    <w:rsid w:val="00940A50"/>
    <w:rsid w:val="00940BF6"/>
    <w:rsid w:val="00940C35"/>
    <w:rsid w:val="00940DE9"/>
    <w:rsid w:val="00940E11"/>
    <w:rsid w:val="00940E50"/>
    <w:rsid w:val="00940EB1"/>
    <w:rsid w:val="00941007"/>
    <w:rsid w:val="00941179"/>
    <w:rsid w:val="00941250"/>
    <w:rsid w:val="00941292"/>
    <w:rsid w:val="00941296"/>
    <w:rsid w:val="009414AC"/>
    <w:rsid w:val="00941A81"/>
    <w:rsid w:val="00941AA3"/>
    <w:rsid w:val="00941C2F"/>
    <w:rsid w:val="00941D30"/>
    <w:rsid w:val="0094218E"/>
    <w:rsid w:val="0094298D"/>
    <w:rsid w:val="00942AC2"/>
    <w:rsid w:val="00942C31"/>
    <w:rsid w:val="00942C50"/>
    <w:rsid w:val="00942CBD"/>
    <w:rsid w:val="00942DB2"/>
    <w:rsid w:val="00942DC4"/>
    <w:rsid w:val="00942E2E"/>
    <w:rsid w:val="009430F6"/>
    <w:rsid w:val="00943153"/>
    <w:rsid w:val="0094331C"/>
    <w:rsid w:val="009434F1"/>
    <w:rsid w:val="009435A1"/>
    <w:rsid w:val="009437A3"/>
    <w:rsid w:val="00943A6A"/>
    <w:rsid w:val="00943ABF"/>
    <w:rsid w:val="00943E48"/>
    <w:rsid w:val="00944101"/>
    <w:rsid w:val="009445E0"/>
    <w:rsid w:val="00944650"/>
    <w:rsid w:val="00944DBC"/>
    <w:rsid w:val="00944F25"/>
    <w:rsid w:val="00944F83"/>
    <w:rsid w:val="00945019"/>
    <w:rsid w:val="009454D8"/>
    <w:rsid w:val="0094557C"/>
    <w:rsid w:val="009457F8"/>
    <w:rsid w:val="00945867"/>
    <w:rsid w:val="00945DF1"/>
    <w:rsid w:val="00945EDB"/>
    <w:rsid w:val="009460A1"/>
    <w:rsid w:val="00946202"/>
    <w:rsid w:val="0094644C"/>
    <w:rsid w:val="0094649D"/>
    <w:rsid w:val="009466B2"/>
    <w:rsid w:val="00946B22"/>
    <w:rsid w:val="0094744F"/>
    <w:rsid w:val="009474A5"/>
    <w:rsid w:val="009476E1"/>
    <w:rsid w:val="00947812"/>
    <w:rsid w:val="00947986"/>
    <w:rsid w:val="00947BF0"/>
    <w:rsid w:val="00947C03"/>
    <w:rsid w:val="00947C4E"/>
    <w:rsid w:val="00947DA5"/>
    <w:rsid w:val="00950071"/>
    <w:rsid w:val="009501BF"/>
    <w:rsid w:val="009502C3"/>
    <w:rsid w:val="00950440"/>
    <w:rsid w:val="0095063D"/>
    <w:rsid w:val="0095067B"/>
    <w:rsid w:val="009509F6"/>
    <w:rsid w:val="00950BAA"/>
    <w:rsid w:val="00950E28"/>
    <w:rsid w:val="00950E34"/>
    <w:rsid w:val="0095108C"/>
    <w:rsid w:val="00951583"/>
    <w:rsid w:val="0095177A"/>
    <w:rsid w:val="009517F3"/>
    <w:rsid w:val="0095199B"/>
    <w:rsid w:val="009519CB"/>
    <w:rsid w:val="00951A84"/>
    <w:rsid w:val="00951A93"/>
    <w:rsid w:val="00951B64"/>
    <w:rsid w:val="00951D4A"/>
    <w:rsid w:val="00951DB1"/>
    <w:rsid w:val="00951E0D"/>
    <w:rsid w:val="00951E50"/>
    <w:rsid w:val="0095210C"/>
    <w:rsid w:val="009521AB"/>
    <w:rsid w:val="00952395"/>
    <w:rsid w:val="009523BE"/>
    <w:rsid w:val="0095261C"/>
    <w:rsid w:val="009526A7"/>
    <w:rsid w:val="00952856"/>
    <w:rsid w:val="00952971"/>
    <w:rsid w:val="009529C8"/>
    <w:rsid w:val="009529D7"/>
    <w:rsid w:val="00952ACE"/>
    <w:rsid w:val="00952BB4"/>
    <w:rsid w:val="00952BF9"/>
    <w:rsid w:val="00952F03"/>
    <w:rsid w:val="00953194"/>
    <w:rsid w:val="009534F8"/>
    <w:rsid w:val="00953CD5"/>
    <w:rsid w:val="00953DA1"/>
    <w:rsid w:val="009540D8"/>
    <w:rsid w:val="00954447"/>
    <w:rsid w:val="00954560"/>
    <w:rsid w:val="00954994"/>
    <w:rsid w:val="00954BEC"/>
    <w:rsid w:val="00954C2C"/>
    <w:rsid w:val="00954E7A"/>
    <w:rsid w:val="00954EA6"/>
    <w:rsid w:val="00954EFA"/>
    <w:rsid w:val="00955030"/>
    <w:rsid w:val="009550AE"/>
    <w:rsid w:val="009550CA"/>
    <w:rsid w:val="009552C9"/>
    <w:rsid w:val="009553E3"/>
    <w:rsid w:val="00955489"/>
    <w:rsid w:val="0095561E"/>
    <w:rsid w:val="0095565A"/>
    <w:rsid w:val="009557A4"/>
    <w:rsid w:val="009558A8"/>
    <w:rsid w:val="00955953"/>
    <w:rsid w:val="009559DD"/>
    <w:rsid w:val="00955AA5"/>
    <w:rsid w:val="00955C84"/>
    <w:rsid w:val="00955DC1"/>
    <w:rsid w:val="00955F85"/>
    <w:rsid w:val="0095605D"/>
    <w:rsid w:val="0095606D"/>
    <w:rsid w:val="0095650B"/>
    <w:rsid w:val="00956530"/>
    <w:rsid w:val="0095701A"/>
    <w:rsid w:val="00957040"/>
    <w:rsid w:val="0095713D"/>
    <w:rsid w:val="009572D3"/>
    <w:rsid w:val="00957330"/>
    <w:rsid w:val="00957343"/>
    <w:rsid w:val="0095739F"/>
    <w:rsid w:val="00957576"/>
    <w:rsid w:val="009576DE"/>
    <w:rsid w:val="009578B0"/>
    <w:rsid w:val="00957DA7"/>
    <w:rsid w:val="00960041"/>
    <w:rsid w:val="0096021D"/>
    <w:rsid w:val="00960244"/>
    <w:rsid w:val="009603B6"/>
    <w:rsid w:val="00960549"/>
    <w:rsid w:val="00960CF6"/>
    <w:rsid w:val="00960D14"/>
    <w:rsid w:val="00960D98"/>
    <w:rsid w:val="00960E78"/>
    <w:rsid w:val="00960ED6"/>
    <w:rsid w:val="0096117F"/>
    <w:rsid w:val="0096129E"/>
    <w:rsid w:val="00961323"/>
    <w:rsid w:val="0096137C"/>
    <w:rsid w:val="00961467"/>
    <w:rsid w:val="009614B3"/>
    <w:rsid w:val="009616F3"/>
    <w:rsid w:val="009617CB"/>
    <w:rsid w:val="0096183C"/>
    <w:rsid w:val="00961949"/>
    <w:rsid w:val="00961AD6"/>
    <w:rsid w:val="00961E57"/>
    <w:rsid w:val="00961F8C"/>
    <w:rsid w:val="009622AD"/>
    <w:rsid w:val="00962813"/>
    <w:rsid w:val="00962827"/>
    <w:rsid w:val="0096289F"/>
    <w:rsid w:val="00962FEB"/>
    <w:rsid w:val="00963121"/>
    <w:rsid w:val="00963152"/>
    <w:rsid w:val="009632AD"/>
    <w:rsid w:val="009633C7"/>
    <w:rsid w:val="00963400"/>
    <w:rsid w:val="00963428"/>
    <w:rsid w:val="00963E7B"/>
    <w:rsid w:val="00963F2A"/>
    <w:rsid w:val="00964313"/>
    <w:rsid w:val="00964504"/>
    <w:rsid w:val="00964916"/>
    <w:rsid w:val="00964BA8"/>
    <w:rsid w:val="00964C2C"/>
    <w:rsid w:val="00964E89"/>
    <w:rsid w:val="00964FC3"/>
    <w:rsid w:val="009650CA"/>
    <w:rsid w:val="00965229"/>
    <w:rsid w:val="00965249"/>
    <w:rsid w:val="0096527E"/>
    <w:rsid w:val="0096529A"/>
    <w:rsid w:val="00965355"/>
    <w:rsid w:val="009654F9"/>
    <w:rsid w:val="009658DA"/>
    <w:rsid w:val="00965C06"/>
    <w:rsid w:val="00965C1B"/>
    <w:rsid w:val="00965D0F"/>
    <w:rsid w:val="00965D2A"/>
    <w:rsid w:val="00965D63"/>
    <w:rsid w:val="00965E13"/>
    <w:rsid w:val="00965E67"/>
    <w:rsid w:val="00965F2C"/>
    <w:rsid w:val="009660D9"/>
    <w:rsid w:val="009660DF"/>
    <w:rsid w:val="00966303"/>
    <w:rsid w:val="009663D5"/>
    <w:rsid w:val="009668F9"/>
    <w:rsid w:val="00966A39"/>
    <w:rsid w:val="00966CEB"/>
    <w:rsid w:val="00966D0A"/>
    <w:rsid w:val="00966D86"/>
    <w:rsid w:val="00966FBE"/>
    <w:rsid w:val="0096712A"/>
    <w:rsid w:val="009672CD"/>
    <w:rsid w:val="00967392"/>
    <w:rsid w:val="009674BD"/>
    <w:rsid w:val="00967875"/>
    <w:rsid w:val="0096787A"/>
    <w:rsid w:val="00967B71"/>
    <w:rsid w:val="00967BB4"/>
    <w:rsid w:val="00967C46"/>
    <w:rsid w:val="00967DD4"/>
    <w:rsid w:val="00967E37"/>
    <w:rsid w:val="00967EDE"/>
    <w:rsid w:val="00967F90"/>
    <w:rsid w:val="00967FA4"/>
    <w:rsid w:val="00967FD4"/>
    <w:rsid w:val="00970034"/>
    <w:rsid w:val="00970065"/>
    <w:rsid w:val="009700D3"/>
    <w:rsid w:val="009704A2"/>
    <w:rsid w:val="009706A7"/>
    <w:rsid w:val="009706B1"/>
    <w:rsid w:val="00970BC7"/>
    <w:rsid w:val="00971048"/>
    <w:rsid w:val="009711E6"/>
    <w:rsid w:val="0097146F"/>
    <w:rsid w:val="0097194F"/>
    <w:rsid w:val="00971A2C"/>
    <w:rsid w:val="00971BF0"/>
    <w:rsid w:val="00971E13"/>
    <w:rsid w:val="00972475"/>
    <w:rsid w:val="009725BE"/>
    <w:rsid w:val="00972844"/>
    <w:rsid w:val="009729C1"/>
    <w:rsid w:val="00972AFC"/>
    <w:rsid w:val="00972B09"/>
    <w:rsid w:val="00972B0D"/>
    <w:rsid w:val="00972E2F"/>
    <w:rsid w:val="009731D6"/>
    <w:rsid w:val="009733AE"/>
    <w:rsid w:val="00973439"/>
    <w:rsid w:val="009738CA"/>
    <w:rsid w:val="00973962"/>
    <w:rsid w:val="00973D7F"/>
    <w:rsid w:val="00973EF7"/>
    <w:rsid w:val="0097404B"/>
    <w:rsid w:val="00974353"/>
    <w:rsid w:val="009743B8"/>
    <w:rsid w:val="0097466D"/>
    <w:rsid w:val="009746AE"/>
    <w:rsid w:val="00974908"/>
    <w:rsid w:val="0097490A"/>
    <w:rsid w:val="009749DD"/>
    <w:rsid w:val="00974B04"/>
    <w:rsid w:val="00974B06"/>
    <w:rsid w:val="00974F3D"/>
    <w:rsid w:val="00974F91"/>
    <w:rsid w:val="00975338"/>
    <w:rsid w:val="0097544C"/>
    <w:rsid w:val="0097550D"/>
    <w:rsid w:val="00975A3E"/>
    <w:rsid w:val="00975A54"/>
    <w:rsid w:val="00975AB8"/>
    <w:rsid w:val="00975D94"/>
    <w:rsid w:val="00975E45"/>
    <w:rsid w:val="009760FD"/>
    <w:rsid w:val="009764CC"/>
    <w:rsid w:val="00976552"/>
    <w:rsid w:val="00976923"/>
    <w:rsid w:val="00976A6E"/>
    <w:rsid w:val="00976CB6"/>
    <w:rsid w:val="00976EEF"/>
    <w:rsid w:val="0097702B"/>
    <w:rsid w:val="00977099"/>
    <w:rsid w:val="009771F3"/>
    <w:rsid w:val="009775F2"/>
    <w:rsid w:val="009777E8"/>
    <w:rsid w:val="00977938"/>
    <w:rsid w:val="009779AE"/>
    <w:rsid w:val="009779CA"/>
    <w:rsid w:val="00977C1C"/>
    <w:rsid w:val="00977FF1"/>
    <w:rsid w:val="00980023"/>
    <w:rsid w:val="00980269"/>
    <w:rsid w:val="009804BD"/>
    <w:rsid w:val="009809CE"/>
    <w:rsid w:val="00980AF2"/>
    <w:rsid w:val="00980D56"/>
    <w:rsid w:val="00980DE0"/>
    <w:rsid w:val="00980F51"/>
    <w:rsid w:val="009813EC"/>
    <w:rsid w:val="009816FF"/>
    <w:rsid w:val="00981726"/>
    <w:rsid w:val="009818CB"/>
    <w:rsid w:val="009818D6"/>
    <w:rsid w:val="009819C5"/>
    <w:rsid w:val="009819E4"/>
    <w:rsid w:val="00981BEB"/>
    <w:rsid w:val="00981F3A"/>
    <w:rsid w:val="00981F65"/>
    <w:rsid w:val="0098201F"/>
    <w:rsid w:val="00982048"/>
    <w:rsid w:val="0098229E"/>
    <w:rsid w:val="00982435"/>
    <w:rsid w:val="00982677"/>
    <w:rsid w:val="00982783"/>
    <w:rsid w:val="00982857"/>
    <w:rsid w:val="0098293C"/>
    <w:rsid w:val="00982ABF"/>
    <w:rsid w:val="00982B56"/>
    <w:rsid w:val="00982C21"/>
    <w:rsid w:val="00982EBE"/>
    <w:rsid w:val="00982F1F"/>
    <w:rsid w:val="0098327C"/>
    <w:rsid w:val="00983387"/>
    <w:rsid w:val="0098356D"/>
    <w:rsid w:val="009836CA"/>
    <w:rsid w:val="00983882"/>
    <w:rsid w:val="00983AFA"/>
    <w:rsid w:val="00983D84"/>
    <w:rsid w:val="009841B3"/>
    <w:rsid w:val="00984265"/>
    <w:rsid w:val="0098442A"/>
    <w:rsid w:val="00984459"/>
    <w:rsid w:val="009845D0"/>
    <w:rsid w:val="009849EC"/>
    <w:rsid w:val="00984AC8"/>
    <w:rsid w:val="00984CCF"/>
    <w:rsid w:val="00984D5F"/>
    <w:rsid w:val="00984EEB"/>
    <w:rsid w:val="00985047"/>
    <w:rsid w:val="00985457"/>
    <w:rsid w:val="00985526"/>
    <w:rsid w:val="009856B8"/>
    <w:rsid w:val="00985A31"/>
    <w:rsid w:val="00985C9A"/>
    <w:rsid w:val="00985D5C"/>
    <w:rsid w:val="00985D5D"/>
    <w:rsid w:val="00985E51"/>
    <w:rsid w:val="00985F6F"/>
    <w:rsid w:val="00986104"/>
    <w:rsid w:val="00986650"/>
    <w:rsid w:val="0098687E"/>
    <w:rsid w:val="00986A1B"/>
    <w:rsid w:val="00986A5F"/>
    <w:rsid w:val="00986A91"/>
    <w:rsid w:val="00986C67"/>
    <w:rsid w:val="00986DE7"/>
    <w:rsid w:val="00986F5F"/>
    <w:rsid w:val="00986F9E"/>
    <w:rsid w:val="00987025"/>
    <w:rsid w:val="009871AA"/>
    <w:rsid w:val="009871DB"/>
    <w:rsid w:val="0098729D"/>
    <w:rsid w:val="00987819"/>
    <w:rsid w:val="0098790D"/>
    <w:rsid w:val="00987995"/>
    <w:rsid w:val="009879BD"/>
    <w:rsid w:val="00987C8A"/>
    <w:rsid w:val="00987DD1"/>
    <w:rsid w:val="0099001D"/>
    <w:rsid w:val="00990129"/>
    <w:rsid w:val="0099014F"/>
    <w:rsid w:val="0099022E"/>
    <w:rsid w:val="00990258"/>
    <w:rsid w:val="00990581"/>
    <w:rsid w:val="00990780"/>
    <w:rsid w:val="009907F8"/>
    <w:rsid w:val="0099087D"/>
    <w:rsid w:val="00990B92"/>
    <w:rsid w:val="00990C22"/>
    <w:rsid w:val="00990FD5"/>
    <w:rsid w:val="0099125D"/>
    <w:rsid w:val="00991659"/>
    <w:rsid w:val="009916D9"/>
    <w:rsid w:val="009917D5"/>
    <w:rsid w:val="00991836"/>
    <w:rsid w:val="0099187F"/>
    <w:rsid w:val="009918B8"/>
    <w:rsid w:val="00991CBB"/>
    <w:rsid w:val="00991F87"/>
    <w:rsid w:val="00992190"/>
    <w:rsid w:val="00992432"/>
    <w:rsid w:val="0099249F"/>
    <w:rsid w:val="009925EF"/>
    <w:rsid w:val="00992CA4"/>
    <w:rsid w:val="00992E9E"/>
    <w:rsid w:val="00993127"/>
    <w:rsid w:val="00993534"/>
    <w:rsid w:val="00993698"/>
    <w:rsid w:val="009936A0"/>
    <w:rsid w:val="009936DE"/>
    <w:rsid w:val="00993794"/>
    <w:rsid w:val="00993878"/>
    <w:rsid w:val="00993926"/>
    <w:rsid w:val="00993E83"/>
    <w:rsid w:val="00994025"/>
    <w:rsid w:val="009940FE"/>
    <w:rsid w:val="00994233"/>
    <w:rsid w:val="009945E1"/>
    <w:rsid w:val="0099469A"/>
    <w:rsid w:val="00994770"/>
    <w:rsid w:val="0099484E"/>
    <w:rsid w:val="00994A52"/>
    <w:rsid w:val="00994BD9"/>
    <w:rsid w:val="00994C46"/>
    <w:rsid w:val="009950BD"/>
    <w:rsid w:val="00995210"/>
    <w:rsid w:val="00995999"/>
    <w:rsid w:val="00995AF2"/>
    <w:rsid w:val="00995CBE"/>
    <w:rsid w:val="00995D7C"/>
    <w:rsid w:val="00995D86"/>
    <w:rsid w:val="00995DB0"/>
    <w:rsid w:val="00996225"/>
    <w:rsid w:val="0099630E"/>
    <w:rsid w:val="0099671E"/>
    <w:rsid w:val="00996EB2"/>
    <w:rsid w:val="00996F58"/>
    <w:rsid w:val="00996F5F"/>
    <w:rsid w:val="009971F0"/>
    <w:rsid w:val="009972A3"/>
    <w:rsid w:val="00997519"/>
    <w:rsid w:val="00997539"/>
    <w:rsid w:val="009978D1"/>
    <w:rsid w:val="00997972"/>
    <w:rsid w:val="00997C12"/>
    <w:rsid w:val="00997C5C"/>
    <w:rsid w:val="00997D6F"/>
    <w:rsid w:val="009A000F"/>
    <w:rsid w:val="009A0095"/>
    <w:rsid w:val="009A0108"/>
    <w:rsid w:val="009A012F"/>
    <w:rsid w:val="009A01C8"/>
    <w:rsid w:val="009A01FE"/>
    <w:rsid w:val="009A0268"/>
    <w:rsid w:val="009A02D2"/>
    <w:rsid w:val="009A0419"/>
    <w:rsid w:val="009A0438"/>
    <w:rsid w:val="009A08E9"/>
    <w:rsid w:val="009A094C"/>
    <w:rsid w:val="009A0E7A"/>
    <w:rsid w:val="009A1249"/>
    <w:rsid w:val="009A15E4"/>
    <w:rsid w:val="009A18CC"/>
    <w:rsid w:val="009A19D5"/>
    <w:rsid w:val="009A1D22"/>
    <w:rsid w:val="009A2128"/>
    <w:rsid w:val="009A23AA"/>
    <w:rsid w:val="009A23F0"/>
    <w:rsid w:val="009A2750"/>
    <w:rsid w:val="009A292A"/>
    <w:rsid w:val="009A2BEE"/>
    <w:rsid w:val="009A2C61"/>
    <w:rsid w:val="009A2CB3"/>
    <w:rsid w:val="009A2F96"/>
    <w:rsid w:val="009A307C"/>
    <w:rsid w:val="009A320F"/>
    <w:rsid w:val="009A3405"/>
    <w:rsid w:val="009A35C7"/>
    <w:rsid w:val="009A3699"/>
    <w:rsid w:val="009A395D"/>
    <w:rsid w:val="009A3AAF"/>
    <w:rsid w:val="009A404B"/>
    <w:rsid w:val="009A408B"/>
    <w:rsid w:val="009A420B"/>
    <w:rsid w:val="009A436C"/>
    <w:rsid w:val="009A4660"/>
    <w:rsid w:val="009A46A7"/>
    <w:rsid w:val="009A4934"/>
    <w:rsid w:val="009A4A04"/>
    <w:rsid w:val="009A4AC2"/>
    <w:rsid w:val="009A4B20"/>
    <w:rsid w:val="009A4D72"/>
    <w:rsid w:val="009A4DAB"/>
    <w:rsid w:val="009A519F"/>
    <w:rsid w:val="009A53A5"/>
    <w:rsid w:val="009A53A7"/>
    <w:rsid w:val="009A55DD"/>
    <w:rsid w:val="009A5660"/>
    <w:rsid w:val="009A5B39"/>
    <w:rsid w:val="009A629C"/>
    <w:rsid w:val="009A64C5"/>
    <w:rsid w:val="009A6542"/>
    <w:rsid w:val="009A663C"/>
    <w:rsid w:val="009A6727"/>
    <w:rsid w:val="009A6A6E"/>
    <w:rsid w:val="009A717C"/>
    <w:rsid w:val="009A7285"/>
    <w:rsid w:val="009A73A9"/>
    <w:rsid w:val="009A77C9"/>
    <w:rsid w:val="009A790B"/>
    <w:rsid w:val="009A7A17"/>
    <w:rsid w:val="009A7AE7"/>
    <w:rsid w:val="009A7CBF"/>
    <w:rsid w:val="009A7DD6"/>
    <w:rsid w:val="009A7E47"/>
    <w:rsid w:val="009A7F4C"/>
    <w:rsid w:val="009A7F78"/>
    <w:rsid w:val="009A7F7A"/>
    <w:rsid w:val="009B0026"/>
    <w:rsid w:val="009B02E8"/>
    <w:rsid w:val="009B05A2"/>
    <w:rsid w:val="009B087C"/>
    <w:rsid w:val="009B0A89"/>
    <w:rsid w:val="009B0C1E"/>
    <w:rsid w:val="009B0C52"/>
    <w:rsid w:val="009B0EF9"/>
    <w:rsid w:val="009B0F42"/>
    <w:rsid w:val="009B1087"/>
    <w:rsid w:val="009B147B"/>
    <w:rsid w:val="009B16AC"/>
    <w:rsid w:val="009B1D54"/>
    <w:rsid w:val="009B1E0A"/>
    <w:rsid w:val="009B2AD3"/>
    <w:rsid w:val="009B2E12"/>
    <w:rsid w:val="009B3184"/>
    <w:rsid w:val="009B325A"/>
    <w:rsid w:val="009B325B"/>
    <w:rsid w:val="009B3286"/>
    <w:rsid w:val="009B34C1"/>
    <w:rsid w:val="009B367C"/>
    <w:rsid w:val="009B3C0C"/>
    <w:rsid w:val="009B3EC4"/>
    <w:rsid w:val="009B3FAC"/>
    <w:rsid w:val="009B3FDE"/>
    <w:rsid w:val="009B4059"/>
    <w:rsid w:val="009B4398"/>
    <w:rsid w:val="009B4516"/>
    <w:rsid w:val="009B4619"/>
    <w:rsid w:val="009B462A"/>
    <w:rsid w:val="009B476A"/>
    <w:rsid w:val="009B4A22"/>
    <w:rsid w:val="009B4ABA"/>
    <w:rsid w:val="009B52A9"/>
    <w:rsid w:val="009B53E1"/>
    <w:rsid w:val="009B54E4"/>
    <w:rsid w:val="009B5729"/>
    <w:rsid w:val="009B5769"/>
    <w:rsid w:val="009B590F"/>
    <w:rsid w:val="009B5E83"/>
    <w:rsid w:val="009B5F66"/>
    <w:rsid w:val="009B66D5"/>
    <w:rsid w:val="009B67CA"/>
    <w:rsid w:val="009B68F0"/>
    <w:rsid w:val="009B6B96"/>
    <w:rsid w:val="009B6C19"/>
    <w:rsid w:val="009B6C66"/>
    <w:rsid w:val="009B6DC2"/>
    <w:rsid w:val="009B70C5"/>
    <w:rsid w:val="009B7309"/>
    <w:rsid w:val="009B733C"/>
    <w:rsid w:val="009B749D"/>
    <w:rsid w:val="009B74CB"/>
    <w:rsid w:val="009B79A6"/>
    <w:rsid w:val="009B7DDB"/>
    <w:rsid w:val="009B7E77"/>
    <w:rsid w:val="009C0093"/>
    <w:rsid w:val="009C00DC"/>
    <w:rsid w:val="009C011C"/>
    <w:rsid w:val="009C01EE"/>
    <w:rsid w:val="009C04FD"/>
    <w:rsid w:val="009C0863"/>
    <w:rsid w:val="009C0CC0"/>
    <w:rsid w:val="009C0E18"/>
    <w:rsid w:val="009C0EC9"/>
    <w:rsid w:val="009C1625"/>
    <w:rsid w:val="009C1651"/>
    <w:rsid w:val="009C16CD"/>
    <w:rsid w:val="009C1F0A"/>
    <w:rsid w:val="009C20A5"/>
    <w:rsid w:val="009C2593"/>
    <w:rsid w:val="009C29A8"/>
    <w:rsid w:val="009C2B56"/>
    <w:rsid w:val="009C3012"/>
    <w:rsid w:val="009C30C7"/>
    <w:rsid w:val="009C3197"/>
    <w:rsid w:val="009C360D"/>
    <w:rsid w:val="009C38EA"/>
    <w:rsid w:val="009C398D"/>
    <w:rsid w:val="009C3B1B"/>
    <w:rsid w:val="009C3C7C"/>
    <w:rsid w:val="009C3C86"/>
    <w:rsid w:val="009C3E60"/>
    <w:rsid w:val="009C42E1"/>
    <w:rsid w:val="009C46D0"/>
    <w:rsid w:val="009C47F2"/>
    <w:rsid w:val="009C4DAE"/>
    <w:rsid w:val="009C4E13"/>
    <w:rsid w:val="009C517A"/>
    <w:rsid w:val="009C5199"/>
    <w:rsid w:val="009C559A"/>
    <w:rsid w:val="009C5629"/>
    <w:rsid w:val="009C5866"/>
    <w:rsid w:val="009C5A14"/>
    <w:rsid w:val="009C5AE9"/>
    <w:rsid w:val="009C5CA1"/>
    <w:rsid w:val="009C62ED"/>
    <w:rsid w:val="009C669C"/>
    <w:rsid w:val="009C6879"/>
    <w:rsid w:val="009C68E9"/>
    <w:rsid w:val="009C6A08"/>
    <w:rsid w:val="009C6A3D"/>
    <w:rsid w:val="009C6DC1"/>
    <w:rsid w:val="009C6EB6"/>
    <w:rsid w:val="009C6F1C"/>
    <w:rsid w:val="009C750E"/>
    <w:rsid w:val="009C76A2"/>
    <w:rsid w:val="009C76BA"/>
    <w:rsid w:val="009C7895"/>
    <w:rsid w:val="009C7AF9"/>
    <w:rsid w:val="009C7B3B"/>
    <w:rsid w:val="009C7B7C"/>
    <w:rsid w:val="009C7C91"/>
    <w:rsid w:val="009C7EF8"/>
    <w:rsid w:val="009C7F14"/>
    <w:rsid w:val="009C7F7D"/>
    <w:rsid w:val="009D01CE"/>
    <w:rsid w:val="009D01EE"/>
    <w:rsid w:val="009D0373"/>
    <w:rsid w:val="009D03A4"/>
    <w:rsid w:val="009D0432"/>
    <w:rsid w:val="009D049D"/>
    <w:rsid w:val="009D04B3"/>
    <w:rsid w:val="009D052E"/>
    <w:rsid w:val="009D079D"/>
    <w:rsid w:val="009D0915"/>
    <w:rsid w:val="009D0F24"/>
    <w:rsid w:val="009D10D9"/>
    <w:rsid w:val="009D14DB"/>
    <w:rsid w:val="009D17B3"/>
    <w:rsid w:val="009D1B25"/>
    <w:rsid w:val="009D1B5D"/>
    <w:rsid w:val="009D1F06"/>
    <w:rsid w:val="009D1F75"/>
    <w:rsid w:val="009D234E"/>
    <w:rsid w:val="009D236F"/>
    <w:rsid w:val="009D2417"/>
    <w:rsid w:val="009D244C"/>
    <w:rsid w:val="009D2461"/>
    <w:rsid w:val="009D25D1"/>
    <w:rsid w:val="009D264F"/>
    <w:rsid w:val="009D27E8"/>
    <w:rsid w:val="009D2821"/>
    <w:rsid w:val="009D291F"/>
    <w:rsid w:val="009D29CC"/>
    <w:rsid w:val="009D2A22"/>
    <w:rsid w:val="009D2B18"/>
    <w:rsid w:val="009D2D5A"/>
    <w:rsid w:val="009D2D65"/>
    <w:rsid w:val="009D2E69"/>
    <w:rsid w:val="009D302F"/>
    <w:rsid w:val="009D3082"/>
    <w:rsid w:val="009D32C1"/>
    <w:rsid w:val="009D35E3"/>
    <w:rsid w:val="009D3A65"/>
    <w:rsid w:val="009D3A9D"/>
    <w:rsid w:val="009D3EB4"/>
    <w:rsid w:val="009D3ECE"/>
    <w:rsid w:val="009D40C9"/>
    <w:rsid w:val="009D43D6"/>
    <w:rsid w:val="009D44DD"/>
    <w:rsid w:val="009D469C"/>
    <w:rsid w:val="009D4760"/>
    <w:rsid w:val="009D480D"/>
    <w:rsid w:val="009D4848"/>
    <w:rsid w:val="009D4895"/>
    <w:rsid w:val="009D48FB"/>
    <w:rsid w:val="009D4EF5"/>
    <w:rsid w:val="009D4F26"/>
    <w:rsid w:val="009D4F91"/>
    <w:rsid w:val="009D5416"/>
    <w:rsid w:val="009D54EC"/>
    <w:rsid w:val="009D54EF"/>
    <w:rsid w:val="009D56BF"/>
    <w:rsid w:val="009D5844"/>
    <w:rsid w:val="009D5A41"/>
    <w:rsid w:val="009D5D8F"/>
    <w:rsid w:val="009D5DFA"/>
    <w:rsid w:val="009D5E35"/>
    <w:rsid w:val="009D5F31"/>
    <w:rsid w:val="009D61F0"/>
    <w:rsid w:val="009D647C"/>
    <w:rsid w:val="009D67DF"/>
    <w:rsid w:val="009D6CD3"/>
    <w:rsid w:val="009D6D09"/>
    <w:rsid w:val="009D6F3D"/>
    <w:rsid w:val="009D70BD"/>
    <w:rsid w:val="009D7875"/>
    <w:rsid w:val="009D78C0"/>
    <w:rsid w:val="009D7908"/>
    <w:rsid w:val="009D7984"/>
    <w:rsid w:val="009D7A80"/>
    <w:rsid w:val="009D7BCB"/>
    <w:rsid w:val="009D7C77"/>
    <w:rsid w:val="009D7DB5"/>
    <w:rsid w:val="009D7EF0"/>
    <w:rsid w:val="009E00AC"/>
    <w:rsid w:val="009E00E3"/>
    <w:rsid w:val="009E011B"/>
    <w:rsid w:val="009E0519"/>
    <w:rsid w:val="009E0907"/>
    <w:rsid w:val="009E092A"/>
    <w:rsid w:val="009E09DD"/>
    <w:rsid w:val="009E0A96"/>
    <w:rsid w:val="009E0C3C"/>
    <w:rsid w:val="009E0DBA"/>
    <w:rsid w:val="009E11DF"/>
    <w:rsid w:val="009E1207"/>
    <w:rsid w:val="009E12BB"/>
    <w:rsid w:val="009E1339"/>
    <w:rsid w:val="009E13E1"/>
    <w:rsid w:val="009E148A"/>
    <w:rsid w:val="009E18AB"/>
    <w:rsid w:val="009E1E85"/>
    <w:rsid w:val="009E1F3F"/>
    <w:rsid w:val="009E1FE6"/>
    <w:rsid w:val="009E22E2"/>
    <w:rsid w:val="009E2344"/>
    <w:rsid w:val="009E235C"/>
    <w:rsid w:val="009E26EE"/>
    <w:rsid w:val="009E27B2"/>
    <w:rsid w:val="009E2967"/>
    <w:rsid w:val="009E2A11"/>
    <w:rsid w:val="009E2FA3"/>
    <w:rsid w:val="009E31FF"/>
    <w:rsid w:val="009E364F"/>
    <w:rsid w:val="009E3755"/>
    <w:rsid w:val="009E3A88"/>
    <w:rsid w:val="009E3CD2"/>
    <w:rsid w:val="009E3E12"/>
    <w:rsid w:val="009E3E7D"/>
    <w:rsid w:val="009E3FA3"/>
    <w:rsid w:val="009E40E6"/>
    <w:rsid w:val="009E40EB"/>
    <w:rsid w:val="009E4172"/>
    <w:rsid w:val="009E41EF"/>
    <w:rsid w:val="009E475B"/>
    <w:rsid w:val="009E47BA"/>
    <w:rsid w:val="009E4B98"/>
    <w:rsid w:val="009E4E5C"/>
    <w:rsid w:val="009E50BF"/>
    <w:rsid w:val="009E5402"/>
    <w:rsid w:val="009E548A"/>
    <w:rsid w:val="009E55BB"/>
    <w:rsid w:val="009E570E"/>
    <w:rsid w:val="009E5729"/>
    <w:rsid w:val="009E5945"/>
    <w:rsid w:val="009E59C3"/>
    <w:rsid w:val="009E59FC"/>
    <w:rsid w:val="009E64A3"/>
    <w:rsid w:val="009E64B4"/>
    <w:rsid w:val="009E6629"/>
    <w:rsid w:val="009E696F"/>
    <w:rsid w:val="009E6AA7"/>
    <w:rsid w:val="009E6B3D"/>
    <w:rsid w:val="009E6F00"/>
    <w:rsid w:val="009E717B"/>
    <w:rsid w:val="009E7260"/>
    <w:rsid w:val="009E748A"/>
    <w:rsid w:val="009E7732"/>
    <w:rsid w:val="009E7782"/>
    <w:rsid w:val="009E79DC"/>
    <w:rsid w:val="009E7A59"/>
    <w:rsid w:val="009E7D40"/>
    <w:rsid w:val="009E7DFD"/>
    <w:rsid w:val="009F00BB"/>
    <w:rsid w:val="009F08A5"/>
    <w:rsid w:val="009F0AA6"/>
    <w:rsid w:val="009F0F5A"/>
    <w:rsid w:val="009F0FB1"/>
    <w:rsid w:val="009F1105"/>
    <w:rsid w:val="009F13AB"/>
    <w:rsid w:val="009F1657"/>
    <w:rsid w:val="009F18A2"/>
    <w:rsid w:val="009F18EE"/>
    <w:rsid w:val="009F1D26"/>
    <w:rsid w:val="009F1D74"/>
    <w:rsid w:val="009F1FE9"/>
    <w:rsid w:val="009F22C0"/>
    <w:rsid w:val="009F259B"/>
    <w:rsid w:val="009F25B6"/>
    <w:rsid w:val="009F25D6"/>
    <w:rsid w:val="009F26C9"/>
    <w:rsid w:val="009F2805"/>
    <w:rsid w:val="009F2897"/>
    <w:rsid w:val="009F2BFF"/>
    <w:rsid w:val="009F2C53"/>
    <w:rsid w:val="009F2D06"/>
    <w:rsid w:val="009F2E10"/>
    <w:rsid w:val="009F2ED4"/>
    <w:rsid w:val="009F326D"/>
    <w:rsid w:val="009F36DE"/>
    <w:rsid w:val="009F36E1"/>
    <w:rsid w:val="009F3DD1"/>
    <w:rsid w:val="009F3EC4"/>
    <w:rsid w:val="009F3F01"/>
    <w:rsid w:val="009F41F1"/>
    <w:rsid w:val="009F45F0"/>
    <w:rsid w:val="009F48F8"/>
    <w:rsid w:val="009F49A8"/>
    <w:rsid w:val="009F4CA8"/>
    <w:rsid w:val="009F5386"/>
    <w:rsid w:val="009F5763"/>
    <w:rsid w:val="009F58BD"/>
    <w:rsid w:val="009F5AA7"/>
    <w:rsid w:val="009F5AE6"/>
    <w:rsid w:val="009F5B43"/>
    <w:rsid w:val="009F5CB1"/>
    <w:rsid w:val="009F5E84"/>
    <w:rsid w:val="009F65C4"/>
    <w:rsid w:val="009F65FD"/>
    <w:rsid w:val="009F673C"/>
    <w:rsid w:val="009F69F2"/>
    <w:rsid w:val="009F6B5A"/>
    <w:rsid w:val="009F6BA5"/>
    <w:rsid w:val="009F6BE9"/>
    <w:rsid w:val="009F6F17"/>
    <w:rsid w:val="009F6FB9"/>
    <w:rsid w:val="009F712B"/>
    <w:rsid w:val="009F720B"/>
    <w:rsid w:val="009F7283"/>
    <w:rsid w:val="009F76B3"/>
    <w:rsid w:val="009F795B"/>
    <w:rsid w:val="009F7AA2"/>
    <w:rsid w:val="009F7C39"/>
    <w:rsid w:val="009F7C40"/>
    <w:rsid w:val="009F7CB6"/>
    <w:rsid w:val="009F7D4D"/>
    <w:rsid w:val="009F7DA7"/>
    <w:rsid w:val="009F7DB0"/>
    <w:rsid w:val="009F7DD1"/>
    <w:rsid w:val="009F7FB4"/>
    <w:rsid w:val="00A001CD"/>
    <w:rsid w:val="00A00285"/>
    <w:rsid w:val="00A002E4"/>
    <w:rsid w:val="00A003CC"/>
    <w:rsid w:val="00A00A6E"/>
    <w:rsid w:val="00A00ABA"/>
    <w:rsid w:val="00A00B67"/>
    <w:rsid w:val="00A00CEC"/>
    <w:rsid w:val="00A00F3C"/>
    <w:rsid w:val="00A01364"/>
    <w:rsid w:val="00A0150B"/>
    <w:rsid w:val="00A01831"/>
    <w:rsid w:val="00A01982"/>
    <w:rsid w:val="00A019F3"/>
    <w:rsid w:val="00A01A8F"/>
    <w:rsid w:val="00A01BEB"/>
    <w:rsid w:val="00A01F74"/>
    <w:rsid w:val="00A023EF"/>
    <w:rsid w:val="00A02465"/>
    <w:rsid w:val="00A024E6"/>
    <w:rsid w:val="00A02500"/>
    <w:rsid w:val="00A02568"/>
    <w:rsid w:val="00A0261B"/>
    <w:rsid w:val="00A02A42"/>
    <w:rsid w:val="00A02A43"/>
    <w:rsid w:val="00A02B64"/>
    <w:rsid w:val="00A02BA0"/>
    <w:rsid w:val="00A02DA8"/>
    <w:rsid w:val="00A02E97"/>
    <w:rsid w:val="00A0330A"/>
    <w:rsid w:val="00A0357E"/>
    <w:rsid w:val="00A037F3"/>
    <w:rsid w:val="00A038A8"/>
    <w:rsid w:val="00A0390F"/>
    <w:rsid w:val="00A03DA2"/>
    <w:rsid w:val="00A03EC6"/>
    <w:rsid w:val="00A03F19"/>
    <w:rsid w:val="00A03F8A"/>
    <w:rsid w:val="00A03FAC"/>
    <w:rsid w:val="00A0403D"/>
    <w:rsid w:val="00A04461"/>
    <w:rsid w:val="00A0446D"/>
    <w:rsid w:val="00A044FD"/>
    <w:rsid w:val="00A045BA"/>
    <w:rsid w:val="00A04C01"/>
    <w:rsid w:val="00A04C79"/>
    <w:rsid w:val="00A04D25"/>
    <w:rsid w:val="00A04D39"/>
    <w:rsid w:val="00A04EF3"/>
    <w:rsid w:val="00A0509C"/>
    <w:rsid w:val="00A050C1"/>
    <w:rsid w:val="00A050EF"/>
    <w:rsid w:val="00A0519E"/>
    <w:rsid w:val="00A0530D"/>
    <w:rsid w:val="00A0554C"/>
    <w:rsid w:val="00A055FB"/>
    <w:rsid w:val="00A05C67"/>
    <w:rsid w:val="00A05ECC"/>
    <w:rsid w:val="00A05EDB"/>
    <w:rsid w:val="00A06219"/>
    <w:rsid w:val="00A0624C"/>
    <w:rsid w:val="00A068DD"/>
    <w:rsid w:val="00A06BCE"/>
    <w:rsid w:val="00A06E94"/>
    <w:rsid w:val="00A07023"/>
    <w:rsid w:val="00A0724F"/>
    <w:rsid w:val="00A075BD"/>
    <w:rsid w:val="00A0779B"/>
    <w:rsid w:val="00A0792F"/>
    <w:rsid w:val="00A07B3E"/>
    <w:rsid w:val="00A07BCF"/>
    <w:rsid w:val="00A10171"/>
    <w:rsid w:val="00A10423"/>
    <w:rsid w:val="00A10450"/>
    <w:rsid w:val="00A104ED"/>
    <w:rsid w:val="00A1074F"/>
    <w:rsid w:val="00A10819"/>
    <w:rsid w:val="00A1088E"/>
    <w:rsid w:val="00A108FA"/>
    <w:rsid w:val="00A10965"/>
    <w:rsid w:val="00A10C16"/>
    <w:rsid w:val="00A10C72"/>
    <w:rsid w:val="00A10ED8"/>
    <w:rsid w:val="00A10F60"/>
    <w:rsid w:val="00A10FC2"/>
    <w:rsid w:val="00A11156"/>
    <w:rsid w:val="00A1119B"/>
    <w:rsid w:val="00A1157E"/>
    <w:rsid w:val="00A11634"/>
    <w:rsid w:val="00A11C1E"/>
    <w:rsid w:val="00A11C68"/>
    <w:rsid w:val="00A11D5C"/>
    <w:rsid w:val="00A11D8D"/>
    <w:rsid w:val="00A120AE"/>
    <w:rsid w:val="00A1247B"/>
    <w:rsid w:val="00A127B8"/>
    <w:rsid w:val="00A12865"/>
    <w:rsid w:val="00A12BDD"/>
    <w:rsid w:val="00A12D4E"/>
    <w:rsid w:val="00A12FB2"/>
    <w:rsid w:val="00A13361"/>
    <w:rsid w:val="00A1347E"/>
    <w:rsid w:val="00A13684"/>
    <w:rsid w:val="00A1392C"/>
    <w:rsid w:val="00A13AD4"/>
    <w:rsid w:val="00A13B2F"/>
    <w:rsid w:val="00A13B9C"/>
    <w:rsid w:val="00A13C49"/>
    <w:rsid w:val="00A13E20"/>
    <w:rsid w:val="00A1405C"/>
    <w:rsid w:val="00A14B8A"/>
    <w:rsid w:val="00A14CB9"/>
    <w:rsid w:val="00A14CE2"/>
    <w:rsid w:val="00A14D02"/>
    <w:rsid w:val="00A14E28"/>
    <w:rsid w:val="00A15061"/>
    <w:rsid w:val="00A151C5"/>
    <w:rsid w:val="00A1520B"/>
    <w:rsid w:val="00A152DB"/>
    <w:rsid w:val="00A15670"/>
    <w:rsid w:val="00A15673"/>
    <w:rsid w:val="00A157F2"/>
    <w:rsid w:val="00A15B23"/>
    <w:rsid w:val="00A160C9"/>
    <w:rsid w:val="00A1617D"/>
    <w:rsid w:val="00A161A3"/>
    <w:rsid w:val="00A162D4"/>
    <w:rsid w:val="00A163D8"/>
    <w:rsid w:val="00A16505"/>
    <w:rsid w:val="00A1670D"/>
    <w:rsid w:val="00A1689C"/>
    <w:rsid w:val="00A168BD"/>
    <w:rsid w:val="00A16BEB"/>
    <w:rsid w:val="00A16C36"/>
    <w:rsid w:val="00A16CFF"/>
    <w:rsid w:val="00A16EC4"/>
    <w:rsid w:val="00A17309"/>
    <w:rsid w:val="00A17349"/>
    <w:rsid w:val="00A1737C"/>
    <w:rsid w:val="00A1774B"/>
    <w:rsid w:val="00A17B1E"/>
    <w:rsid w:val="00A2018F"/>
    <w:rsid w:val="00A20335"/>
    <w:rsid w:val="00A2062E"/>
    <w:rsid w:val="00A2065D"/>
    <w:rsid w:val="00A206B5"/>
    <w:rsid w:val="00A20C10"/>
    <w:rsid w:val="00A20E92"/>
    <w:rsid w:val="00A20F26"/>
    <w:rsid w:val="00A20F27"/>
    <w:rsid w:val="00A213FA"/>
    <w:rsid w:val="00A21EC4"/>
    <w:rsid w:val="00A21EE4"/>
    <w:rsid w:val="00A21F8C"/>
    <w:rsid w:val="00A21FC1"/>
    <w:rsid w:val="00A222FE"/>
    <w:rsid w:val="00A22474"/>
    <w:rsid w:val="00A22575"/>
    <w:rsid w:val="00A22659"/>
    <w:rsid w:val="00A22865"/>
    <w:rsid w:val="00A228E8"/>
    <w:rsid w:val="00A22DB6"/>
    <w:rsid w:val="00A22E54"/>
    <w:rsid w:val="00A22FFC"/>
    <w:rsid w:val="00A231CE"/>
    <w:rsid w:val="00A236B2"/>
    <w:rsid w:val="00A237BD"/>
    <w:rsid w:val="00A23855"/>
    <w:rsid w:val="00A239A7"/>
    <w:rsid w:val="00A23DE0"/>
    <w:rsid w:val="00A240DA"/>
    <w:rsid w:val="00A24453"/>
    <w:rsid w:val="00A24521"/>
    <w:rsid w:val="00A2470C"/>
    <w:rsid w:val="00A24BD7"/>
    <w:rsid w:val="00A24C39"/>
    <w:rsid w:val="00A24F3F"/>
    <w:rsid w:val="00A250B6"/>
    <w:rsid w:val="00A25167"/>
    <w:rsid w:val="00A2520B"/>
    <w:rsid w:val="00A25371"/>
    <w:rsid w:val="00A2590A"/>
    <w:rsid w:val="00A25924"/>
    <w:rsid w:val="00A25937"/>
    <w:rsid w:val="00A2597D"/>
    <w:rsid w:val="00A25C1E"/>
    <w:rsid w:val="00A25E6E"/>
    <w:rsid w:val="00A26026"/>
    <w:rsid w:val="00A2611E"/>
    <w:rsid w:val="00A2614C"/>
    <w:rsid w:val="00A262FD"/>
    <w:rsid w:val="00A26871"/>
    <w:rsid w:val="00A268E5"/>
    <w:rsid w:val="00A269C9"/>
    <w:rsid w:val="00A26C31"/>
    <w:rsid w:val="00A26C43"/>
    <w:rsid w:val="00A26DFF"/>
    <w:rsid w:val="00A26EF4"/>
    <w:rsid w:val="00A26F06"/>
    <w:rsid w:val="00A26F8D"/>
    <w:rsid w:val="00A27089"/>
    <w:rsid w:val="00A2721D"/>
    <w:rsid w:val="00A27354"/>
    <w:rsid w:val="00A273B1"/>
    <w:rsid w:val="00A27436"/>
    <w:rsid w:val="00A2751D"/>
    <w:rsid w:val="00A276DE"/>
    <w:rsid w:val="00A277CC"/>
    <w:rsid w:val="00A27862"/>
    <w:rsid w:val="00A2789C"/>
    <w:rsid w:val="00A27A63"/>
    <w:rsid w:val="00A27D32"/>
    <w:rsid w:val="00A27E36"/>
    <w:rsid w:val="00A27F18"/>
    <w:rsid w:val="00A301E2"/>
    <w:rsid w:val="00A30243"/>
    <w:rsid w:val="00A3038B"/>
    <w:rsid w:val="00A304CC"/>
    <w:rsid w:val="00A30529"/>
    <w:rsid w:val="00A30600"/>
    <w:rsid w:val="00A308A5"/>
    <w:rsid w:val="00A3137B"/>
    <w:rsid w:val="00A3154E"/>
    <w:rsid w:val="00A317AB"/>
    <w:rsid w:val="00A31A79"/>
    <w:rsid w:val="00A31A9D"/>
    <w:rsid w:val="00A3211F"/>
    <w:rsid w:val="00A32138"/>
    <w:rsid w:val="00A321CC"/>
    <w:rsid w:val="00A325B8"/>
    <w:rsid w:val="00A33061"/>
    <w:rsid w:val="00A330BB"/>
    <w:rsid w:val="00A33147"/>
    <w:rsid w:val="00A335E7"/>
    <w:rsid w:val="00A3399F"/>
    <w:rsid w:val="00A33C55"/>
    <w:rsid w:val="00A33D96"/>
    <w:rsid w:val="00A3411D"/>
    <w:rsid w:val="00A342A3"/>
    <w:rsid w:val="00A34507"/>
    <w:rsid w:val="00A3472F"/>
    <w:rsid w:val="00A34740"/>
    <w:rsid w:val="00A3476E"/>
    <w:rsid w:val="00A347BE"/>
    <w:rsid w:val="00A3489E"/>
    <w:rsid w:val="00A34B6D"/>
    <w:rsid w:val="00A34D41"/>
    <w:rsid w:val="00A34E3B"/>
    <w:rsid w:val="00A35167"/>
    <w:rsid w:val="00A357AE"/>
    <w:rsid w:val="00A35BE6"/>
    <w:rsid w:val="00A35CDA"/>
    <w:rsid w:val="00A35E21"/>
    <w:rsid w:val="00A36421"/>
    <w:rsid w:val="00A36685"/>
    <w:rsid w:val="00A3671C"/>
    <w:rsid w:val="00A36C52"/>
    <w:rsid w:val="00A36CF1"/>
    <w:rsid w:val="00A37556"/>
    <w:rsid w:val="00A3760C"/>
    <w:rsid w:val="00A377E7"/>
    <w:rsid w:val="00A378D0"/>
    <w:rsid w:val="00A37A4F"/>
    <w:rsid w:val="00A37B25"/>
    <w:rsid w:val="00A37CD5"/>
    <w:rsid w:val="00A37EAC"/>
    <w:rsid w:val="00A37FB2"/>
    <w:rsid w:val="00A405A0"/>
    <w:rsid w:val="00A406E7"/>
    <w:rsid w:val="00A4088B"/>
    <w:rsid w:val="00A40D90"/>
    <w:rsid w:val="00A40E79"/>
    <w:rsid w:val="00A4109E"/>
    <w:rsid w:val="00A41281"/>
    <w:rsid w:val="00A41331"/>
    <w:rsid w:val="00A414B0"/>
    <w:rsid w:val="00A4150D"/>
    <w:rsid w:val="00A4183C"/>
    <w:rsid w:val="00A41AD1"/>
    <w:rsid w:val="00A41AEE"/>
    <w:rsid w:val="00A41D4F"/>
    <w:rsid w:val="00A41EB0"/>
    <w:rsid w:val="00A42024"/>
    <w:rsid w:val="00A4208D"/>
    <w:rsid w:val="00A42127"/>
    <w:rsid w:val="00A421A3"/>
    <w:rsid w:val="00A422C2"/>
    <w:rsid w:val="00A42354"/>
    <w:rsid w:val="00A4245F"/>
    <w:rsid w:val="00A424C3"/>
    <w:rsid w:val="00A424E7"/>
    <w:rsid w:val="00A4252D"/>
    <w:rsid w:val="00A42E96"/>
    <w:rsid w:val="00A433FE"/>
    <w:rsid w:val="00A43407"/>
    <w:rsid w:val="00A43879"/>
    <w:rsid w:val="00A43918"/>
    <w:rsid w:val="00A43D5D"/>
    <w:rsid w:val="00A440DD"/>
    <w:rsid w:val="00A4420C"/>
    <w:rsid w:val="00A443AE"/>
    <w:rsid w:val="00A44681"/>
    <w:rsid w:val="00A447FC"/>
    <w:rsid w:val="00A448EC"/>
    <w:rsid w:val="00A44CE9"/>
    <w:rsid w:val="00A44F17"/>
    <w:rsid w:val="00A451C0"/>
    <w:rsid w:val="00A4529D"/>
    <w:rsid w:val="00A452B8"/>
    <w:rsid w:val="00A452C6"/>
    <w:rsid w:val="00A455C3"/>
    <w:rsid w:val="00A45A8B"/>
    <w:rsid w:val="00A45C1D"/>
    <w:rsid w:val="00A4604E"/>
    <w:rsid w:val="00A46065"/>
    <w:rsid w:val="00A4616C"/>
    <w:rsid w:val="00A46A33"/>
    <w:rsid w:val="00A46D0A"/>
    <w:rsid w:val="00A46DAC"/>
    <w:rsid w:val="00A46E48"/>
    <w:rsid w:val="00A470D9"/>
    <w:rsid w:val="00A473D7"/>
    <w:rsid w:val="00A4761A"/>
    <w:rsid w:val="00A47942"/>
    <w:rsid w:val="00A47C5D"/>
    <w:rsid w:val="00A47D54"/>
    <w:rsid w:val="00A47DB4"/>
    <w:rsid w:val="00A47EE5"/>
    <w:rsid w:val="00A5010A"/>
    <w:rsid w:val="00A5041C"/>
    <w:rsid w:val="00A506B1"/>
    <w:rsid w:val="00A507F6"/>
    <w:rsid w:val="00A509A8"/>
    <w:rsid w:val="00A50C3A"/>
    <w:rsid w:val="00A50C61"/>
    <w:rsid w:val="00A51012"/>
    <w:rsid w:val="00A5115D"/>
    <w:rsid w:val="00A511C0"/>
    <w:rsid w:val="00A511F6"/>
    <w:rsid w:val="00A5121A"/>
    <w:rsid w:val="00A512CB"/>
    <w:rsid w:val="00A51402"/>
    <w:rsid w:val="00A5146C"/>
    <w:rsid w:val="00A51522"/>
    <w:rsid w:val="00A51578"/>
    <w:rsid w:val="00A516F1"/>
    <w:rsid w:val="00A518B7"/>
    <w:rsid w:val="00A5199E"/>
    <w:rsid w:val="00A51C1A"/>
    <w:rsid w:val="00A51C9A"/>
    <w:rsid w:val="00A52375"/>
    <w:rsid w:val="00A523AC"/>
    <w:rsid w:val="00A523B4"/>
    <w:rsid w:val="00A5258E"/>
    <w:rsid w:val="00A52599"/>
    <w:rsid w:val="00A52622"/>
    <w:rsid w:val="00A52B8C"/>
    <w:rsid w:val="00A52C48"/>
    <w:rsid w:val="00A52CA8"/>
    <w:rsid w:val="00A52E02"/>
    <w:rsid w:val="00A5300A"/>
    <w:rsid w:val="00A5311B"/>
    <w:rsid w:val="00A535DB"/>
    <w:rsid w:val="00A53B3D"/>
    <w:rsid w:val="00A53C3B"/>
    <w:rsid w:val="00A53DB5"/>
    <w:rsid w:val="00A53DD0"/>
    <w:rsid w:val="00A53F04"/>
    <w:rsid w:val="00A544CE"/>
    <w:rsid w:val="00A544D5"/>
    <w:rsid w:val="00A55187"/>
    <w:rsid w:val="00A555C9"/>
    <w:rsid w:val="00A555F2"/>
    <w:rsid w:val="00A5578A"/>
    <w:rsid w:val="00A55844"/>
    <w:rsid w:val="00A5598E"/>
    <w:rsid w:val="00A559CE"/>
    <w:rsid w:val="00A55ACC"/>
    <w:rsid w:val="00A55B28"/>
    <w:rsid w:val="00A55C8A"/>
    <w:rsid w:val="00A55F3C"/>
    <w:rsid w:val="00A5605F"/>
    <w:rsid w:val="00A56190"/>
    <w:rsid w:val="00A56520"/>
    <w:rsid w:val="00A565D5"/>
    <w:rsid w:val="00A566DC"/>
    <w:rsid w:val="00A566DE"/>
    <w:rsid w:val="00A5692A"/>
    <w:rsid w:val="00A56A1B"/>
    <w:rsid w:val="00A56BD1"/>
    <w:rsid w:val="00A56DFC"/>
    <w:rsid w:val="00A5700F"/>
    <w:rsid w:val="00A5711F"/>
    <w:rsid w:val="00A578C7"/>
    <w:rsid w:val="00A578F5"/>
    <w:rsid w:val="00A57A07"/>
    <w:rsid w:val="00A57D74"/>
    <w:rsid w:val="00A60078"/>
    <w:rsid w:val="00A60ADD"/>
    <w:rsid w:val="00A60C27"/>
    <w:rsid w:val="00A60C8A"/>
    <w:rsid w:val="00A60E2E"/>
    <w:rsid w:val="00A60E4F"/>
    <w:rsid w:val="00A61087"/>
    <w:rsid w:val="00A61918"/>
    <w:rsid w:val="00A61972"/>
    <w:rsid w:val="00A619BA"/>
    <w:rsid w:val="00A619C8"/>
    <w:rsid w:val="00A61CBA"/>
    <w:rsid w:val="00A61D09"/>
    <w:rsid w:val="00A61EC9"/>
    <w:rsid w:val="00A62161"/>
    <w:rsid w:val="00A62326"/>
    <w:rsid w:val="00A62437"/>
    <w:rsid w:val="00A63065"/>
    <w:rsid w:val="00A63156"/>
    <w:rsid w:val="00A63939"/>
    <w:rsid w:val="00A639F2"/>
    <w:rsid w:val="00A63A14"/>
    <w:rsid w:val="00A63D07"/>
    <w:rsid w:val="00A64241"/>
    <w:rsid w:val="00A6469D"/>
    <w:rsid w:val="00A64845"/>
    <w:rsid w:val="00A64A73"/>
    <w:rsid w:val="00A64E9B"/>
    <w:rsid w:val="00A64F35"/>
    <w:rsid w:val="00A65179"/>
    <w:rsid w:val="00A6520F"/>
    <w:rsid w:val="00A652B9"/>
    <w:rsid w:val="00A6530A"/>
    <w:rsid w:val="00A65399"/>
    <w:rsid w:val="00A65423"/>
    <w:rsid w:val="00A65442"/>
    <w:rsid w:val="00A65614"/>
    <w:rsid w:val="00A6574F"/>
    <w:rsid w:val="00A65A92"/>
    <w:rsid w:val="00A65C0E"/>
    <w:rsid w:val="00A65C2C"/>
    <w:rsid w:val="00A65C35"/>
    <w:rsid w:val="00A65D78"/>
    <w:rsid w:val="00A65EE9"/>
    <w:rsid w:val="00A65FA0"/>
    <w:rsid w:val="00A65FD9"/>
    <w:rsid w:val="00A667B1"/>
    <w:rsid w:val="00A66860"/>
    <w:rsid w:val="00A668B9"/>
    <w:rsid w:val="00A66B2A"/>
    <w:rsid w:val="00A66D37"/>
    <w:rsid w:val="00A66F41"/>
    <w:rsid w:val="00A66FD0"/>
    <w:rsid w:val="00A670B6"/>
    <w:rsid w:val="00A67251"/>
    <w:rsid w:val="00A67308"/>
    <w:rsid w:val="00A67690"/>
    <w:rsid w:val="00A6792E"/>
    <w:rsid w:val="00A67ABD"/>
    <w:rsid w:val="00A67AC6"/>
    <w:rsid w:val="00A67B57"/>
    <w:rsid w:val="00A67E00"/>
    <w:rsid w:val="00A67E59"/>
    <w:rsid w:val="00A7014E"/>
    <w:rsid w:val="00A70526"/>
    <w:rsid w:val="00A7056A"/>
    <w:rsid w:val="00A7060B"/>
    <w:rsid w:val="00A706EA"/>
    <w:rsid w:val="00A708D0"/>
    <w:rsid w:val="00A70D66"/>
    <w:rsid w:val="00A70DF7"/>
    <w:rsid w:val="00A70FDB"/>
    <w:rsid w:val="00A7113F"/>
    <w:rsid w:val="00A71288"/>
    <w:rsid w:val="00A7145F"/>
    <w:rsid w:val="00A714E3"/>
    <w:rsid w:val="00A718F9"/>
    <w:rsid w:val="00A71A86"/>
    <w:rsid w:val="00A71B1F"/>
    <w:rsid w:val="00A71C03"/>
    <w:rsid w:val="00A71EC3"/>
    <w:rsid w:val="00A7236C"/>
    <w:rsid w:val="00A724F3"/>
    <w:rsid w:val="00A726C3"/>
    <w:rsid w:val="00A72902"/>
    <w:rsid w:val="00A730BB"/>
    <w:rsid w:val="00A73227"/>
    <w:rsid w:val="00A7333D"/>
    <w:rsid w:val="00A7350E"/>
    <w:rsid w:val="00A737C3"/>
    <w:rsid w:val="00A73AE9"/>
    <w:rsid w:val="00A73B82"/>
    <w:rsid w:val="00A73ECE"/>
    <w:rsid w:val="00A73F2A"/>
    <w:rsid w:val="00A7440A"/>
    <w:rsid w:val="00A7476B"/>
    <w:rsid w:val="00A748D7"/>
    <w:rsid w:val="00A74904"/>
    <w:rsid w:val="00A74941"/>
    <w:rsid w:val="00A74E88"/>
    <w:rsid w:val="00A7532D"/>
    <w:rsid w:val="00A75374"/>
    <w:rsid w:val="00A754E9"/>
    <w:rsid w:val="00A7553E"/>
    <w:rsid w:val="00A7555E"/>
    <w:rsid w:val="00A755E4"/>
    <w:rsid w:val="00A75B3C"/>
    <w:rsid w:val="00A75DAB"/>
    <w:rsid w:val="00A76064"/>
    <w:rsid w:val="00A769EF"/>
    <w:rsid w:val="00A76B5A"/>
    <w:rsid w:val="00A76C64"/>
    <w:rsid w:val="00A76F62"/>
    <w:rsid w:val="00A76F89"/>
    <w:rsid w:val="00A76F93"/>
    <w:rsid w:val="00A779F6"/>
    <w:rsid w:val="00A77B37"/>
    <w:rsid w:val="00A77B64"/>
    <w:rsid w:val="00A77B74"/>
    <w:rsid w:val="00A77CA8"/>
    <w:rsid w:val="00A77CFD"/>
    <w:rsid w:val="00A77DBA"/>
    <w:rsid w:val="00A800F9"/>
    <w:rsid w:val="00A80204"/>
    <w:rsid w:val="00A8030E"/>
    <w:rsid w:val="00A80402"/>
    <w:rsid w:val="00A80518"/>
    <w:rsid w:val="00A80BEB"/>
    <w:rsid w:val="00A80E99"/>
    <w:rsid w:val="00A80FF7"/>
    <w:rsid w:val="00A810FE"/>
    <w:rsid w:val="00A813DA"/>
    <w:rsid w:val="00A81442"/>
    <w:rsid w:val="00A81495"/>
    <w:rsid w:val="00A81910"/>
    <w:rsid w:val="00A81A6C"/>
    <w:rsid w:val="00A81C2E"/>
    <w:rsid w:val="00A81D86"/>
    <w:rsid w:val="00A81D8D"/>
    <w:rsid w:val="00A81E5C"/>
    <w:rsid w:val="00A81E8D"/>
    <w:rsid w:val="00A8253C"/>
    <w:rsid w:val="00A82675"/>
    <w:rsid w:val="00A82890"/>
    <w:rsid w:val="00A82AC8"/>
    <w:rsid w:val="00A82DE9"/>
    <w:rsid w:val="00A82EDB"/>
    <w:rsid w:val="00A82F32"/>
    <w:rsid w:val="00A82F8C"/>
    <w:rsid w:val="00A830A7"/>
    <w:rsid w:val="00A835CD"/>
    <w:rsid w:val="00A83697"/>
    <w:rsid w:val="00A836B9"/>
    <w:rsid w:val="00A83710"/>
    <w:rsid w:val="00A83873"/>
    <w:rsid w:val="00A8393D"/>
    <w:rsid w:val="00A83A74"/>
    <w:rsid w:val="00A84178"/>
    <w:rsid w:val="00A843E8"/>
    <w:rsid w:val="00A84AFA"/>
    <w:rsid w:val="00A84B3E"/>
    <w:rsid w:val="00A84C26"/>
    <w:rsid w:val="00A84CD7"/>
    <w:rsid w:val="00A84F09"/>
    <w:rsid w:val="00A84F5F"/>
    <w:rsid w:val="00A8532F"/>
    <w:rsid w:val="00A855B8"/>
    <w:rsid w:val="00A85991"/>
    <w:rsid w:val="00A85C3B"/>
    <w:rsid w:val="00A85C68"/>
    <w:rsid w:val="00A85D15"/>
    <w:rsid w:val="00A85E31"/>
    <w:rsid w:val="00A85E58"/>
    <w:rsid w:val="00A8609A"/>
    <w:rsid w:val="00A86236"/>
    <w:rsid w:val="00A865A9"/>
    <w:rsid w:val="00A865CA"/>
    <w:rsid w:val="00A865E5"/>
    <w:rsid w:val="00A86654"/>
    <w:rsid w:val="00A867C3"/>
    <w:rsid w:val="00A867F4"/>
    <w:rsid w:val="00A86AC3"/>
    <w:rsid w:val="00A86E2F"/>
    <w:rsid w:val="00A86F4B"/>
    <w:rsid w:val="00A8713B"/>
    <w:rsid w:val="00A87304"/>
    <w:rsid w:val="00A87653"/>
    <w:rsid w:val="00A876C2"/>
    <w:rsid w:val="00A876C3"/>
    <w:rsid w:val="00A877E6"/>
    <w:rsid w:val="00A879B9"/>
    <w:rsid w:val="00A902CD"/>
    <w:rsid w:val="00A902DF"/>
    <w:rsid w:val="00A90404"/>
    <w:rsid w:val="00A90492"/>
    <w:rsid w:val="00A90661"/>
    <w:rsid w:val="00A9091D"/>
    <w:rsid w:val="00A909EC"/>
    <w:rsid w:val="00A90C67"/>
    <w:rsid w:val="00A90CE9"/>
    <w:rsid w:val="00A90D3E"/>
    <w:rsid w:val="00A90EE5"/>
    <w:rsid w:val="00A910BF"/>
    <w:rsid w:val="00A9136E"/>
    <w:rsid w:val="00A91425"/>
    <w:rsid w:val="00A9148A"/>
    <w:rsid w:val="00A915C3"/>
    <w:rsid w:val="00A916B1"/>
    <w:rsid w:val="00A91820"/>
    <w:rsid w:val="00A919E1"/>
    <w:rsid w:val="00A91A27"/>
    <w:rsid w:val="00A91EEE"/>
    <w:rsid w:val="00A921D2"/>
    <w:rsid w:val="00A92361"/>
    <w:rsid w:val="00A92428"/>
    <w:rsid w:val="00A9243F"/>
    <w:rsid w:val="00A9246E"/>
    <w:rsid w:val="00A92A02"/>
    <w:rsid w:val="00A92A4D"/>
    <w:rsid w:val="00A92B9D"/>
    <w:rsid w:val="00A92CF2"/>
    <w:rsid w:val="00A92FFE"/>
    <w:rsid w:val="00A9313A"/>
    <w:rsid w:val="00A93575"/>
    <w:rsid w:val="00A935EF"/>
    <w:rsid w:val="00A93845"/>
    <w:rsid w:val="00A93A40"/>
    <w:rsid w:val="00A93BBC"/>
    <w:rsid w:val="00A93CE4"/>
    <w:rsid w:val="00A93ED7"/>
    <w:rsid w:val="00A93FAB"/>
    <w:rsid w:val="00A94860"/>
    <w:rsid w:val="00A948EC"/>
    <w:rsid w:val="00A948FC"/>
    <w:rsid w:val="00A949FE"/>
    <w:rsid w:val="00A94B11"/>
    <w:rsid w:val="00A951D9"/>
    <w:rsid w:val="00A95849"/>
    <w:rsid w:val="00A9595A"/>
    <w:rsid w:val="00A95BA0"/>
    <w:rsid w:val="00A95D0D"/>
    <w:rsid w:val="00A95D30"/>
    <w:rsid w:val="00A95ED7"/>
    <w:rsid w:val="00A9615F"/>
    <w:rsid w:val="00A96358"/>
    <w:rsid w:val="00A96703"/>
    <w:rsid w:val="00A9674B"/>
    <w:rsid w:val="00A96ADA"/>
    <w:rsid w:val="00A96B43"/>
    <w:rsid w:val="00A96EF0"/>
    <w:rsid w:val="00A971E4"/>
    <w:rsid w:val="00A97254"/>
    <w:rsid w:val="00A973F5"/>
    <w:rsid w:val="00A97400"/>
    <w:rsid w:val="00A97613"/>
    <w:rsid w:val="00A97C34"/>
    <w:rsid w:val="00A97C8F"/>
    <w:rsid w:val="00A97D08"/>
    <w:rsid w:val="00A97E7B"/>
    <w:rsid w:val="00AA00F9"/>
    <w:rsid w:val="00AA0108"/>
    <w:rsid w:val="00AA043E"/>
    <w:rsid w:val="00AA0738"/>
    <w:rsid w:val="00AA0FCF"/>
    <w:rsid w:val="00AA1213"/>
    <w:rsid w:val="00AA12BD"/>
    <w:rsid w:val="00AA1527"/>
    <w:rsid w:val="00AA160D"/>
    <w:rsid w:val="00AA1758"/>
    <w:rsid w:val="00AA187A"/>
    <w:rsid w:val="00AA18AE"/>
    <w:rsid w:val="00AA1BED"/>
    <w:rsid w:val="00AA1C12"/>
    <w:rsid w:val="00AA1C18"/>
    <w:rsid w:val="00AA1C2E"/>
    <w:rsid w:val="00AA21EB"/>
    <w:rsid w:val="00AA23A3"/>
    <w:rsid w:val="00AA23AD"/>
    <w:rsid w:val="00AA27ED"/>
    <w:rsid w:val="00AA2D5C"/>
    <w:rsid w:val="00AA2E9A"/>
    <w:rsid w:val="00AA2F1B"/>
    <w:rsid w:val="00AA307E"/>
    <w:rsid w:val="00AA31BE"/>
    <w:rsid w:val="00AA33B0"/>
    <w:rsid w:val="00AA33FE"/>
    <w:rsid w:val="00AA361F"/>
    <w:rsid w:val="00AA3665"/>
    <w:rsid w:val="00AA389E"/>
    <w:rsid w:val="00AA393F"/>
    <w:rsid w:val="00AA3A4F"/>
    <w:rsid w:val="00AA3B41"/>
    <w:rsid w:val="00AA3BDC"/>
    <w:rsid w:val="00AA3C83"/>
    <w:rsid w:val="00AA3CAF"/>
    <w:rsid w:val="00AA3F12"/>
    <w:rsid w:val="00AA3FCB"/>
    <w:rsid w:val="00AA3FDF"/>
    <w:rsid w:val="00AA41A1"/>
    <w:rsid w:val="00AA41C5"/>
    <w:rsid w:val="00AA43E6"/>
    <w:rsid w:val="00AA4982"/>
    <w:rsid w:val="00AA4A9B"/>
    <w:rsid w:val="00AA4B59"/>
    <w:rsid w:val="00AA4BE2"/>
    <w:rsid w:val="00AA4DB4"/>
    <w:rsid w:val="00AA4F12"/>
    <w:rsid w:val="00AA5872"/>
    <w:rsid w:val="00AA58EC"/>
    <w:rsid w:val="00AA5A33"/>
    <w:rsid w:val="00AA5A8C"/>
    <w:rsid w:val="00AA5AB7"/>
    <w:rsid w:val="00AA5CAC"/>
    <w:rsid w:val="00AA5D66"/>
    <w:rsid w:val="00AA5DB9"/>
    <w:rsid w:val="00AA5EC0"/>
    <w:rsid w:val="00AA5EE6"/>
    <w:rsid w:val="00AA60B6"/>
    <w:rsid w:val="00AA61F9"/>
    <w:rsid w:val="00AA635C"/>
    <w:rsid w:val="00AA640E"/>
    <w:rsid w:val="00AA6815"/>
    <w:rsid w:val="00AA6DC6"/>
    <w:rsid w:val="00AA6E02"/>
    <w:rsid w:val="00AA6EC7"/>
    <w:rsid w:val="00AA6FC6"/>
    <w:rsid w:val="00AA712E"/>
    <w:rsid w:val="00AA7423"/>
    <w:rsid w:val="00AA770A"/>
    <w:rsid w:val="00AA77E3"/>
    <w:rsid w:val="00AA7A6E"/>
    <w:rsid w:val="00AA7D86"/>
    <w:rsid w:val="00AA7F88"/>
    <w:rsid w:val="00AB0103"/>
    <w:rsid w:val="00AB012E"/>
    <w:rsid w:val="00AB0179"/>
    <w:rsid w:val="00AB0215"/>
    <w:rsid w:val="00AB036C"/>
    <w:rsid w:val="00AB0434"/>
    <w:rsid w:val="00AB0581"/>
    <w:rsid w:val="00AB05D4"/>
    <w:rsid w:val="00AB07DA"/>
    <w:rsid w:val="00AB0C03"/>
    <w:rsid w:val="00AB1036"/>
    <w:rsid w:val="00AB1107"/>
    <w:rsid w:val="00AB1165"/>
    <w:rsid w:val="00AB1189"/>
    <w:rsid w:val="00AB11E7"/>
    <w:rsid w:val="00AB12BC"/>
    <w:rsid w:val="00AB14AB"/>
    <w:rsid w:val="00AB187D"/>
    <w:rsid w:val="00AB19FE"/>
    <w:rsid w:val="00AB1A2D"/>
    <w:rsid w:val="00AB1C0E"/>
    <w:rsid w:val="00AB2068"/>
    <w:rsid w:val="00AB20F0"/>
    <w:rsid w:val="00AB27CF"/>
    <w:rsid w:val="00AB297D"/>
    <w:rsid w:val="00AB2A54"/>
    <w:rsid w:val="00AB2CDE"/>
    <w:rsid w:val="00AB2E4C"/>
    <w:rsid w:val="00AB3019"/>
    <w:rsid w:val="00AB3149"/>
    <w:rsid w:val="00AB3168"/>
    <w:rsid w:val="00AB3218"/>
    <w:rsid w:val="00AB3247"/>
    <w:rsid w:val="00AB351F"/>
    <w:rsid w:val="00AB353F"/>
    <w:rsid w:val="00AB3588"/>
    <w:rsid w:val="00AB3640"/>
    <w:rsid w:val="00AB369D"/>
    <w:rsid w:val="00AB37D3"/>
    <w:rsid w:val="00AB380E"/>
    <w:rsid w:val="00AB398D"/>
    <w:rsid w:val="00AB3999"/>
    <w:rsid w:val="00AB3AC1"/>
    <w:rsid w:val="00AB3B28"/>
    <w:rsid w:val="00AB3B41"/>
    <w:rsid w:val="00AB3CFE"/>
    <w:rsid w:val="00AB3D8E"/>
    <w:rsid w:val="00AB3FA2"/>
    <w:rsid w:val="00AB3FD1"/>
    <w:rsid w:val="00AB4098"/>
    <w:rsid w:val="00AB40B7"/>
    <w:rsid w:val="00AB42D2"/>
    <w:rsid w:val="00AB444F"/>
    <w:rsid w:val="00AB451E"/>
    <w:rsid w:val="00AB484C"/>
    <w:rsid w:val="00AB51FD"/>
    <w:rsid w:val="00AB5239"/>
    <w:rsid w:val="00AB53A5"/>
    <w:rsid w:val="00AB547D"/>
    <w:rsid w:val="00AB551D"/>
    <w:rsid w:val="00AB5759"/>
    <w:rsid w:val="00AB5957"/>
    <w:rsid w:val="00AB59FE"/>
    <w:rsid w:val="00AB5BED"/>
    <w:rsid w:val="00AB5CA4"/>
    <w:rsid w:val="00AB5D63"/>
    <w:rsid w:val="00AB62AB"/>
    <w:rsid w:val="00AB650B"/>
    <w:rsid w:val="00AB657E"/>
    <w:rsid w:val="00AB6A9D"/>
    <w:rsid w:val="00AB6B66"/>
    <w:rsid w:val="00AB6D48"/>
    <w:rsid w:val="00AB6E6D"/>
    <w:rsid w:val="00AB7342"/>
    <w:rsid w:val="00AB7A08"/>
    <w:rsid w:val="00AB7DFA"/>
    <w:rsid w:val="00AB7F05"/>
    <w:rsid w:val="00AC0006"/>
    <w:rsid w:val="00AC0EA6"/>
    <w:rsid w:val="00AC0F2E"/>
    <w:rsid w:val="00AC1245"/>
    <w:rsid w:val="00AC124D"/>
    <w:rsid w:val="00AC1474"/>
    <w:rsid w:val="00AC16E9"/>
    <w:rsid w:val="00AC1DAE"/>
    <w:rsid w:val="00AC1E7F"/>
    <w:rsid w:val="00AC204D"/>
    <w:rsid w:val="00AC208A"/>
    <w:rsid w:val="00AC2127"/>
    <w:rsid w:val="00AC22A6"/>
    <w:rsid w:val="00AC2372"/>
    <w:rsid w:val="00AC2485"/>
    <w:rsid w:val="00AC270D"/>
    <w:rsid w:val="00AC280F"/>
    <w:rsid w:val="00AC290A"/>
    <w:rsid w:val="00AC2956"/>
    <w:rsid w:val="00AC2BC5"/>
    <w:rsid w:val="00AC2BC8"/>
    <w:rsid w:val="00AC2D6D"/>
    <w:rsid w:val="00AC33FC"/>
    <w:rsid w:val="00AC3414"/>
    <w:rsid w:val="00AC3567"/>
    <w:rsid w:val="00AC35B4"/>
    <w:rsid w:val="00AC375F"/>
    <w:rsid w:val="00AC3A15"/>
    <w:rsid w:val="00AC3AB5"/>
    <w:rsid w:val="00AC3EBF"/>
    <w:rsid w:val="00AC4012"/>
    <w:rsid w:val="00AC40D4"/>
    <w:rsid w:val="00AC4157"/>
    <w:rsid w:val="00AC4384"/>
    <w:rsid w:val="00AC44A5"/>
    <w:rsid w:val="00AC44D4"/>
    <w:rsid w:val="00AC46C5"/>
    <w:rsid w:val="00AC4865"/>
    <w:rsid w:val="00AC487A"/>
    <w:rsid w:val="00AC492D"/>
    <w:rsid w:val="00AC4D04"/>
    <w:rsid w:val="00AC4EC3"/>
    <w:rsid w:val="00AC5035"/>
    <w:rsid w:val="00AC54AB"/>
    <w:rsid w:val="00AC5555"/>
    <w:rsid w:val="00AC5556"/>
    <w:rsid w:val="00AC5755"/>
    <w:rsid w:val="00AC5DB4"/>
    <w:rsid w:val="00AC6179"/>
    <w:rsid w:val="00AC6208"/>
    <w:rsid w:val="00AC67FA"/>
    <w:rsid w:val="00AC68FB"/>
    <w:rsid w:val="00AC6D62"/>
    <w:rsid w:val="00AC6E21"/>
    <w:rsid w:val="00AC6E6C"/>
    <w:rsid w:val="00AC6FE7"/>
    <w:rsid w:val="00AC701E"/>
    <w:rsid w:val="00AC735D"/>
    <w:rsid w:val="00AC741A"/>
    <w:rsid w:val="00AC75E1"/>
    <w:rsid w:val="00AC7657"/>
    <w:rsid w:val="00AC79C0"/>
    <w:rsid w:val="00AC7B1A"/>
    <w:rsid w:val="00AC7B48"/>
    <w:rsid w:val="00AC7EC5"/>
    <w:rsid w:val="00AD0035"/>
    <w:rsid w:val="00AD01F7"/>
    <w:rsid w:val="00AD02EC"/>
    <w:rsid w:val="00AD0480"/>
    <w:rsid w:val="00AD082F"/>
    <w:rsid w:val="00AD0986"/>
    <w:rsid w:val="00AD0CB0"/>
    <w:rsid w:val="00AD0F4F"/>
    <w:rsid w:val="00AD118B"/>
    <w:rsid w:val="00AD11B3"/>
    <w:rsid w:val="00AD168D"/>
    <w:rsid w:val="00AD1A30"/>
    <w:rsid w:val="00AD1AB1"/>
    <w:rsid w:val="00AD1EB1"/>
    <w:rsid w:val="00AD2082"/>
    <w:rsid w:val="00AD2409"/>
    <w:rsid w:val="00AD254C"/>
    <w:rsid w:val="00AD271F"/>
    <w:rsid w:val="00AD28EF"/>
    <w:rsid w:val="00AD2BEE"/>
    <w:rsid w:val="00AD2D6F"/>
    <w:rsid w:val="00AD2FDB"/>
    <w:rsid w:val="00AD3483"/>
    <w:rsid w:val="00AD36F9"/>
    <w:rsid w:val="00AD394F"/>
    <w:rsid w:val="00AD3AA3"/>
    <w:rsid w:val="00AD3B66"/>
    <w:rsid w:val="00AD3BCD"/>
    <w:rsid w:val="00AD3E41"/>
    <w:rsid w:val="00AD3F5D"/>
    <w:rsid w:val="00AD49DE"/>
    <w:rsid w:val="00AD4BC4"/>
    <w:rsid w:val="00AD4E16"/>
    <w:rsid w:val="00AD528D"/>
    <w:rsid w:val="00AD53BD"/>
    <w:rsid w:val="00AD5411"/>
    <w:rsid w:val="00AD56C2"/>
    <w:rsid w:val="00AD6101"/>
    <w:rsid w:val="00AD647B"/>
    <w:rsid w:val="00AD64C4"/>
    <w:rsid w:val="00AD6612"/>
    <w:rsid w:val="00AD67CC"/>
    <w:rsid w:val="00AD6806"/>
    <w:rsid w:val="00AD6976"/>
    <w:rsid w:val="00AD6C7E"/>
    <w:rsid w:val="00AD6CF7"/>
    <w:rsid w:val="00AD6E32"/>
    <w:rsid w:val="00AD6E6D"/>
    <w:rsid w:val="00AD7211"/>
    <w:rsid w:val="00AD7239"/>
    <w:rsid w:val="00AD7515"/>
    <w:rsid w:val="00AD7731"/>
    <w:rsid w:val="00AD7903"/>
    <w:rsid w:val="00AE037B"/>
    <w:rsid w:val="00AE0ADA"/>
    <w:rsid w:val="00AE0C9D"/>
    <w:rsid w:val="00AE0CA0"/>
    <w:rsid w:val="00AE1264"/>
    <w:rsid w:val="00AE1328"/>
    <w:rsid w:val="00AE13AE"/>
    <w:rsid w:val="00AE14B9"/>
    <w:rsid w:val="00AE14E1"/>
    <w:rsid w:val="00AE1620"/>
    <w:rsid w:val="00AE1CF5"/>
    <w:rsid w:val="00AE1E0E"/>
    <w:rsid w:val="00AE1FC5"/>
    <w:rsid w:val="00AE21A6"/>
    <w:rsid w:val="00AE2476"/>
    <w:rsid w:val="00AE2C28"/>
    <w:rsid w:val="00AE2CB3"/>
    <w:rsid w:val="00AE2E25"/>
    <w:rsid w:val="00AE2E91"/>
    <w:rsid w:val="00AE2F70"/>
    <w:rsid w:val="00AE312B"/>
    <w:rsid w:val="00AE34F7"/>
    <w:rsid w:val="00AE37D4"/>
    <w:rsid w:val="00AE3E2C"/>
    <w:rsid w:val="00AE408B"/>
    <w:rsid w:val="00AE40EB"/>
    <w:rsid w:val="00AE469B"/>
    <w:rsid w:val="00AE4A7C"/>
    <w:rsid w:val="00AE4CDD"/>
    <w:rsid w:val="00AE4CF4"/>
    <w:rsid w:val="00AE4EE1"/>
    <w:rsid w:val="00AE4F8D"/>
    <w:rsid w:val="00AE513A"/>
    <w:rsid w:val="00AE516E"/>
    <w:rsid w:val="00AE5175"/>
    <w:rsid w:val="00AE535D"/>
    <w:rsid w:val="00AE542B"/>
    <w:rsid w:val="00AE56C4"/>
    <w:rsid w:val="00AE59E3"/>
    <w:rsid w:val="00AE5C18"/>
    <w:rsid w:val="00AE609F"/>
    <w:rsid w:val="00AE6391"/>
    <w:rsid w:val="00AE672F"/>
    <w:rsid w:val="00AE676C"/>
    <w:rsid w:val="00AE6D96"/>
    <w:rsid w:val="00AE7080"/>
    <w:rsid w:val="00AE7131"/>
    <w:rsid w:val="00AE73B2"/>
    <w:rsid w:val="00AE7643"/>
    <w:rsid w:val="00AE7655"/>
    <w:rsid w:val="00AE78C2"/>
    <w:rsid w:val="00AE79BD"/>
    <w:rsid w:val="00AE7AC9"/>
    <w:rsid w:val="00AE7E26"/>
    <w:rsid w:val="00AE7ECE"/>
    <w:rsid w:val="00AF0287"/>
    <w:rsid w:val="00AF0338"/>
    <w:rsid w:val="00AF034B"/>
    <w:rsid w:val="00AF040D"/>
    <w:rsid w:val="00AF06F7"/>
    <w:rsid w:val="00AF079F"/>
    <w:rsid w:val="00AF07FF"/>
    <w:rsid w:val="00AF080C"/>
    <w:rsid w:val="00AF13FE"/>
    <w:rsid w:val="00AF1835"/>
    <w:rsid w:val="00AF1913"/>
    <w:rsid w:val="00AF1A42"/>
    <w:rsid w:val="00AF1B37"/>
    <w:rsid w:val="00AF1B95"/>
    <w:rsid w:val="00AF1D07"/>
    <w:rsid w:val="00AF1DF3"/>
    <w:rsid w:val="00AF1E7A"/>
    <w:rsid w:val="00AF2356"/>
    <w:rsid w:val="00AF2390"/>
    <w:rsid w:val="00AF2B56"/>
    <w:rsid w:val="00AF2BAE"/>
    <w:rsid w:val="00AF2DD5"/>
    <w:rsid w:val="00AF30AF"/>
    <w:rsid w:val="00AF32A1"/>
    <w:rsid w:val="00AF35E8"/>
    <w:rsid w:val="00AF3654"/>
    <w:rsid w:val="00AF36B4"/>
    <w:rsid w:val="00AF3A8B"/>
    <w:rsid w:val="00AF3D81"/>
    <w:rsid w:val="00AF409A"/>
    <w:rsid w:val="00AF48A6"/>
    <w:rsid w:val="00AF4955"/>
    <w:rsid w:val="00AF4BAB"/>
    <w:rsid w:val="00AF4CF5"/>
    <w:rsid w:val="00AF4D6C"/>
    <w:rsid w:val="00AF4E28"/>
    <w:rsid w:val="00AF4FE2"/>
    <w:rsid w:val="00AF5152"/>
    <w:rsid w:val="00AF5162"/>
    <w:rsid w:val="00AF5217"/>
    <w:rsid w:val="00AF5378"/>
    <w:rsid w:val="00AF5807"/>
    <w:rsid w:val="00AF5828"/>
    <w:rsid w:val="00AF58BD"/>
    <w:rsid w:val="00AF5F5C"/>
    <w:rsid w:val="00AF615D"/>
    <w:rsid w:val="00AF61A6"/>
    <w:rsid w:val="00AF6349"/>
    <w:rsid w:val="00AF6376"/>
    <w:rsid w:val="00AF65C7"/>
    <w:rsid w:val="00AF6846"/>
    <w:rsid w:val="00AF6863"/>
    <w:rsid w:val="00AF6B13"/>
    <w:rsid w:val="00AF6C11"/>
    <w:rsid w:val="00AF6C19"/>
    <w:rsid w:val="00AF6C76"/>
    <w:rsid w:val="00AF6D13"/>
    <w:rsid w:val="00AF6EE7"/>
    <w:rsid w:val="00AF6F20"/>
    <w:rsid w:val="00AF7038"/>
    <w:rsid w:val="00AF7043"/>
    <w:rsid w:val="00AF72F3"/>
    <w:rsid w:val="00AF738E"/>
    <w:rsid w:val="00AF7658"/>
    <w:rsid w:val="00AF7741"/>
    <w:rsid w:val="00AF7B03"/>
    <w:rsid w:val="00AF7CA1"/>
    <w:rsid w:val="00AF7D06"/>
    <w:rsid w:val="00AF7D51"/>
    <w:rsid w:val="00AF7D93"/>
    <w:rsid w:val="00AF7E7D"/>
    <w:rsid w:val="00B001CF"/>
    <w:rsid w:val="00B0093B"/>
    <w:rsid w:val="00B00B44"/>
    <w:rsid w:val="00B00CB6"/>
    <w:rsid w:val="00B0115E"/>
    <w:rsid w:val="00B01285"/>
    <w:rsid w:val="00B0149A"/>
    <w:rsid w:val="00B0150C"/>
    <w:rsid w:val="00B015D7"/>
    <w:rsid w:val="00B01A93"/>
    <w:rsid w:val="00B01C52"/>
    <w:rsid w:val="00B01C82"/>
    <w:rsid w:val="00B01DEA"/>
    <w:rsid w:val="00B021ED"/>
    <w:rsid w:val="00B025A6"/>
    <w:rsid w:val="00B025DF"/>
    <w:rsid w:val="00B0262B"/>
    <w:rsid w:val="00B0269B"/>
    <w:rsid w:val="00B02735"/>
    <w:rsid w:val="00B02737"/>
    <w:rsid w:val="00B02CAC"/>
    <w:rsid w:val="00B02E70"/>
    <w:rsid w:val="00B02F1B"/>
    <w:rsid w:val="00B030B7"/>
    <w:rsid w:val="00B03110"/>
    <w:rsid w:val="00B031A2"/>
    <w:rsid w:val="00B03678"/>
    <w:rsid w:val="00B037FE"/>
    <w:rsid w:val="00B03963"/>
    <w:rsid w:val="00B03FC6"/>
    <w:rsid w:val="00B03FE7"/>
    <w:rsid w:val="00B04289"/>
    <w:rsid w:val="00B04651"/>
    <w:rsid w:val="00B04893"/>
    <w:rsid w:val="00B04AC6"/>
    <w:rsid w:val="00B04B64"/>
    <w:rsid w:val="00B04FE9"/>
    <w:rsid w:val="00B05153"/>
    <w:rsid w:val="00B05538"/>
    <w:rsid w:val="00B05A12"/>
    <w:rsid w:val="00B05A27"/>
    <w:rsid w:val="00B05C4A"/>
    <w:rsid w:val="00B05CC6"/>
    <w:rsid w:val="00B05CFC"/>
    <w:rsid w:val="00B05D0D"/>
    <w:rsid w:val="00B05F44"/>
    <w:rsid w:val="00B05FB7"/>
    <w:rsid w:val="00B0602D"/>
    <w:rsid w:val="00B06038"/>
    <w:rsid w:val="00B0622C"/>
    <w:rsid w:val="00B0625F"/>
    <w:rsid w:val="00B06578"/>
    <w:rsid w:val="00B06A14"/>
    <w:rsid w:val="00B06A4E"/>
    <w:rsid w:val="00B06ACB"/>
    <w:rsid w:val="00B06C32"/>
    <w:rsid w:val="00B06EC3"/>
    <w:rsid w:val="00B07178"/>
    <w:rsid w:val="00B07213"/>
    <w:rsid w:val="00B07259"/>
    <w:rsid w:val="00B0762A"/>
    <w:rsid w:val="00B0775C"/>
    <w:rsid w:val="00B07A48"/>
    <w:rsid w:val="00B07A4A"/>
    <w:rsid w:val="00B07B2B"/>
    <w:rsid w:val="00B07E74"/>
    <w:rsid w:val="00B07F00"/>
    <w:rsid w:val="00B07FDE"/>
    <w:rsid w:val="00B10092"/>
    <w:rsid w:val="00B10278"/>
    <w:rsid w:val="00B10294"/>
    <w:rsid w:val="00B1093B"/>
    <w:rsid w:val="00B10C22"/>
    <w:rsid w:val="00B11505"/>
    <w:rsid w:val="00B117C6"/>
    <w:rsid w:val="00B117F7"/>
    <w:rsid w:val="00B11994"/>
    <w:rsid w:val="00B11A32"/>
    <w:rsid w:val="00B11ADE"/>
    <w:rsid w:val="00B12034"/>
    <w:rsid w:val="00B122DD"/>
    <w:rsid w:val="00B128A1"/>
    <w:rsid w:val="00B129D3"/>
    <w:rsid w:val="00B12B56"/>
    <w:rsid w:val="00B12B73"/>
    <w:rsid w:val="00B12BB1"/>
    <w:rsid w:val="00B12C5F"/>
    <w:rsid w:val="00B13003"/>
    <w:rsid w:val="00B130C4"/>
    <w:rsid w:val="00B131FE"/>
    <w:rsid w:val="00B13634"/>
    <w:rsid w:val="00B13675"/>
    <w:rsid w:val="00B13A17"/>
    <w:rsid w:val="00B13AA2"/>
    <w:rsid w:val="00B13D84"/>
    <w:rsid w:val="00B1406D"/>
    <w:rsid w:val="00B14369"/>
    <w:rsid w:val="00B14456"/>
    <w:rsid w:val="00B146E7"/>
    <w:rsid w:val="00B14761"/>
    <w:rsid w:val="00B147A4"/>
    <w:rsid w:val="00B147E8"/>
    <w:rsid w:val="00B149AF"/>
    <w:rsid w:val="00B14A73"/>
    <w:rsid w:val="00B14B67"/>
    <w:rsid w:val="00B14C24"/>
    <w:rsid w:val="00B14DB2"/>
    <w:rsid w:val="00B14ED1"/>
    <w:rsid w:val="00B153BC"/>
    <w:rsid w:val="00B15745"/>
    <w:rsid w:val="00B15847"/>
    <w:rsid w:val="00B1589A"/>
    <w:rsid w:val="00B159E1"/>
    <w:rsid w:val="00B15DD1"/>
    <w:rsid w:val="00B15F9D"/>
    <w:rsid w:val="00B164D4"/>
    <w:rsid w:val="00B16770"/>
    <w:rsid w:val="00B16784"/>
    <w:rsid w:val="00B167C9"/>
    <w:rsid w:val="00B16856"/>
    <w:rsid w:val="00B168ED"/>
    <w:rsid w:val="00B16CD1"/>
    <w:rsid w:val="00B16D06"/>
    <w:rsid w:val="00B16E71"/>
    <w:rsid w:val="00B16E92"/>
    <w:rsid w:val="00B17522"/>
    <w:rsid w:val="00B1773E"/>
    <w:rsid w:val="00B17757"/>
    <w:rsid w:val="00B17995"/>
    <w:rsid w:val="00B17A95"/>
    <w:rsid w:val="00B17AA9"/>
    <w:rsid w:val="00B17BB5"/>
    <w:rsid w:val="00B17C50"/>
    <w:rsid w:val="00B17CD0"/>
    <w:rsid w:val="00B17D32"/>
    <w:rsid w:val="00B17DA5"/>
    <w:rsid w:val="00B202B3"/>
    <w:rsid w:val="00B202CB"/>
    <w:rsid w:val="00B203C3"/>
    <w:rsid w:val="00B203FA"/>
    <w:rsid w:val="00B204D0"/>
    <w:rsid w:val="00B20710"/>
    <w:rsid w:val="00B208CE"/>
    <w:rsid w:val="00B20C7F"/>
    <w:rsid w:val="00B20F13"/>
    <w:rsid w:val="00B20F9F"/>
    <w:rsid w:val="00B21291"/>
    <w:rsid w:val="00B213E9"/>
    <w:rsid w:val="00B2140F"/>
    <w:rsid w:val="00B2145F"/>
    <w:rsid w:val="00B2159A"/>
    <w:rsid w:val="00B215B2"/>
    <w:rsid w:val="00B217C6"/>
    <w:rsid w:val="00B217F7"/>
    <w:rsid w:val="00B219A6"/>
    <w:rsid w:val="00B21B82"/>
    <w:rsid w:val="00B21D04"/>
    <w:rsid w:val="00B21FB4"/>
    <w:rsid w:val="00B221F3"/>
    <w:rsid w:val="00B22424"/>
    <w:rsid w:val="00B22665"/>
    <w:rsid w:val="00B226A9"/>
    <w:rsid w:val="00B228D6"/>
    <w:rsid w:val="00B228E5"/>
    <w:rsid w:val="00B22941"/>
    <w:rsid w:val="00B229D0"/>
    <w:rsid w:val="00B22E98"/>
    <w:rsid w:val="00B22FC4"/>
    <w:rsid w:val="00B2302A"/>
    <w:rsid w:val="00B230AD"/>
    <w:rsid w:val="00B23450"/>
    <w:rsid w:val="00B2353C"/>
    <w:rsid w:val="00B2358A"/>
    <w:rsid w:val="00B235BF"/>
    <w:rsid w:val="00B237E8"/>
    <w:rsid w:val="00B237F0"/>
    <w:rsid w:val="00B2390F"/>
    <w:rsid w:val="00B2395A"/>
    <w:rsid w:val="00B23A93"/>
    <w:rsid w:val="00B23E42"/>
    <w:rsid w:val="00B240A1"/>
    <w:rsid w:val="00B24142"/>
    <w:rsid w:val="00B24267"/>
    <w:rsid w:val="00B244A7"/>
    <w:rsid w:val="00B24899"/>
    <w:rsid w:val="00B2495D"/>
    <w:rsid w:val="00B24A83"/>
    <w:rsid w:val="00B24BAD"/>
    <w:rsid w:val="00B24DD0"/>
    <w:rsid w:val="00B24E37"/>
    <w:rsid w:val="00B253CE"/>
    <w:rsid w:val="00B2548F"/>
    <w:rsid w:val="00B25509"/>
    <w:rsid w:val="00B257F1"/>
    <w:rsid w:val="00B258CD"/>
    <w:rsid w:val="00B25A61"/>
    <w:rsid w:val="00B25E53"/>
    <w:rsid w:val="00B25F84"/>
    <w:rsid w:val="00B25FE1"/>
    <w:rsid w:val="00B26124"/>
    <w:rsid w:val="00B26132"/>
    <w:rsid w:val="00B26296"/>
    <w:rsid w:val="00B26452"/>
    <w:rsid w:val="00B26AAB"/>
    <w:rsid w:val="00B26AAE"/>
    <w:rsid w:val="00B26BE0"/>
    <w:rsid w:val="00B26C2B"/>
    <w:rsid w:val="00B26CB2"/>
    <w:rsid w:val="00B26CD7"/>
    <w:rsid w:val="00B26F0B"/>
    <w:rsid w:val="00B26F39"/>
    <w:rsid w:val="00B275D4"/>
    <w:rsid w:val="00B275E4"/>
    <w:rsid w:val="00B27779"/>
    <w:rsid w:val="00B27A06"/>
    <w:rsid w:val="00B27A8B"/>
    <w:rsid w:val="00B27F6C"/>
    <w:rsid w:val="00B3021C"/>
    <w:rsid w:val="00B304D7"/>
    <w:rsid w:val="00B30560"/>
    <w:rsid w:val="00B3057D"/>
    <w:rsid w:val="00B306A5"/>
    <w:rsid w:val="00B30857"/>
    <w:rsid w:val="00B30B27"/>
    <w:rsid w:val="00B30F68"/>
    <w:rsid w:val="00B3115B"/>
    <w:rsid w:val="00B317E9"/>
    <w:rsid w:val="00B3184F"/>
    <w:rsid w:val="00B31B0F"/>
    <w:rsid w:val="00B31B85"/>
    <w:rsid w:val="00B31F88"/>
    <w:rsid w:val="00B32055"/>
    <w:rsid w:val="00B320F9"/>
    <w:rsid w:val="00B3259C"/>
    <w:rsid w:val="00B325E1"/>
    <w:rsid w:val="00B32696"/>
    <w:rsid w:val="00B326B7"/>
    <w:rsid w:val="00B328CB"/>
    <w:rsid w:val="00B32A13"/>
    <w:rsid w:val="00B32D5B"/>
    <w:rsid w:val="00B32DC8"/>
    <w:rsid w:val="00B33320"/>
    <w:rsid w:val="00B339AD"/>
    <w:rsid w:val="00B33B04"/>
    <w:rsid w:val="00B33B92"/>
    <w:rsid w:val="00B33C03"/>
    <w:rsid w:val="00B33C42"/>
    <w:rsid w:val="00B33F80"/>
    <w:rsid w:val="00B34147"/>
    <w:rsid w:val="00B34177"/>
    <w:rsid w:val="00B342BC"/>
    <w:rsid w:val="00B3451C"/>
    <w:rsid w:val="00B347A6"/>
    <w:rsid w:val="00B347D5"/>
    <w:rsid w:val="00B34891"/>
    <w:rsid w:val="00B34BD8"/>
    <w:rsid w:val="00B34C93"/>
    <w:rsid w:val="00B34E8A"/>
    <w:rsid w:val="00B34FF9"/>
    <w:rsid w:val="00B351A6"/>
    <w:rsid w:val="00B3567A"/>
    <w:rsid w:val="00B358B6"/>
    <w:rsid w:val="00B35B84"/>
    <w:rsid w:val="00B35D0D"/>
    <w:rsid w:val="00B35D1F"/>
    <w:rsid w:val="00B35DED"/>
    <w:rsid w:val="00B36254"/>
    <w:rsid w:val="00B36962"/>
    <w:rsid w:val="00B36B00"/>
    <w:rsid w:val="00B36BC0"/>
    <w:rsid w:val="00B36C2F"/>
    <w:rsid w:val="00B36CD9"/>
    <w:rsid w:val="00B36FFF"/>
    <w:rsid w:val="00B37025"/>
    <w:rsid w:val="00B37038"/>
    <w:rsid w:val="00B372B6"/>
    <w:rsid w:val="00B37447"/>
    <w:rsid w:val="00B37461"/>
    <w:rsid w:val="00B376B1"/>
    <w:rsid w:val="00B378C0"/>
    <w:rsid w:val="00B37B19"/>
    <w:rsid w:val="00B37B9E"/>
    <w:rsid w:val="00B37BF1"/>
    <w:rsid w:val="00B37D84"/>
    <w:rsid w:val="00B37E3A"/>
    <w:rsid w:val="00B40097"/>
    <w:rsid w:val="00B40363"/>
    <w:rsid w:val="00B4037C"/>
    <w:rsid w:val="00B40682"/>
    <w:rsid w:val="00B407EE"/>
    <w:rsid w:val="00B40807"/>
    <w:rsid w:val="00B408C3"/>
    <w:rsid w:val="00B40E10"/>
    <w:rsid w:val="00B40E92"/>
    <w:rsid w:val="00B40F93"/>
    <w:rsid w:val="00B411F2"/>
    <w:rsid w:val="00B41496"/>
    <w:rsid w:val="00B41563"/>
    <w:rsid w:val="00B415F4"/>
    <w:rsid w:val="00B4160C"/>
    <w:rsid w:val="00B416D3"/>
    <w:rsid w:val="00B418C1"/>
    <w:rsid w:val="00B419B8"/>
    <w:rsid w:val="00B419F9"/>
    <w:rsid w:val="00B41A18"/>
    <w:rsid w:val="00B420DF"/>
    <w:rsid w:val="00B42118"/>
    <w:rsid w:val="00B42128"/>
    <w:rsid w:val="00B42562"/>
    <w:rsid w:val="00B42567"/>
    <w:rsid w:val="00B42AAA"/>
    <w:rsid w:val="00B42BF3"/>
    <w:rsid w:val="00B42C7C"/>
    <w:rsid w:val="00B42DC2"/>
    <w:rsid w:val="00B42DDA"/>
    <w:rsid w:val="00B42EF4"/>
    <w:rsid w:val="00B4317E"/>
    <w:rsid w:val="00B431D3"/>
    <w:rsid w:val="00B433B7"/>
    <w:rsid w:val="00B433EA"/>
    <w:rsid w:val="00B4346C"/>
    <w:rsid w:val="00B4354E"/>
    <w:rsid w:val="00B43553"/>
    <w:rsid w:val="00B436E6"/>
    <w:rsid w:val="00B439BD"/>
    <w:rsid w:val="00B43A03"/>
    <w:rsid w:val="00B43AB9"/>
    <w:rsid w:val="00B43D5F"/>
    <w:rsid w:val="00B43DC8"/>
    <w:rsid w:val="00B44052"/>
    <w:rsid w:val="00B44254"/>
    <w:rsid w:val="00B445C4"/>
    <w:rsid w:val="00B4462F"/>
    <w:rsid w:val="00B4477A"/>
    <w:rsid w:val="00B4483A"/>
    <w:rsid w:val="00B449D4"/>
    <w:rsid w:val="00B44A21"/>
    <w:rsid w:val="00B44ADE"/>
    <w:rsid w:val="00B44E21"/>
    <w:rsid w:val="00B44E2A"/>
    <w:rsid w:val="00B44E9B"/>
    <w:rsid w:val="00B45007"/>
    <w:rsid w:val="00B453CD"/>
    <w:rsid w:val="00B4545C"/>
    <w:rsid w:val="00B45738"/>
    <w:rsid w:val="00B457ED"/>
    <w:rsid w:val="00B45809"/>
    <w:rsid w:val="00B4580D"/>
    <w:rsid w:val="00B459BC"/>
    <w:rsid w:val="00B45ADD"/>
    <w:rsid w:val="00B45D72"/>
    <w:rsid w:val="00B45F2F"/>
    <w:rsid w:val="00B46025"/>
    <w:rsid w:val="00B463A3"/>
    <w:rsid w:val="00B46C43"/>
    <w:rsid w:val="00B46EBB"/>
    <w:rsid w:val="00B470F2"/>
    <w:rsid w:val="00B47427"/>
    <w:rsid w:val="00B47520"/>
    <w:rsid w:val="00B47795"/>
    <w:rsid w:val="00B47C46"/>
    <w:rsid w:val="00B47E9C"/>
    <w:rsid w:val="00B502AC"/>
    <w:rsid w:val="00B50392"/>
    <w:rsid w:val="00B50581"/>
    <w:rsid w:val="00B505C2"/>
    <w:rsid w:val="00B50BE3"/>
    <w:rsid w:val="00B50C5A"/>
    <w:rsid w:val="00B50FA7"/>
    <w:rsid w:val="00B51191"/>
    <w:rsid w:val="00B51228"/>
    <w:rsid w:val="00B51252"/>
    <w:rsid w:val="00B513FD"/>
    <w:rsid w:val="00B5140B"/>
    <w:rsid w:val="00B51794"/>
    <w:rsid w:val="00B518D1"/>
    <w:rsid w:val="00B519F3"/>
    <w:rsid w:val="00B51B58"/>
    <w:rsid w:val="00B51BB8"/>
    <w:rsid w:val="00B51E26"/>
    <w:rsid w:val="00B51EFB"/>
    <w:rsid w:val="00B5227B"/>
    <w:rsid w:val="00B5234F"/>
    <w:rsid w:val="00B527B6"/>
    <w:rsid w:val="00B52954"/>
    <w:rsid w:val="00B52C49"/>
    <w:rsid w:val="00B52D8C"/>
    <w:rsid w:val="00B52E70"/>
    <w:rsid w:val="00B5308E"/>
    <w:rsid w:val="00B530CD"/>
    <w:rsid w:val="00B530EA"/>
    <w:rsid w:val="00B531D1"/>
    <w:rsid w:val="00B532FF"/>
    <w:rsid w:val="00B53506"/>
    <w:rsid w:val="00B53757"/>
    <w:rsid w:val="00B53E39"/>
    <w:rsid w:val="00B53EC4"/>
    <w:rsid w:val="00B5412F"/>
    <w:rsid w:val="00B544A2"/>
    <w:rsid w:val="00B54515"/>
    <w:rsid w:val="00B546E3"/>
    <w:rsid w:val="00B54B82"/>
    <w:rsid w:val="00B54F65"/>
    <w:rsid w:val="00B552B9"/>
    <w:rsid w:val="00B55440"/>
    <w:rsid w:val="00B55481"/>
    <w:rsid w:val="00B55516"/>
    <w:rsid w:val="00B559E8"/>
    <w:rsid w:val="00B55ADA"/>
    <w:rsid w:val="00B55C13"/>
    <w:rsid w:val="00B55C40"/>
    <w:rsid w:val="00B55E19"/>
    <w:rsid w:val="00B55E1D"/>
    <w:rsid w:val="00B55FC1"/>
    <w:rsid w:val="00B561B2"/>
    <w:rsid w:val="00B562A3"/>
    <w:rsid w:val="00B56420"/>
    <w:rsid w:val="00B5647C"/>
    <w:rsid w:val="00B565B5"/>
    <w:rsid w:val="00B565D2"/>
    <w:rsid w:val="00B566F4"/>
    <w:rsid w:val="00B56B10"/>
    <w:rsid w:val="00B56C12"/>
    <w:rsid w:val="00B56C1A"/>
    <w:rsid w:val="00B56C51"/>
    <w:rsid w:val="00B56D8B"/>
    <w:rsid w:val="00B5709B"/>
    <w:rsid w:val="00B57577"/>
    <w:rsid w:val="00B575EF"/>
    <w:rsid w:val="00B57928"/>
    <w:rsid w:val="00B57BBE"/>
    <w:rsid w:val="00B57BD3"/>
    <w:rsid w:val="00B57D7A"/>
    <w:rsid w:val="00B57E6C"/>
    <w:rsid w:val="00B601C0"/>
    <w:rsid w:val="00B60376"/>
    <w:rsid w:val="00B603F3"/>
    <w:rsid w:val="00B60426"/>
    <w:rsid w:val="00B6045E"/>
    <w:rsid w:val="00B607B2"/>
    <w:rsid w:val="00B60852"/>
    <w:rsid w:val="00B608E2"/>
    <w:rsid w:val="00B60BC1"/>
    <w:rsid w:val="00B60D4E"/>
    <w:rsid w:val="00B60DB8"/>
    <w:rsid w:val="00B60FE4"/>
    <w:rsid w:val="00B6116E"/>
    <w:rsid w:val="00B61290"/>
    <w:rsid w:val="00B613E5"/>
    <w:rsid w:val="00B61754"/>
    <w:rsid w:val="00B617A8"/>
    <w:rsid w:val="00B61C52"/>
    <w:rsid w:val="00B61CD0"/>
    <w:rsid w:val="00B61F37"/>
    <w:rsid w:val="00B62061"/>
    <w:rsid w:val="00B6230D"/>
    <w:rsid w:val="00B6265C"/>
    <w:rsid w:val="00B62738"/>
    <w:rsid w:val="00B62770"/>
    <w:rsid w:val="00B62A7B"/>
    <w:rsid w:val="00B62B10"/>
    <w:rsid w:val="00B62ED3"/>
    <w:rsid w:val="00B6329B"/>
    <w:rsid w:val="00B63319"/>
    <w:rsid w:val="00B633A4"/>
    <w:rsid w:val="00B63AA8"/>
    <w:rsid w:val="00B63D30"/>
    <w:rsid w:val="00B63E18"/>
    <w:rsid w:val="00B64085"/>
    <w:rsid w:val="00B64180"/>
    <w:rsid w:val="00B641DF"/>
    <w:rsid w:val="00B646A3"/>
    <w:rsid w:val="00B6495B"/>
    <w:rsid w:val="00B64A3C"/>
    <w:rsid w:val="00B64AED"/>
    <w:rsid w:val="00B64BB9"/>
    <w:rsid w:val="00B64C94"/>
    <w:rsid w:val="00B64CD8"/>
    <w:rsid w:val="00B64D2B"/>
    <w:rsid w:val="00B64DB7"/>
    <w:rsid w:val="00B64E85"/>
    <w:rsid w:val="00B64EE2"/>
    <w:rsid w:val="00B6519A"/>
    <w:rsid w:val="00B652F7"/>
    <w:rsid w:val="00B65800"/>
    <w:rsid w:val="00B65A19"/>
    <w:rsid w:val="00B65BAE"/>
    <w:rsid w:val="00B65CB3"/>
    <w:rsid w:val="00B65D44"/>
    <w:rsid w:val="00B65FB0"/>
    <w:rsid w:val="00B6617C"/>
    <w:rsid w:val="00B6692B"/>
    <w:rsid w:val="00B66B01"/>
    <w:rsid w:val="00B66C8C"/>
    <w:rsid w:val="00B66F0C"/>
    <w:rsid w:val="00B670FF"/>
    <w:rsid w:val="00B6712B"/>
    <w:rsid w:val="00B671CD"/>
    <w:rsid w:val="00B67232"/>
    <w:rsid w:val="00B67396"/>
    <w:rsid w:val="00B67540"/>
    <w:rsid w:val="00B67725"/>
    <w:rsid w:val="00B67904"/>
    <w:rsid w:val="00B67A49"/>
    <w:rsid w:val="00B67BB7"/>
    <w:rsid w:val="00B67CAC"/>
    <w:rsid w:val="00B67D64"/>
    <w:rsid w:val="00B67E9A"/>
    <w:rsid w:val="00B67F3A"/>
    <w:rsid w:val="00B700C2"/>
    <w:rsid w:val="00B702BA"/>
    <w:rsid w:val="00B702D5"/>
    <w:rsid w:val="00B707CB"/>
    <w:rsid w:val="00B70815"/>
    <w:rsid w:val="00B7083E"/>
    <w:rsid w:val="00B70A9B"/>
    <w:rsid w:val="00B70C56"/>
    <w:rsid w:val="00B70C9A"/>
    <w:rsid w:val="00B70D67"/>
    <w:rsid w:val="00B70EC5"/>
    <w:rsid w:val="00B70F7A"/>
    <w:rsid w:val="00B710A8"/>
    <w:rsid w:val="00B716C7"/>
    <w:rsid w:val="00B71844"/>
    <w:rsid w:val="00B71C6C"/>
    <w:rsid w:val="00B72014"/>
    <w:rsid w:val="00B72142"/>
    <w:rsid w:val="00B72262"/>
    <w:rsid w:val="00B7238D"/>
    <w:rsid w:val="00B72518"/>
    <w:rsid w:val="00B72545"/>
    <w:rsid w:val="00B7258B"/>
    <w:rsid w:val="00B72896"/>
    <w:rsid w:val="00B72A58"/>
    <w:rsid w:val="00B72AC4"/>
    <w:rsid w:val="00B72D6C"/>
    <w:rsid w:val="00B72D81"/>
    <w:rsid w:val="00B72E24"/>
    <w:rsid w:val="00B730C2"/>
    <w:rsid w:val="00B730E5"/>
    <w:rsid w:val="00B7321F"/>
    <w:rsid w:val="00B732C0"/>
    <w:rsid w:val="00B735AE"/>
    <w:rsid w:val="00B738D3"/>
    <w:rsid w:val="00B73FF6"/>
    <w:rsid w:val="00B740E0"/>
    <w:rsid w:val="00B74656"/>
    <w:rsid w:val="00B747CB"/>
    <w:rsid w:val="00B74A67"/>
    <w:rsid w:val="00B74C5D"/>
    <w:rsid w:val="00B74EA6"/>
    <w:rsid w:val="00B74EC2"/>
    <w:rsid w:val="00B750B7"/>
    <w:rsid w:val="00B751D6"/>
    <w:rsid w:val="00B752EF"/>
    <w:rsid w:val="00B755C1"/>
    <w:rsid w:val="00B758C2"/>
    <w:rsid w:val="00B759DC"/>
    <w:rsid w:val="00B75B2A"/>
    <w:rsid w:val="00B75B47"/>
    <w:rsid w:val="00B75C8D"/>
    <w:rsid w:val="00B75E5C"/>
    <w:rsid w:val="00B75EF0"/>
    <w:rsid w:val="00B75FFB"/>
    <w:rsid w:val="00B76095"/>
    <w:rsid w:val="00B762AD"/>
    <w:rsid w:val="00B763D2"/>
    <w:rsid w:val="00B764DE"/>
    <w:rsid w:val="00B76650"/>
    <w:rsid w:val="00B7688E"/>
    <w:rsid w:val="00B76A8B"/>
    <w:rsid w:val="00B77209"/>
    <w:rsid w:val="00B77365"/>
    <w:rsid w:val="00B775D6"/>
    <w:rsid w:val="00B77673"/>
    <w:rsid w:val="00B776A2"/>
    <w:rsid w:val="00B7791F"/>
    <w:rsid w:val="00B77A84"/>
    <w:rsid w:val="00B77B0A"/>
    <w:rsid w:val="00B77B18"/>
    <w:rsid w:val="00B77C4E"/>
    <w:rsid w:val="00B77FFD"/>
    <w:rsid w:val="00B8027F"/>
    <w:rsid w:val="00B8074B"/>
    <w:rsid w:val="00B809FA"/>
    <w:rsid w:val="00B80AF4"/>
    <w:rsid w:val="00B80BD6"/>
    <w:rsid w:val="00B8111F"/>
    <w:rsid w:val="00B81497"/>
    <w:rsid w:val="00B81597"/>
    <w:rsid w:val="00B81A03"/>
    <w:rsid w:val="00B82331"/>
    <w:rsid w:val="00B8274B"/>
    <w:rsid w:val="00B82F5B"/>
    <w:rsid w:val="00B82FDA"/>
    <w:rsid w:val="00B8312F"/>
    <w:rsid w:val="00B83141"/>
    <w:rsid w:val="00B83169"/>
    <w:rsid w:val="00B83443"/>
    <w:rsid w:val="00B834AC"/>
    <w:rsid w:val="00B835A5"/>
    <w:rsid w:val="00B83661"/>
    <w:rsid w:val="00B83B60"/>
    <w:rsid w:val="00B83B81"/>
    <w:rsid w:val="00B83E35"/>
    <w:rsid w:val="00B83F22"/>
    <w:rsid w:val="00B84153"/>
    <w:rsid w:val="00B84411"/>
    <w:rsid w:val="00B846AC"/>
    <w:rsid w:val="00B84B91"/>
    <w:rsid w:val="00B84C65"/>
    <w:rsid w:val="00B85B93"/>
    <w:rsid w:val="00B85C35"/>
    <w:rsid w:val="00B85E98"/>
    <w:rsid w:val="00B85FA4"/>
    <w:rsid w:val="00B860BA"/>
    <w:rsid w:val="00B8625C"/>
    <w:rsid w:val="00B863B3"/>
    <w:rsid w:val="00B864EF"/>
    <w:rsid w:val="00B86834"/>
    <w:rsid w:val="00B86982"/>
    <w:rsid w:val="00B86C14"/>
    <w:rsid w:val="00B87109"/>
    <w:rsid w:val="00B871DF"/>
    <w:rsid w:val="00B87364"/>
    <w:rsid w:val="00B876F7"/>
    <w:rsid w:val="00B87701"/>
    <w:rsid w:val="00B8798F"/>
    <w:rsid w:val="00B879F0"/>
    <w:rsid w:val="00B87A93"/>
    <w:rsid w:val="00B87B70"/>
    <w:rsid w:val="00B87D66"/>
    <w:rsid w:val="00B905B3"/>
    <w:rsid w:val="00B905EC"/>
    <w:rsid w:val="00B90690"/>
    <w:rsid w:val="00B90945"/>
    <w:rsid w:val="00B90BDE"/>
    <w:rsid w:val="00B90DCC"/>
    <w:rsid w:val="00B9122D"/>
    <w:rsid w:val="00B91291"/>
    <w:rsid w:val="00B912D6"/>
    <w:rsid w:val="00B9148D"/>
    <w:rsid w:val="00B91598"/>
    <w:rsid w:val="00B915EB"/>
    <w:rsid w:val="00B91618"/>
    <w:rsid w:val="00B91971"/>
    <w:rsid w:val="00B91CFA"/>
    <w:rsid w:val="00B91D97"/>
    <w:rsid w:val="00B91F38"/>
    <w:rsid w:val="00B92195"/>
    <w:rsid w:val="00B92330"/>
    <w:rsid w:val="00B923A0"/>
    <w:rsid w:val="00B924AF"/>
    <w:rsid w:val="00B92C58"/>
    <w:rsid w:val="00B92DC5"/>
    <w:rsid w:val="00B92DCE"/>
    <w:rsid w:val="00B930A4"/>
    <w:rsid w:val="00B937EB"/>
    <w:rsid w:val="00B93E80"/>
    <w:rsid w:val="00B93F16"/>
    <w:rsid w:val="00B93FDF"/>
    <w:rsid w:val="00B94115"/>
    <w:rsid w:val="00B941F9"/>
    <w:rsid w:val="00B947F6"/>
    <w:rsid w:val="00B94946"/>
    <w:rsid w:val="00B94A0C"/>
    <w:rsid w:val="00B94F19"/>
    <w:rsid w:val="00B950ED"/>
    <w:rsid w:val="00B95161"/>
    <w:rsid w:val="00B952DF"/>
    <w:rsid w:val="00B95551"/>
    <w:rsid w:val="00B95603"/>
    <w:rsid w:val="00B956A9"/>
    <w:rsid w:val="00B958DB"/>
    <w:rsid w:val="00B95915"/>
    <w:rsid w:val="00B95969"/>
    <w:rsid w:val="00B95AFB"/>
    <w:rsid w:val="00B960AB"/>
    <w:rsid w:val="00B96166"/>
    <w:rsid w:val="00B96343"/>
    <w:rsid w:val="00B9650E"/>
    <w:rsid w:val="00B9670A"/>
    <w:rsid w:val="00B96C1A"/>
    <w:rsid w:val="00B96C6A"/>
    <w:rsid w:val="00B97396"/>
    <w:rsid w:val="00B973AF"/>
    <w:rsid w:val="00B9761E"/>
    <w:rsid w:val="00B977BF"/>
    <w:rsid w:val="00B97864"/>
    <w:rsid w:val="00B9789E"/>
    <w:rsid w:val="00B97E6B"/>
    <w:rsid w:val="00BA026D"/>
    <w:rsid w:val="00BA0930"/>
    <w:rsid w:val="00BA0D9A"/>
    <w:rsid w:val="00BA100C"/>
    <w:rsid w:val="00BA11DD"/>
    <w:rsid w:val="00BA1520"/>
    <w:rsid w:val="00BA182A"/>
    <w:rsid w:val="00BA1860"/>
    <w:rsid w:val="00BA1C16"/>
    <w:rsid w:val="00BA1D85"/>
    <w:rsid w:val="00BA1F3E"/>
    <w:rsid w:val="00BA207D"/>
    <w:rsid w:val="00BA2698"/>
    <w:rsid w:val="00BA2934"/>
    <w:rsid w:val="00BA2A06"/>
    <w:rsid w:val="00BA2C92"/>
    <w:rsid w:val="00BA2F5D"/>
    <w:rsid w:val="00BA320E"/>
    <w:rsid w:val="00BA34C1"/>
    <w:rsid w:val="00BA3654"/>
    <w:rsid w:val="00BA3692"/>
    <w:rsid w:val="00BA3835"/>
    <w:rsid w:val="00BA38BC"/>
    <w:rsid w:val="00BA38D4"/>
    <w:rsid w:val="00BA3E24"/>
    <w:rsid w:val="00BA3E7F"/>
    <w:rsid w:val="00BA3F0A"/>
    <w:rsid w:val="00BA3FA5"/>
    <w:rsid w:val="00BA41E3"/>
    <w:rsid w:val="00BA4346"/>
    <w:rsid w:val="00BA43F6"/>
    <w:rsid w:val="00BA46D0"/>
    <w:rsid w:val="00BA4B55"/>
    <w:rsid w:val="00BA4C56"/>
    <w:rsid w:val="00BA4D3C"/>
    <w:rsid w:val="00BA5211"/>
    <w:rsid w:val="00BA540C"/>
    <w:rsid w:val="00BA5444"/>
    <w:rsid w:val="00BA5880"/>
    <w:rsid w:val="00BA596D"/>
    <w:rsid w:val="00BA5BF6"/>
    <w:rsid w:val="00BA648D"/>
    <w:rsid w:val="00BA64B7"/>
    <w:rsid w:val="00BA64FD"/>
    <w:rsid w:val="00BA6507"/>
    <w:rsid w:val="00BA6E10"/>
    <w:rsid w:val="00BA7294"/>
    <w:rsid w:val="00BA75CC"/>
    <w:rsid w:val="00BA75EA"/>
    <w:rsid w:val="00BA766A"/>
    <w:rsid w:val="00BA7C7C"/>
    <w:rsid w:val="00BA7CC5"/>
    <w:rsid w:val="00BA7D07"/>
    <w:rsid w:val="00BB0239"/>
    <w:rsid w:val="00BB035C"/>
    <w:rsid w:val="00BB0721"/>
    <w:rsid w:val="00BB0BE3"/>
    <w:rsid w:val="00BB0C1F"/>
    <w:rsid w:val="00BB0DF9"/>
    <w:rsid w:val="00BB0E4C"/>
    <w:rsid w:val="00BB0F58"/>
    <w:rsid w:val="00BB1194"/>
    <w:rsid w:val="00BB1270"/>
    <w:rsid w:val="00BB12D3"/>
    <w:rsid w:val="00BB1333"/>
    <w:rsid w:val="00BB14FC"/>
    <w:rsid w:val="00BB1957"/>
    <w:rsid w:val="00BB1ACD"/>
    <w:rsid w:val="00BB1D7B"/>
    <w:rsid w:val="00BB1D9F"/>
    <w:rsid w:val="00BB1E6D"/>
    <w:rsid w:val="00BB2182"/>
    <w:rsid w:val="00BB24A1"/>
    <w:rsid w:val="00BB24DF"/>
    <w:rsid w:val="00BB25EC"/>
    <w:rsid w:val="00BB28D1"/>
    <w:rsid w:val="00BB2E38"/>
    <w:rsid w:val="00BB316F"/>
    <w:rsid w:val="00BB318E"/>
    <w:rsid w:val="00BB3553"/>
    <w:rsid w:val="00BB3838"/>
    <w:rsid w:val="00BB39B5"/>
    <w:rsid w:val="00BB3DBD"/>
    <w:rsid w:val="00BB3E43"/>
    <w:rsid w:val="00BB4403"/>
    <w:rsid w:val="00BB458A"/>
    <w:rsid w:val="00BB4742"/>
    <w:rsid w:val="00BB47B7"/>
    <w:rsid w:val="00BB496A"/>
    <w:rsid w:val="00BB4B41"/>
    <w:rsid w:val="00BB4B5B"/>
    <w:rsid w:val="00BB4BA1"/>
    <w:rsid w:val="00BB4E1A"/>
    <w:rsid w:val="00BB4E5A"/>
    <w:rsid w:val="00BB4EAE"/>
    <w:rsid w:val="00BB50E0"/>
    <w:rsid w:val="00BB51A8"/>
    <w:rsid w:val="00BB52A4"/>
    <w:rsid w:val="00BB5736"/>
    <w:rsid w:val="00BB5A85"/>
    <w:rsid w:val="00BB5CFC"/>
    <w:rsid w:val="00BB5DF7"/>
    <w:rsid w:val="00BB5FEF"/>
    <w:rsid w:val="00BB6165"/>
    <w:rsid w:val="00BB6605"/>
    <w:rsid w:val="00BB6750"/>
    <w:rsid w:val="00BB68E9"/>
    <w:rsid w:val="00BB6940"/>
    <w:rsid w:val="00BB6D03"/>
    <w:rsid w:val="00BB6F70"/>
    <w:rsid w:val="00BB70B0"/>
    <w:rsid w:val="00BB7362"/>
    <w:rsid w:val="00BB73AF"/>
    <w:rsid w:val="00BB7599"/>
    <w:rsid w:val="00BB75A0"/>
    <w:rsid w:val="00BB75C1"/>
    <w:rsid w:val="00BB7635"/>
    <w:rsid w:val="00BB7A3D"/>
    <w:rsid w:val="00BC01C4"/>
    <w:rsid w:val="00BC0398"/>
    <w:rsid w:val="00BC042A"/>
    <w:rsid w:val="00BC044A"/>
    <w:rsid w:val="00BC04E3"/>
    <w:rsid w:val="00BC055F"/>
    <w:rsid w:val="00BC0704"/>
    <w:rsid w:val="00BC0976"/>
    <w:rsid w:val="00BC0ABC"/>
    <w:rsid w:val="00BC0C74"/>
    <w:rsid w:val="00BC17A0"/>
    <w:rsid w:val="00BC18B7"/>
    <w:rsid w:val="00BC1AE8"/>
    <w:rsid w:val="00BC1D44"/>
    <w:rsid w:val="00BC1E02"/>
    <w:rsid w:val="00BC2081"/>
    <w:rsid w:val="00BC2423"/>
    <w:rsid w:val="00BC25FE"/>
    <w:rsid w:val="00BC28D9"/>
    <w:rsid w:val="00BC297B"/>
    <w:rsid w:val="00BC2B9E"/>
    <w:rsid w:val="00BC2E7B"/>
    <w:rsid w:val="00BC2EDD"/>
    <w:rsid w:val="00BC2F10"/>
    <w:rsid w:val="00BC311C"/>
    <w:rsid w:val="00BC3234"/>
    <w:rsid w:val="00BC3499"/>
    <w:rsid w:val="00BC34B9"/>
    <w:rsid w:val="00BC3719"/>
    <w:rsid w:val="00BC3911"/>
    <w:rsid w:val="00BC3AC1"/>
    <w:rsid w:val="00BC3BAB"/>
    <w:rsid w:val="00BC3C52"/>
    <w:rsid w:val="00BC3CC5"/>
    <w:rsid w:val="00BC3CE4"/>
    <w:rsid w:val="00BC3EA6"/>
    <w:rsid w:val="00BC3F02"/>
    <w:rsid w:val="00BC4212"/>
    <w:rsid w:val="00BC43C8"/>
    <w:rsid w:val="00BC4E28"/>
    <w:rsid w:val="00BC4E3A"/>
    <w:rsid w:val="00BC50B9"/>
    <w:rsid w:val="00BC5162"/>
    <w:rsid w:val="00BC5330"/>
    <w:rsid w:val="00BC549F"/>
    <w:rsid w:val="00BC55FB"/>
    <w:rsid w:val="00BC576D"/>
    <w:rsid w:val="00BC5A60"/>
    <w:rsid w:val="00BC5A6E"/>
    <w:rsid w:val="00BC5AC1"/>
    <w:rsid w:val="00BC5AE9"/>
    <w:rsid w:val="00BC5F95"/>
    <w:rsid w:val="00BC6131"/>
    <w:rsid w:val="00BC6255"/>
    <w:rsid w:val="00BC62D3"/>
    <w:rsid w:val="00BC640C"/>
    <w:rsid w:val="00BC65F7"/>
    <w:rsid w:val="00BC6C49"/>
    <w:rsid w:val="00BC6ED5"/>
    <w:rsid w:val="00BC7222"/>
    <w:rsid w:val="00BC7450"/>
    <w:rsid w:val="00BC7648"/>
    <w:rsid w:val="00BC7904"/>
    <w:rsid w:val="00BC7B70"/>
    <w:rsid w:val="00BC7CF3"/>
    <w:rsid w:val="00BC7FE0"/>
    <w:rsid w:val="00BD0117"/>
    <w:rsid w:val="00BD024D"/>
    <w:rsid w:val="00BD033A"/>
    <w:rsid w:val="00BD0560"/>
    <w:rsid w:val="00BD064A"/>
    <w:rsid w:val="00BD0684"/>
    <w:rsid w:val="00BD0F46"/>
    <w:rsid w:val="00BD1403"/>
    <w:rsid w:val="00BD14F0"/>
    <w:rsid w:val="00BD15AD"/>
    <w:rsid w:val="00BD1601"/>
    <w:rsid w:val="00BD1643"/>
    <w:rsid w:val="00BD171E"/>
    <w:rsid w:val="00BD1732"/>
    <w:rsid w:val="00BD1869"/>
    <w:rsid w:val="00BD1ADE"/>
    <w:rsid w:val="00BD1AFF"/>
    <w:rsid w:val="00BD1C48"/>
    <w:rsid w:val="00BD1CA2"/>
    <w:rsid w:val="00BD1E97"/>
    <w:rsid w:val="00BD1E9E"/>
    <w:rsid w:val="00BD2198"/>
    <w:rsid w:val="00BD224F"/>
    <w:rsid w:val="00BD229E"/>
    <w:rsid w:val="00BD2618"/>
    <w:rsid w:val="00BD26B8"/>
    <w:rsid w:val="00BD2709"/>
    <w:rsid w:val="00BD2773"/>
    <w:rsid w:val="00BD2807"/>
    <w:rsid w:val="00BD2AB1"/>
    <w:rsid w:val="00BD2B80"/>
    <w:rsid w:val="00BD3011"/>
    <w:rsid w:val="00BD39D1"/>
    <w:rsid w:val="00BD3A58"/>
    <w:rsid w:val="00BD3C0E"/>
    <w:rsid w:val="00BD3EE3"/>
    <w:rsid w:val="00BD3F17"/>
    <w:rsid w:val="00BD4156"/>
    <w:rsid w:val="00BD421A"/>
    <w:rsid w:val="00BD46EE"/>
    <w:rsid w:val="00BD475A"/>
    <w:rsid w:val="00BD47A7"/>
    <w:rsid w:val="00BD4A0D"/>
    <w:rsid w:val="00BD4B76"/>
    <w:rsid w:val="00BD4BD8"/>
    <w:rsid w:val="00BD4BF2"/>
    <w:rsid w:val="00BD4F45"/>
    <w:rsid w:val="00BD4F47"/>
    <w:rsid w:val="00BD53A7"/>
    <w:rsid w:val="00BD554B"/>
    <w:rsid w:val="00BD5962"/>
    <w:rsid w:val="00BD5980"/>
    <w:rsid w:val="00BD5E56"/>
    <w:rsid w:val="00BD608B"/>
    <w:rsid w:val="00BD60DC"/>
    <w:rsid w:val="00BD661D"/>
    <w:rsid w:val="00BD666E"/>
    <w:rsid w:val="00BD68EE"/>
    <w:rsid w:val="00BD6929"/>
    <w:rsid w:val="00BD6939"/>
    <w:rsid w:val="00BD6A29"/>
    <w:rsid w:val="00BD6C32"/>
    <w:rsid w:val="00BD6D56"/>
    <w:rsid w:val="00BD6DD3"/>
    <w:rsid w:val="00BD7130"/>
    <w:rsid w:val="00BD747A"/>
    <w:rsid w:val="00BD7608"/>
    <w:rsid w:val="00BD7623"/>
    <w:rsid w:val="00BD7651"/>
    <w:rsid w:val="00BD79F4"/>
    <w:rsid w:val="00BD7CDB"/>
    <w:rsid w:val="00BD7EA5"/>
    <w:rsid w:val="00BD7EC9"/>
    <w:rsid w:val="00BD7F98"/>
    <w:rsid w:val="00BE0065"/>
    <w:rsid w:val="00BE006F"/>
    <w:rsid w:val="00BE04DB"/>
    <w:rsid w:val="00BE058F"/>
    <w:rsid w:val="00BE07CF"/>
    <w:rsid w:val="00BE091A"/>
    <w:rsid w:val="00BE0B94"/>
    <w:rsid w:val="00BE0CE6"/>
    <w:rsid w:val="00BE1010"/>
    <w:rsid w:val="00BE10CE"/>
    <w:rsid w:val="00BE1134"/>
    <w:rsid w:val="00BE143B"/>
    <w:rsid w:val="00BE160D"/>
    <w:rsid w:val="00BE1B23"/>
    <w:rsid w:val="00BE1B8D"/>
    <w:rsid w:val="00BE20FE"/>
    <w:rsid w:val="00BE21A6"/>
    <w:rsid w:val="00BE229F"/>
    <w:rsid w:val="00BE24E3"/>
    <w:rsid w:val="00BE2528"/>
    <w:rsid w:val="00BE258E"/>
    <w:rsid w:val="00BE2A6B"/>
    <w:rsid w:val="00BE2F01"/>
    <w:rsid w:val="00BE307E"/>
    <w:rsid w:val="00BE315A"/>
    <w:rsid w:val="00BE3216"/>
    <w:rsid w:val="00BE3B88"/>
    <w:rsid w:val="00BE3CE5"/>
    <w:rsid w:val="00BE3CF2"/>
    <w:rsid w:val="00BE3CFD"/>
    <w:rsid w:val="00BE4347"/>
    <w:rsid w:val="00BE480C"/>
    <w:rsid w:val="00BE4945"/>
    <w:rsid w:val="00BE4AF4"/>
    <w:rsid w:val="00BE4E70"/>
    <w:rsid w:val="00BE5400"/>
    <w:rsid w:val="00BE5452"/>
    <w:rsid w:val="00BE58F6"/>
    <w:rsid w:val="00BE5986"/>
    <w:rsid w:val="00BE5EBE"/>
    <w:rsid w:val="00BE638E"/>
    <w:rsid w:val="00BE63AF"/>
    <w:rsid w:val="00BE64A7"/>
    <w:rsid w:val="00BE668A"/>
    <w:rsid w:val="00BE66F0"/>
    <w:rsid w:val="00BE671B"/>
    <w:rsid w:val="00BE68A1"/>
    <w:rsid w:val="00BE6AF4"/>
    <w:rsid w:val="00BE6BF2"/>
    <w:rsid w:val="00BE6E2F"/>
    <w:rsid w:val="00BE7010"/>
    <w:rsid w:val="00BE705A"/>
    <w:rsid w:val="00BE72EF"/>
    <w:rsid w:val="00BE7614"/>
    <w:rsid w:val="00BE796A"/>
    <w:rsid w:val="00BE7B02"/>
    <w:rsid w:val="00BF017B"/>
    <w:rsid w:val="00BF0287"/>
    <w:rsid w:val="00BF0321"/>
    <w:rsid w:val="00BF07D9"/>
    <w:rsid w:val="00BF092F"/>
    <w:rsid w:val="00BF0B5D"/>
    <w:rsid w:val="00BF0D7E"/>
    <w:rsid w:val="00BF0FAD"/>
    <w:rsid w:val="00BF1194"/>
    <w:rsid w:val="00BF11A1"/>
    <w:rsid w:val="00BF1227"/>
    <w:rsid w:val="00BF156D"/>
    <w:rsid w:val="00BF16B8"/>
    <w:rsid w:val="00BF17B8"/>
    <w:rsid w:val="00BF1D21"/>
    <w:rsid w:val="00BF2021"/>
    <w:rsid w:val="00BF204C"/>
    <w:rsid w:val="00BF204E"/>
    <w:rsid w:val="00BF22DB"/>
    <w:rsid w:val="00BF2416"/>
    <w:rsid w:val="00BF2496"/>
    <w:rsid w:val="00BF26EF"/>
    <w:rsid w:val="00BF271D"/>
    <w:rsid w:val="00BF2940"/>
    <w:rsid w:val="00BF296C"/>
    <w:rsid w:val="00BF29CA"/>
    <w:rsid w:val="00BF29F6"/>
    <w:rsid w:val="00BF2A48"/>
    <w:rsid w:val="00BF2AE6"/>
    <w:rsid w:val="00BF32A4"/>
    <w:rsid w:val="00BF32C2"/>
    <w:rsid w:val="00BF32EE"/>
    <w:rsid w:val="00BF34F7"/>
    <w:rsid w:val="00BF3640"/>
    <w:rsid w:val="00BF36AA"/>
    <w:rsid w:val="00BF37BA"/>
    <w:rsid w:val="00BF388F"/>
    <w:rsid w:val="00BF3969"/>
    <w:rsid w:val="00BF3A29"/>
    <w:rsid w:val="00BF3D88"/>
    <w:rsid w:val="00BF3DF8"/>
    <w:rsid w:val="00BF415E"/>
    <w:rsid w:val="00BF4205"/>
    <w:rsid w:val="00BF42E4"/>
    <w:rsid w:val="00BF42EC"/>
    <w:rsid w:val="00BF4971"/>
    <w:rsid w:val="00BF4FA7"/>
    <w:rsid w:val="00BF51CC"/>
    <w:rsid w:val="00BF527E"/>
    <w:rsid w:val="00BF5294"/>
    <w:rsid w:val="00BF5491"/>
    <w:rsid w:val="00BF54B0"/>
    <w:rsid w:val="00BF54F3"/>
    <w:rsid w:val="00BF5C87"/>
    <w:rsid w:val="00BF5D4A"/>
    <w:rsid w:val="00BF5D6A"/>
    <w:rsid w:val="00BF5D6B"/>
    <w:rsid w:val="00BF5FA5"/>
    <w:rsid w:val="00BF6027"/>
    <w:rsid w:val="00BF64B3"/>
    <w:rsid w:val="00BF67C6"/>
    <w:rsid w:val="00BF6A58"/>
    <w:rsid w:val="00BF6DE5"/>
    <w:rsid w:val="00BF705C"/>
    <w:rsid w:val="00BF7250"/>
    <w:rsid w:val="00BF7AC5"/>
    <w:rsid w:val="00C00081"/>
    <w:rsid w:val="00C00100"/>
    <w:rsid w:val="00C00283"/>
    <w:rsid w:val="00C00368"/>
    <w:rsid w:val="00C009DC"/>
    <w:rsid w:val="00C00B20"/>
    <w:rsid w:val="00C00DB4"/>
    <w:rsid w:val="00C00F6D"/>
    <w:rsid w:val="00C00F7F"/>
    <w:rsid w:val="00C010D0"/>
    <w:rsid w:val="00C0113D"/>
    <w:rsid w:val="00C011FE"/>
    <w:rsid w:val="00C0187E"/>
    <w:rsid w:val="00C0189C"/>
    <w:rsid w:val="00C019B2"/>
    <w:rsid w:val="00C019BE"/>
    <w:rsid w:val="00C01E49"/>
    <w:rsid w:val="00C01EC1"/>
    <w:rsid w:val="00C02350"/>
    <w:rsid w:val="00C026E7"/>
    <w:rsid w:val="00C02814"/>
    <w:rsid w:val="00C02AED"/>
    <w:rsid w:val="00C02B96"/>
    <w:rsid w:val="00C02D79"/>
    <w:rsid w:val="00C02E2D"/>
    <w:rsid w:val="00C03640"/>
    <w:rsid w:val="00C037CC"/>
    <w:rsid w:val="00C03B99"/>
    <w:rsid w:val="00C0406E"/>
    <w:rsid w:val="00C04A02"/>
    <w:rsid w:val="00C04D8F"/>
    <w:rsid w:val="00C0506D"/>
    <w:rsid w:val="00C0523D"/>
    <w:rsid w:val="00C05304"/>
    <w:rsid w:val="00C05458"/>
    <w:rsid w:val="00C05543"/>
    <w:rsid w:val="00C055D9"/>
    <w:rsid w:val="00C05828"/>
    <w:rsid w:val="00C05AF2"/>
    <w:rsid w:val="00C05B4C"/>
    <w:rsid w:val="00C05B90"/>
    <w:rsid w:val="00C05BB1"/>
    <w:rsid w:val="00C0602C"/>
    <w:rsid w:val="00C06233"/>
    <w:rsid w:val="00C06346"/>
    <w:rsid w:val="00C06592"/>
    <w:rsid w:val="00C065EF"/>
    <w:rsid w:val="00C067E9"/>
    <w:rsid w:val="00C06A60"/>
    <w:rsid w:val="00C06B4D"/>
    <w:rsid w:val="00C06EC1"/>
    <w:rsid w:val="00C07357"/>
    <w:rsid w:val="00C0782C"/>
    <w:rsid w:val="00C0786C"/>
    <w:rsid w:val="00C078DC"/>
    <w:rsid w:val="00C07941"/>
    <w:rsid w:val="00C07A00"/>
    <w:rsid w:val="00C07AED"/>
    <w:rsid w:val="00C07B56"/>
    <w:rsid w:val="00C07C1A"/>
    <w:rsid w:val="00C07C7E"/>
    <w:rsid w:val="00C10029"/>
    <w:rsid w:val="00C1006C"/>
    <w:rsid w:val="00C101F9"/>
    <w:rsid w:val="00C1032F"/>
    <w:rsid w:val="00C1039E"/>
    <w:rsid w:val="00C106D5"/>
    <w:rsid w:val="00C1073A"/>
    <w:rsid w:val="00C108A5"/>
    <w:rsid w:val="00C10A52"/>
    <w:rsid w:val="00C10BAA"/>
    <w:rsid w:val="00C10D9B"/>
    <w:rsid w:val="00C11145"/>
    <w:rsid w:val="00C11189"/>
    <w:rsid w:val="00C114DE"/>
    <w:rsid w:val="00C115F4"/>
    <w:rsid w:val="00C1161D"/>
    <w:rsid w:val="00C11FE6"/>
    <w:rsid w:val="00C121A8"/>
    <w:rsid w:val="00C12527"/>
    <w:rsid w:val="00C12583"/>
    <w:rsid w:val="00C1269F"/>
    <w:rsid w:val="00C1283F"/>
    <w:rsid w:val="00C12910"/>
    <w:rsid w:val="00C12AD6"/>
    <w:rsid w:val="00C12D6F"/>
    <w:rsid w:val="00C12F60"/>
    <w:rsid w:val="00C130AE"/>
    <w:rsid w:val="00C13197"/>
    <w:rsid w:val="00C13277"/>
    <w:rsid w:val="00C134A1"/>
    <w:rsid w:val="00C134C5"/>
    <w:rsid w:val="00C135A5"/>
    <w:rsid w:val="00C1368E"/>
    <w:rsid w:val="00C137FF"/>
    <w:rsid w:val="00C13A0C"/>
    <w:rsid w:val="00C13D2E"/>
    <w:rsid w:val="00C13DCE"/>
    <w:rsid w:val="00C142AD"/>
    <w:rsid w:val="00C1434C"/>
    <w:rsid w:val="00C14455"/>
    <w:rsid w:val="00C1475C"/>
    <w:rsid w:val="00C14EFE"/>
    <w:rsid w:val="00C14F1F"/>
    <w:rsid w:val="00C151C1"/>
    <w:rsid w:val="00C151F3"/>
    <w:rsid w:val="00C152D3"/>
    <w:rsid w:val="00C152EB"/>
    <w:rsid w:val="00C15335"/>
    <w:rsid w:val="00C1542C"/>
    <w:rsid w:val="00C15434"/>
    <w:rsid w:val="00C1548B"/>
    <w:rsid w:val="00C1595F"/>
    <w:rsid w:val="00C15A35"/>
    <w:rsid w:val="00C162D7"/>
    <w:rsid w:val="00C1647F"/>
    <w:rsid w:val="00C16637"/>
    <w:rsid w:val="00C16883"/>
    <w:rsid w:val="00C17185"/>
    <w:rsid w:val="00C17872"/>
    <w:rsid w:val="00C17AF0"/>
    <w:rsid w:val="00C17B6D"/>
    <w:rsid w:val="00C17B6E"/>
    <w:rsid w:val="00C17F0D"/>
    <w:rsid w:val="00C17F4F"/>
    <w:rsid w:val="00C17FFD"/>
    <w:rsid w:val="00C2002F"/>
    <w:rsid w:val="00C20063"/>
    <w:rsid w:val="00C20384"/>
    <w:rsid w:val="00C20711"/>
    <w:rsid w:val="00C20B62"/>
    <w:rsid w:val="00C20C01"/>
    <w:rsid w:val="00C21171"/>
    <w:rsid w:val="00C211DB"/>
    <w:rsid w:val="00C21246"/>
    <w:rsid w:val="00C21482"/>
    <w:rsid w:val="00C216B6"/>
    <w:rsid w:val="00C2179D"/>
    <w:rsid w:val="00C21A68"/>
    <w:rsid w:val="00C21F10"/>
    <w:rsid w:val="00C221BD"/>
    <w:rsid w:val="00C222C9"/>
    <w:rsid w:val="00C22A0F"/>
    <w:rsid w:val="00C22C83"/>
    <w:rsid w:val="00C22C85"/>
    <w:rsid w:val="00C22D02"/>
    <w:rsid w:val="00C230AC"/>
    <w:rsid w:val="00C232AA"/>
    <w:rsid w:val="00C232C3"/>
    <w:rsid w:val="00C23707"/>
    <w:rsid w:val="00C2376D"/>
    <w:rsid w:val="00C238E8"/>
    <w:rsid w:val="00C23B0A"/>
    <w:rsid w:val="00C23EA5"/>
    <w:rsid w:val="00C24044"/>
    <w:rsid w:val="00C24374"/>
    <w:rsid w:val="00C247C9"/>
    <w:rsid w:val="00C24817"/>
    <w:rsid w:val="00C249E7"/>
    <w:rsid w:val="00C24A17"/>
    <w:rsid w:val="00C24BF6"/>
    <w:rsid w:val="00C24BF9"/>
    <w:rsid w:val="00C24C90"/>
    <w:rsid w:val="00C24CDE"/>
    <w:rsid w:val="00C24F2D"/>
    <w:rsid w:val="00C25112"/>
    <w:rsid w:val="00C252E3"/>
    <w:rsid w:val="00C25448"/>
    <w:rsid w:val="00C25615"/>
    <w:rsid w:val="00C2565D"/>
    <w:rsid w:val="00C25728"/>
    <w:rsid w:val="00C25CE3"/>
    <w:rsid w:val="00C25EA4"/>
    <w:rsid w:val="00C26260"/>
    <w:rsid w:val="00C26432"/>
    <w:rsid w:val="00C2647A"/>
    <w:rsid w:val="00C264C2"/>
    <w:rsid w:val="00C2659E"/>
    <w:rsid w:val="00C26722"/>
    <w:rsid w:val="00C269D4"/>
    <w:rsid w:val="00C26AB7"/>
    <w:rsid w:val="00C26CA5"/>
    <w:rsid w:val="00C271CE"/>
    <w:rsid w:val="00C27388"/>
    <w:rsid w:val="00C276EF"/>
    <w:rsid w:val="00C27780"/>
    <w:rsid w:val="00C27804"/>
    <w:rsid w:val="00C27836"/>
    <w:rsid w:val="00C27B1F"/>
    <w:rsid w:val="00C27B25"/>
    <w:rsid w:val="00C300CC"/>
    <w:rsid w:val="00C3042F"/>
    <w:rsid w:val="00C306C5"/>
    <w:rsid w:val="00C3078A"/>
    <w:rsid w:val="00C307E5"/>
    <w:rsid w:val="00C30817"/>
    <w:rsid w:val="00C30CD8"/>
    <w:rsid w:val="00C30EA5"/>
    <w:rsid w:val="00C31136"/>
    <w:rsid w:val="00C3138E"/>
    <w:rsid w:val="00C31692"/>
    <w:rsid w:val="00C3170A"/>
    <w:rsid w:val="00C3174E"/>
    <w:rsid w:val="00C31812"/>
    <w:rsid w:val="00C31B65"/>
    <w:rsid w:val="00C31CBC"/>
    <w:rsid w:val="00C31CD1"/>
    <w:rsid w:val="00C3200C"/>
    <w:rsid w:val="00C322AA"/>
    <w:rsid w:val="00C3234D"/>
    <w:rsid w:val="00C325BA"/>
    <w:rsid w:val="00C326B6"/>
    <w:rsid w:val="00C327B5"/>
    <w:rsid w:val="00C32C63"/>
    <w:rsid w:val="00C32E81"/>
    <w:rsid w:val="00C3352E"/>
    <w:rsid w:val="00C3383A"/>
    <w:rsid w:val="00C3393E"/>
    <w:rsid w:val="00C33A91"/>
    <w:rsid w:val="00C33E41"/>
    <w:rsid w:val="00C3419C"/>
    <w:rsid w:val="00C34321"/>
    <w:rsid w:val="00C3445E"/>
    <w:rsid w:val="00C3447A"/>
    <w:rsid w:val="00C34653"/>
    <w:rsid w:val="00C346E3"/>
    <w:rsid w:val="00C34870"/>
    <w:rsid w:val="00C34886"/>
    <w:rsid w:val="00C34F9C"/>
    <w:rsid w:val="00C3519F"/>
    <w:rsid w:val="00C352AE"/>
    <w:rsid w:val="00C3534B"/>
    <w:rsid w:val="00C3542F"/>
    <w:rsid w:val="00C3566C"/>
    <w:rsid w:val="00C35739"/>
    <w:rsid w:val="00C35836"/>
    <w:rsid w:val="00C35A5E"/>
    <w:rsid w:val="00C35B94"/>
    <w:rsid w:val="00C35CFE"/>
    <w:rsid w:val="00C35FCF"/>
    <w:rsid w:val="00C3626B"/>
    <w:rsid w:val="00C36352"/>
    <w:rsid w:val="00C368EE"/>
    <w:rsid w:val="00C36A11"/>
    <w:rsid w:val="00C36A5B"/>
    <w:rsid w:val="00C36AF1"/>
    <w:rsid w:val="00C36CC9"/>
    <w:rsid w:val="00C36CF8"/>
    <w:rsid w:val="00C36D60"/>
    <w:rsid w:val="00C36EF7"/>
    <w:rsid w:val="00C370BC"/>
    <w:rsid w:val="00C3742D"/>
    <w:rsid w:val="00C374E2"/>
    <w:rsid w:val="00C37645"/>
    <w:rsid w:val="00C37775"/>
    <w:rsid w:val="00C3777A"/>
    <w:rsid w:val="00C37A6A"/>
    <w:rsid w:val="00C37F21"/>
    <w:rsid w:val="00C37F9F"/>
    <w:rsid w:val="00C400DB"/>
    <w:rsid w:val="00C400E0"/>
    <w:rsid w:val="00C407D4"/>
    <w:rsid w:val="00C409B6"/>
    <w:rsid w:val="00C41168"/>
    <w:rsid w:val="00C41205"/>
    <w:rsid w:val="00C4168A"/>
    <w:rsid w:val="00C418D1"/>
    <w:rsid w:val="00C41A05"/>
    <w:rsid w:val="00C41A97"/>
    <w:rsid w:val="00C41B3C"/>
    <w:rsid w:val="00C41BAD"/>
    <w:rsid w:val="00C41F25"/>
    <w:rsid w:val="00C41FD1"/>
    <w:rsid w:val="00C4229B"/>
    <w:rsid w:val="00C42393"/>
    <w:rsid w:val="00C42484"/>
    <w:rsid w:val="00C424A3"/>
    <w:rsid w:val="00C424B8"/>
    <w:rsid w:val="00C42595"/>
    <w:rsid w:val="00C425BE"/>
    <w:rsid w:val="00C425D7"/>
    <w:rsid w:val="00C426C9"/>
    <w:rsid w:val="00C42717"/>
    <w:rsid w:val="00C42A91"/>
    <w:rsid w:val="00C42AFB"/>
    <w:rsid w:val="00C42C29"/>
    <w:rsid w:val="00C42E3B"/>
    <w:rsid w:val="00C42F1A"/>
    <w:rsid w:val="00C4307C"/>
    <w:rsid w:val="00C4330B"/>
    <w:rsid w:val="00C433B4"/>
    <w:rsid w:val="00C4369E"/>
    <w:rsid w:val="00C4381B"/>
    <w:rsid w:val="00C43D68"/>
    <w:rsid w:val="00C44397"/>
    <w:rsid w:val="00C446B0"/>
    <w:rsid w:val="00C446FD"/>
    <w:rsid w:val="00C44994"/>
    <w:rsid w:val="00C44A66"/>
    <w:rsid w:val="00C44B94"/>
    <w:rsid w:val="00C44DD3"/>
    <w:rsid w:val="00C44F6E"/>
    <w:rsid w:val="00C451EA"/>
    <w:rsid w:val="00C45218"/>
    <w:rsid w:val="00C453F6"/>
    <w:rsid w:val="00C4568E"/>
    <w:rsid w:val="00C45998"/>
    <w:rsid w:val="00C459FF"/>
    <w:rsid w:val="00C45A75"/>
    <w:rsid w:val="00C45B8D"/>
    <w:rsid w:val="00C45C8F"/>
    <w:rsid w:val="00C45CAE"/>
    <w:rsid w:val="00C45EF1"/>
    <w:rsid w:val="00C46191"/>
    <w:rsid w:val="00C4621D"/>
    <w:rsid w:val="00C4622D"/>
    <w:rsid w:val="00C4640F"/>
    <w:rsid w:val="00C46530"/>
    <w:rsid w:val="00C4659D"/>
    <w:rsid w:val="00C467E0"/>
    <w:rsid w:val="00C46CB2"/>
    <w:rsid w:val="00C46D33"/>
    <w:rsid w:val="00C46E6C"/>
    <w:rsid w:val="00C47050"/>
    <w:rsid w:val="00C470CB"/>
    <w:rsid w:val="00C470D5"/>
    <w:rsid w:val="00C47113"/>
    <w:rsid w:val="00C47237"/>
    <w:rsid w:val="00C47238"/>
    <w:rsid w:val="00C472FA"/>
    <w:rsid w:val="00C473C0"/>
    <w:rsid w:val="00C477AD"/>
    <w:rsid w:val="00C47884"/>
    <w:rsid w:val="00C4798D"/>
    <w:rsid w:val="00C479D8"/>
    <w:rsid w:val="00C47BB3"/>
    <w:rsid w:val="00C47C8A"/>
    <w:rsid w:val="00C47CA2"/>
    <w:rsid w:val="00C503C9"/>
    <w:rsid w:val="00C50441"/>
    <w:rsid w:val="00C509AD"/>
    <w:rsid w:val="00C50C25"/>
    <w:rsid w:val="00C50D68"/>
    <w:rsid w:val="00C50F66"/>
    <w:rsid w:val="00C51FD6"/>
    <w:rsid w:val="00C51FF6"/>
    <w:rsid w:val="00C52050"/>
    <w:rsid w:val="00C5207A"/>
    <w:rsid w:val="00C522A8"/>
    <w:rsid w:val="00C52337"/>
    <w:rsid w:val="00C523F6"/>
    <w:rsid w:val="00C528CD"/>
    <w:rsid w:val="00C529FF"/>
    <w:rsid w:val="00C52B80"/>
    <w:rsid w:val="00C52E3C"/>
    <w:rsid w:val="00C5335A"/>
    <w:rsid w:val="00C53C7D"/>
    <w:rsid w:val="00C53CC8"/>
    <w:rsid w:val="00C541A9"/>
    <w:rsid w:val="00C5433A"/>
    <w:rsid w:val="00C543B0"/>
    <w:rsid w:val="00C5446A"/>
    <w:rsid w:val="00C5452F"/>
    <w:rsid w:val="00C545A6"/>
    <w:rsid w:val="00C54692"/>
    <w:rsid w:val="00C54763"/>
    <w:rsid w:val="00C547E7"/>
    <w:rsid w:val="00C54818"/>
    <w:rsid w:val="00C54A3F"/>
    <w:rsid w:val="00C54ADC"/>
    <w:rsid w:val="00C54D73"/>
    <w:rsid w:val="00C54E28"/>
    <w:rsid w:val="00C5501E"/>
    <w:rsid w:val="00C550DF"/>
    <w:rsid w:val="00C5553E"/>
    <w:rsid w:val="00C556CC"/>
    <w:rsid w:val="00C55737"/>
    <w:rsid w:val="00C558C1"/>
    <w:rsid w:val="00C5599B"/>
    <w:rsid w:val="00C559A8"/>
    <w:rsid w:val="00C55C01"/>
    <w:rsid w:val="00C55C39"/>
    <w:rsid w:val="00C55FD3"/>
    <w:rsid w:val="00C56045"/>
    <w:rsid w:val="00C5605B"/>
    <w:rsid w:val="00C562ED"/>
    <w:rsid w:val="00C56342"/>
    <w:rsid w:val="00C5648E"/>
    <w:rsid w:val="00C566E6"/>
    <w:rsid w:val="00C568CE"/>
    <w:rsid w:val="00C56B4B"/>
    <w:rsid w:val="00C56B6C"/>
    <w:rsid w:val="00C56C50"/>
    <w:rsid w:val="00C56C64"/>
    <w:rsid w:val="00C570A6"/>
    <w:rsid w:val="00C5722E"/>
    <w:rsid w:val="00C57298"/>
    <w:rsid w:val="00C573EF"/>
    <w:rsid w:val="00C575F9"/>
    <w:rsid w:val="00C57761"/>
    <w:rsid w:val="00C5787D"/>
    <w:rsid w:val="00C57CAF"/>
    <w:rsid w:val="00C57E49"/>
    <w:rsid w:val="00C60036"/>
    <w:rsid w:val="00C600AA"/>
    <w:rsid w:val="00C600C5"/>
    <w:rsid w:val="00C602C7"/>
    <w:rsid w:val="00C602FF"/>
    <w:rsid w:val="00C60763"/>
    <w:rsid w:val="00C60966"/>
    <w:rsid w:val="00C60AFE"/>
    <w:rsid w:val="00C60C41"/>
    <w:rsid w:val="00C60D31"/>
    <w:rsid w:val="00C60DFA"/>
    <w:rsid w:val="00C6127C"/>
    <w:rsid w:val="00C61454"/>
    <w:rsid w:val="00C6153C"/>
    <w:rsid w:val="00C615E0"/>
    <w:rsid w:val="00C61602"/>
    <w:rsid w:val="00C61795"/>
    <w:rsid w:val="00C61C73"/>
    <w:rsid w:val="00C61D21"/>
    <w:rsid w:val="00C61EB7"/>
    <w:rsid w:val="00C6218A"/>
    <w:rsid w:val="00C622BD"/>
    <w:rsid w:val="00C622DB"/>
    <w:rsid w:val="00C62562"/>
    <w:rsid w:val="00C62700"/>
    <w:rsid w:val="00C627B3"/>
    <w:rsid w:val="00C627F1"/>
    <w:rsid w:val="00C628E5"/>
    <w:rsid w:val="00C62977"/>
    <w:rsid w:val="00C62A10"/>
    <w:rsid w:val="00C62AE8"/>
    <w:rsid w:val="00C63179"/>
    <w:rsid w:val="00C6320F"/>
    <w:rsid w:val="00C632BE"/>
    <w:rsid w:val="00C63340"/>
    <w:rsid w:val="00C635F1"/>
    <w:rsid w:val="00C637FE"/>
    <w:rsid w:val="00C63815"/>
    <w:rsid w:val="00C6388F"/>
    <w:rsid w:val="00C638D3"/>
    <w:rsid w:val="00C639DD"/>
    <w:rsid w:val="00C63E1F"/>
    <w:rsid w:val="00C6414C"/>
    <w:rsid w:val="00C641B5"/>
    <w:rsid w:val="00C647E1"/>
    <w:rsid w:val="00C64844"/>
    <w:rsid w:val="00C648E6"/>
    <w:rsid w:val="00C64A78"/>
    <w:rsid w:val="00C64B9A"/>
    <w:rsid w:val="00C64CA8"/>
    <w:rsid w:val="00C64E94"/>
    <w:rsid w:val="00C64F45"/>
    <w:rsid w:val="00C651D3"/>
    <w:rsid w:val="00C652ED"/>
    <w:rsid w:val="00C65355"/>
    <w:rsid w:val="00C6539A"/>
    <w:rsid w:val="00C656E4"/>
    <w:rsid w:val="00C658DF"/>
    <w:rsid w:val="00C65918"/>
    <w:rsid w:val="00C65A89"/>
    <w:rsid w:val="00C65A9E"/>
    <w:rsid w:val="00C65CEE"/>
    <w:rsid w:val="00C65F62"/>
    <w:rsid w:val="00C660D9"/>
    <w:rsid w:val="00C66482"/>
    <w:rsid w:val="00C66489"/>
    <w:rsid w:val="00C6663D"/>
    <w:rsid w:val="00C66797"/>
    <w:rsid w:val="00C66A34"/>
    <w:rsid w:val="00C66D9A"/>
    <w:rsid w:val="00C66DC8"/>
    <w:rsid w:val="00C66EB9"/>
    <w:rsid w:val="00C671A9"/>
    <w:rsid w:val="00C674AC"/>
    <w:rsid w:val="00C67752"/>
    <w:rsid w:val="00C6781C"/>
    <w:rsid w:val="00C679C1"/>
    <w:rsid w:val="00C67A1B"/>
    <w:rsid w:val="00C67A78"/>
    <w:rsid w:val="00C67A9D"/>
    <w:rsid w:val="00C67AB9"/>
    <w:rsid w:val="00C67EDC"/>
    <w:rsid w:val="00C7057B"/>
    <w:rsid w:val="00C706E2"/>
    <w:rsid w:val="00C708BB"/>
    <w:rsid w:val="00C70CD6"/>
    <w:rsid w:val="00C70E23"/>
    <w:rsid w:val="00C70EB8"/>
    <w:rsid w:val="00C70F13"/>
    <w:rsid w:val="00C7129D"/>
    <w:rsid w:val="00C71658"/>
    <w:rsid w:val="00C717A8"/>
    <w:rsid w:val="00C71977"/>
    <w:rsid w:val="00C71D7D"/>
    <w:rsid w:val="00C71EDC"/>
    <w:rsid w:val="00C7208C"/>
    <w:rsid w:val="00C72238"/>
    <w:rsid w:val="00C72404"/>
    <w:rsid w:val="00C72614"/>
    <w:rsid w:val="00C7262A"/>
    <w:rsid w:val="00C727A1"/>
    <w:rsid w:val="00C7291F"/>
    <w:rsid w:val="00C72921"/>
    <w:rsid w:val="00C72B81"/>
    <w:rsid w:val="00C72BD5"/>
    <w:rsid w:val="00C72D4F"/>
    <w:rsid w:val="00C72EC4"/>
    <w:rsid w:val="00C7307A"/>
    <w:rsid w:val="00C7326E"/>
    <w:rsid w:val="00C733F5"/>
    <w:rsid w:val="00C7360B"/>
    <w:rsid w:val="00C73679"/>
    <w:rsid w:val="00C739EC"/>
    <w:rsid w:val="00C73C5B"/>
    <w:rsid w:val="00C73E2C"/>
    <w:rsid w:val="00C7406D"/>
    <w:rsid w:val="00C745E1"/>
    <w:rsid w:val="00C748C9"/>
    <w:rsid w:val="00C749F7"/>
    <w:rsid w:val="00C74A96"/>
    <w:rsid w:val="00C7501E"/>
    <w:rsid w:val="00C75158"/>
    <w:rsid w:val="00C75161"/>
    <w:rsid w:val="00C756E4"/>
    <w:rsid w:val="00C757A1"/>
    <w:rsid w:val="00C75C2E"/>
    <w:rsid w:val="00C75D12"/>
    <w:rsid w:val="00C75E7A"/>
    <w:rsid w:val="00C76482"/>
    <w:rsid w:val="00C764C2"/>
    <w:rsid w:val="00C764CD"/>
    <w:rsid w:val="00C7678A"/>
    <w:rsid w:val="00C76988"/>
    <w:rsid w:val="00C76C36"/>
    <w:rsid w:val="00C76C72"/>
    <w:rsid w:val="00C76CDC"/>
    <w:rsid w:val="00C76DA0"/>
    <w:rsid w:val="00C76F17"/>
    <w:rsid w:val="00C7705C"/>
    <w:rsid w:val="00C771A2"/>
    <w:rsid w:val="00C772D7"/>
    <w:rsid w:val="00C772F9"/>
    <w:rsid w:val="00C7736C"/>
    <w:rsid w:val="00C7756B"/>
    <w:rsid w:val="00C776D5"/>
    <w:rsid w:val="00C779BC"/>
    <w:rsid w:val="00C77A8F"/>
    <w:rsid w:val="00C77ADD"/>
    <w:rsid w:val="00C77EC5"/>
    <w:rsid w:val="00C77F9F"/>
    <w:rsid w:val="00C77FEC"/>
    <w:rsid w:val="00C80331"/>
    <w:rsid w:val="00C80893"/>
    <w:rsid w:val="00C809E8"/>
    <w:rsid w:val="00C80AC2"/>
    <w:rsid w:val="00C80C29"/>
    <w:rsid w:val="00C80DFC"/>
    <w:rsid w:val="00C80EFA"/>
    <w:rsid w:val="00C81210"/>
    <w:rsid w:val="00C8138D"/>
    <w:rsid w:val="00C8141A"/>
    <w:rsid w:val="00C814B5"/>
    <w:rsid w:val="00C81948"/>
    <w:rsid w:val="00C81961"/>
    <w:rsid w:val="00C819A0"/>
    <w:rsid w:val="00C81A06"/>
    <w:rsid w:val="00C81BA0"/>
    <w:rsid w:val="00C81CBC"/>
    <w:rsid w:val="00C8234A"/>
    <w:rsid w:val="00C8245B"/>
    <w:rsid w:val="00C82555"/>
    <w:rsid w:val="00C825A1"/>
    <w:rsid w:val="00C826B6"/>
    <w:rsid w:val="00C8294D"/>
    <w:rsid w:val="00C82A12"/>
    <w:rsid w:val="00C82AFE"/>
    <w:rsid w:val="00C82B3E"/>
    <w:rsid w:val="00C82CC6"/>
    <w:rsid w:val="00C82F0B"/>
    <w:rsid w:val="00C8327C"/>
    <w:rsid w:val="00C834D4"/>
    <w:rsid w:val="00C834FD"/>
    <w:rsid w:val="00C835DB"/>
    <w:rsid w:val="00C837A5"/>
    <w:rsid w:val="00C839A3"/>
    <w:rsid w:val="00C83A0D"/>
    <w:rsid w:val="00C83A0F"/>
    <w:rsid w:val="00C83A4C"/>
    <w:rsid w:val="00C83A7F"/>
    <w:rsid w:val="00C83C48"/>
    <w:rsid w:val="00C83CF9"/>
    <w:rsid w:val="00C83D5F"/>
    <w:rsid w:val="00C83D6B"/>
    <w:rsid w:val="00C83DD7"/>
    <w:rsid w:val="00C83E1C"/>
    <w:rsid w:val="00C83EC6"/>
    <w:rsid w:val="00C8409B"/>
    <w:rsid w:val="00C840BD"/>
    <w:rsid w:val="00C8414F"/>
    <w:rsid w:val="00C8415F"/>
    <w:rsid w:val="00C84215"/>
    <w:rsid w:val="00C84462"/>
    <w:rsid w:val="00C8483A"/>
    <w:rsid w:val="00C84906"/>
    <w:rsid w:val="00C84953"/>
    <w:rsid w:val="00C84962"/>
    <w:rsid w:val="00C849F9"/>
    <w:rsid w:val="00C84AF1"/>
    <w:rsid w:val="00C84DDC"/>
    <w:rsid w:val="00C84EC9"/>
    <w:rsid w:val="00C852DA"/>
    <w:rsid w:val="00C85579"/>
    <w:rsid w:val="00C85615"/>
    <w:rsid w:val="00C8593B"/>
    <w:rsid w:val="00C859BD"/>
    <w:rsid w:val="00C85C0D"/>
    <w:rsid w:val="00C85EAA"/>
    <w:rsid w:val="00C861AF"/>
    <w:rsid w:val="00C86259"/>
    <w:rsid w:val="00C8686B"/>
    <w:rsid w:val="00C868EF"/>
    <w:rsid w:val="00C86963"/>
    <w:rsid w:val="00C86A4F"/>
    <w:rsid w:val="00C86BEB"/>
    <w:rsid w:val="00C86CE0"/>
    <w:rsid w:val="00C86D76"/>
    <w:rsid w:val="00C86F55"/>
    <w:rsid w:val="00C87045"/>
    <w:rsid w:val="00C877D8"/>
    <w:rsid w:val="00C87893"/>
    <w:rsid w:val="00C87A13"/>
    <w:rsid w:val="00C87AC7"/>
    <w:rsid w:val="00C87CDF"/>
    <w:rsid w:val="00C9001B"/>
    <w:rsid w:val="00C901A9"/>
    <w:rsid w:val="00C9073B"/>
    <w:rsid w:val="00C90A6C"/>
    <w:rsid w:val="00C90D05"/>
    <w:rsid w:val="00C90D75"/>
    <w:rsid w:val="00C91193"/>
    <w:rsid w:val="00C91C14"/>
    <w:rsid w:val="00C91E83"/>
    <w:rsid w:val="00C91EAB"/>
    <w:rsid w:val="00C922E4"/>
    <w:rsid w:val="00C9234D"/>
    <w:rsid w:val="00C92382"/>
    <w:rsid w:val="00C925C8"/>
    <w:rsid w:val="00C9264C"/>
    <w:rsid w:val="00C926AC"/>
    <w:rsid w:val="00C928A7"/>
    <w:rsid w:val="00C92A12"/>
    <w:rsid w:val="00C92B1F"/>
    <w:rsid w:val="00C92E3F"/>
    <w:rsid w:val="00C930FB"/>
    <w:rsid w:val="00C93553"/>
    <w:rsid w:val="00C93785"/>
    <w:rsid w:val="00C93832"/>
    <w:rsid w:val="00C93E59"/>
    <w:rsid w:val="00C94330"/>
    <w:rsid w:val="00C94734"/>
    <w:rsid w:val="00C947A9"/>
    <w:rsid w:val="00C949B2"/>
    <w:rsid w:val="00C94D09"/>
    <w:rsid w:val="00C94D25"/>
    <w:rsid w:val="00C950FE"/>
    <w:rsid w:val="00C951FD"/>
    <w:rsid w:val="00C95263"/>
    <w:rsid w:val="00C955CB"/>
    <w:rsid w:val="00C9565A"/>
    <w:rsid w:val="00C956BB"/>
    <w:rsid w:val="00C9571A"/>
    <w:rsid w:val="00C9583E"/>
    <w:rsid w:val="00C95A21"/>
    <w:rsid w:val="00C95B40"/>
    <w:rsid w:val="00C95C72"/>
    <w:rsid w:val="00C95CFE"/>
    <w:rsid w:val="00C95DA1"/>
    <w:rsid w:val="00C95E6D"/>
    <w:rsid w:val="00C95F61"/>
    <w:rsid w:val="00C963B7"/>
    <w:rsid w:val="00C96459"/>
    <w:rsid w:val="00C96494"/>
    <w:rsid w:val="00C964FA"/>
    <w:rsid w:val="00C96B37"/>
    <w:rsid w:val="00C96BC1"/>
    <w:rsid w:val="00C96CFC"/>
    <w:rsid w:val="00C9700B"/>
    <w:rsid w:val="00C97250"/>
    <w:rsid w:val="00C977E3"/>
    <w:rsid w:val="00C9783B"/>
    <w:rsid w:val="00C979B2"/>
    <w:rsid w:val="00C97B47"/>
    <w:rsid w:val="00C97C33"/>
    <w:rsid w:val="00C97EA2"/>
    <w:rsid w:val="00C97F47"/>
    <w:rsid w:val="00CA00ED"/>
    <w:rsid w:val="00CA0190"/>
    <w:rsid w:val="00CA0342"/>
    <w:rsid w:val="00CA0348"/>
    <w:rsid w:val="00CA03F2"/>
    <w:rsid w:val="00CA0D2E"/>
    <w:rsid w:val="00CA1173"/>
    <w:rsid w:val="00CA13B5"/>
    <w:rsid w:val="00CA1400"/>
    <w:rsid w:val="00CA1524"/>
    <w:rsid w:val="00CA15FA"/>
    <w:rsid w:val="00CA1C39"/>
    <w:rsid w:val="00CA1F11"/>
    <w:rsid w:val="00CA205C"/>
    <w:rsid w:val="00CA21BF"/>
    <w:rsid w:val="00CA2245"/>
    <w:rsid w:val="00CA238F"/>
    <w:rsid w:val="00CA2422"/>
    <w:rsid w:val="00CA2464"/>
    <w:rsid w:val="00CA27AD"/>
    <w:rsid w:val="00CA27D3"/>
    <w:rsid w:val="00CA290C"/>
    <w:rsid w:val="00CA30A6"/>
    <w:rsid w:val="00CA32B1"/>
    <w:rsid w:val="00CA33B5"/>
    <w:rsid w:val="00CA3BF3"/>
    <w:rsid w:val="00CA3CB9"/>
    <w:rsid w:val="00CA402C"/>
    <w:rsid w:val="00CA4400"/>
    <w:rsid w:val="00CA4579"/>
    <w:rsid w:val="00CA4E90"/>
    <w:rsid w:val="00CA56A1"/>
    <w:rsid w:val="00CA5724"/>
    <w:rsid w:val="00CA5A01"/>
    <w:rsid w:val="00CA5ACC"/>
    <w:rsid w:val="00CA5CC4"/>
    <w:rsid w:val="00CA5D28"/>
    <w:rsid w:val="00CA5ED9"/>
    <w:rsid w:val="00CA6050"/>
    <w:rsid w:val="00CA61BF"/>
    <w:rsid w:val="00CA6528"/>
    <w:rsid w:val="00CA6876"/>
    <w:rsid w:val="00CA68D3"/>
    <w:rsid w:val="00CA6D0F"/>
    <w:rsid w:val="00CA6E90"/>
    <w:rsid w:val="00CA6F3F"/>
    <w:rsid w:val="00CA7165"/>
    <w:rsid w:val="00CB017F"/>
    <w:rsid w:val="00CB02AA"/>
    <w:rsid w:val="00CB04A6"/>
    <w:rsid w:val="00CB05DA"/>
    <w:rsid w:val="00CB07C5"/>
    <w:rsid w:val="00CB07FB"/>
    <w:rsid w:val="00CB09EC"/>
    <w:rsid w:val="00CB1145"/>
    <w:rsid w:val="00CB139E"/>
    <w:rsid w:val="00CB1408"/>
    <w:rsid w:val="00CB150D"/>
    <w:rsid w:val="00CB174F"/>
    <w:rsid w:val="00CB1B8F"/>
    <w:rsid w:val="00CB1BF8"/>
    <w:rsid w:val="00CB1C8F"/>
    <w:rsid w:val="00CB1D6B"/>
    <w:rsid w:val="00CB1F6B"/>
    <w:rsid w:val="00CB1F9E"/>
    <w:rsid w:val="00CB2146"/>
    <w:rsid w:val="00CB233C"/>
    <w:rsid w:val="00CB233F"/>
    <w:rsid w:val="00CB2390"/>
    <w:rsid w:val="00CB23EF"/>
    <w:rsid w:val="00CB2591"/>
    <w:rsid w:val="00CB289A"/>
    <w:rsid w:val="00CB2911"/>
    <w:rsid w:val="00CB29A5"/>
    <w:rsid w:val="00CB2AB2"/>
    <w:rsid w:val="00CB2B83"/>
    <w:rsid w:val="00CB2E67"/>
    <w:rsid w:val="00CB2E72"/>
    <w:rsid w:val="00CB2FD4"/>
    <w:rsid w:val="00CB309A"/>
    <w:rsid w:val="00CB30AA"/>
    <w:rsid w:val="00CB371A"/>
    <w:rsid w:val="00CB3731"/>
    <w:rsid w:val="00CB37F5"/>
    <w:rsid w:val="00CB3832"/>
    <w:rsid w:val="00CB3B05"/>
    <w:rsid w:val="00CB3B37"/>
    <w:rsid w:val="00CB3C2B"/>
    <w:rsid w:val="00CB3E95"/>
    <w:rsid w:val="00CB3F00"/>
    <w:rsid w:val="00CB3FB9"/>
    <w:rsid w:val="00CB41E2"/>
    <w:rsid w:val="00CB4250"/>
    <w:rsid w:val="00CB45F3"/>
    <w:rsid w:val="00CB4BFB"/>
    <w:rsid w:val="00CB52FB"/>
    <w:rsid w:val="00CB5338"/>
    <w:rsid w:val="00CB539C"/>
    <w:rsid w:val="00CB53E2"/>
    <w:rsid w:val="00CB540F"/>
    <w:rsid w:val="00CB5435"/>
    <w:rsid w:val="00CB5541"/>
    <w:rsid w:val="00CB5AF1"/>
    <w:rsid w:val="00CB5C36"/>
    <w:rsid w:val="00CB5C47"/>
    <w:rsid w:val="00CB5C53"/>
    <w:rsid w:val="00CB60F1"/>
    <w:rsid w:val="00CB61EF"/>
    <w:rsid w:val="00CB652C"/>
    <w:rsid w:val="00CB6538"/>
    <w:rsid w:val="00CB6585"/>
    <w:rsid w:val="00CB65EE"/>
    <w:rsid w:val="00CB6841"/>
    <w:rsid w:val="00CB69DE"/>
    <w:rsid w:val="00CB6B3A"/>
    <w:rsid w:val="00CB6F1C"/>
    <w:rsid w:val="00CB6FDC"/>
    <w:rsid w:val="00CB6FEC"/>
    <w:rsid w:val="00CB737E"/>
    <w:rsid w:val="00CB740A"/>
    <w:rsid w:val="00CB7684"/>
    <w:rsid w:val="00CB7751"/>
    <w:rsid w:val="00CB77BE"/>
    <w:rsid w:val="00CB77DA"/>
    <w:rsid w:val="00CB7B5C"/>
    <w:rsid w:val="00CB7BDA"/>
    <w:rsid w:val="00CB7C84"/>
    <w:rsid w:val="00CB7CD0"/>
    <w:rsid w:val="00CB7F00"/>
    <w:rsid w:val="00CB7FB9"/>
    <w:rsid w:val="00CC00E4"/>
    <w:rsid w:val="00CC02AD"/>
    <w:rsid w:val="00CC03DA"/>
    <w:rsid w:val="00CC07FC"/>
    <w:rsid w:val="00CC085E"/>
    <w:rsid w:val="00CC09D8"/>
    <w:rsid w:val="00CC0A34"/>
    <w:rsid w:val="00CC10AF"/>
    <w:rsid w:val="00CC11FC"/>
    <w:rsid w:val="00CC1288"/>
    <w:rsid w:val="00CC156F"/>
    <w:rsid w:val="00CC15C3"/>
    <w:rsid w:val="00CC18B2"/>
    <w:rsid w:val="00CC1A0B"/>
    <w:rsid w:val="00CC1DF1"/>
    <w:rsid w:val="00CC243B"/>
    <w:rsid w:val="00CC24B0"/>
    <w:rsid w:val="00CC24FF"/>
    <w:rsid w:val="00CC253C"/>
    <w:rsid w:val="00CC274D"/>
    <w:rsid w:val="00CC2800"/>
    <w:rsid w:val="00CC2A34"/>
    <w:rsid w:val="00CC2B9D"/>
    <w:rsid w:val="00CC2BD3"/>
    <w:rsid w:val="00CC2CB0"/>
    <w:rsid w:val="00CC2E03"/>
    <w:rsid w:val="00CC335C"/>
    <w:rsid w:val="00CC393B"/>
    <w:rsid w:val="00CC3AE0"/>
    <w:rsid w:val="00CC3B0A"/>
    <w:rsid w:val="00CC3C4A"/>
    <w:rsid w:val="00CC3EFF"/>
    <w:rsid w:val="00CC4079"/>
    <w:rsid w:val="00CC4099"/>
    <w:rsid w:val="00CC445A"/>
    <w:rsid w:val="00CC4562"/>
    <w:rsid w:val="00CC45C2"/>
    <w:rsid w:val="00CC4698"/>
    <w:rsid w:val="00CC4794"/>
    <w:rsid w:val="00CC49AA"/>
    <w:rsid w:val="00CC4A61"/>
    <w:rsid w:val="00CC4B10"/>
    <w:rsid w:val="00CC4B1E"/>
    <w:rsid w:val="00CC4B2B"/>
    <w:rsid w:val="00CC4B6D"/>
    <w:rsid w:val="00CC4E3A"/>
    <w:rsid w:val="00CC4E6A"/>
    <w:rsid w:val="00CC4EE4"/>
    <w:rsid w:val="00CC513E"/>
    <w:rsid w:val="00CC518E"/>
    <w:rsid w:val="00CC5437"/>
    <w:rsid w:val="00CC5638"/>
    <w:rsid w:val="00CC5A50"/>
    <w:rsid w:val="00CC5B68"/>
    <w:rsid w:val="00CC5CC4"/>
    <w:rsid w:val="00CC5D36"/>
    <w:rsid w:val="00CC5F9B"/>
    <w:rsid w:val="00CC5FD9"/>
    <w:rsid w:val="00CC6A16"/>
    <w:rsid w:val="00CC715D"/>
    <w:rsid w:val="00CC7379"/>
    <w:rsid w:val="00CC7525"/>
    <w:rsid w:val="00CC765D"/>
    <w:rsid w:val="00CC777B"/>
    <w:rsid w:val="00CC7B56"/>
    <w:rsid w:val="00CC7CEC"/>
    <w:rsid w:val="00CD00CC"/>
    <w:rsid w:val="00CD00D6"/>
    <w:rsid w:val="00CD024C"/>
    <w:rsid w:val="00CD04AF"/>
    <w:rsid w:val="00CD04EA"/>
    <w:rsid w:val="00CD051D"/>
    <w:rsid w:val="00CD0615"/>
    <w:rsid w:val="00CD0D21"/>
    <w:rsid w:val="00CD0ECC"/>
    <w:rsid w:val="00CD0FF9"/>
    <w:rsid w:val="00CD1053"/>
    <w:rsid w:val="00CD10BB"/>
    <w:rsid w:val="00CD10FA"/>
    <w:rsid w:val="00CD13F5"/>
    <w:rsid w:val="00CD172B"/>
    <w:rsid w:val="00CD1889"/>
    <w:rsid w:val="00CD18B8"/>
    <w:rsid w:val="00CD1A47"/>
    <w:rsid w:val="00CD1F08"/>
    <w:rsid w:val="00CD23AF"/>
    <w:rsid w:val="00CD23FC"/>
    <w:rsid w:val="00CD24B1"/>
    <w:rsid w:val="00CD25AD"/>
    <w:rsid w:val="00CD262E"/>
    <w:rsid w:val="00CD26E2"/>
    <w:rsid w:val="00CD2788"/>
    <w:rsid w:val="00CD2799"/>
    <w:rsid w:val="00CD2AF7"/>
    <w:rsid w:val="00CD2E68"/>
    <w:rsid w:val="00CD2EEB"/>
    <w:rsid w:val="00CD2F1D"/>
    <w:rsid w:val="00CD31B2"/>
    <w:rsid w:val="00CD3963"/>
    <w:rsid w:val="00CD4086"/>
    <w:rsid w:val="00CD4112"/>
    <w:rsid w:val="00CD4327"/>
    <w:rsid w:val="00CD436B"/>
    <w:rsid w:val="00CD4373"/>
    <w:rsid w:val="00CD4443"/>
    <w:rsid w:val="00CD4469"/>
    <w:rsid w:val="00CD45BC"/>
    <w:rsid w:val="00CD482D"/>
    <w:rsid w:val="00CD4DEB"/>
    <w:rsid w:val="00CD4FBB"/>
    <w:rsid w:val="00CD5239"/>
    <w:rsid w:val="00CD54A8"/>
    <w:rsid w:val="00CD55F8"/>
    <w:rsid w:val="00CD5817"/>
    <w:rsid w:val="00CD5821"/>
    <w:rsid w:val="00CD5BA9"/>
    <w:rsid w:val="00CD5E49"/>
    <w:rsid w:val="00CD5FFD"/>
    <w:rsid w:val="00CD610C"/>
    <w:rsid w:val="00CD6620"/>
    <w:rsid w:val="00CD66B4"/>
    <w:rsid w:val="00CD6784"/>
    <w:rsid w:val="00CD67BB"/>
    <w:rsid w:val="00CD6D0F"/>
    <w:rsid w:val="00CD6D3C"/>
    <w:rsid w:val="00CD6E53"/>
    <w:rsid w:val="00CD7003"/>
    <w:rsid w:val="00CD7033"/>
    <w:rsid w:val="00CD717B"/>
    <w:rsid w:val="00CD7529"/>
    <w:rsid w:val="00CD75B9"/>
    <w:rsid w:val="00CD770D"/>
    <w:rsid w:val="00CD7914"/>
    <w:rsid w:val="00CD79A1"/>
    <w:rsid w:val="00CD7A64"/>
    <w:rsid w:val="00CD7ABC"/>
    <w:rsid w:val="00CD7CFC"/>
    <w:rsid w:val="00CD7DA2"/>
    <w:rsid w:val="00CD7EBF"/>
    <w:rsid w:val="00CE0159"/>
    <w:rsid w:val="00CE0180"/>
    <w:rsid w:val="00CE0386"/>
    <w:rsid w:val="00CE0438"/>
    <w:rsid w:val="00CE0483"/>
    <w:rsid w:val="00CE0628"/>
    <w:rsid w:val="00CE085C"/>
    <w:rsid w:val="00CE0875"/>
    <w:rsid w:val="00CE089F"/>
    <w:rsid w:val="00CE0A06"/>
    <w:rsid w:val="00CE0EF5"/>
    <w:rsid w:val="00CE108C"/>
    <w:rsid w:val="00CE1135"/>
    <w:rsid w:val="00CE1441"/>
    <w:rsid w:val="00CE148F"/>
    <w:rsid w:val="00CE15FF"/>
    <w:rsid w:val="00CE18AF"/>
    <w:rsid w:val="00CE2150"/>
    <w:rsid w:val="00CE22F9"/>
    <w:rsid w:val="00CE230E"/>
    <w:rsid w:val="00CE2407"/>
    <w:rsid w:val="00CE279B"/>
    <w:rsid w:val="00CE2A10"/>
    <w:rsid w:val="00CE2AD8"/>
    <w:rsid w:val="00CE2E82"/>
    <w:rsid w:val="00CE2F1D"/>
    <w:rsid w:val="00CE3077"/>
    <w:rsid w:val="00CE31D5"/>
    <w:rsid w:val="00CE32DE"/>
    <w:rsid w:val="00CE367E"/>
    <w:rsid w:val="00CE36D8"/>
    <w:rsid w:val="00CE37EB"/>
    <w:rsid w:val="00CE3892"/>
    <w:rsid w:val="00CE4064"/>
    <w:rsid w:val="00CE485C"/>
    <w:rsid w:val="00CE494F"/>
    <w:rsid w:val="00CE4970"/>
    <w:rsid w:val="00CE4FE4"/>
    <w:rsid w:val="00CE503D"/>
    <w:rsid w:val="00CE5060"/>
    <w:rsid w:val="00CE5064"/>
    <w:rsid w:val="00CE5407"/>
    <w:rsid w:val="00CE5510"/>
    <w:rsid w:val="00CE556B"/>
    <w:rsid w:val="00CE5817"/>
    <w:rsid w:val="00CE5A09"/>
    <w:rsid w:val="00CE5B33"/>
    <w:rsid w:val="00CE5CE4"/>
    <w:rsid w:val="00CE5FDB"/>
    <w:rsid w:val="00CE6080"/>
    <w:rsid w:val="00CE6171"/>
    <w:rsid w:val="00CE625F"/>
    <w:rsid w:val="00CE6792"/>
    <w:rsid w:val="00CE688F"/>
    <w:rsid w:val="00CE68D3"/>
    <w:rsid w:val="00CE6A6B"/>
    <w:rsid w:val="00CE6C44"/>
    <w:rsid w:val="00CE708C"/>
    <w:rsid w:val="00CE71CD"/>
    <w:rsid w:val="00CE7422"/>
    <w:rsid w:val="00CE7472"/>
    <w:rsid w:val="00CE753C"/>
    <w:rsid w:val="00CE77D2"/>
    <w:rsid w:val="00CE79DD"/>
    <w:rsid w:val="00CE7DE8"/>
    <w:rsid w:val="00CE7ED7"/>
    <w:rsid w:val="00CE7F2D"/>
    <w:rsid w:val="00CF0125"/>
    <w:rsid w:val="00CF0276"/>
    <w:rsid w:val="00CF02CF"/>
    <w:rsid w:val="00CF02E0"/>
    <w:rsid w:val="00CF0328"/>
    <w:rsid w:val="00CF03DC"/>
    <w:rsid w:val="00CF05F9"/>
    <w:rsid w:val="00CF0645"/>
    <w:rsid w:val="00CF0664"/>
    <w:rsid w:val="00CF0B9A"/>
    <w:rsid w:val="00CF1269"/>
    <w:rsid w:val="00CF12BF"/>
    <w:rsid w:val="00CF136F"/>
    <w:rsid w:val="00CF1686"/>
    <w:rsid w:val="00CF16C6"/>
    <w:rsid w:val="00CF1871"/>
    <w:rsid w:val="00CF193E"/>
    <w:rsid w:val="00CF19CB"/>
    <w:rsid w:val="00CF1A05"/>
    <w:rsid w:val="00CF1A06"/>
    <w:rsid w:val="00CF1A94"/>
    <w:rsid w:val="00CF1AF3"/>
    <w:rsid w:val="00CF1B25"/>
    <w:rsid w:val="00CF1D4C"/>
    <w:rsid w:val="00CF1E66"/>
    <w:rsid w:val="00CF1FB7"/>
    <w:rsid w:val="00CF1FCD"/>
    <w:rsid w:val="00CF258A"/>
    <w:rsid w:val="00CF29C5"/>
    <w:rsid w:val="00CF2B43"/>
    <w:rsid w:val="00CF2BDA"/>
    <w:rsid w:val="00CF2D3E"/>
    <w:rsid w:val="00CF2DF0"/>
    <w:rsid w:val="00CF2E4D"/>
    <w:rsid w:val="00CF30F2"/>
    <w:rsid w:val="00CF3145"/>
    <w:rsid w:val="00CF3676"/>
    <w:rsid w:val="00CF38DD"/>
    <w:rsid w:val="00CF3A43"/>
    <w:rsid w:val="00CF40AC"/>
    <w:rsid w:val="00CF4133"/>
    <w:rsid w:val="00CF42CC"/>
    <w:rsid w:val="00CF477F"/>
    <w:rsid w:val="00CF4BA4"/>
    <w:rsid w:val="00CF4C84"/>
    <w:rsid w:val="00CF4D36"/>
    <w:rsid w:val="00CF4D7F"/>
    <w:rsid w:val="00CF50B0"/>
    <w:rsid w:val="00CF522B"/>
    <w:rsid w:val="00CF5236"/>
    <w:rsid w:val="00CF577E"/>
    <w:rsid w:val="00CF5817"/>
    <w:rsid w:val="00CF59E9"/>
    <w:rsid w:val="00CF61EF"/>
    <w:rsid w:val="00CF6207"/>
    <w:rsid w:val="00CF6244"/>
    <w:rsid w:val="00CF6287"/>
    <w:rsid w:val="00CF6A3E"/>
    <w:rsid w:val="00CF6C70"/>
    <w:rsid w:val="00CF6F2A"/>
    <w:rsid w:val="00CF7024"/>
    <w:rsid w:val="00CF7839"/>
    <w:rsid w:val="00CF793C"/>
    <w:rsid w:val="00CF79BF"/>
    <w:rsid w:val="00CF7DFF"/>
    <w:rsid w:val="00CF7E7C"/>
    <w:rsid w:val="00D00469"/>
    <w:rsid w:val="00D00AA0"/>
    <w:rsid w:val="00D00B1E"/>
    <w:rsid w:val="00D00B3A"/>
    <w:rsid w:val="00D00D56"/>
    <w:rsid w:val="00D00E5E"/>
    <w:rsid w:val="00D011E3"/>
    <w:rsid w:val="00D0143C"/>
    <w:rsid w:val="00D01582"/>
    <w:rsid w:val="00D01595"/>
    <w:rsid w:val="00D0187D"/>
    <w:rsid w:val="00D01885"/>
    <w:rsid w:val="00D0188E"/>
    <w:rsid w:val="00D0191D"/>
    <w:rsid w:val="00D01B31"/>
    <w:rsid w:val="00D01BB4"/>
    <w:rsid w:val="00D02127"/>
    <w:rsid w:val="00D025CC"/>
    <w:rsid w:val="00D02994"/>
    <w:rsid w:val="00D02D68"/>
    <w:rsid w:val="00D02D74"/>
    <w:rsid w:val="00D03231"/>
    <w:rsid w:val="00D03382"/>
    <w:rsid w:val="00D033E1"/>
    <w:rsid w:val="00D036EB"/>
    <w:rsid w:val="00D0375D"/>
    <w:rsid w:val="00D0395A"/>
    <w:rsid w:val="00D03976"/>
    <w:rsid w:val="00D03C65"/>
    <w:rsid w:val="00D03EFD"/>
    <w:rsid w:val="00D041AF"/>
    <w:rsid w:val="00D041C0"/>
    <w:rsid w:val="00D04326"/>
    <w:rsid w:val="00D04359"/>
    <w:rsid w:val="00D047B5"/>
    <w:rsid w:val="00D048C2"/>
    <w:rsid w:val="00D04C21"/>
    <w:rsid w:val="00D04CB8"/>
    <w:rsid w:val="00D04D88"/>
    <w:rsid w:val="00D04F2F"/>
    <w:rsid w:val="00D0547F"/>
    <w:rsid w:val="00D0564D"/>
    <w:rsid w:val="00D05C66"/>
    <w:rsid w:val="00D05C6E"/>
    <w:rsid w:val="00D05CAF"/>
    <w:rsid w:val="00D05FAD"/>
    <w:rsid w:val="00D061B8"/>
    <w:rsid w:val="00D0625B"/>
    <w:rsid w:val="00D064B3"/>
    <w:rsid w:val="00D06C24"/>
    <w:rsid w:val="00D071CA"/>
    <w:rsid w:val="00D07274"/>
    <w:rsid w:val="00D07295"/>
    <w:rsid w:val="00D07599"/>
    <w:rsid w:val="00D077DC"/>
    <w:rsid w:val="00D07A95"/>
    <w:rsid w:val="00D07AEF"/>
    <w:rsid w:val="00D07FC0"/>
    <w:rsid w:val="00D10053"/>
    <w:rsid w:val="00D100BC"/>
    <w:rsid w:val="00D101D6"/>
    <w:rsid w:val="00D102C4"/>
    <w:rsid w:val="00D10318"/>
    <w:rsid w:val="00D105E3"/>
    <w:rsid w:val="00D1065B"/>
    <w:rsid w:val="00D107C9"/>
    <w:rsid w:val="00D10911"/>
    <w:rsid w:val="00D10A5B"/>
    <w:rsid w:val="00D10B94"/>
    <w:rsid w:val="00D10BC6"/>
    <w:rsid w:val="00D10ED6"/>
    <w:rsid w:val="00D110DB"/>
    <w:rsid w:val="00D111AE"/>
    <w:rsid w:val="00D1149D"/>
    <w:rsid w:val="00D11DBB"/>
    <w:rsid w:val="00D1207B"/>
    <w:rsid w:val="00D12670"/>
    <w:rsid w:val="00D1274E"/>
    <w:rsid w:val="00D1282F"/>
    <w:rsid w:val="00D12EAD"/>
    <w:rsid w:val="00D12F12"/>
    <w:rsid w:val="00D12F96"/>
    <w:rsid w:val="00D12FEB"/>
    <w:rsid w:val="00D132AC"/>
    <w:rsid w:val="00D13566"/>
    <w:rsid w:val="00D136A0"/>
    <w:rsid w:val="00D137DB"/>
    <w:rsid w:val="00D137EF"/>
    <w:rsid w:val="00D13801"/>
    <w:rsid w:val="00D13B61"/>
    <w:rsid w:val="00D142DB"/>
    <w:rsid w:val="00D1466A"/>
    <w:rsid w:val="00D14727"/>
    <w:rsid w:val="00D14891"/>
    <w:rsid w:val="00D148F3"/>
    <w:rsid w:val="00D14B60"/>
    <w:rsid w:val="00D14F3A"/>
    <w:rsid w:val="00D150C7"/>
    <w:rsid w:val="00D15818"/>
    <w:rsid w:val="00D1588D"/>
    <w:rsid w:val="00D15DB6"/>
    <w:rsid w:val="00D15F85"/>
    <w:rsid w:val="00D160FA"/>
    <w:rsid w:val="00D162DD"/>
    <w:rsid w:val="00D16318"/>
    <w:rsid w:val="00D165F1"/>
    <w:rsid w:val="00D1669D"/>
    <w:rsid w:val="00D16748"/>
    <w:rsid w:val="00D169F3"/>
    <w:rsid w:val="00D16B58"/>
    <w:rsid w:val="00D16EF8"/>
    <w:rsid w:val="00D16FA8"/>
    <w:rsid w:val="00D1700E"/>
    <w:rsid w:val="00D17124"/>
    <w:rsid w:val="00D17139"/>
    <w:rsid w:val="00D17359"/>
    <w:rsid w:val="00D174D3"/>
    <w:rsid w:val="00D178C9"/>
    <w:rsid w:val="00D17B27"/>
    <w:rsid w:val="00D17BF0"/>
    <w:rsid w:val="00D20120"/>
    <w:rsid w:val="00D203D4"/>
    <w:rsid w:val="00D20471"/>
    <w:rsid w:val="00D204F1"/>
    <w:rsid w:val="00D2055A"/>
    <w:rsid w:val="00D207F5"/>
    <w:rsid w:val="00D20CA5"/>
    <w:rsid w:val="00D20F7F"/>
    <w:rsid w:val="00D21097"/>
    <w:rsid w:val="00D21BF8"/>
    <w:rsid w:val="00D21F5C"/>
    <w:rsid w:val="00D2216F"/>
    <w:rsid w:val="00D221B8"/>
    <w:rsid w:val="00D2244A"/>
    <w:rsid w:val="00D22812"/>
    <w:rsid w:val="00D2283F"/>
    <w:rsid w:val="00D228F5"/>
    <w:rsid w:val="00D2324B"/>
    <w:rsid w:val="00D233EB"/>
    <w:rsid w:val="00D234D1"/>
    <w:rsid w:val="00D23602"/>
    <w:rsid w:val="00D236D1"/>
    <w:rsid w:val="00D2370F"/>
    <w:rsid w:val="00D2375E"/>
    <w:rsid w:val="00D2380F"/>
    <w:rsid w:val="00D23849"/>
    <w:rsid w:val="00D23C7D"/>
    <w:rsid w:val="00D23D04"/>
    <w:rsid w:val="00D23D30"/>
    <w:rsid w:val="00D23DF3"/>
    <w:rsid w:val="00D23EF5"/>
    <w:rsid w:val="00D2410C"/>
    <w:rsid w:val="00D24410"/>
    <w:rsid w:val="00D244B8"/>
    <w:rsid w:val="00D24982"/>
    <w:rsid w:val="00D250A5"/>
    <w:rsid w:val="00D254B1"/>
    <w:rsid w:val="00D256A2"/>
    <w:rsid w:val="00D25A59"/>
    <w:rsid w:val="00D25CC0"/>
    <w:rsid w:val="00D25D65"/>
    <w:rsid w:val="00D25F64"/>
    <w:rsid w:val="00D25FEC"/>
    <w:rsid w:val="00D26247"/>
    <w:rsid w:val="00D26288"/>
    <w:rsid w:val="00D26403"/>
    <w:rsid w:val="00D2675A"/>
    <w:rsid w:val="00D26B26"/>
    <w:rsid w:val="00D26B9D"/>
    <w:rsid w:val="00D270AF"/>
    <w:rsid w:val="00D27248"/>
    <w:rsid w:val="00D2729A"/>
    <w:rsid w:val="00D273DE"/>
    <w:rsid w:val="00D27420"/>
    <w:rsid w:val="00D27729"/>
    <w:rsid w:val="00D279B1"/>
    <w:rsid w:val="00D27C18"/>
    <w:rsid w:val="00D27C8E"/>
    <w:rsid w:val="00D27E59"/>
    <w:rsid w:val="00D301CB"/>
    <w:rsid w:val="00D30402"/>
    <w:rsid w:val="00D30A32"/>
    <w:rsid w:val="00D30B8D"/>
    <w:rsid w:val="00D30DEE"/>
    <w:rsid w:val="00D311E9"/>
    <w:rsid w:val="00D31229"/>
    <w:rsid w:val="00D3162A"/>
    <w:rsid w:val="00D316C8"/>
    <w:rsid w:val="00D31916"/>
    <w:rsid w:val="00D3191B"/>
    <w:rsid w:val="00D31992"/>
    <w:rsid w:val="00D31B71"/>
    <w:rsid w:val="00D31CD2"/>
    <w:rsid w:val="00D32164"/>
    <w:rsid w:val="00D32383"/>
    <w:rsid w:val="00D32409"/>
    <w:rsid w:val="00D32652"/>
    <w:rsid w:val="00D32CFA"/>
    <w:rsid w:val="00D32EC2"/>
    <w:rsid w:val="00D337B7"/>
    <w:rsid w:val="00D339C0"/>
    <w:rsid w:val="00D33E01"/>
    <w:rsid w:val="00D33EAD"/>
    <w:rsid w:val="00D34000"/>
    <w:rsid w:val="00D34275"/>
    <w:rsid w:val="00D3436D"/>
    <w:rsid w:val="00D34466"/>
    <w:rsid w:val="00D3451F"/>
    <w:rsid w:val="00D34600"/>
    <w:rsid w:val="00D3477E"/>
    <w:rsid w:val="00D349DD"/>
    <w:rsid w:val="00D34B73"/>
    <w:rsid w:val="00D34BD5"/>
    <w:rsid w:val="00D34F58"/>
    <w:rsid w:val="00D3500A"/>
    <w:rsid w:val="00D35123"/>
    <w:rsid w:val="00D35303"/>
    <w:rsid w:val="00D35A79"/>
    <w:rsid w:val="00D35ABF"/>
    <w:rsid w:val="00D35D50"/>
    <w:rsid w:val="00D35DD6"/>
    <w:rsid w:val="00D35F45"/>
    <w:rsid w:val="00D3606B"/>
    <w:rsid w:val="00D363ED"/>
    <w:rsid w:val="00D365F8"/>
    <w:rsid w:val="00D366F5"/>
    <w:rsid w:val="00D368F8"/>
    <w:rsid w:val="00D36A4A"/>
    <w:rsid w:val="00D36CF7"/>
    <w:rsid w:val="00D36DD3"/>
    <w:rsid w:val="00D36EDC"/>
    <w:rsid w:val="00D3737E"/>
    <w:rsid w:val="00D376D9"/>
    <w:rsid w:val="00D37851"/>
    <w:rsid w:val="00D37C64"/>
    <w:rsid w:val="00D37CBA"/>
    <w:rsid w:val="00D37E9D"/>
    <w:rsid w:val="00D40827"/>
    <w:rsid w:val="00D408FA"/>
    <w:rsid w:val="00D40D3E"/>
    <w:rsid w:val="00D40F1C"/>
    <w:rsid w:val="00D4121B"/>
    <w:rsid w:val="00D4137D"/>
    <w:rsid w:val="00D41531"/>
    <w:rsid w:val="00D41B23"/>
    <w:rsid w:val="00D41C1F"/>
    <w:rsid w:val="00D41D63"/>
    <w:rsid w:val="00D41E9A"/>
    <w:rsid w:val="00D41F2F"/>
    <w:rsid w:val="00D4213B"/>
    <w:rsid w:val="00D423E7"/>
    <w:rsid w:val="00D42477"/>
    <w:rsid w:val="00D4266A"/>
    <w:rsid w:val="00D4292C"/>
    <w:rsid w:val="00D42968"/>
    <w:rsid w:val="00D429CF"/>
    <w:rsid w:val="00D42AAD"/>
    <w:rsid w:val="00D42CD1"/>
    <w:rsid w:val="00D42CD4"/>
    <w:rsid w:val="00D42D96"/>
    <w:rsid w:val="00D42E8C"/>
    <w:rsid w:val="00D42F6E"/>
    <w:rsid w:val="00D4317E"/>
    <w:rsid w:val="00D43474"/>
    <w:rsid w:val="00D43A52"/>
    <w:rsid w:val="00D43E2A"/>
    <w:rsid w:val="00D4408D"/>
    <w:rsid w:val="00D44506"/>
    <w:rsid w:val="00D44877"/>
    <w:rsid w:val="00D44E0B"/>
    <w:rsid w:val="00D44F94"/>
    <w:rsid w:val="00D4508B"/>
    <w:rsid w:val="00D45236"/>
    <w:rsid w:val="00D4534F"/>
    <w:rsid w:val="00D455A9"/>
    <w:rsid w:val="00D456BA"/>
    <w:rsid w:val="00D45752"/>
    <w:rsid w:val="00D4579D"/>
    <w:rsid w:val="00D45910"/>
    <w:rsid w:val="00D45BB0"/>
    <w:rsid w:val="00D45E31"/>
    <w:rsid w:val="00D45FAF"/>
    <w:rsid w:val="00D46321"/>
    <w:rsid w:val="00D46561"/>
    <w:rsid w:val="00D465CD"/>
    <w:rsid w:val="00D466FD"/>
    <w:rsid w:val="00D46A33"/>
    <w:rsid w:val="00D46B96"/>
    <w:rsid w:val="00D46F6B"/>
    <w:rsid w:val="00D4737F"/>
    <w:rsid w:val="00D474A8"/>
    <w:rsid w:val="00D4782D"/>
    <w:rsid w:val="00D4791F"/>
    <w:rsid w:val="00D47B25"/>
    <w:rsid w:val="00D47B8D"/>
    <w:rsid w:val="00D47E12"/>
    <w:rsid w:val="00D47E59"/>
    <w:rsid w:val="00D47ECA"/>
    <w:rsid w:val="00D47EE7"/>
    <w:rsid w:val="00D5001A"/>
    <w:rsid w:val="00D500A7"/>
    <w:rsid w:val="00D501B1"/>
    <w:rsid w:val="00D50251"/>
    <w:rsid w:val="00D5073E"/>
    <w:rsid w:val="00D50765"/>
    <w:rsid w:val="00D508B5"/>
    <w:rsid w:val="00D50BFF"/>
    <w:rsid w:val="00D5113F"/>
    <w:rsid w:val="00D51365"/>
    <w:rsid w:val="00D514E2"/>
    <w:rsid w:val="00D5155E"/>
    <w:rsid w:val="00D51886"/>
    <w:rsid w:val="00D51888"/>
    <w:rsid w:val="00D5196D"/>
    <w:rsid w:val="00D51DF2"/>
    <w:rsid w:val="00D51FC5"/>
    <w:rsid w:val="00D5211F"/>
    <w:rsid w:val="00D52596"/>
    <w:rsid w:val="00D52CC6"/>
    <w:rsid w:val="00D52E01"/>
    <w:rsid w:val="00D52FD6"/>
    <w:rsid w:val="00D536BC"/>
    <w:rsid w:val="00D53905"/>
    <w:rsid w:val="00D53D41"/>
    <w:rsid w:val="00D54011"/>
    <w:rsid w:val="00D5424D"/>
    <w:rsid w:val="00D542D1"/>
    <w:rsid w:val="00D546E2"/>
    <w:rsid w:val="00D54BA8"/>
    <w:rsid w:val="00D550B8"/>
    <w:rsid w:val="00D55233"/>
    <w:rsid w:val="00D552B2"/>
    <w:rsid w:val="00D5561F"/>
    <w:rsid w:val="00D55861"/>
    <w:rsid w:val="00D55943"/>
    <w:rsid w:val="00D55AB6"/>
    <w:rsid w:val="00D55B0C"/>
    <w:rsid w:val="00D55FDC"/>
    <w:rsid w:val="00D560DF"/>
    <w:rsid w:val="00D56130"/>
    <w:rsid w:val="00D563D0"/>
    <w:rsid w:val="00D565D6"/>
    <w:rsid w:val="00D5682B"/>
    <w:rsid w:val="00D569A8"/>
    <w:rsid w:val="00D56AA5"/>
    <w:rsid w:val="00D56B1C"/>
    <w:rsid w:val="00D56B43"/>
    <w:rsid w:val="00D56BD5"/>
    <w:rsid w:val="00D56CAE"/>
    <w:rsid w:val="00D56FCD"/>
    <w:rsid w:val="00D5718D"/>
    <w:rsid w:val="00D5730E"/>
    <w:rsid w:val="00D57387"/>
    <w:rsid w:val="00D573E6"/>
    <w:rsid w:val="00D5759A"/>
    <w:rsid w:val="00D57633"/>
    <w:rsid w:val="00D57661"/>
    <w:rsid w:val="00D6048C"/>
    <w:rsid w:val="00D604ED"/>
    <w:rsid w:val="00D606A8"/>
    <w:rsid w:val="00D60802"/>
    <w:rsid w:val="00D60B9A"/>
    <w:rsid w:val="00D61010"/>
    <w:rsid w:val="00D61195"/>
    <w:rsid w:val="00D611E6"/>
    <w:rsid w:val="00D61247"/>
    <w:rsid w:val="00D61488"/>
    <w:rsid w:val="00D61CA6"/>
    <w:rsid w:val="00D61DA2"/>
    <w:rsid w:val="00D61E31"/>
    <w:rsid w:val="00D61FA5"/>
    <w:rsid w:val="00D620F0"/>
    <w:rsid w:val="00D62295"/>
    <w:rsid w:val="00D623DD"/>
    <w:rsid w:val="00D62986"/>
    <w:rsid w:val="00D62AC1"/>
    <w:rsid w:val="00D62B0A"/>
    <w:rsid w:val="00D62CFB"/>
    <w:rsid w:val="00D62D25"/>
    <w:rsid w:val="00D63511"/>
    <w:rsid w:val="00D6357A"/>
    <w:rsid w:val="00D63774"/>
    <w:rsid w:val="00D63CE8"/>
    <w:rsid w:val="00D63E39"/>
    <w:rsid w:val="00D63FF2"/>
    <w:rsid w:val="00D640A4"/>
    <w:rsid w:val="00D64546"/>
    <w:rsid w:val="00D645E9"/>
    <w:rsid w:val="00D646FA"/>
    <w:rsid w:val="00D647BD"/>
    <w:rsid w:val="00D6485A"/>
    <w:rsid w:val="00D648EC"/>
    <w:rsid w:val="00D64903"/>
    <w:rsid w:val="00D64930"/>
    <w:rsid w:val="00D64A00"/>
    <w:rsid w:val="00D64E11"/>
    <w:rsid w:val="00D64F8D"/>
    <w:rsid w:val="00D64FA4"/>
    <w:rsid w:val="00D651C6"/>
    <w:rsid w:val="00D653CA"/>
    <w:rsid w:val="00D654C6"/>
    <w:rsid w:val="00D65838"/>
    <w:rsid w:val="00D65A2E"/>
    <w:rsid w:val="00D65D38"/>
    <w:rsid w:val="00D65D88"/>
    <w:rsid w:val="00D65E76"/>
    <w:rsid w:val="00D65ED0"/>
    <w:rsid w:val="00D65F6C"/>
    <w:rsid w:val="00D66124"/>
    <w:rsid w:val="00D66508"/>
    <w:rsid w:val="00D6658E"/>
    <w:rsid w:val="00D66611"/>
    <w:rsid w:val="00D6677C"/>
    <w:rsid w:val="00D6678B"/>
    <w:rsid w:val="00D66797"/>
    <w:rsid w:val="00D66919"/>
    <w:rsid w:val="00D66ABD"/>
    <w:rsid w:val="00D66B50"/>
    <w:rsid w:val="00D66BC1"/>
    <w:rsid w:val="00D66CA1"/>
    <w:rsid w:val="00D66DD9"/>
    <w:rsid w:val="00D670C8"/>
    <w:rsid w:val="00D676AF"/>
    <w:rsid w:val="00D677AB"/>
    <w:rsid w:val="00D6791F"/>
    <w:rsid w:val="00D67963"/>
    <w:rsid w:val="00D70204"/>
    <w:rsid w:val="00D704E2"/>
    <w:rsid w:val="00D70C45"/>
    <w:rsid w:val="00D70D9B"/>
    <w:rsid w:val="00D70F2A"/>
    <w:rsid w:val="00D713AB"/>
    <w:rsid w:val="00D714E3"/>
    <w:rsid w:val="00D7157D"/>
    <w:rsid w:val="00D71723"/>
    <w:rsid w:val="00D7180B"/>
    <w:rsid w:val="00D71823"/>
    <w:rsid w:val="00D71997"/>
    <w:rsid w:val="00D72267"/>
    <w:rsid w:val="00D72521"/>
    <w:rsid w:val="00D73375"/>
    <w:rsid w:val="00D73410"/>
    <w:rsid w:val="00D73553"/>
    <w:rsid w:val="00D73641"/>
    <w:rsid w:val="00D736C0"/>
    <w:rsid w:val="00D73702"/>
    <w:rsid w:val="00D73716"/>
    <w:rsid w:val="00D738DD"/>
    <w:rsid w:val="00D73D0B"/>
    <w:rsid w:val="00D73E91"/>
    <w:rsid w:val="00D73F5B"/>
    <w:rsid w:val="00D73FCC"/>
    <w:rsid w:val="00D740DF"/>
    <w:rsid w:val="00D7426A"/>
    <w:rsid w:val="00D7458D"/>
    <w:rsid w:val="00D74590"/>
    <w:rsid w:val="00D74605"/>
    <w:rsid w:val="00D7474F"/>
    <w:rsid w:val="00D74996"/>
    <w:rsid w:val="00D74D69"/>
    <w:rsid w:val="00D74F0D"/>
    <w:rsid w:val="00D75215"/>
    <w:rsid w:val="00D7547C"/>
    <w:rsid w:val="00D754DC"/>
    <w:rsid w:val="00D75681"/>
    <w:rsid w:val="00D75A1C"/>
    <w:rsid w:val="00D75ABF"/>
    <w:rsid w:val="00D75C41"/>
    <w:rsid w:val="00D75C4C"/>
    <w:rsid w:val="00D75D47"/>
    <w:rsid w:val="00D75DEB"/>
    <w:rsid w:val="00D75E57"/>
    <w:rsid w:val="00D76010"/>
    <w:rsid w:val="00D7622D"/>
    <w:rsid w:val="00D7643C"/>
    <w:rsid w:val="00D764B4"/>
    <w:rsid w:val="00D76A39"/>
    <w:rsid w:val="00D76C69"/>
    <w:rsid w:val="00D76E5D"/>
    <w:rsid w:val="00D76F51"/>
    <w:rsid w:val="00D76FB6"/>
    <w:rsid w:val="00D76FF0"/>
    <w:rsid w:val="00D7708C"/>
    <w:rsid w:val="00D770DB"/>
    <w:rsid w:val="00D7765F"/>
    <w:rsid w:val="00D77F8F"/>
    <w:rsid w:val="00D8009B"/>
    <w:rsid w:val="00D800DE"/>
    <w:rsid w:val="00D80598"/>
    <w:rsid w:val="00D80695"/>
    <w:rsid w:val="00D80A56"/>
    <w:rsid w:val="00D80DF5"/>
    <w:rsid w:val="00D80E49"/>
    <w:rsid w:val="00D80E91"/>
    <w:rsid w:val="00D811B1"/>
    <w:rsid w:val="00D81907"/>
    <w:rsid w:val="00D81A9C"/>
    <w:rsid w:val="00D81ADE"/>
    <w:rsid w:val="00D81E48"/>
    <w:rsid w:val="00D81EE2"/>
    <w:rsid w:val="00D81F13"/>
    <w:rsid w:val="00D81F84"/>
    <w:rsid w:val="00D8210B"/>
    <w:rsid w:val="00D82135"/>
    <w:rsid w:val="00D821DE"/>
    <w:rsid w:val="00D823E8"/>
    <w:rsid w:val="00D82AEC"/>
    <w:rsid w:val="00D82B10"/>
    <w:rsid w:val="00D82BCA"/>
    <w:rsid w:val="00D82F24"/>
    <w:rsid w:val="00D83372"/>
    <w:rsid w:val="00D83399"/>
    <w:rsid w:val="00D837BD"/>
    <w:rsid w:val="00D83920"/>
    <w:rsid w:val="00D83937"/>
    <w:rsid w:val="00D839CA"/>
    <w:rsid w:val="00D83D49"/>
    <w:rsid w:val="00D83E94"/>
    <w:rsid w:val="00D841EA"/>
    <w:rsid w:val="00D84247"/>
    <w:rsid w:val="00D842EF"/>
    <w:rsid w:val="00D843D7"/>
    <w:rsid w:val="00D844F4"/>
    <w:rsid w:val="00D84A8B"/>
    <w:rsid w:val="00D84EFC"/>
    <w:rsid w:val="00D84F01"/>
    <w:rsid w:val="00D8505E"/>
    <w:rsid w:val="00D85163"/>
    <w:rsid w:val="00D8533E"/>
    <w:rsid w:val="00D85347"/>
    <w:rsid w:val="00D85399"/>
    <w:rsid w:val="00D85439"/>
    <w:rsid w:val="00D85466"/>
    <w:rsid w:val="00D85A77"/>
    <w:rsid w:val="00D85C9B"/>
    <w:rsid w:val="00D85E7B"/>
    <w:rsid w:val="00D85F51"/>
    <w:rsid w:val="00D860BF"/>
    <w:rsid w:val="00D87228"/>
    <w:rsid w:val="00D8740C"/>
    <w:rsid w:val="00D8743F"/>
    <w:rsid w:val="00D87573"/>
    <w:rsid w:val="00D87C00"/>
    <w:rsid w:val="00D87DAC"/>
    <w:rsid w:val="00D87E34"/>
    <w:rsid w:val="00D900EC"/>
    <w:rsid w:val="00D9049A"/>
    <w:rsid w:val="00D90849"/>
    <w:rsid w:val="00D9085A"/>
    <w:rsid w:val="00D9089F"/>
    <w:rsid w:val="00D908BD"/>
    <w:rsid w:val="00D90A89"/>
    <w:rsid w:val="00D90C3A"/>
    <w:rsid w:val="00D90D37"/>
    <w:rsid w:val="00D91056"/>
    <w:rsid w:val="00D915C3"/>
    <w:rsid w:val="00D91ADB"/>
    <w:rsid w:val="00D91E3A"/>
    <w:rsid w:val="00D91F98"/>
    <w:rsid w:val="00D92147"/>
    <w:rsid w:val="00D9233D"/>
    <w:rsid w:val="00D92C24"/>
    <w:rsid w:val="00D92DF2"/>
    <w:rsid w:val="00D934B6"/>
    <w:rsid w:val="00D934F5"/>
    <w:rsid w:val="00D938FA"/>
    <w:rsid w:val="00D939C2"/>
    <w:rsid w:val="00D93A1D"/>
    <w:rsid w:val="00D93BE0"/>
    <w:rsid w:val="00D93C45"/>
    <w:rsid w:val="00D93D05"/>
    <w:rsid w:val="00D94176"/>
    <w:rsid w:val="00D9422B"/>
    <w:rsid w:val="00D94433"/>
    <w:rsid w:val="00D944FD"/>
    <w:rsid w:val="00D9456E"/>
    <w:rsid w:val="00D94855"/>
    <w:rsid w:val="00D94AA5"/>
    <w:rsid w:val="00D94F7A"/>
    <w:rsid w:val="00D95189"/>
    <w:rsid w:val="00D95645"/>
    <w:rsid w:val="00D95931"/>
    <w:rsid w:val="00D959CE"/>
    <w:rsid w:val="00D95C2B"/>
    <w:rsid w:val="00D95E72"/>
    <w:rsid w:val="00D95EC7"/>
    <w:rsid w:val="00D96020"/>
    <w:rsid w:val="00D96316"/>
    <w:rsid w:val="00D963BD"/>
    <w:rsid w:val="00D96541"/>
    <w:rsid w:val="00D965CB"/>
    <w:rsid w:val="00D96737"/>
    <w:rsid w:val="00D96A35"/>
    <w:rsid w:val="00D96AC9"/>
    <w:rsid w:val="00D96BF2"/>
    <w:rsid w:val="00D96CEE"/>
    <w:rsid w:val="00D96D43"/>
    <w:rsid w:val="00D96E0F"/>
    <w:rsid w:val="00D96E51"/>
    <w:rsid w:val="00D96EB7"/>
    <w:rsid w:val="00D97086"/>
    <w:rsid w:val="00D970F7"/>
    <w:rsid w:val="00D9768A"/>
    <w:rsid w:val="00D9770B"/>
    <w:rsid w:val="00D97795"/>
    <w:rsid w:val="00D9792B"/>
    <w:rsid w:val="00D9796D"/>
    <w:rsid w:val="00D97A76"/>
    <w:rsid w:val="00D97D13"/>
    <w:rsid w:val="00D97D52"/>
    <w:rsid w:val="00D97D91"/>
    <w:rsid w:val="00DA0027"/>
    <w:rsid w:val="00DA00B4"/>
    <w:rsid w:val="00DA0270"/>
    <w:rsid w:val="00DA027A"/>
    <w:rsid w:val="00DA0961"/>
    <w:rsid w:val="00DA09D1"/>
    <w:rsid w:val="00DA0D1D"/>
    <w:rsid w:val="00DA0E37"/>
    <w:rsid w:val="00DA0FA5"/>
    <w:rsid w:val="00DA111B"/>
    <w:rsid w:val="00DA119E"/>
    <w:rsid w:val="00DA1607"/>
    <w:rsid w:val="00DA166F"/>
    <w:rsid w:val="00DA167E"/>
    <w:rsid w:val="00DA186A"/>
    <w:rsid w:val="00DA18D8"/>
    <w:rsid w:val="00DA1AB4"/>
    <w:rsid w:val="00DA1C0A"/>
    <w:rsid w:val="00DA1C6C"/>
    <w:rsid w:val="00DA1DC1"/>
    <w:rsid w:val="00DA219E"/>
    <w:rsid w:val="00DA241A"/>
    <w:rsid w:val="00DA24C6"/>
    <w:rsid w:val="00DA25CD"/>
    <w:rsid w:val="00DA283A"/>
    <w:rsid w:val="00DA2C07"/>
    <w:rsid w:val="00DA2D0F"/>
    <w:rsid w:val="00DA30F5"/>
    <w:rsid w:val="00DA3130"/>
    <w:rsid w:val="00DA35B0"/>
    <w:rsid w:val="00DA3627"/>
    <w:rsid w:val="00DA3B63"/>
    <w:rsid w:val="00DA3C72"/>
    <w:rsid w:val="00DA3C93"/>
    <w:rsid w:val="00DA3CC9"/>
    <w:rsid w:val="00DA3ED6"/>
    <w:rsid w:val="00DA4038"/>
    <w:rsid w:val="00DA40E4"/>
    <w:rsid w:val="00DA424C"/>
    <w:rsid w:val="00DA440F"/>
    <w:rsid w:val="00DA4A5B"/>
    <w:rsid w:val="00DA4AD4"/>
    <w:rsid w:val="00DA4B89"/>
    <w:rsid w:val="00DA4BEA"/>
    <w:rsid w:val="00DA4D50"/>
    <w:rsid w:val="00DA4EAF"/>
    <w:rsid w:val="00DA5150"/>
    <w:rsid w:val="00DA5152"/>
    <w:rsid w:val="00DA525B"/>
    <w:rsid w:val="00DA5293"/>
    <w:rsid w:val="00DA5C80"/>
    <w:rsid w:val="00DA5E97"/>
    <w:rsid w:val="00DA62AA"/>
    <w:rsid w:val="00DA62BA"/>
    <w:rsid w:val="00DA64C6"/>
    <w:rsid w:val="00DA64CE"/>
    <w:rsid w:val="00DA65C7"/>
    <w:rsid w:val="00DA66D3"/>
    <w:rsid w:val="00DA6A2E"/>
    <w:rsid w:val="00DA6D52"/>
    <w:rsid w:val="00DA6F14"/>
    <w:rsid w:val="00DA7142"/>
    <w:rsid w:val="00DA718E"/>
    <w:rsid w:val="00DA7735"/>
    <w:rsid w:val="00DA7781"/>
    <w:rsid w:val="00DA7DCA"/>
    <w:rsid w:val="00DA7E18"/>
    <w:rsid w:val="00DB001F"/>
    <w:rsid w:val="00DB00E9"/>
    <w:rsid w:val="00DB0104"/>
    <w:rsid w:val="00DB0946"/>
    <w:rsid w:val="00DB0A5D"/>
    <w:rsid w:val="00DB0A7F"/>
    <w:rsid w:val="00DB0E6D"/>
    <w:rsid w:val="00DB101D"/>
    <w:rsid w:val="00DB18ED"/>
    <w:rsid w:val="00DB18EE"/>
    <w:rsid w:val="00DB19E1"/>
    <w:rsid w:val="00DB1B5C"/>
    <w:rsid w:val="00DB1CAC"/>
    <w:rsid w:val="00DB1DB1"/>
    <w:rsid w:val="00DB1DC6"/>
    <w:rsid w:val="00DB1E53"/>
    <w:rsid w:val="00DB1FC1"/>
    <w:rsid w:val="00DB1FF6"/>
    <w:rsid w:val="00DB2154"/>
    <w:rsid w:val="00DB2284"/>
    <w:rsid w:val="00DB231A"/>
    <w:rsid w:val="00DB275E"/>
    <w:rsid w:val="00DB2775"/>
    <w:rsid w:val="00DB28AC"/>
    <w:rsid w:val="00DB2986"/>
    <w:rsid w:val="00DB2ABE"/>
    <w:rsid w:val="00DB2C40"/>
    <w:rsid w:val="00DB2E05"/>
    <w:rsid w:val="00DB2F2A"/>
    <w:rsid w:val="00DB30A4"/>
    <w:rsid w:val="00DB340A"/>
    <w:rsid w:val="00DB35E6"/>
    <w:rsid w:val="00DB3798"/>
    <w:rsid w:val="00DB39A1"/>
    <w:rsid w:val="00DB39F1"/>
    <w:rsid w:val="00DB3B0A"/>
    <w:rsid w:val="00DB3C2F"/>
    <w:rsid w:val="00DB3D00"/>
    <w:rsid w:val="00DB4089"/>
    <w:rsid w:val="00DB415C"/>
    <w:rsid w:val="00DB4558"/>
    <w:rsid w:val="00DB46EB"/>
    <w:rsid w:val="00DB476A"/>
    <w:rsid w:val="00DB4CA9"/>
    <w:rsid w:val="00DB4CF5"/>
    <w:rsid w:val="00DB4D79"/>
    <w:rsid w:val="00DB50CF"/>
    <w:rsid w:val="00DB5349"/>
    <w:rsid w:val="00DB537E"/>
    <w:rsid w:val="00DB53BA"/>
    <w:rsid w:val="00DB542F"/>
    <w:rsid w:val="00DB5705"/>
    <w:rsid w:val="00DB5783"/>
    <w:rsid w:val="00DB59B4"/>
    <w:rsid w:val="00DB5BA7"/>
    <w:rsid w:val="00DB5CDC"/>
    <w:rsid w:val="00DB5E91"/>
    <w:rsid w:val="00DB5F11"/>
    <w:rsid w:val="00DB5F25"/>
    <w:rsid w:val="00DB60AB"/>
    <w:rsid w:val="00DB6183"/>
    <w:rsid w:val="00DB67AF"/>
    <w:rsid w:val="00DB683B"/>
    <w:rsid w:val="00DB6DAD"/>
    <w:rsid w:val="00DB7096"/>
    <w:rsid w:val="00DB7D84"/>
    <w:rsid w:val="00DB7E0F"/>
    <w:rsid w:val="00DB7F88"/>
    <w:rsid w:val="00DC04B2"/>
    <w:rsid w:val="00DC04D8"/>
    <w:rsid w:val="00DC04FA"/>
    <w:rsid w:val="00DC086D"/>
    <w:rsid w:val="00DC0AD5"/>
    <w:rsid w:val="00DC0DBA"/>
    <w:rsid w:val="00DC0EA6"/>
    <w:rsid w:val="00DC10C5"/>
    <w:rsid w:val="00DC1162"/>
    <w:rsid w:val="00DC157E"/>
    <w:rsid w:val="00DC16F4"/>
    <w:rsid w:val="00DC18DB"/>
    <w:rsid w:val="00DC18E0"/>
    <w:rsid w:val="00DC1D00"/>
    <w:rsid w:val="00DC1E56"/>
    <w:rsid w:val="00DC26A3"/>
    <w:rsid w:val="00DC26AA"/>
    <w:rsid w:val="00DC2813"/>
    <w:rsid w:val="00DC2C01"/>
    <w:rsid w:val="00DC2DFC"/>
    <w:rsid w:val="00DC2E34"/>
    <w:rsid w:val="00DC2F06"/>
    <w:rsid w:val="00DC32A4"/>
    <w:rsid w:val="00DC331E"/>
    <w:rsid w:val="00DC3376"/>
    <w:rsid w:val="00DC35BB"/>
    <w:rsid w:val="00DC362B"/>
    <w:rsid w:val="00DC3812"/>
    <w:rsid w:val="00DC3ABA"/>
    <w:rsid w:val="00DC3C3E"/>
    <w:rsid w:val="00DC3CB9"/>
    <w:rsid w:val="00DC3EF0"/>
    <w:rsid w:val="00DC3F5B"/>
    <w:rsid w:val="00DC3FDC"/>
    <w:rsid w:val="00DC43F3"/>
    <w:rsid w:val="00DC451D"/>
    <w:rsid w:val="00DC45B0"/>
    <w:rsid w:val="00DC48A4"/>
    <w:rsid w:val="00DC48E2"/>
    <w:rsid w:val="00DC4958"/>
    <w:rsid w:val="00DC4EBB"/>
    <w:rsid w:val="00DC50AA"/>
    <w:rsid w:val="00DC5466"/>
    <w:rsid w:val="00DC5A10"/>
    <w:rsid w:val="00DC5B61"/>
    <w:rsid w:val="00DC5B90"/>
    <w:rsid w:val="00DC5D71"/>
    <w:rsid w:val="00DC5EDB"/>
    <w:rsid w:val="00DC5EF1"/>
    <w:rsid w:val="00DC61B5"/>
    <w:rsid w:val="00DC6294"/>
    <w:rsid w:val="00DC6485"/>
    <w:rsid w:val="00DC651E"/>
    <w:rsid w:val="00DC69DC"/>
    <w:rsid w:val="00DC6A17"/>
    <w:rsid w:val="00DC6AF8"/>
    <w:rsid w:val="00DC7143"/>
    <w:rsid w:val="00DC723C"/>
    <w:rsid w:val="00DC72E8"/>
    <w:rsid w:val="00DC7304"/>
    <w:rsid w:val="00DC762A"/>
    <w:rsid w:val="00DC7678"/>
    <w:rsid w:val="00DC7815"/>
    <w:rsid w:val="00DC7C31"/>
    <w:rsid w:val="00DD00C7"/>
    <w:rsid w:val="00DD00F0"/>
    <w:rsid w:val="00DD0156"/>
    <w:rsid w:val="00DD04D8"/>
    <w:rsid w:val="00DD0A19"/>
    <w:rsid w:val="00DD0A64"/>
    <w:rsid w:val="00DD0DB5"/>
    <w:rsid w:val="00DD0F3A"/>
    <w:rsid w:val="00DD10D0"/>
    <w:rsid w:val="00DD16B6"/>
    <w:rsid w:val="00DD1C58"/>
    <w:rsid w:val="00DD1DD2"/>
    <w:rsid w:val="00DD1DE7"/>
    <w:rsid w:val="00DD2B74"/>
    <w:rsid w:val="00DD2BA5"/>
    <w:rsid w:val="00DD2CA7"/>
    <w:rsid w:val="00DD2D4A"/>
    <w:rsid w:val="00DD2EB1"/>
    <w:rsid w:val="00DD2FA4"/>
    <w:rsid w:val="00DD2FCC"/>
    <w:rsid w:val="00DD334F"/>
    <w:rsid w:val="00DD37C6"/>
    <w:rsid w:val="00DD38C1"/>
    <w:rsid w:val="00DD3C0D"/>
    <w:rsid w:val="00DD3D92"/>
    <w:rsid w:val="00DD3D9A"/>
    <w:rsid w:val="00DD3EA0"/>
    <w:rsid w:val="00DD415F"/>
    <w:rsid w:val="00DD41AE"/>
    <w:rsid w:val="00DD41CF"/>
    <w:rsid w:val="00DD421A"/>
    <w:rsid w:val="00DD42AD"/>
    <w:rsid w:val="00DD4314"/>
    <w:rsid w:val="00DD4C9E"/>
    <w:rsid w:val="00DD4E6F"/>
    <w:rsid w:val="00DD4E98"/>
    <w:rsid w:val="00DD5134"/>
    <w:rsid w:val="00DD523F"/>
    <w:rsid w:val="00DD52AD"/>
    <w:rsid w:val="00DD531E"/>
    <w:rsid w:val="00DD5779"/>
    <w:rsid w:val="00DD5820"/>
    <w:rsid w:val="00DD5B41"/>
    <w:rsid w:val="00DD5D48"/>
    <w:rsid w:val="00DD5E24"/>
    <w:rsid w:val="00DD5F6A"/>
    <w:rsid w:val="00DD614C"/>
    <w:rsid w:val="00DD6218"/>
    <w:rsid w:val="00DD6243"/>
    <w:rsid w:val="00DD6307"/>
    <w:rsid w:val="00DD6312"/>
    <w:rsid w:val="00DD658F"/>
    <w:rsid w:val="00DD69CE"/>
    <w:rsid w:val="00DD6C53"/>
    <w:rsid w:val="00DD6F51"/>
    <w:rsid w:val="00DD71F1"/>
    <w:rsid w:val="00DD796B"/>
    <w:rsid w:val="00DD7CEA"/>
    <w:rsid w:val="00DD7F4A"/>
    <w:rsid w:val="00DE00AC"/>
    <w:rsid w:val="00DE086E"/>
    <w:rsid w:val="00DE094E"/>
    <w:rsid w:val="00DE0D85"/>
    <w:rsid w:val="00DE0E1D"/>
    <w:rsid w:val="00DE0EDD"/>
    <w:rsid w:val="00DE0F7D"/>
    <w:rsid w:val="00DE10E0"/>
    <w:rsid w:val="00DE1410"/>
    <w:rsid w:val="00DE1A3C"/>
    <w:rsid w:val="00DE231F"/>
    <w:rsid w:val="00DE2395"/>
    <w:rsid w:val="00DE2488"/>
    <w:rsid w:val="00DE2584"/>
    <w:rsid w:val="00DE2594"/>
    <w:rsid w:val="00DE2838"/>
    <w:rsid w:val="00DE2922"/>
    <w:rsid w:val="00DE29E3"/>
    <w:rsid w:val="00DE3031"/>
    <w:rsid w:val="00DE3304"/>
    <w:rsid w:val="00DE338E"/>
    <w:rsid w:val="00DE3551"/>
    <w:rsid w:val="00DE36D8"/>
    <w:rsid w:val="00DE37D2"/>
    <w:rsid w:val="00DE38D8"/>
    <w:rsid w:val="00DE3D44"/>
    <w:rsid w:val="00DE3D8D"/>
    <w:rsid w:val="00DE3E24"/>
    <w:rsid w:val="00DE409D"/>
    <w:rsid w:val="00DE40B3"/>
    <w:rsid w:val="00DE442A"/>
    <w:rsid w:val="00DE495C"/>
    <w:rsid w:val="00DE49E9"/>
    <w:rsid w:val="00DE49FF"/>
    <w:rsid w:val="00DE4D56"/>
    <w:rsid w:val="00DE4DAA"/>
    <w:rsid w:val="00DE5125"/>
    <w:rsid w:val="00DE5548"/>
    <w:rsid w:val="00DE55E6"/>
    <w:rsid w:val="00DE58CD"/>
    <w:rsid w:val="00DE6488"/>
    <w:rsid w:val="00DE64F1"/>
    <w:rsid w:val="00DE6658"/>
    <w:rsid w:val="00DE6A5B"/>
    <w:rsid w:val="00DE6E13"/>
    <w:rsid w:val="00DE6E15"/>
    <w:rsid w:val="00DE6E9F"/>
    <w:rsid w:val="00DE71C7"/>
    <w:rsid w:val="00DE7439"/>
    <w:rsid w:val="00DE7921"/>
    <w:rsid w:val="00DE7FCC"/>
    <w:rsid w:val="00DF0009"/>
    <w:rsid w:val="00DF01E5"/>
    <w:rsid w:val="00DF06C9"/>
    <w:rsid w:val="00DF07EA"/>
    <w:rsid w:val="00DF08AE"/>
    <w:rsid w:val="00DF08CF"/>
    <w:rsid w:val="00DF0A0B"/>
    <w:rsid w:val="00DF0F81"/>
    <w:rsid w:val="00DF12C4"/>
    <w:rsid w:val="00DF141D"/>
    <w:rsid w:val="00DF1555"/>
    <w:rsid w:val="00DF17CC"/>
    <w:rsid w:val="00DF1802"/>
    <w:rsid w:val="00DF1A24"/>
    <w:rsid w:val="00DF1A46"/>
    <w:rsid w:val="00DF21EF"/>
    <w:rsid w:val="00DF21F3"/>
    <w:rsid w:val="00DF224F"/>
    <w:rsid w:val="00DF2577"/>
    <w:rsid w:val="00DF28C0"/>
    <w:rsid w:val="00DF2A3A"/>
    <w:rsid w:val="00DF2ADC"/>
    <w:rsid w:val="00DF2B42"/>
    <w:rsid w:val="00DF2C86"/>
    <w:rsid w:val="00DF307A"/>
    <w:rsid w:val="00DF315A"/>
    <w:rsid w:val="00DF3288"/>
    <w:rsid w:val="00DF331D"/>
    <w:rsid w:val="00DF3660"/>
    <w:rsid w:val="00DF3698"/>
    <w:rsid w:val="00DF36A0"/>
    <w:rsid w:val="00DF38B9"/>
    <w:rsid w:val="00DF3B29"/>
    <w:rsid w:val="00DF3C07"/>
    <w:rsid w:val="00DF3D42"/>
    <w:rsid w:val="00DF3DCD"/>
    <w:rsid w:val="00DF3E31"/>
    <w:rsid w:val="00DF3E3A"/>
    <w:rsid w:val="00DF4078"/>
    <w:rsid w:val="00DF416B"/>
    <w:rsid w:val="00DF4388"/>
    <w:rsid w:val="00DF44CF"/>
    <w:rsid w:val="00DF455E"/>
    <w:rsid w:val="00DF456A"/>
    <w:rsid w:val="00DF4675"/>
    <w:rsid w:val="00DF476B"/>
    <w:rsid w:val="00DF48C9"/>
    <w:rsid w:val="00DF4993"/>
    <w:rsid w:val="00DF49F8"/>
    <w:rsid w:val="00DF4C63"/>
    <w:rsid w:val="00DF4FDB"/>
    <w:rsid w:val="00DF4FF8"/>
    <w:rsid w:val="00DF51A7"/>
    <w:rsid w:val="00DF5258"/>
    <w:rsid w:val="00DF538F"/>
    <w:rsid w:val="00DF55A3"/>
    <w:rsid w:val="00DF6013"/>
    <w:rsid w:val="00DF605B"/>
    <w:rsid w:val="00DF6073"/>
    <w:rsid w:val="00DF60CA"/>
    <w:rsid w:val="00DF60ED"/>
    <w:rsid w:val="00DF6120"/>
    <w:rsid w:val="00DF61B5"/>
    <w:rsid w:val="00DF6272"/>
    <w:rsid w:val="00DF649D"/>
    <w:rsid w:val="00DF6776"/>
    <w:rsid w:val="00DF6804"/>
    <w:rsid w:val="00DF68AA"/>
    <w:rsid w:val="00DF6C66"/>
    <w:rsid w:val="00DF6E61"/>
    <w:rsid w:val="00DF6EC0"/>
    <w:rsid w:val="00DF7080"/>
    <w:rsid w:val="00DF7247"/>
    <w:rsid w:val="00DF72AD"/>
    <w:rsid w:val="00DF72D3"/>
    <w:rsid w:val="00DF7348"/>
    <w:rsid w:val="00DF7716"/>
    <w:rsid w:val="00DF77DB"/>
    <w:rsid w:val="00DF7803"/>
    <w:rsid w:val="00DF7858"/>
    <w:rsid w:val="00DF7C50"/>
    <w:rsid w:val="00DF7D40"/>
    <w:rsid w:val="00DF7DAC"/>
    <w:rsid w:val="00E00000"/>
    <w:rsid w:val="00E0021D"/>
    <w:rsid w:val="00E0038B"/>
    <w:rsid w:val="00E0043A"/>
    <w:rsid w:val="00E00624"/>
    <w:rsid w:val="00E00DA9"/>
    <w:rsid w:val="00E00EDD"/>
    <w:rsid w:val="00E0177E"/>
    <w:rsid w:val="00E01787"/>
    <w:rsid w:val="00E018AA"/>
    <w:rsid w:val="00E0191A"/>
    <w:rsid w:val="00E019B9"/>
    <w:rsid w:val="00E01ACE"/>
    <w:rsid w:val="00E01D40"/>
    <w:rsid w:val="00E02625"/>
    <w:rsid w:val="00E02639"/>
    <w:rsid w:val="00E02DA9"/>
    <w:rsid w:val="00E02DEB"/>
    <w:rsid w:val="00E0303C"/>
    <w:rsid w:val="00E031DF"/>
    <w:rsid w:val="00E03216"/>
    <w:rsid w:val="00E03391"/>
    <w:rsid w:val="00E0378D"/>
    <w:rsid w:val="00E03835"/>
    <w:rsid w:val="00E03929"/>
    <w:rsid w:val="00E03A73"/>
    <w:rsid w:val="00E03EE0"/>
    <w:rsid w:val="00E042EC"/>
    <w:rsid w:val="00E044E7"/>
    <w:rsid w:val="00E044EE"/>
    <w:rsid w:val="00E0460D"/>
    <w:rsid w:val="00E04628"/>
    <w:rsid w:val="00E0473F"/>
    <w:rsid w:val="00E04C8E"/>
    <w:rsid w:val="00E04D3E"/>
    <w:rsid w:val="00E04E05"/>
    <w:rsid w:val="00E0547C"/>
    <w:rsid w:val="00E05672"/>
    <w:rsid w:val="00E056E9"/>
    <w:rsid w:val="00E0574E"/>
    <w:rsid w:val="00E05C81"/>
    <w:rsid w:val="00E05DA9"/>
    <w:rsid w:val="00E06635"/>
    <w:rsid w:val="00E067C2"/>
    <w:rsid w:val="00E0680B"/>
    <w:rsid w:val="00E0680C"/>
    <w:rsid w:val="00E069D6"/>
    <w:rsid w:val="00E06A2A"/>
    <w:rsid w:val="00E06FFB"/>
    <w:rsid w:val="00E07020"/>
    <w:rsid w:val="00E07111"/>
    <w:rsid w:val="00E07195"/>
    <w:rsid w:val="00E074EF"/>
    <w:rsid w:val="00E076B5"/>
    <w:rsid w:val="00E078DE"/>
    <w:rsid w:val="00E07A75"/>
    <w:rsid w:val="00E07C65"/>
    <w:rsid w:val="00E07D82"/>
    <w:rsid w:val="00E07F6B"/>
    <w:rsid w:val="00E07F96"/>
    <w:rsid w:val="00E10001"/>
    <w:rsid w:val="00E10427"/>
    <w:rsid w:val="00E106A1"/>
    <w:rsid w:val="00E106FF"/>
    <w:rsid w:val="00E1076A"/>
    <w:rsid w:val="00E1088D"/>
    <w:rsid w:val="00E10999"/>
    <w:rsid w:val="00E10A88"/>
    <w:rsid w:val="00E10B76"/>
    <w:rsid w:val="00E10D7D"/>
    <w:rsid w:val="00E11084"/>
    <w:rsid w:val="00E111A4"/>
    <w:rsid w:val="00E11263"/>
    <w:rsid w:val="00E112E0"/>
    <w:rsid w:val="00E1178E"/>
    <w:rsid w:val="00E117E5"/>
    <w:rsid w:val="00E11946"/>
    <w:rsid w:val="00E11988"/>
    <w:rsid w:val="00E11A8D"/>
    <w:rsid w:val="00E11B9D"/>
    <w:rsid w:val="00E120CE"/>
    <w:rsid w:val="00E121E9"/>
    <w:rsid w:val="00E1229C"/>
    <w:rsid w:val="00E12723"/>
    <w:rsid w:val="00E128C9"/>
    <w:rsid w:val="00E12F3E"/>
    <w:rsid w:val="00E130B6"/>
    <w:rsid w:val="00E1315A"/>
    <w:rsid w:val="00E13295"/>
    <w:rsid w:val="00E1332B"/>
    <w:rsid w:val="00E133C4"/>
    <w:rsid w:val="00E134DD"/>
    <w:rsid w:val="00E13A59"/>
    <w:rsid w:val="00E13CBC"/>
    <w:rsid w:val="00E13CEA"/>
    <w:rsid w:val="00E14074"/>
    <w:rsid w:val="00E14244"/>
    <w:rsid w:val="00E142B1"/>
    <w:rsid w:val="00E142C4"/>
    <w:rsid w:val="00E143B9"/>
    <w:rsid w:val="00E1449A"/>
    <w:rsid w:val="00E1465A"/>
    <w:rsid w:val="00E14AB6"/>
    <w:rsid w:val="00E14BE2"/>
    <w:rsid w:val="00E14C35"/>
    <w:rsid w:val="00E15526"/>
    <w:rsid w:val="00E15527"/>
    <w:rsid w:val="00E155BF"/>
    <w:rsid w:val="00E156ED"/>
    <w:rsid w:val="00E159A4"/>
    <w:rsid w:val="00E15C1A"/>
    <w:rsid w:val="00E15C5F"/>
    <w:rsid w:val="00E15CC7"/>
    <w:rsid w:val="00E15EAB"/>
    <w:rsid w:val="00E15FB7"/>
    <w:rsid w:val="00E15FC9"/>
    <w:rsid w:val="00E16103"/>
    <w:rsid w:val="00E161CE"/>
    <w:rsid w:val="00E16211"/>
    <w:rsid w:val="00E167A5"/>
    <w:rsid w:val="00E167E2"/>
    <w:rsid w:val="00E16AE5"/>
    <w:rsid w:val="00E16C21"/>
    <w:rsid w:val="00E16E02"/>
    <w:rsid w:val="00E1715B"/>
    <w:rsid w:val="00E17374"/>
    <w:rsid w:val="00E173CC"/>
    <w:rsid w:val="00E17458"/>
    <w:rsid w:val="00E1765B"/>
    <w:rsid w:val="00E17672"/>
    <w:rsid w:val="00E17B3F"/>
    <w:rsid w:val="00E17B42"/>
    <w:rsid w:val="00E17C0D"/>
    <w:rsid w:val="00E17D44"/>
    <w:rsid w:val="00E17F36"/>
    <w:rsid w:val="00E200C2"/>
    <w:rsid w:val="00E201BE"/>
    <w:rsid w:val="00E206A9"/>
    <w:rsid w:val="00E20B3E"/>
    <w:rsid w:val="00E20B74"/>
    <w:rsid w:val="00E20B8C"/>
    <w:rsid w:val="00E20C3D"/>
    <w:rsid w:val="00E20E81"/>
    <w:rsid w:val="00E20F3D"/>
    <w:rsid w:val="00E20F8E"/>
    <w:rsid w:val="00E2112C"/>
    <w:rsid w:val="00E21585"/>
    <w:rsid w:val="00E216AB"/>
    <w:rsid w:val="00E21704"/>
    <w:rsid w:val="00E21808"/>
    <w:rsid w:val="00E21A74"/>
    <w:rsid w:val="00E21C08"/>
    <w:rsid w:val="00E21CE6"/>
    <w:rsid w:val="00E22048"/>
    <w:rsid w:val="00E22206"/>
    <w:rsid w:val="00E229F8"/>
    <w:rsid w:val="00E22ABF"/>
    <w:rsid w:val="00E22B0D"/>
    <w:rsid w:val="00E23121"/>
    <w:rsid w:val="00E233FB"/>
    <w:rsid w:val="00E23411"/>
    <w:rsid w:val="00E23724"/>
    <w:rsid w:val="00E23B87"/>
    <w:rsid w:val="00E23D5E"/>
    <w:rsid w:val="00E246DE"/>
    <w:rsid w:val="00E24A1E"/>
    <w:rsid w:val="00E24FE1"/>
    <w:rsid w:val="00E25248"/>
    <w:rsid w:val="00E25378"/>
    <w:rsid w:val="00E255CB"/>
    <w:rsid w:val="00E25924"/>
    <w:rsid w:val="00E25A13"/>
    <w:rsid w:val="00E25AA8"/>
    <w:rsid w:val="00E25E79"/>
    <w:rsid w:val="00E26024"/>
    <w:rsid w:val="00E265C2"/>
    <w:rsid w:val="00E26876"/>
    <w:rsid w:val="00E26936"/>
    <w:rsid w:val="00E26A13"/>
    <w:rsid w:val="00E26C02"/>
    <w:rsid w:val="00E26C91"/>
    <w:rsid w:val="00E26DE7"/>
    <w:rsid w:val="00E26DEA"/>
    <w:rsid w:val="00E27029"/>
    <w:rsid w:val="00E2717A"/>
    <w:rsid w:val="00E271B2"/>
    <w:rsid w:val="00E2738B"/>
    <w:rsid w:val="00E2744D"/>
    <w:rsid w:val="00E27575"/>
    <w:rsid w:val="00E275EA"/>
    <w:rsid w:val="00E27711"/>
    <w:rsid w:val="00E27A05"/>
    <w:rsid w:val="00E27B19"/>
    <w:rsid w:val="00E27CDB"/>
    <w:rsid w:val="00E27F41"/>
    <w:rsid w:val="00E300D7"/>
    <w:rsid w:val="00E30425"/>
    <w:rsid w:val="00E306BE"/>
    <w:rsid w:val="00E307F1"/>
    <w:rsid w:val="00E3080A"/>
    <w:rsid w:val="00E30931"/>
    <w:rsid w:val="00E30CF3"/>
    <w:rsid w:val="00E30F70"/>
    <w:rsid w:val="00E31155"/>
    <w:rsid w:val="00E31597"/>
    <w:rsid w:val="00E31599"/>
    <w:rsid w:val="00E319CD"/>
    <w:rsid w:val="00E31A30"/>
    <w:rsid w:val="00E31E7A"/>
    <w:rsid w:val="00E31F3E"/>
    <w:rsid w:val="00E3213B"/>
    <w:rsid w:val="00E321B7"/>
    <w:rsid w:val="00E32242"/>
    <w:rsid w:val="00E3243C"/>
    <w:rsid w:val="00E325B0"/>
    <w:rsid w:val="00E326EE"/>
    <w:rsid w:val="00E32A23"/>
    <w:rsid w:val="00E32BA4"/>
    <w:rsid w:val="00E32D9C"/>
    <w:rsid w:val="00E32E64"/>
    <w:rsid w:val="00E32F49"/>
    <w:rsid w:val="00E33251"/>
    <w:rsid w:val="00E33300"/>
    <w:rsid w:val="00E333D1"/>
    <w:rsid w:val="00E334A9"/>
    <w:rsid w:val="00E33B98"/>
    <w:rsid w:val="00E33EBC"/>
    <w:rsid w:val="00E3403C"/>
    <w:rsid w:val="00E34304"/>
    <w:rsid w:val="00E34309"/>
    <w:rsid w:val="00E34520"/>
    <w:rsid w:val="00E3471B"/>
    <w:rsid w:val="00E3472D"/>
    <w:rsid w:val="00E34E40"/>
    <w:rsid w:val="00E34E87"/>
    <w:rsid w:val="00E34F70"/>
    <w:rsid w:val="00E350DD"/>
    <w:rsid w:val="00E356D0"/>
    <w:rsid w:val="00E356FC"/>
    <w:rsid w:val="00E35995"/>
    <w:rsid w:val="00E359B9"/>
    <w:rsid w:val="00E35EF1"/>
    <w:rsid w:val="00E36051"/>
    <w:rsid w:val="00E36136"/>
    <w:rsid w:val="00E363A3"/>
    <w:rsid w:val="00E3655E"/>
    <w:rsid w:val="00E368CB"/>
    <w:rsid w:val="00E36BFD"/>
    <w:rsid w:val="00E36DA4"/>
    <w:rsid w:val="00E36DF6"/>
    <w:rsid w:val="00E36E59"/>
    <w:rsid w:val="00E37167"/>
    <w:rsid w:val="00E37362"/>
    <w:rsid w:val="00E37453"/>
    <w:rsid w:val="00E375F8"/>
    <w:rsid w:val="00E376C0"/>
    <w:rsid w:val="00E378CF"/>
    <w:rsid w:val="00E37B51"/>
    <w:rsid w:val="00E4007E"/>
    <w:rsid w:val="00E400AA"/>
    <w:rsid w:val="00E402E3"/>
    <w:rsid w:val="00E403F0"/>
    <w:rsid w:val="00E40887"/>
    <w:rsid w:val="00E40AF0"/>
    <w:rsid w:val="00E40BD5"/>
    <w:rsid w:val="00E40D74"/>
    <w:rsid w:val="00E40DAD"/>
    <w:rsid w:val="00E40FB3"/>
    <w:rsid w:val="00E410D7"/>
    <w:rsid w:val="00E4112A"/>
    <w:rsid w:val="00E4119A"/>
    <w:rsid w:val="00E411D9"/>
    <w:rsid w:val="00E412FF"/>
    <w:rsid w:val="00E4151C"/>
    <w:rsid w:val="00E417CE"/>
    <w:rsid w:val="00E41A1D"/>
    <w:rsid w:val="00E41B25"/>
    <w:rsid w:val="00E41ED6"/>
    <w:rsid w:val="00E42100"/>
    <w:rsid w:val="00E42247"/>
    <w:rsid w:val="00E42264"/>
    <w:rsid w:val="00E42319"/>
    <w:rsid w:val="00E423BA"/>
    <w:rsid w:val="00E42988"/>
    <w:rsid w:val="00E42A05"/>
    <w:rsid w:val="00E42AB6"/>
    <w:rsid w:val="00E42B86"/>
    <w:rsid w:val="00E42BC5"/>
    <w:rsid w:val="00E42CC6"/>
    <w:rsid w:val="00E42D2A"/>
    <w:rsid w:val="00E42E41"/>
    <w:rsid w:val="00E43115"/>
    <w:rsid w:val="00E4311B"/>
    <w:rsid w:val="00E432F5"/>
    <w:rsid w:val="00E4332B"/>
    <w:rsid w:val="00E43413"/>
    <w:rsid w:val="00E4350C"/>
    <w:rsid w:val="00E43AD9"/>
    <w:rsid w:val="00E43C52"/>
    <w:rsid w:val="00E43D00"/>
    <w:rsid w:val="00E43E40"/>
    <w:rsid w:val="00E43F26"/>
    <w:rsid w:val="00E440C6"/>
    <w:rsid w:val="00E44155"/>
    <w:rsid w:val="00E44247"/>
    <w:rsid w:val="00E4427C"/>
    <w:rsid w:val="00E44318"/>
    <w:rsid w:val="00E444E1"/>
    <w:rsid w:val="00E44770"/>
    <w:rsid w:val="00E44789"/>
    <w:rsid w:val="00E44803"/>
    <w:rsid w:val="00E44AAE"/>
    <w:rsid w:val="00E44BCE"/>
    <w:rsid w:val="00E44C41"/>
    <w:rsid w:val="00E44C48"/>
    <w:rsid w:val="00E44D17"/>
    <w:rsid w:val="00E44EED"/>
    <w:rsid w:val="00E451B7"/>
    <w:rsid w:val="00E4578E"/>
    <w:rsid w:val="00E45822"/>
    <w:rsid w:val="00E45AFE"/>
    <w:rsid w:val="00E45B8D"/>
    <w:rsid w:val="00E45D90"/>
    <w:rsid w:val="00E45EEC"/>
    <w:rsid w:val="00E45F91"/>
    <w:rsid w:val="00E46201"/>
    <w:rsid w:val="00E46269"/>
    <w:rsid w:val="00E46D8F"/>
    <w:rsid w:val="00E46EB9"/>
    <w:rsid w:val="00E471E3"/>
    <w:rsid w:val="00E47876"/>
    <w:rsid w:val="00E47884"/>
    <w:rsid w:val="00E47B26"/>
    <w:rsid w:val="00E47C25"/>
    <w:rsid w:val="00E506E6"/>
    <w:rsid w:val="00E507EB"/>
    <w:rsid w:val="00E50872"/>
    <w:rsid w:val="00E5091F"/>
    <w:rsid w:val="00E50F7B"/>
    <w:rsid w:val="00E51396"/>
    <w:rsid w:val="00E51398"/>
    <w:rsid w:val="00E5146F"/>
    <w:rsid w:val="00E5153F"/>
    <w:rsid w:val="00E5158A"/>
    <w:rsid w:val="00E5160F"/>
    <w:rsid w:val="00E51ABF"/>
    <w:rsid w:val="00E51B38"/>
    <w:rsid w:val="00E51DC9"/>
    <w:rsid w:val="00E5207E"/>
    <w:rsid w:val="00E52373"/>
    <w:rsid w:val="00E5265A"/>
    <w:rsid w:val="00E5287C"/>
    <w:rsid w:val="00E52C9A"/>
    <w:rsid w:val="00E530B8"/>
    <w:rsid w:val="00E53269"/>
    <w:rsid w:val="00E5339A"/>
    <w:rsid w:val="00E53458"/>
    <w:rsid w:val="00E53645"/>
    <w:rsid w:val="00E53675"/>
    <w:rsid w:val="00E53880"/>
    <w:rsid w:val="00E53A27"/>
    <w:rsid w:val="00E53A5A"/>
    <w:rsid w:val="00E53B91"/>
    <w:rsid w:val="00E53BCD"/>
    <w:rsid w:val="00E53DF7"/>
    <w:rsid w:val="00E53F40"/>
    <w:rsid w:val="00E53FF7"/>
    <w:rsid w:val="00E541BD"/>
    <w:rsid w:val="00E544EE"/>
    <w:rsid w:val="00E546D1"/>
    <w:rsid w:val="00E54A42"/>
    <w:rsid w:val="00E54B17"/>
    <w:rsid w:val="00E54B1F"/>
    <w:rsid w:val="00E54B41"/>
    <w:rsid w:val="00E54C32"/>
    <w:rsid w:val="00E55029"/>
    <w:rsid w:val="00E55289"/>
    <w:rsid w:val="00E552B9"/>
    <w:rsid w:val="00E552BF"/>
    <w:rsid w:val="00E55346"/>
    <w:rsid w:val="00E55518"/>
    <w:rsid w:val="00E555FF"/>
    <w:rsid w:val="00E55620"/>
    <w:rsid w:val="00E5562C"/>
    <w:rsid w:val="00E55755"/>
    <w:rsid w:val="00E55B53"/>
    <w:rsid w:val="00E55B9C"/>
    <w:rsid w:val="00E562C9"/>
    <w:rsid w:val="00E5653C"/>
    <w:rsid w:val="00E5658D"/>
    <w:rsid w:val="00E56593"/>
    <w:rsid w:val="00E56AA8"/>
    <w:rsid w:val="00E56AD9"/>
    <w:rsid w:val="00E56BA9"/>
    <w:rsid w:val="00E56BEA"/>
    <w:rsid w:val="00E56EB0"/>
    <w:rsid w:val="00E56F14"/>
    <w:rsid w:val="00E5711D"/>
    <w:rsid w:val="00E57417"/>
    <w:rsid w:val="00E574C0"/>
    <w:rsid w:val="00E57574"/>
    <w:rsid w:val="00E5765E"/>
    <w:rsid w:val="00E57697"/>
    <w:rsid w:val="00E5771C"/>
    <w:rsid w:val="00E577C2"/>
    <w:rsid w:val="00E577DB"/>
    <w:rsid w:val="00E579B3"/>
    <w:rsid w:val="00E579DF"/>
    <w:rsid w:val="00E57EF5"/>
    <w:rsid w:val="00E57FE6"/>
    <w:rsid w:val="00E6001A"/>
    <w:rsid w:val="00E601F3"/>
    <w:rsid w:val="00E6028D"/>
    <w:rsid w:val="00E603CC"/>
    <w:rsid w:val="00E60462"/>
    <w:rsid w:val="00E60530"/>
    <w:rsid w:val="00E6068F"/>
    <w:rsid w:val="00E608C8"/>
    <w:rsid w:val="00E60B74"/>
    <w:rsid w:val="00E60B88"/>
    <w:rsid w:val="00E60D63"/>
    <w:rsid w:val="00E60E5C"/>
    <w:rsid w:val="00E60F84"/>
    <w:rsid w:val="00E6106F"/>
    <w:rsid w:val="00E611A5"/>
    <w:rsid w:val="00E611C8"/>
    <w:rsid w:val="00E6120E"/>
    <w:rsid w:val="00E613B8"/>
    <w:rsid w:val="00E614DB"/>
    <w:rsid w:val="00E6183F"/>
    <w:rsid w:val="00E618B2"/>
    <w:rsid w:val="00E61B86"/>
    <w:rsid w:val="00E61CD8"/>
    <w:rsid w:val="00E61F75"/>
    <w:rsid w:val="00E6200B"/>
    <w:rsid w:val="00E6235B"/>
    <w:rsid w:val="00E625E0"/>
    <w:rsid w:val="00E6278D"/>
    <w:rsid w:val="00E62B2F"/>
    <w:rsid w:val="00E62B88"/>
    <w:rsid w:val="00E62DD1"/>
    <w:rsid w:val="00E62DFB"/>
    <w:rsid w:val="00E62F88"/>
    <w:rsid w:val="00E632D0"/>
    <w:rsid w:val="00E632D8"/>
    <w:rsid w:val="00E632FD"/>
    <w:rsid w:val="00E634E0"/>
    <w:rsid w:val="00E63809"/>
    <w:rsid w:val="00E63856"/>
    <w:rsid w:val="00E638A7"/>
    <w:rsid w:val="00E6399D"/>
    <w:rsid w:val="00E63AB6"/>
    <w:rsid w:val="00E63DC0"/>
    <w:rsid w:val="00E63ED8"/>
    <w:rsid w:val="00E64087"/>
    <w:rsid w:val="00E64104"/>
    <w:rsid w:val="00E641EB"/>
    <w:rsid w:val="00E64318"/>
    <w:rsid w:val="00E645B4"/>
    <w:rsid w:val="00E64975"/>
    <w:rsid w:val="00E64AFD"/>
    <w:rsid w:val="00E64B59"/>
    <w:rsid w:val="00E64CC0"/>
    <w:rsid w:val="00E64ECA"/>
    <w:rsid w:val="00E6513A"/>
    <w:rsid w:val="00E656FD"/>
    <w:rsid w:val="00E65775"/>
    <w:rsid w:val="00E6643B"/>
    <w:rsid w:val="00E664E5"/>
    <w:rsid w:val="00E66546"/>
    <w:rsid w:val="00E6678C"/>
    <w:rsid w:val="00E667D1"/>
    <w:rsid w:val="00E6680B"/>
    <w:rsid w:val="00E66893"/>
    <w:rsid w:val="00E668CB"/>
    <w:rsid w:val="00E66927"/>
    <w:rsid w:val="00E66C9D"/>
    <w:rsid w:val="00E66ED9"/>
    <w:rsid w:val="00E66FE9"/>
    <w:rsid w:val="00E67090"/>
    <w:rsid w:val="00E672B9"/>
    <w:rsid w:val="00E673F3"/>
    <w:rsid w:val="00E67540"/>
    <w:rsid w:val="00E675DD"/>
    <w:rsid w:val="00E67BDE"/>
    <w:rsid w:val="00E7003F"/>
    <w:rsid w:val="00E70461"/>
    <w:rsid w:val="00E705C1"/>
    <w:rsid w:val="00E70646"/>
    <w:rsid w:val="00E70709"/>
    <w:rsid w:val="00E7070D"/>
    <w:rsid w:val="00E7079D"/>
    <w:rsid w:val="00E70AA4"/>
    <w:rsid w:val="00E70BF7"/>
    <w:rsid w:val="00E70CCE"/>
    <w:rsid w:val="00E70CED"/>
    <w:rsid w:val="00E70E44"/>
    <w:rsid w:val="00E71302"/>
    <w:rsid w:val="00E7148C"/>
    <w:rsid w:val="00E71543"/>
    <w:rsid w:val="00E715A8"/>
    <w:rsid w:val="00E716A0"/>
    <w:rsid w:val="00E71743"/>
    <w:rsid w:val="00E71886"/>
    <w:rsid w:val="00E719B7"/>
    <w:rsid w:val="00E71AFD"/>
    <w:rsid w:val="00E71CA1"/>
    <w:rsid w:val="00E71D1B"/>
    <w:rsid w:val="00E71E35"/>
    <w:rsid w:val="00E71E6A"/>
    <w:rsid w:val="00E72007"/>
    <w:rsid w:val="00E72154"/>
    <w:rsid w:val="00E7242E"/>
    <w:rsid w:val="00E724BF"/>
    <w:rsid w:val="00E725B1"/>
    <w:rsid w:val="00E725C9"/>
    <w:rsid w:val="00E72C4A"/>
    <w:rsid w:val="00E72DB7"/>
    <w:rsid w:val="00E72FFD"/>
    <w:rsid w:val="00E73075"/>
    <w:rsid w:val="00E733B8"/>
    <w:rsid w:val="00E73661"/>
    <w:rsid w:val="00E736F8"/>
    <w:rsid w:val="00E73788"/>
    <w:rsid w:val="00E7379B"/>
    <w:rsid w:val="00E73A74"/>
    <w:rsid w:val="00E73C58"/>
    <w:rsid w:val="00E73EAC"/>
    <w:rsid w:val="00E7405B"/>
    <w:rsid w:val="00E74248"/>
    <w:rsid w:val="00E74541"/>
    <w:rsid w:val="00E7484F"/>
    <w:rsid w:val="00E74E1A"/>
    <w:rsid w:val="00E74E83"/>
    <w:rsid w:val="00E7530A"/>
    <w:rsid w:val="00E75455"/>
    <w:rsid w:val="00E755C8"/>
    <w:rsid w:val="00E75741"/>
    <w:rsid w:val="00E7583D"/>
    <w:rsid w:val="00E75A01"/>
    <w:rsid w:val="00E75A6B"/>
    <w:rsid w:val="00E75D09"/>
    <w:rsid w:val="00E75D2A"/>
    <w:rsid w:val="00E75E3D"/>
    <w:rsid w:val="00E75F18"/>
    <w:rsid w:val="00E76024"/>
    <w:rsid w:val="00E7603D"/>
    <w:rsid w:val="00E76746"/>
    <w:rsid w:val="00E76B16"/>
    <w:rsid w:val="00E76C24"/>
    <w:rsid w:val="00E76EA4"/>
    <w:rsid w:val="00E77017"/>
    <w:rsid w:val="00E771F4"/>
    <w:rsid w:val="00E7741B"/>
    <w:rsid w:val="00E77A33"/>
    <w:rsid w:val="00E77A50"/>
    <w:rsid w:val="00E77B05"/>
    <w:rsid w:val="00E77CB5"/>
    <w:rsid w:val="00E77E55"/>
    <w:rsid w:val="00E79009"/>
    <w:rsid w:val="00E800F4"/>
    <w:rsid w:val="00E80778"/>
    <w:rsid w:val="00E809B4"/>
    <w:rsid w:val="00E80A09"/>
    <w:rsid w:val="00E80AB0"/>
    <w:rsid w:val="00E80B79"/>
    <w:rsid w:val="00E80C14"/>
    <w:rsid w:val="00E80C5B"/>
    <w:rsid w:val="00E80D5E"/>
    <w:rsid w:val="00E80EEA"/>
    <w:rsid w:val="00E80F2C"/>
    <w:rsid w:val="00E80F9A"/>
    <w:rsid w:val="00E81278"/>
    <w:rsid w:val="00E8136F"/>
    <w:rsid w:val="00E815E3"/>
    <w:rsid w:val="00E81811"/>
    <w:rsid w:val="00E81E90"/>
    <w:rsid w:val="00E823A7"/>
    <w:rsid w:val="00E823B5"/>
    <w:rsid w:val="00E8260C"/>
    <w:rsid w:val="00E829B7"/>
    <w:rsid w:val="00E82D9D"/>
    <w:rsid w:val="00E82EB1"/>
    <w:rsid w:val="00E835EF"/>
    <w:rsid w:val="00E83691"/>
    <w:rsid w:val="00E8373E"/>
    <w:rsid w:val="00E83A14"/>
    <w:rsid w:val="00E83AD7"/>
    <w:rsid w:val="00E83D04"/>
    <w:rsid w:val="00E83E26"/>
    <w:rsid w:val="00E841E7"/>
    <w:rsid w:val="00E842F7"/>
    <w:rsid w:val="00E84336"/>
    <w:rsid w:val="00E84450"/>
    <w:rsid w:val="00E8456F"/>
    <w:rsid w:val="00E84588"/>
    <w:rsid w:val="00E84AAC"/>
    <w:rsid w:val="00E84D45"/>
    <w:rsid w:val="00E84DBF"/>
    <w:rsid w:val="00E84E1A"/>
    <w:rsid w:val="00E8527E"/>
    <w:rsid w:val="00E8540F"/>
    <w:rsid w:val="00E8556B"/>
    <w:rsid w:val="00E857F7"/>
    <w:rsid w:val="00E85D8E"/>
    <w:rsid w:val="00E85E39"/>
    <w:rsid w:val="00E85FF3"/>
    <w:rsid w:val="00E8633D"/>
    <w:rsid w:val="00E86368"/>
    <w:rsid w:val="00E863B3"/>
    <w:rsid w:val="00E863BA"/>
    <w:rsid w:val="00E86597"/>
    <w:rsid w:val="00E86BE5"/>
    <w:rsid w:val="00E86CA5"/>
    <w:rsid w:val="00E86EB2"/>
    <w:rsid w:val="00E86EB4"/>
    <w:rsid w:val="00E86F97"/>
    <w:rsid w:val="00E86FD3"/>
    <w:rsid w:val="00E87006"/>
    <w:rsid w:val="00E87221"/>
    <w:rsid w:val="00E87269"/>
    <w:rsid w:val="00E873C1"/>
    <w:rsid w:val="00E873C7"/>
    <w:rsid w:val="00E8745B"/>
    <w:rsid w:val="00E87940"/>
    <w:rsid w:val="00E87A9B"/>
    <w:rsid w:val="00E87C4F"/>
    <w:rsid w:val="00E87F5D"/>
    <w:rsid w:val="00E90195"/>
    <w:rsid w:val="00E90271"/>
    <w:rsid w:val="00E9037A"/>
    <w:rsid w:val="00E903E3"/>
    <w:rsid w:val="00E905F3"/>
    <w:rsid w:val="00E90783"/>
    <w:rsid w:val="00E907C5"/>
    <w:rsid w:val="00E908C8"/>
    <w:rsid w:val="00E909B0"/>
    <w:rsid w:val="00E90EE4"/>
    <w:rsid w:val="00E90F57"/>
    <w:rsid w:val="00E910D9"/>
    <w:rsid w:val="00E9118D"/>
    <w:rsid w:val="00E9121E"/>
    <w:rsid w:val="00E9140B"/>
    <w:rsid w:val="00E91717"/>
    <w:rsid w:val="00E91733"/>
    <w:rsid w:val="00E91E9E"/>
    <w:rsid w:val="00E91F81"/>
    <w:rsid w:val="00E9207C"/>
    <w:rsid w:val="00E922C1"/>
    <w:rsid w:val="00E924EF"/>
    <w:rsid w:val="00E92668"/>
    <w:rsid w:val="00E927AB"/>
    <w:rsid w:val="00E931B4"/>
    <w:rsid w:val="00E93281"/>
    <w:rsid w:val="00E93352"/>
    <w:rsid w:val="00E9344D"/>
    <w:rsid w:val="00E935ED"/>
    <w:rsid w:val="00E93CE4"/>
    <w:rsid w:val="00E93E89"/>
    <w:rsid w:val="00E940F0"/>
    <w:rsid w:val="00E9431A"/>
    <w:rsid w:val="00E94580"/>
    <w:rsid w:val="00E946AB"/>
    <w:rsid w:val="00E946E8"/>
    <w:rsid w:val="00E9497B"/>
    <w:rsid w:val="00E94B72"/>
    <w:rsid w:val="00E94BBC"/>
    <w:rsid w:val="00E94E6C"/>
    <w:rsid w:val="00E94EF6"/>
    <w:rsid w:val="00E94F59"/>
    <w:rsid w:val="00E94F76"/>
    <w:rsid w:val="00E9514C"/>
    <w:rsid w:val="00E95333"/>
    <w:rsid w:val="00E9546F"/>
    <w:rsid w:val="00E95491"/>
    <w:rsid w:val="00E95629"/>
    <w:rsid w:val="00E95D70"/>
    <w:rsid w:val="00E95FC6"/>
    <w:rsid w:val="00E964DF"/>
    <w:rsid w:val="00E9654D"/>
    <w:rsid w:val="00E96673"/>
    <w:rsid w:val="00E96B45"/>
    <w:rsid w:val="00E96D8D"/>
    <w:rsid w:val="00E972B7"/>
    <w:rsid w:val="00E975AB"/>
    <w:rsid w:val="00E97808"/>
    <w:rsid w:val="00E9786A"/>
    <w:rsid w:val="00E97A71"/>
    <w:rsid w:val="00E97AD3"/>
    <w:rsid w:val="00E97C2A"/>
    <w:rsid w:val="00E97CA1"/>
    <w:rsid w:val="00E97E34"/>
    <w:rsid w:val="00EA0134"/>
    <w:rsid w:val="00EA0152"/>
    <w:rsid w:val="00EA0345"/>
    <w:rsid w:val="00EA048A"/>
    <w:rsid w:val="00EA0603"/>
    <w:rsid w:val="00EA0A0B"/>
    <w:rsid w:val="00EA0DB7"/>
    <w:rsid w:val="00EA0E9F"/>
    <w:rsid w:val="00EA0F0C"/>
    <w:rsid w:val="00EA1183"/>
    <w:rsid w:val="00EA16A9"/>
    <w:rsid w:val="00EA18C5"/>
    <w:rsid w:val="00EA190D"/>
    <w:rsid w:val="00EA1A41"/>
    <w:rsid w:val="00EA1D16"/>
    <w:rsid w:val="00EA1F74"/>
    <w:rsid w:val="00EA222F"/>
    <w:rsid w:val="00EA22F2"/>
    <w:rsid w:val="00EA25FD"/>
    <w:rsid w:val="00EA29EE"/>
    <w:rsid w:val="00EA2A18"/>
    <w:rsid w:val="00EA2BD2"/>
    <w:rsid w:val="00EA2E1D"/>
    <w:rsid w:val="00EA2FDB"/>
    <w:rsid w:val="00EA318C"/>
    <w:rsid w:val="00EA3232"/>
    <w:rsid w:val="00EA35CF"/>
    <w:rsid w:val="00EA3612"/>
    <w:rsid w:val="00EA370A"/>
    <w:rsid w:val="00EA391E"/>
    <w:rsid w:val="00EA39C2"/>
    <w:rsid w:val="00EA3AC5"/>
    <w:rsid w:val="00EA3B9B"/>
    <w:rsid w:val="00EA3C2B"/>
    <w:rsid w:val="00EA3C5E"/>
    <w:rsid w:val="00EA3F13"/>
    <w:rsid w:val="00EA3F34"/>
    <w:rsid w:val="00EA4075"/>
    <w:rsid w:val="00EA4310"/>
    <w:rsid w:val="00EA441E"/>
    <w:rsid w:val="00EA443E"/>
    <w:rsid w:val="00EA4467"/>
    <w:rsid w:val="00EA4479"/>
    <w:rsid w:val="00EA4946"/>
    <w:rsid w:val="00EA49DF"/>
    <w:rsid w:val="00EA4B38"/>
    <w:rsid w:val="00EA4D32"/>
    <w:rsid w:val="00EA4F14"/>
    <w:rsid w:val="00EA518E"/>
    <w:rsid w:val="00EA555D"/>
    <w:rsid w:val="00EA56F5"/>
    <w:rsid w:val="00EA57CF"/>
    <w:rsid w:val="00EA5B4A"/>
    <w:rsid w:val="00EA635B"/>
    <w:rsid w:val="00EA64FB"/>
    <w:rsid w:val="00EA6597"/>
    <w:rsid w:val="00EA65FB"/>
    <w:rsid w:val="00EA667C"/>
    <w:rsid w:val="00EA66C8"/>
    <w:rsid w:val="00EA6811"/>
    <w:rsid w:val="00EA68A8"/>
    <w:rsid w:val="00EA68E7"/>
    <w:rsid w:val="00EA6909"/>
    <w:rsid w:val="00EA6B15"/>
    <w:rsid w:val="00EA6D2D"/>
    <w:rsid w:val="00EA6DB1"/>
    <w:rsid w:val="00EA6EA9"/>
    <w:rsid w:val="00EA6EAA"/>
    <w:rsid w:val="00EA7245"/>
    <w:rsid w:val="00EA7594"/>
    <w:rsid w:val="00EA7C87"/>
    <w:rsid w:val="00EA7D18"/>
    <w:rsid w:val="00EA7EF7"/>
    <w:rsid w:val="00EB061D"/>
    <w:rsid w:val="00EB0956"/>
    <w:rsid w:val="00EB0980"/>
    <w:rsid w:val="00EB0BEA"/>
    <w:rsid w:val="00EB0C1B"/>
    <w:rsid w:val="00EB0C39"/>
    <w:rsid w:val="00EB0E8B"/>
    <w:rsid w:val="00EB0F81"/>
    <w:rsid w:val="00EB11D5"/>
    <w:rsid w:val="00EB157F"/>
    <w:rsid w:val="00EB1744"/>
    <w:rsid w:val="00EB1848"/>
    <w:rsid w:val="00EB19FC"/>
    <w:rsid w:val="00EB1C9E"/>
    <w:rsid w:val="00EB1CB2"/>
    <w:rsid w:val="00EB2182"/>
    <w:rsid w:val="00EB2183"/>
    <w:rsid w:val="00EB2235"/>
    <w:rsid w:val="00EB2633"/>
    <w:rsid w:val="00EB2800"/>
    <w:rsid w:val="00EB28DD"/>
    <w:rsid w:val="00EB2DC6"/>
    <w:rsid w:val="00EB2EB0"/>
    <w:rsid w:val="00EB302B"/>
    <w:rsid w:val="00EB3032"/>
    <w:rsid w:val="00EB35A8"/>
    <w:rsid w:val="00EB3814"/>
    <w:rsid w:val="00EB39D4"/>
    <w:rsid w:val="00EB3AB0"/>
    <w:rsid w:val="00EB3D99"/>
    <w:rsid w:val="00EB3DC6"/>
    <w:rsid w:val="00EB43E7"/>
    <w:rsid w:val="00EB471D"/>
    <w:rsid w:val="00EB476E"/>
    <w:rsid w:val="00EB48AD"/>
    <w:rsid w:val="00EB4B01"/>
    <w:rsid w:val="00EB4C01"/>
    <w:rsid w:val="00EB4C54"/>
    <w:rsid w:val="00EB4C7C"/>
    <w:rsid w:val="00EB4CD5"/>
    <w:rsid w:val="00EB4CDF"/>
    <w:rsid w:val="00EB4F43"/>
    <w:rsid w:val="00EB5123"/>
    <w:rsid w:val="00EB5565"/>
    <w:rsid w:val="00EB55EB"/>
    <w:rsid w:val="00EB5748"/>
    <w:rsid w:val="00EB5854"/>
    <w:rsid w:val="00EB5CD2"/>
    <w:rsid w:val="00EB62A5"/>
    <w:rsid w:val="00EB6413"/>
    <w:rsid w:val="00EB6430"/>
    <w:rsid w:val="00EB6437"/>
    <w:rsid w:val="00EB6486"/>
    <w:rsid w:val="00EB6594"/>
    <w:rsid w:val="00EB67BE"/>
    <w:rsid w:val="00EB68A7"/>
    <w:rsid w:val="00EB6973"/>
    <w:rsid w:val="00EB6C51"/>
    <w:rsid w:val="00EB6C93"/>
    <w:rsid w:val="00EB7001"/>
    <w:rsid w:val="00EB72E7"/>
    <w:rsid w:val="00EB73ED"/>
    <w:rsid w:val="00EB7559"/>
    <w:rsid w:val="00EB786E"/>
    <w:rsid w:val="00EB7C61"/>
    <w:rsid w:val="00EB7F83"/>
    <w:rsid w:val="00EC0086"/>
    <w:rsid w:val="00EC0265"/>
    <w:rsid w:val="00EC055B"/>
    <w:rsid w:val="00EC0698"/>
    <w:rsid w:val="00EC08B9"/>
    <w:rsid w:val="00EC0902"/>
    <w:rsid w:val="00EC099A"/>
    <w:rsid w:val="00EC0A48"/>
    <w:rsid w:val="00EC0B40"/>
    <w:rsid w:val="00EC0C6D"/>
    <w:rsid w:val="00EC0CEA"/>
    <w:rsid w:val="00EC0F0E"/>
    <w:rsid w:val="00EC0F43"/>
    <w:rsid w:val="00EC1186"/>
    <w:rsid w:val="00EC137B"/>
    <w:rsid w:val="00EC13ED"/>
    <w:rsid w:val="00EC1531"/>
    <w:rsid w:val="00EC1859"/>
    <w:rsid w:val="00EC1860"/>
    <w:rsid w:val="00EC1FDF"/>
    <w:rsid w:val="00EC203D"/>
    <w:rsid w:val="00EC203F"/>
    <w:rsid w:val="00EC2A33"/>
    <w:rsid w:val="00EC2AED"/>
    <w:rsid w:val="00EC2BAA"/>
    <w:rsid w:val="00EC2DA2"/>
    <w:rsid w:val="00EC2E2E"/>
    <w:rsid w:val="00EC3205"/>
    <w:rsid w:val="00EC3957"/>
    <w:rsid w:val="00EC3DC7"/>
    <w:rsid w:val="00EC3F90"/>
    <w:rsid w:val="00EC4062"/>
    <w:rsid w:val="00EC4197"/>
    <w:rsid w:val="00EC4213"/>
    <w:rsid w:val="00EC4408"/>
    <w:rsid w:val="00EC45D8"/>
    <w:rsid w:val="00EC469A"/>
    <w:rsid w:val="00EC4A27"/>
    <w:rsid w:val="00EC4B53"/>
    <w:rsid w:val="00EC50A3"/>
    <w:rsid w:val="00EC540E"/>
    <w:rsid w:val="00EC5444"/>
    <w:rsid w:val="00EC5697"/>
    <w:rsid w:val="00EC575B"/>
    <w:rsid w:val="00EC5A3F"/>
    <w:rsid w:val="00EC5B53"/>
    <w:rsid w:val="00EC5B75"/>
    <w:rsid w:val="00EC5C82"/>
    <w:rsid w:val="00EC5D83"/>
    <w:rsid w:val="00EC60D1"/>
    <w:rsid w:val="00EC62A4"/>
    <w:rsid w:val="00EC64A3"/>
    <w:rsid w:val="00EC64CE"/>
    <w:rsid w:val="00EC650C"/>
    <w:rsid w:val="00EC69B1"/>
    <w:rsid w:val="00EC6CFD"/>
    <w:rsid w:val="00EC6D1D"/>
    <w:rsid w:val="00EC7151"/>
    <w:rsid w:val="00EC71C1"/>
    <w:rsid w:val="00EC7378"/>
    <w:rsid w:val="00EC75DB"/>
    <w:rsid w:val="00EC7B84"/>
    <w:rsid w:val="00EC7C82"/>
    <w:rsid w:val="00EC7EE8"/>
    <w:rsid w:val="00EC7F73"/>
    <w:rsid w:val="00EC7FC8"/>
    <w:rsid w:val="00ED0294"/>
    <w:rsid w:val="00ED0409"/>
    <w:rsid w:val="00ED07CF"/>
    <w:rsid w:val="00ED0A11"/>
    <w:rsid w:val="00ED0C18"/>
    <w:rsid w:val="00ED0C4B"/>
    <w:rsid w:val="00ED0DAE"/>
    <w:rsid w:val="00ED0E67"/>
    <w:rsid w:val="00ED111A"/>
    <w:rsid w:val="00ED1211"/>
    <w:rsid w:val="00ED12D2"/>
    <w:rsid w:val="00ED12F0"/>
    <w:rsid w:val="00ED1471"/>
    <w:rsid w:val="00ED1855"/>
    <w:rsid w:val="00ED1D4D"/>
    <w:rsid w:val="00ED22A4"/>
    <w:rsid w:val="00ED2B2D"/>
    <w:rsid w:val="00ED2BCA"/>
    <w:rsid w:val="00ED2D97"/>
    <w:rsid w:val="00ED2E4F"/>
    <w:rsid w:val="00ED2FCE"/>
    <w:rsid w:val="00ED332A"/>
    <w:rsid w:val="00ED33B0"/>
    <w:rsid w:val="00ED352C"/>
    <w:rsid w:val="00ED35B6"/>
    <w:rsid w:val="00ED3627"/>
    <w:rsid w:val="00ED362A"/>
    <w:rsid w:val="00ED3900"/>
    <w:rsid w:val="00ED3A53"/>
    <w:rsid w:val="00ED3EB4"/>
    <w:rsid w:val="00ED4056"/>
    <w:rsid w:val="00ED4062"/>
    <w:rsid w:val="00ED4555"/>
    <w:rsid w:val="00ED47E5"/>
    <w:rsid w:val="00ED4804"/>
    <w:rsid w:val="00ED4882"/>
    <w:rsid w:val="00ED4889"/>
    <w:rsid w:val="00ED4A64"/>
    <w:rsid w:val="00ED4B2A"/>
    <w:rsid w:val="00ED4C50"/>
    <w:rsid w:val="00ED5093"/>
    <w:rsid w:val="00ED5137"/>
    <w:rsid w:val="00ED52CD"/>
    <w:rsid w:val="00ED5518"/>
    <w:rsid w:val="00ED5683"/>
    <w:rsid w:val="00ED56A8"/>
    <w:rsid w:val="00ED5B61"/>
    <w:rsid w:val="00ED5C38"/>
    <w:rsid w:val="00ED5C49"/>
    <w:rsid w:val="00ED615B"/>
    <w:rsid w:val="00ED6230"/>
    <w:rsid w:val="00ED663A"/>
    <w:rsid w:val="00ED674B"/>
    <w:rsid w:val="00ED6920"/>
    <w:rsid w:val="00ED6BF5"/>
    <w:rsid w:val="00ED7E58"/>
    <w:rsid w:val="00ED7F86"/>
    <w:rsid w:val="00EE00BF"/>
    <w:rsid w:val="00EE0120"/>
    <w:rsid w:val="00EE061C"/>
    <w:rsid w:val="00EE07F4"/>
    <w:rsid w:val="00EE0A32"/>
    <w:rsid w:val="00EE0A74"/>
    <w:rsid w:val="00EE0ADE"/>
    <w:rsid w:val="00EE0B01"/>
    <w:rsid w:val="00EE0B86"/>
    <w:rsid w:val="00EE0C58"/>
    <w:rsid w:val="00EE0E63"/>
    <w:rsid w:val="00EE1127"/>
    <w:rsid w:val="00EE117D"/>
    <w:rsid w:val="00EE118C"/>
    <w:rsid w:val="00EE12B1"/>
    <w:rsid w:val="00EE1441"/>
    <w:rsid w:val="00EE1543"/>
    <w:rsid w:val="00EE1592"/>
    <w:rsid w:val="00EE1749"/>
    <w:rsid w:val="00EE1C06"/>
    <w:rsid w:val="00EE1D6C"/>
    <w:rsid w:val="00EE1D7F"/>
    <w:rsid w:val="00EE1E2C"/>
    <w:rsid w:val="00EE1E59"/>
    <w:rsid w:val="00EE1ECD"/>
    <w:rsid w:val="00EE27A8"/>
    <w:rsid w:val="00EE2824"/>
    <w:rsid w:val="00EE2DAC"/>
    <w:rsid w:val="00EE2E98"/>
    <w:rsid w:val="00EE3290"/>
    <w:rsid w:val="00EE3599"/>
    <w:rsid w:val="00EE35AD"/>
    <w:rsid w:val="00EE3614"/>
    <w:rsid w:val="00EE36F0"/>
    <w:rsid w:val="00EE3C0D"/>
    <w:rsid w:val="00EE3D6D"/>
    <w:rsid w:val="00EE3DC7"/>
    <w:rsid w:val="00EE41E3"/>
    <w:rsid w:val="00EE43F3"/>
    <w:rsid w:val="00EE4435"/>
    <w:rsid w:val="00EE4A85"/>
    <w:rsid w:val="00EE4BE4"/>
    <w:rsid w:val="00EE4D24"/>
    <w:rsid w:val="00EE51E3"/>
    <w:rsid w:val="00EE54A6"/>
    <w:rsid w:val="00EE5561"/>
    <w:rsid w:val="00EE55D8"/>
    <w:rsid w:val="00EE56E9"/>
    <w:rsid w:val="00EE5854"/>
    <w:rsid w:val="00EE5BD6"/>
    <w:rsid w:val="00EE5C4F"/>
    <w:rsid w:val="00EE5C63"/>
    <w:rsid w:val="00EE5DDE"/>
    <w:rsid w:val="00EE5E23"/>
    <w:rsid w:val="00EE5F34"/>
    <w:rsid w:val="00EE5F93"/>
    <w:rsid w:val="00EE5F94"/>
    <w:rsid w:val="00EE625D"/>
    <w:rsid w:val="00EE6338"/>
    <w:rsid w:val="00EE660C"/>
    <w:rsid w:val="00EE66B2"/>
    <w:rsid w:val="00EE67A3"/>
    <w:rsid w:val="00EE6D6C"/>
    <w:rsid w:val="00EE6DDD"/>
    <w:rsid w:val="00EE72C8"/>
    <w:rsid w:val="00EE7733"/>
    <w:rsid w:val="00EE78DA"/>
    <w:rsid w:val="00EE7D62"/>
    <w:rsid w:val="00EE7E24"/>
    <w:rsid w:val="00EE7E3F"/>
    <w:rsid w:val="00EF01FE"/>
    <w:rsid w:val="00EF03E9"/>
    <w:rsid w:val="00EF07D7"/>
    <w:rsid w:val="00EF085F"/>
    <w:rsid w:val="00EF0870"/>
    <w:rsid w:val="00EF0B25"/>
    <w:rsid w:val="00EF0BDD"/>
    <w:rsid w:val="00EF0D39"/>
    <w:rsid w:val="00EF0D6B"/>
    <w:rsid w:val="00EF0DDF"/>
    <w:rsid w:val="00EF120E"/>
    <w:rsid w:val="00EF159A"/>
    <w:rsid w:val="00EF16A3"/>
    <w:rsid w:val="00EF1953"/>
    <w:rsid w:val="00EF19EF"/>
    <w:rsid w:val="00EF1B58"/>
    <w:rsid w:val="00EF1B61"/>
    <w:rsid w:val="00EF1DDD"/>
    <w:rsid w:val="00EF1FC3"/>
    <w:rsid w:val="00EF2601"/>
    <w:rsid w:val="00EF2744"/>
    <w:rsid w:val="00EF2B77"/>
    <w:rsid w:val="00EF2E4E"/>
    <w:rsid w:val="00EF2F39"/>
    <w:rsid w:val="00EF303E"/>
    <w:rsid w:val="00EF3078"/>
    <w:rsid w:val="00EF3444"/>
    <w:rsid w:val="00EF3491"/>
    <w:rsid w:val="00EF34CE"/>
    <w:rsid w:val="00EF3695"/>
    <w:rsid w:val="00EF3784"/>
    <w:rsid w:val="00EF382F"/>
    <w:rsid w:val="00EF3AE6"/>
    <w:rsid w:val="00EF3E45"/>
    <w:rsid w:val="00EF3EB1"/>
    <w:rsid w:val="00EF3F79"/>
    <w:rsid w:val="00EF416A"/>
    <w:rsid w:val="00EF420B"/>
    <w:rsid w:val="00EF46C0"/>
    <w:rsid w:val="00EF48D3"/>
    <w:rsid w:val="00EF4EBE"/>
    <w:rsid w:val="00EF5483"/>
    <w:rsid w:val="00EF5766"/>
    <w:rsid w:val="00EF5958"/>
    <w:rsid w:val="00EF5CEF"/>
    <w:rsid w:val="00EF60AE"/>
    <w:rsid w:val="00EF65C7"/>
    <w:rsid w:val="00EF65E3"/>
    <w:rsid w:val="00EF6A6F"/>
    <w:rsid w:val="00EF6A9C"/>
    <w:rsid w:val="00EF6B8C"/>
    <w:rsid w:val="00EF6C8E"/>
    <w:rsid w:val="00EF6E49"/>
    <w:rsid w:val="00EF70AE"/>
    <w:rsid w:val="00EF70F0"/>
    <w:rsid w:val="00EF71F1"/>
    <w:rsid w:val="00EF7319"/>
    <w:rsid w:val="00EF74E5"/>
    <w:rsid w:val="00EF7772"/>
    <w:rsid w:val="00EF7981"/>
    <w:rsid w:val="00EF7B75"/>
    <w:rsid w:val="00F000C0"/>
    <w:rsid w:val="00F000C3"/>
    <w:rsid w:val="00F001CD"/>
    <w:rsid w:val="00F003A2"/>
    <w:rsid w:val="00F00488"/>
    <w:rsid w:val="00F005E3"/>
    <w:rsid w:val="00F006AF"/>
    <w:rsid w:val="00F0084B"/>
    <w:rsid w:val="00F008E7"/>
    <w:rsid w:val="00F00B62"/>
    <w:rsid w:val="00F00DDA"/>
    <w:rsid w:val="00F00E36"/>
    <w:rsid w:val="00F011CE"/>
    <w:rsid w:val="00F0124F"/>
    <w:rsid w:val="00F01499"/>
    <w:rsid w:val="00F016B6"/>
    <w:rsid w:val="00F01E8D"/>
    <w:rsid w:val="00F021B5"/>
    <w:rsid w:val="00F02498"/>
    <w:rsid w:val="00F02858"/>
    <w:rsid w:val="00F02A80"/>
    <w:rsid w:val="00F02AC7"/>
    <w:rsid w:val="00F02B5C"/>
    <w:rsid w:val="00F02B82"/>
    <w:rsid w:val="00F02C43"/>
    <w:rsid w:val="00F02E5F"/>
    <w:rsid w:val="00F02E70"/>
    <w:rsid w:val="00F03026"/>
    <w:rsid w:val="00F03260"/>
    <w:rsid w:val="00F03267"/>
    <w:rsid w:val="00F033D3"/>
    <w:rsid w:val="00F03696"/>
    <w:rsid w:val="00F03866"/>
    <w:rsid w:val="00F03992"/>
    <w:rsid w:val="00F03B36"/>
    <w:rsid w:val="00F03ED3"/>
    <w:rsid w:val="00F03F9B"/>
    <w:rsid w:val="00F03FC2"/>
    <w:rsid w:val="00F04070"/>
    <w:rsid w:val="00F047E3"/>
    <w:rsid w:val="00F049A3"/>
    <w:rsid w:val="00F049F7"/>
    <w:rsid w:val="00F04A8B"/>
    <w:rsid w:val="00F04FE3"/>
    <w:rsid w:val="00F051A5"/>
    <w:rsid w:val="00F0535E"/>
    <w:rsid w:val="00F05415"/>
    <w:rsid w:val="00F05D65"/>
    <w:rsid w:val="00F05DFC"/>
    <w:rsid w:val="00F05E65"/>
    <w:rsid w:val="00F05E80"/>
    <w:rsid w:val="00F06280"/>
    <w:rsid w:val="00F063EF"/>
    <w:rsid w:val="00F06450"/>
    <w:rsid w:val="00F06487"/>
    <w:rsid w:val="00F065D6"/>
    <w:rsid w:val="00F065EA"/>
    <w:rsid w:val="00F06682"/>
    <w:rsid w:val="00F068D0"/>
    <w:rsid w:val="00F068F6"/>
    <w:rsid w:val="00F06945"/>
    <w:rsid w:val="00F06C2B"/>
    <w:rsid w:val="00F06D16"/>
    <w:rsid w:val="00F06E5C"/>
    <w:rsid w:val="00F06EDD"/>
    <w:rsid w:val="00F070B0"/>
    <w:rsid w:val="00F0747A"/>
    <w:rsid w:val="00F074DE"/>
    <w:rsid w:val="00F07890"/>
    <w:rsid w:val="00F07A08"/>
    <w:rsid w:val="00F07FAF"/>
    <w:rsid w:val="00F1006D"/>
    <w:rsid w:val="00F10478"/>
    <w:rsid w:val="00F10684"/>
    <w:rsid w:val="00F109DC"/>
    <w:rsid w:val="00F10F5A"/>
    <w:rsid w:val="00F1113E"/>
    <w:rsid w:val="00F111DD"/>
    <w:rsid w:val="00F11281"/>
    <w:rsid w:val="00F11298"/>
    <w:rsid w:val="00F112E1"/>
    <w:rsid w:val="00F115B1"/>
    <w:rsid w:val="00F115FC"/>
    <w:rsid w:val="00F1161C"/>
    <w:rsid w:val="00F11625"/>
    <w:rsid w:val="00F11729"/>
    <w:rsid w:val="00F1185F"/>
    <w:rsid w:val="00F120A1"/>
    <w:rsid w:val="00F120E8"/>
    <w:rsid w:val="00F123F0"/>
    <w:rsid w:val="00F12404"/>
    <w:rsid w:val="00F125B3"/>
    <w:rsid w:val="00F1274F"/>
    <w:rsid w:val="00F127DC"/>
    <w:rsid w:val="00F12845"/>
    <w:rsid w:val="00F12869"/>
    <w:rsid w:val="00F12895"/>
    <w:rsid w:val="00F12979"/>
    <w:rsid w:val="00F12AC0"/>
    <w:rsid w:val="00F12B3A"/>
    <w:rsid w:val="00F12D80"/>
    <w:rsid w:val="00F12EE8"/>
    <w:rsid w:val="00F13180"/>
    <w:rsid w:val="00F13286"/>
    <w:rsid w:val="00F135FB"/>
    <w:rsid w:val="00F138A6"/>
    <w:rsid w:val="00F13A82"/>
    <w:rsid w:val="00F13AB4"/>
    <w:rsid w:val="00F13BE3"/>
    <w:rsid w:val="00F13DB7"/>
    <w:rsid w:val="00F13F4B"/>
    <w:rsid w:val="00F143F8"/>
    <w:rsid w:val="00F14504"/>
    <w:rsid w:val="00F14805"/>
    <w:rsid w:val="00F148D3"/>
    <w:rsid w:val="00F14AFF"/>
    <w:rsid w:val="00F15037"/>
    <w:rsid w:val="00F153C2"/>
    <w:rsid w:val="00F15BD8"/>
    <w:rsid w:val="00F15CDF"/>
    <w:rsid w:val="00F15CFD"/>
    <w:rsid w:val="00F15E6F"/>
    <w:rsid w:val="00F15EC0"/>
    <w:rsid w:val="00F16691"/>
    <w:rsid w:val="00F166BF"/>
    <w:rsid w:val="00F16B2B"/>
    <w:rsid w:val="00F1702A"/>
    <w:rsid w:val="00F17240"/>
    <w:rsid w:val="00F1743A"/>
    <w:rsid w:val="00F1757C"/>
    <w:rsid w:val="00F17612"/>
    <w:rsid w:val="00F1768A"/>
    <w:rsid w:val="00F177E0"/>
    <w:rsid w:val="00F17951"/>
    <w:rsid w:val="00F17A21"/>
    <w:rsid w:val="00F17CBF"/>
    <w:rsid w:val="00F17F09"/>
    <w:rsid w:val="00F17FC8"/>
    <w:rsid w:val="00F1D9B7"/>
    <w:rsid w:val="00F20120"/>
    <w:rsid w:val="00F202A3"/>
    <w:rsid w:val="00F20501"/>
    <w:rsid w:val="00F205E4"/>
    <w:rsid w:val="00F207A7"/>
    <w:rsid w:val="00F20B98"/>
    <w:rsid w:val="00F20BD6"/>
    <w:rsid w:val="00F20E59"/>
    <w:rsid w:val="00F20EA1"/>
    <w:rsid w:val="00F20F2B"/>
    <w:rsid w:val="00F213DF"/>
    <w:rsid w:val="00F214D6"/>
    <w:rsid w:val="00F215A7"/>
    <w:rsid w:val="00F215DD"/>
    <w:rsid w:val="00F2160B"/>
    <w:rsid w:val="00F21707"/>
    <w:rsid w:val="00F218FC"/>
    <w:rsid w:val="00F219CB"/>
    <w:rsid w:val="00F21AA7"/>
    <w:rsid w:val="00F21ADD"/>
    <w:rsid w:val="00F21AE8"/>
    <w:rsid w:val="00F229DE"/>
    <w:rsid w:val="00F22ACA"/>
    <w:rsid w:val="00F22B34"/>
    <w:rsid w:val="00F22D4F"/>
    <w:rsid w:val="00F22DCC"/>
    <w:rsid w:val="00F22F97"/>
    <w:rsid w:val="00F23300"/>
    <w:rsid w:val="00F23325"/>
    <w:rsid w:val="00F23518"/>
    <w:rsid w:val="00F23B24"/>
    <w:rsid w:val="00F23D71"/>
    <w:rsid w:val="00F244BE"/>
    <w:rsid w:val="00F245CE"/>
    <w:rsid w:val="00F2499F"/>
    <w:rsid w:val="00F24A1F"/>
    <w:rsid w:val="00F24A8B"/>
    <w:rsid w:val="00F25094"/>
    <w:rsid w:val="00F251DD"/>
    <w:rsid w:val="00F2536F"/>
    <w:rsid w:val="00F253FB"/>
    <w:rsid w:val="00F25686"/>
    <w:rsid w:val="00F256F7"/>
    <w:rsid w:val="00F257A7"/>
    <w:rsid w:val="00F257F1"/>
    <w:rsid w:val="00F25AE6"/>
    <w:rsid w:val="00F25B65"/>
    <w:rsid w:val="00F25C6F"/>
    <w:rsid w:val="00F25E58"/>
    <w:rsid w:val="00F25EEF"/>
    <w:rsid w:val="00F25FB6"/>
    <w:rsid w:val="00F260D7"/>
    <w:rsid w:val="00F260EA"/>
    <w:rsid w:val="00F264AB"/>
    <w:rsid w:val="00F2681A"/>
    <w:rsid w:val="00F2682C"/>
    <w:rsid w:val="00F26884"/>
    <w:rsid w:val="00F2694A"/>
    <w:rsid w:val="00F26B45"/>
    <w:rsid w:val="00F26BD7"/>
    <w:rsid w:val="00F26C30"/>
    <w:rsid w:val="00F26D3B"/>
    <w:rsid w:val="00F26EE5"/>
    <w:rsid w:val="00F272FF"/>
    <w:rsid w:val="00F273B9"/>
    <w:rsid w:val="00F274AA"/>
    <w:rsid w:val="00F274CC"/>
    <w:rsid w:val="00F27B07"/>
    <w:rsid w:val="00F27B96"/>
    <w:rsid w:val="00F27C69"/>
    <w:rsid w:val="00F27D79"/>
    <w:rsid w:val="00F30179"/>
    <w:rsid w:val="00F301BA"/>
    <w:rsid w:val="00F301FF"/>
    <w:rsid w:val="00F30760"/>
    <w:rsid w:val="00F30B55"/>
    <w:rsid w:val="00F30B85"/>
    <w:rsid w:val="00F30FA7"/>
    <w:rsid w:val="00F3138B"/>
    <w:rsid w:val="00F3172B"/>
    <w:rsid w:val="00F319A9"/>
    <w:rsid w:val="00F31C10"/>
    <w:rsid w:val="00F3202C"/>
    <w:rsid w:val="00F32129"/>
    <w:rsid w:val="00F32538"/>
    <w:rsid w:val="00F32557"/>
    <w:rsid w:val="00F325CE"/>
    <w:rsid w:val="00F3277F"/>
    <w:rsid w:val="00F32830"/>
    <w:rsid w:val="00F3296D"/>
    <w:rsid w:val="00F32A09"/>
    <w:rsid w:val="00F32A2F"/>
    <w:rsid w:val="00F32B0E"/>
    <w:rsid w:val="00F32B17"/>
    <w:rsid w:val="00F32FCD"/>
    <w:rsid w:val="00F3307D"/>
    <w:rsid w:val="00F330B3"/>
    <w:rsid w:val="00F33257"/>
    <w:rsid w:val="00F3327C"/>
    <w:rsid w:val="00F332A9"/>
    <w:rsid w:val="00F33671"/>
    <w:rsid w:val="00F33BBD"/>
    <w:rsid w:val="00F33F05"/>
    <w:rsid w:val="00F3431C"/>
    <w:rsid w:val="00F34484"/>
    <w:rsid w:val="00F34D09"/>
    <w:rsid w:val="00F34DD7"/>
    <w:rsid w:val="00F34EEF"/>
    <w:rsid w:val="00F34FC9"/>
    <w:rsid w:val="00F351EE"/>
    <w:rsid w:val="00F353F4"/>
    <w:rsid w:val="00F353F8"/>
    <w:rsid w:val="00F35AF5"/>
    <w:rsid w:val="00F35D6F"/>
    <w:rsid w:val="00F360DA"/>
    <w:rsid w:val="00F36382"/>
    <w:rsid w:val="00F3639D"/>
    <w:rsid w:val="00F36499"/>
    <w:rsid w:val="00F367AB"/>
    <w:rsid w:val="00F368D3"/>
    <w:rsid w:val="00F36978"/>
    <w:rsid w:val="00F36A2A"/>
    <w:rsid w:val="00F36B27"/>
    <w:rsid w:val="00F36BA3"/>
    <w:rsid w:val="00F37546"/>
    <w:rsid w:val="00F37833"/>
    <w:rsid w:val="00F378E4"/>
    <w:rsid w:val="00F401F7"/>
    <w:rsid w:val="00F4020C"/>
    <w:rsid w:val="00F4027C"/>
    <w:rsid w:val="00F40321"/>
    <w:rsid w:val="00F406D4"/>
    <w:rsid w:val="00F40A01"/>
    <w:rsid w:val="00F40A0C"/>
    <w:rsid w:val="00F40A59"/>
    <w:rsid w:val="00F40B17"/>
    <w:rsid w:val="00F40BB3"/>
    <w:rsid w:val="00F40E99"/>
    <w:rsid w:val="00F4127B"/>
    <w:rsid w:val="00F4142E"/>
    <w:rsid w:val="00F415A8"/>
    <w:rsid w:val="00F418CF"/>
    <w:rsid w:val="00F41A69"/>
    <w:rsid w:val="00F41E63"/>
    <w:rsid w:val="00F42317"/>
    <w:rsid w:val="00F42424"/>
    <w:rsid w:val="00F4251C"/>
    <w:rsid w:val="00F425D1"/>
    <w:rsid w:val="00F42616"/>
    <w:rsid w:val="00F426D1"/>
    <w:rsid w:val="00F429AC"/>
    <w:rsid w:val="00F42AB6"/>
    <w:rsid w:val="00F42CC3"/>
    <w:rsid w:val="00F42D76"/>
    <w:rsid w:val="00F430D6"/>
    <w:rsid w:val="00F43276"/>
    <w:rsid w:val="00F43C1B"/>
    <w:rsid w:val="00F43C9E"/>
    <w:rsid w:val="00F43E94"/>
    <w:rsid w:val="00F43ECA"/>
    <w:rsid w:val="00F44037"/>
    <w:rsid w:val="00F4413A"/>
    <w:rsid w:val="00F445C5"/>
    <w:rsid w:val="00F4482A"/>
    <w:rsid w:val="00F448F2"/>
    <w:rsid w:val="00F44BE6"/>
    <w:rsid w:val="00F44E82"/>
    <w:rsid w:val="00F452DB"/>
    <w:rsid w:val="00F45542"/>
    <w:rsid w:val="00F457A5"/>
    <w:rsid w:val="00F4598E"/>
    <w:rsid w:val="00F45A5E"/>
    <w:rsid w:val="00F45AB7"/>
    <w:rsid w:val="00F45B7F"/>
    <w:rsid w:val="00F45DC1"/>
    <w:rsid w:val="00F45F6C"/>
    <w:rsid w:val="00F460FA"/>
    <w:rsid w:val="00F467D9"/>
    <w:rsid w:val="00F46874"/>
    <w:rsid w:val="00F4691A"/>
    <w:rsid w:val="00F46A21"/>
    <w:rsid w:val="00F47483"/>
    <w:rsid w:val="00F479BD"/>
    <w:rsid w:val="00F5004C"/>
    <w:rsid w:val="00F50138"/>
    <w:rsid w:val="00F50139"/>
    <w:rsid w:val="00F5026A"/>
    <w:rsid w:val="00F504FD"/>
    <w:rsid w:val="00F5082B"/>
    <w:rsid w:val="00F50A8B"/>
    <w:rsid w:val="00F50B06"/>
    <w:rsid w:val="00F50CD3"/>
    <w:rsid w:val="00F50DE6"/>
    <w:rsid w:val="00F50F77"/>
    <w:rsid w:val="00F51126"/>
    <w:rsid w:val="00F5122E"/>
    <w:rsid w:val="00F51251"/>
    <w:rsid w:val="00F51592"/>
    <w:rsid w:val="00F515F9"/>
    <w:rsid w:val="00F51BFA"/>
    <w:rsid w:val="00F51D4C"/>
    <w:rsid w:val="00F51E8C"/>
    <w:rsid w:val="00F5203B"/>
    <w:rsid w:val="00F52390"/>
    <w:rsid w:val="00F5253E"/>
    <w:rsid w:val="00F52744"/>
    <w:rsid w:val="00F528CC"/>
    <w:rsid w:val="00F52DE9"/>
    <w:rsid w:val="00F5309F"/>
    <w:rsid w:val="00F53466"/>
    <w:rsid w:val="00F534BA"/>
    <w:rsid w:val="00F53548"/>
    <w:rsid w:val="00F54192"/>
    <w:rsid w:val="00F54351"/>
    <w:rsid w:val="00F54848"/>
    <w:rsid w:val="00F549CB"/>
    <w:rsid w:val="00F54A62"/>
    <w:rsid w:val="00F5549F"/>
    <w:rsid w:val="00F5555F"/>
    <w:rsid w:val="00F556CE"/>
    <w:rsid w:val="00F55845"/>
    <w:rsid w:val="00F55903"/>
    <w:rsid w:val="00F55A26"/>
    <w:rsid w:val="00F55A93"/>
    <w:rsid w:val="00F55C56"/>
    <w:rsid w:val="00F55C59"/>
    <w:rsid w:val="00F55CAA"/>
    <w:rsid w:val="00F55F9D"/>
    <w:rsid w:val="00F560FD"/>
    <w:rsid w:val="00F56111"/>
    <w:rsid w:val="00F561F2"/>
    <w:rsid w:val="00F56256"/>
    <w:rsid w:val="00F562F0"/>
    <w:rsid w:val="00F56BB0"/>
    <w:rsid w:val="00F56BC6"/>
    <w:rsid w:val="00F5702A"/>
    <w:rsid w:val="00F57061"/>
    <w:rsid w:val="00F57075"/>
    <w:rsid w:val="00F571F3"/>
    <w:rsid w:val="00F576D6"/>
    <w:rsid w:val="00F57762"/>
    <w:rsid w:val="00F57B08"/>
    <w:rsid w:val="00F57D2E"/>
    <w:rsid w:val="00F60137"/>
    <w:rsid w:val="00F6019F"/>
    <w:rsid w:val="00F602C4"/>
    <w:rsid w:val="00F604DE"/>
    <w:rsid w:val="00F60AD8"/>
    <w:rsid w:val="00F60C21"/>
    <w:rsid w:val="00F60C34"/>
    <w:rsid w:val="00F60C73"/>
    <w:rsid w:val="00F60CA6"/>
    <w:rsid w:val="00F60D16"/>
    <w:rsid w:val="00F60E50"/>
    <w:rsid w:val="00F60EF6"/>
    <w:rsid w:val="00F611C0"/>
    <w:rsid w:val="00F612B9"/>
    <w:rsid w:val="00F61481"/>
    <w:rsid w:val="00F614E3"/>
    <w:rsid w:val="00F6165C"/>
    <w:rsid w:val="00F6168A"/>
    <w:rsid w:val="00F61887"/>
    <w:rsid w:val="00F6190C"/>
    <w:rsid w:val="00F61CC4"/>
    <w:rsid w:val="00F62055"/>
    <w:rsid w:val="00F6216F"/>
    <w:rsid w:val="00F62461"/>
    <w:rsid w:val="00F625D5"/>
    <w:rsid w:val="00F627EC"/>
    <w:rsid w:val="00F62A3E"/>
    <w:rsid w:val="00F62A71"/>
    <w:rsid w:val="00F62CCE"/>
    <w:rsid w:val="00F62E7D"/>
    <w:rsid w:val="00F6300E"/>
    <w:rsid w:val="00F6305B"/>
    <w:rsid w:val="00F630C2"/>
    <w:rsid w:val="00F630E5"/>
    <w:rsid w:val="00F63207"/>
    <w:rsid w:val="00F63267"/>
    <w:rsid w:val="00F6326E"/>
    <w:rsid w:val="00F633F0"/>
    <w:rsid w:val="00F634D5"/>
    <w:rsid w:val="00F634FC"/>
    <w:rsid w:val="00F63529"/>
    <w:rsid w:val="00F6358C"/>
    <w:rsid w:val="00F63698"/>
    <w:rsid w:val="00F6390C"/>
    <w:rsid w:val="00F63956"/>
    <w:rsid w:val="00F63A5A"/>
    <w:rsid w:val="00F63F0A"/>
    <w:rsid w:val="00F641D5"/>
    <w:rsid w:val="00F643A2"/>
    <w:rsid w:val="00F645EC"/>
    <w:rsid w:val="00F645FA"/>
    <w:rsid w:val="00F64ABD"/>
    <w:rsid w:val="00F64F0E"/>
    <w:rsid w:val="00F65108"/>
    <w:rsid w:val="00F651B4"/>
    <w:rsid w:val="00F652D7"/>
    <w:rsid w:val="00F653B9"/>
    <w:rsid w:val="00F65458"/>
    <w:rsid w:val="00F654FB"/>
    <w:rsid w:val="00F65567"/>
    <w:rsid w:val="00F656F2"/>
    <w:rsid w:val="00F65807"/>
    <w:rsid w:val="00F6580F"/>
    <w:rsid w:val="00F65AC9"/>
    <w:rsid w:val="00F65EC5"/>
    <w:rsid w:val="00F65F4C"/>
    <w:rsid w:val="00F66298"/>
    <w:rsid w:val="00F66700"/>
    <w:rsid w:val="00F6670C"/>
    <w:rsid w:val="00F66923"/>
    <w:rsid w:val="00F66933"/>
    <w:rsid w:val="00F6694E"/>
    <w:rsid w:val="00F66C03"/>
    <w:rsid w:val="00F66D17"/>
    <w:rsid w:val="00F66E45"/>
    <w:rsid w:val="00F6711F"/>
    <w:rsid w:val="00F6714B"/>
    <w:rsid w:val="00F67171"/>
    <w:rsid w:val="00F673C9"/>
    <w:rsid w:val="00F67C04"/>
    <w:rsid w:val="00F67C4D"/>
    <w:rsid w:val="00F67D74"/>
    <w:rsid w:val="00F67DE2"/>
    <w:rsid w:val="00F67E03"/>
    <w:rsid w:val="00F67F6B"/>
    <w:rsid w:val="00F67FD3"/>
    <w:rsid w:val="00F7028A"/>
    <w:rsid w:val="00F70C1B"/>
    <w:rsid w:val="00F70F91"/>
    <w:rsid w:val="00F71532"/>
    <w:rsid w:val="00F71540"/>
    <w:rsid w:val="00F7165D"/>
    <w:rsid w:val="00F719CC"/>
    <w:rsid w:val="00F71B3E"/>
    <w:rsid w:val="00F71EA3"/>
    <w:rsid w:val="00F72038"/>
    <w:rsid w:val="00F72124"/>
    <w:rsid w:val="00F72142"/>
    <w:rsid w:val="00F725FD"/>
    <w:rsid w:val="00F72693"/>
    <w:rsid w:val="00F72715"/>
    <w:rsid w:val="00F72725"/>
    <w:rsid w:val="00F727D6"/>
    <w:rsid w:val="00F72A92"/>
    <w:rsid w:val="00F72CFB"/>
    <w:rsid w:val="00F7307E"/>
    <w:rsid w:val="00F73109"/>
    <w:rsid w:val="00F732B9"/>
    <w:rsid w:val="00F732C5"/>
    <w:rsid w:val="00F738A5"/>
    <w:rsid w:val="00F73953"/>
    <w:rsid w:val="00F73B8E"/>
    <w:rsid w:val="00F74072"/>
    <w:rsid w:val="00F741F1"/>
    <w:rsid w:val="00F7427A"/>
    <w:rsid w:val="00F74D87"/>
    <w:rsid w:val="00F74E25"/>
    <w:rsid w:val="00F750C8"/>
    <w:rsid w:val="00F752B2"/>
    <w:rsid w:val="00F7531A"/>
    <w:rsid w:val="00F75D12"/>
    <w:rsid w:val="00F75E16"/>
    <w:rsid w:val="00F75EA5"/>
    <w:rsid w:val="00F75F15"/>
    <w:rsid w:val="00F761A0"/>
    <w:rsid w:val="00F76253"/>
    <w:rsid w:val="00F7639B"/>
    <w:rsid w:val="00F76482"/>
    <w:rsid w:val="00F765FF"/>
    <w:rsid w:val="00F76757"/>
    <w:rsid w:val="00F769F8"/>
    <w:rsid w:val="00F769F9"/>
    <w:rsid w:val="00F76B30"/>
    <w:rsid w:val="00F76B5C"/>
    <w:rsid w:val="00F7703C"/>
    <w:rsid w:val="00F77077"/>
    <w:rsid w:val="00F7741C"/>
    <w:rsid w:val="00F77715"/>
    <w:rsid w:val="00F77847"/>
    <w:rsid w:val="00F77910"/>
    <w:rsid w:val="00F77A15"/>
    <w:rsid w:val="00F77B27"/>
    <w:rsid w:val="00F77EF0"/>
    <w:rsid w:val="00F8005E"/>
    <w:rsid w:val="00F800DE"/>
    <w:rsid w:val="00F80224"/>
    <w:rsid w:val="00F80378"/>
    <w:rsid w:val="00F8039E"/>
    <w:rsid w:val="00F80DEC"/>
    <w:rsid w:val="00F80E6E"/>
    <w:rsid w:val="00F80FA4"/>
    <w:rsid w:val="00F810EC"/>
    <w:rsid w:val="00F81115"/>
    <w:rsid w:val="00F818CC"/>
    <w:rsid w:val="00F81C6D"/>
    <w:rsid w:val="00F81E09"/>
    <w:rsid w:val="00F81F27"/>
    <w:rsid w:val="00F81F7E"/>
    <w:rsid w:val="00F81F81"/>
    <w:rsid w:val="00F820C6"/>
    <w:rsid w:val="00F822A8"/>
    <w:rsid w:val="00F822B6"/>
    <w:rsid w:val="00F8233B"/>
    <w:rsid w:val="00F824BB"/>
    <w:rsid w:val="00F826EE"/>
    <w:rsid w:val="00F826F0"/>
    <w:rsid w:val="00F8276B"/>
    <w:rsid w:val="00F82CE1"/>
    <w:rsid w:val="00F82D59"/>
    <w:rsid w:val="00F830C3"/>
    <w:rsid w:val="00F83230"/>
    <w:rsid w:val="00F8324C"/>
    <w:rsid w:val="00F84090"/>
    <w:rsid w:val="00F84306"/>
    <w:rsid w:val="00F84818"/>
    <w:rsid w:val="00F84947"/>
    <w:rsid w:val="00F849CD"/>
    <w:rsid w:val="00F84BF5"/>
    <w:rsid w:val="00F84CF7"/>
    <w:rsid w:val="00F84D71"/>
    <w:rsid w:val="00F84F49"/>
    <w:rsid w:val="00F85123"/>
    <w:rsid w:val="00F85340"/>
    <w:rsid w:val="00F8541C"/>
    <w:rsid w:val="00F85702"/>
    <w:rsid w:val="00F858B1"/>
    <w:rsid w:val="00F859C5"/>
    <w:rsid w:val="00F85A88"/>
    <w:rsid w:val="00F85D3A"/>
    <w:rsid w:val="00F85D8D"/>
    <w:rsid w:val="00F86103"/>
    <w:rsid w:val="00F86156"/>
    <w:rsid w:val="00F86172"/>
    <w:rsid w:val="00F86327"/>
    <w:rsid w:val="00F863A6"/>
    <w:rsid w:val="00F86441"/>
    <w:rsid w:val="00F865B0"/>
    <w:rsid w:val="00F865CA"/>
    <w:rsid w:val="00F8672C"/>
    <w:rsid w:val="00F8684F"/>
    <w:rsid w:val="00F86895"/>
    <w:rsid w:val="00F86AD9"/>
    <w:rsid w:val="00F86BFA"/>
    <w:rsid w:val="00F8701A"/>
    <w:rsid w:val="00F870AE"/>
    <w:rsid w:val="00F87183"/>
    <w:rsid w:val="00F87270"/>
    <w:rsid w:val="00F87563"/>
    <w:rsid w:val="00F8759D"/>
    <w:rsid w:val="00F875F3"/>
    <w:rsid w:val="00F87732"/>
    <w:rsid w:val="00F8779E"/>
    <w:rsid w:val="00F878DA"/>
    <w:rsid w:val="00F878F4"/>
    <w:rsid w:val="00F87AA5"/>
    <w:rsid w:val="00F87E2A"/>
    <w:rsid w:val="00F87F07"/>
    <w:rsid w:val="00F87F72"/>
    <w:rsid w:val="00F87FC6"/>
    <w:rsid w:val="00F87FDB"/>
    <w:rsid w:val="00F90234"/>
    <w:rsid w:val="00F90240"/>
    <w:rsid w:val="00F9028D"/>
    <w:rsid w:val="00F90292"/>
    <w:rsid w:val="00F9035C"/>
    <w:rsid w:val="00F906B4"/>
    <w:rsid w:val="00F9071D"/>
    <w:rsid w:val="00F909EC"/>
    <w:rsid w:val="00F90F99"/>
    <w:rsid w:val="00F91097"/>
    <w:rsid w:val="00F91327"/>
    <w:rsid w:val="00F9134B"/>
    <w:rsid w:val="00F91399"/>
    <w:rsid w:val="00F913AC"/>
    <w:rsid w:val="00F91499"/>
    <w:rsid w:val="00F917D1"/>
    <w:rsid w:val="00F918C5"/>
    <w:rsid w:val="00F918EB"/>
    <w:rsid w:val="00F91A16"/>
    <w:rsid w:val="00F91FDC"/>
    <w:rsid w:val="00F9217C"/>
    <w:rsid w:val="00F9221F"/>
    <w:rsid w:val="00F9226D"/>
    <w:rsid w:val="00F92762"/>
    <w:rsid w:val="00F927E7"/>
    <w:rsid w:val="00F92966"/>
    <w:rsid w:val="00F92B88"/>
    <w:rsid w:val="00F92C76"/>
    <w:rsid w:val="00F92DF6"/>
    <w:rsid w:val="00F92F63"/>
    <w:rsid w:val="00F92F83"/>
    <w:rsid w:val="00F93111"/>
    <w:rsid w:val="00F931E9"/>
    <w:rsid w:val="00F935C9"/>
    <w:rsid w:val="00F9393C"/>
    <w:rsid w:val="00F93DDA"/>
    <w:rsid w:val="00F93DE0"/>
    <w:rsid w:val="00F93FF6"/>
    <w:rsid w:val="00F94251"/>
    <w:rsid w:val="00F94430"/>
    <w:rsid w:val="00F946F0"/>
    <w:rsid w:val="00F948B0"/>
    <w:rsid w:val="00F94B38"/>
    <w:rsid w:val="00F94BC6"/>
    <w:rsid w:val="00F94BE1"/>
    <w:rsid w:val="00F95087"/>
    <w:rsid w:val="00F951DF"/>
    <w:rsid w:val="00F95395"/>
    <w:rsid w:val="00F95633"/>
    <w:rsid w:val="00F956B3"/>
    <w:rsid w:val="00F958EA"/>
    <w:rsid w:val="00F958EB"/>
    <w:rsid w:val="00F9590F"/>
    <w:rsid w:val="00F95C4A"/>
    <w:rsid w:val="00F96109"/>
    <w:rsid w:val="00F961BE"/>
    <w:rsid w:val="00F96204"/>
    <w:rsid w:val="00F96550"/>
    <w:rsid w:val="00F9676E"/>
    <w:rsid w:val="00F9679C"/>
    <w:rsid w:val="00F96817"/>
    <w:rsid w:val="00F96B4B"/>
    <w:rsid w:val="00F97102"/>
    <w:rsid w:val="00F971BC"/>
    <w:rsid w:val="00F9720F"/>
    <w:rsid w:val="00F972F1"/>
    <w:rsid w:val="00F977F1"/>
    <w:rsid w:val="00F97890"/>
    <w:rsid w:val="00F979C7"/>
    <w:rsid w:val="00F97B94"/>
    <w:rsid w:val="00F97C80"/>
    <w:rsid w:val="00F97FD8"/>
    <w:rsid w:val="00FA034F"/>
    <w:rsid w:val="00FA05BD"/>
    <w:rsid w:val="00FA07DA"/>
    <w:rsid w:val="00FA080A"/>
    <w:rsid w:val="00FA09EC"/>
    <w:rsid w:val="00FA0A9A"/>
    <w:rsid w:val="00FA0ABB"/>
    <w:rsid w:val="00FA0D47"/>
    <w:rsid w:val="00FA0EB7"/>
    <w:rsid w:val="00FA1316"/>
    <w:rsid w:val="00FA1473"/>
    <w:rsid w:val="00FA1B4A"/>
    <w:rsid w:val="00FA1C27"/>
    <w:rsid w:val="00FA1D1D"/>
    <w:rsid w:val="00FA1E33"/>
    <w:rsid w:val="00FA2338"/>
    <w:rsid w:val="00FA2457"/>
    <w:rsid w:val="00FA2790"/>
    <w:rsid w:val="00FA2793"/>
    <w:rsid w:val="00FA2970"/>
    <w:rsid w:val="00FA2974"/>
    <w:rsid w:val="00FA2A7E"/>
    <w:rsid w:val="00FA2B99"/>
    <w:rsid w:val="00FA2C3E"/>
    <w:rsid w:val="00FA2CC8"/>
    <w:rsid w:val="00FA2DE9"/>
    <w:rsid w:val="00FA2F7D"/>
    <w:rsid w:val="00FA3246"/>
    <w:rsid w:val="00FA335F"/>
    <w:rsid w:val="00FA33B9"/>
    <w:rsid w:val="00FA344C"/>
    <w:rsid w:val="00FA3470"/>
    <w:rsid w:val="00FA36E6"/>
    <w:rsid w:val="00FA3770"/>
    <w:rsid w:val="00FA3798"/>
    <w:rsid w:val="00FA3A50"/>
    <w:rsid w:val="00FA3EF2"/>
    <w:rsid w:val="00FA40BF"/>
    <w:rsid w:val="00FA427D"/>
    <w:rsid w:val="00FA4409"/>
    <w:rsid w:val="00FA450F"/>
    <w:rsid w:val="00FA467B"/>
    <w:rsid w:val="00FA4B74"/>
    <w:rsid w:val="00FA4C08"/>
    <w:rsid w:val="00FA4C40"/>
    <w:rsid w:val="00FA4CC6"/>
    <w:rsid w:val="00FA4D52"/>
    <w:rsid w:val="00FA4EE8"/>
    <w:rsid w:val="00FA4FCF"/>
    <w:rsid w:val="00FA5051"/>
    <w:rsid w:val="00FA54B0"/>
    <w:rsid w:val="00FA55C5"/>
    <w:rsid w:val="00FA579E"/>
    <w:rsid w:val="00FA5833"/>
    <w:rsid w:val="00FA5907"/>
    <w:rsid w:val="00FA6242"/>
    <w:rsid w:val="00FA641E"/>
    <w:rsid w:val="00FA64FD"/>
    <w:rsid w:val="00FA6545"/>
    <w:rsid w:val="00FA6657"/>
    <w:rsid w:val="00FA6659"/>
    <w:rsid w:val="00FA680B"/>
    <w:rsid w:val="00FA6988"/>
    <w:rsid w:val="00FA6AFF"/>
    <w:rsid w:val="00FA6B23"/>
    <w:rsid w:val="00FA6BD0"/>
    <w:rsid w:val="00FA6E72"/>
    <w:rsid w:val="00FA6EAF"/>
    <w:rsid w:val="00FA7315"/>
    <w:rsid w:val="00FA78C1"/>
    <w:rsid w:val="00FA7B86"/>
    <w:rsid w:val="00FA7B8F"/>
    <w:rsid w:val="00FA7C7D"/>
    <w:rsid w:val="00FA7E1F"/>
    <w:rsid w:val="00FA7EE7"/>
    <w:rsid w:val="00FB0308"/>
    <w:rsid w:val="00FB0A3F"/>
    <w:rsid w:val="00FB0B28"/>
    <w:rsid w:val="00FB0DFB"/>
    <w:rsid w:val="00FB0E21"/>
    <w:rsid w:val="00FB1413"/>
    <w:rsid w:val="00FB1416"/>
    <w:rsid w:val="00FB1452"/>
    <w:rsid w:val="00FB1576"/>
    <w:rsid w:val="00FB15C3"/>
    <w:rsid w:val="00FB1839"/>
    <w:rsid w:val="00FB1AEB"/>
    <w:rsid w:val="00FB1B0F"/>
    <w:rsid w:val="00FB1CD2"/>
    <w:rsid w:val="00FB1F0E"/>
    <w:rsid w:val="00FB1F78"/>
    <w:rsid w:val="00FB230D"/>
    <w:rsid w:val="00FB2317"/>
    <w:rsid w:val="00FB236C"/>
    <w:rsid w:val="00FB244B"/>
    <w:rsid w:val="00FB2770"/>
    <w:rsid w:val="00FB287F"/>
    <w:rsid w:val="00FB289C"/>
    <w:rsid w:val="00FB2954"/>
    <w:rsid w:val="00FB2A0A"/>
    <w:rsid w:val="00FB2B13"/>
    <w:rsid w:val="00FB2F33"/>
    <w:rsid w:val="00FB2F43"/>
    <w:rsid w:val="00FB2FA0"/>
    <w:rsid w:val="00FB34E0"/>
    <w:rsid w:val="00FB35B1"/>
    <w:rsid w:val="00FB386E"/>
    <w:rsid w:val="00FB3899"/>
    <w:rsid w:val="00FB3A34"/>
    <w:rsid w:val="00FB3E77"/>
    <w:rsid w:val="00FB4026"/>
    <w:rsid w:val="00FB41F5"/>
    <w:rsid w:val="00FB460A"/>
    <w:rsid w:val="00FB464E"/>
    <w:rsid w:val="00FB4C51"/>
    <w:rsid w:val="00FB4E37"/>
    <w:rsid w:val="00FB4E69"/>
    <w:rsid w:val="00FB4EF9"/>
    <w:rsid w:val="00FB5289"/>
    <w:rsid w:val="00FB5401"/>
    <w:rsid w:val="00FB5483"/>
    <w:rsid w:val="00FB54E9"/>
    <w:rsid w:val="00FB57CD"/>
    <w:rsid w:val="00FB580A"/>
    <w:rsid w:val="00FB5CB0"/>
    <w:rsid w:val="00FB6186"/>
    <w:rsid w:val="00FB62B4"/>
    <w:rsid w:val="00FB6386"/>
    <w:rsid w:val="00FB65FE"/>
    <w:rsid w:val="00FB6638"/>
    <w:rsid w:val="00FB6CF7"/>
    <w:rsid w:val="00FB7058"/>
    <w:rsid w:val="00FB71A3"/>
    <w:rsid w:val="00FB7363"/>
    <w:rsid w:val="00FB7524"/>
    <w:rsid w:val="00FB75B1"/>
    <w:rsid w:val="00FB75C5"/>
    <w:rsid w:val="00FB75CA"/>
    <w:rsid w:val="00FB7802"/>
    <w:rsid w:val="00FB7A78"/>
    <w:rsid w:val="00FB7B0C"/>
    <w:rsid w:val="00FB7CE0"/>
    <w:rsid w:val="00FB7D0C"/>
    <w:rsid w:val="00FC006B"/>
    <w:rsid w:val="00FC0363"/>
    <w:rsid w:val="00FC0598"/>
    <w:rsid w:val="00FC0744"/>
    <w:rsid w:val="00FC08FB"/>
    <w:rsid w:val="00FC0DF7"/>
    <w:rsid w:val="00FC117D"/>
    <w:rsid w:val="00FC14FF"/>
    <w:rsid w:val="00FC16BF"/>
    <w:rsid w:val="00FC1702"/>
    <w:rsid w:val="00FC1767"/>
    <w:rsid w:val="00FC1BC0"/>
    <w:rsid w:val="00FC1C5D"/>
    <w:rsid w:val="00FC208B"/>
    <w:rsid w:val="00FC2207"/>
    <w:rsid w:val="00FC228E"/>
    <w:rsid w:val="00FC23ED"/>
    <w:rsid w:val="00FC24C4"/>
    <w:rsid w:val="00FC2B33"/>
    <w:rsid w:val="00FC3FC6"/>
    <w:rsid w:val="00FC402E"/>
    <w:rsid w:val="00FC4086"/>
    <w:rsid w:val="00FC415C"/>
    <w:rsid w:val="00FC431B"/>
    <w:rsid w:val="00FC4466"/>
    <w:rsid w:val="00FC48AD"/>
    <w:rsid w:val="00FC4987"/>
    <w:rsid w:val="00FC4CF9"/>
    <w:rsid w:val="00FC4D93"/>
    <w:rsid w:val="00FC51F1"/>
    <w:rsid w:val="00FC54B5"/>
    <w:rsid w:val="00FC5645"/>
    <w:rsid w:val="00FC566C"/>
    <w:rsid w:val="00FC57DD"/>
    <w:rsid w:val="00FC58A2"/>
    <w:rsid w:val="00FC59F6"/>
    <w:rsid w:val="00FC5C91"/>
    <w:rsid w:val="00FC5CD4"/>
    <w:rsid w:val="00FC5D9B"/>
    <w:rsid w:val="00FC5F81"/>
    <w:rsid w:val="00FC6089"/>
    <w:rsid w:val="00FC6183"/>
    <w:rsid w:val="00FC63EF"/>
    <w:rsid w:val="00FC64DD"/>
    <w:rsid w:val="00FC6A6E"/>
    <w:rsid w:val="00FC6C5F"/>
    <w:rsid w:val="00FC6F63"/>
    <w:rsid w:val="00FC722F"/>
    <w:rsid w:val="00FC7249"/>
    <w:rsid w:val="00FC7323"/>
    <w:rsid w:val="00FC7A00"/>
    <w:rsid w:val="00FC7FCF"/>
    <w:rsid w:val="00FD033E"/>
    <w:rsid w:val="00FD05A3"/>
    <w:rsid w:val="00FD05AF"/>
    <w:rsid w:val="00FD084B"/>
    <w:rsid w:val="00FD0889"/>
    <w:rsid w:val="00FD0B5C"/>
    <w:rsid w:val="00FD0BEB"/>
    <w:rsid w:val="00FD0D0B"/>
    <w:rsid w:val="00FD0E98"/>
    <w:rsid w:val="00FD0EEF"/>
    <w:rsid w:val="00FD0F90"/>
    <w:rsid w:val="00FD1310"/>
    <w:rsid w:val="00FD16FA"/>
    <w:rsid w:val="00FD1838"/>
    <w:rsid w:val="00FD19E4"/>
    <w:rsid w:val="00FD19FF"/>
    <w:rsid w:val="00FD1AE5"/>
    <w:rsid w:val="00FD1DBC"/>
    <w:rsid w:val="00FD1DC8"/>
    <w:rsid w:val="00FD1EB1"/>
    <w:rsid w:val="00FD2809"/>
    <w:rsid w:val="00FD2926"/>
    <w:rsid w:val="00FD33E1"/>
    <w:rsid w:val="00FD346D"/>
    <w:rsid w:val="00FD37FB"/>
    <w:rsid w:val="00FD3A86"/>
    <w:rsid w:val="00FD3D28"/>
    <w:rsid w:val="00FD41BF"/>
    <w:rsid w:val="00FD4425"/>
    <w:rsid w:val="00FD4469"/>
    <w:rsid w:val="00FD4592"/>
    <w:rsid w:val="00FD49F2"/>
    <w:rsid w:val="00FD4A3E"/>
    <w:rsid w:val="00FD4C20"/>
    <w:rsid w:val="00FD4C72"/>
    <w:rsid w:val="00FD4D0C"/>
    <w:rsid w:val="00FD4D9A"/>
    <w:rsid w:val="00FD4E4A"/>
    <w:rsid w:val="00FD4FCE"/>
    <w:rsid w:val="00FD5118"/>
    <w:rsid w:val="00FD5344"/>
    <w:rsid w:val="00FD54D9"/>
    <w:rsid w:val="00FD562E"/>
    <w:rsid w:val="00FD5EDA"/>
    <w:rsid w:val="00FD5F8B"/>
    <w:rsid w:val="00FD6115"/>
    <w:rsid w:val="00FD61F1"/>
    <w:rsid w:val="00FD65B0"/>
    <w:rsid w:val="00FD6788"/>
    <w:rsid w:val="00FD6B58"/>
    <w:rsid w:val="00FD6C5D"/>
    <w:rsid w:val="00FD6E9A"/>
    <w:rsid w:val="00FD7028"/>
    <w:rsid w:val="00FD761E"/>
    <w:rsid w:val="00FD7656"/>
    <w:rsid w:val="00FD77CD"/>
    <w:rsid w:val="00FD7D1F"/>
    <w:rsid w:val="00FD7D60"/>
    <w:rsid w:val="00FD7DDE"/>
    <w:rsid w:val="00FD7DF7"/>
    <w:rsid w:val="00FD7E55"/>
    <w:rsid w:val="00FE0120"/>
    <w:rsid w:val="00FE040D"/>
    <w:rsid w:val="00FE0649"/>
    <w:rsid w:val="00FE08AD"/>
    <w:rsid w:val="00FE09E0"/>
    <w:rsid w:val="00FE0A4B"/>
    <w:rsid w:val="00FE0C76"/>
    <w:rsid w:val="00FE0C7B"/>
    <w:rsid w:val="00FE0C99"/>
    <w:rsid w:val="00FE0F4D"/>
    <w:rsid w:val="00FE0F83"/>
    <w:rsid w:val="00FE0FDC"/>
    <w:rsid w:val="00FE16DE"/>
    <w:rsid w:val="00FE1AC4"/>
    <w:rsid w:val="00FE1EF9"/>
    <w:rsid w:val="00FE1F2E"/>
    <w:rsid w:val="00FE22B4"/>
    <w:rsid w:val="00FE2794"/>
    <w:rsid w:val="00FE2A6E"/>
    <w:rsid w:val="00FE2C7F"/>
    <w:rsid w:val="00FE3128"/>
    <w:rsid w:val="00FE314A"/>
    <w:rsid w:val="00FE3602"/>
    <w:rsid w:val="00FE3689"/>
    <w:rsid w:val="00FE36C6"/>
    <w:rsid w:val="00FE3726"/>
    <w:rsid w:val="00FE38EE"/>
    <w:rsid w:val="00FE39FF"/>
    <w:rsid w:val="00FE3D7A"/>
    <w:rsid w:val="00FE3DC0"/>
    <w:rsid w:val="00FE4077"/>
    <w:rsid w:val="00FE413B"/>
    <w:rsid w:val="00FE4424"/>
    <w:rsid w:val="00FE45F0"/>
    <w:rsid w:val="00FE467B"/>
    <w:rsid w:val="00FE472E"/>
    <w:rsid w:val="00FE4806"/>
    <w:rsid w:val="00FE4809"/>
    <w:rsid w:val="00FE48A8"/>
    <w:rsid w:val="00FE4902"/>
    <w:rsid w:val="00FE4B06"/>
    <w:rsid w:val="00FE4B93"/>
    <w:rsid w:val="00FE4DC8"/>
    <w:rsid w:val="00FE4EF8"/>
    <w:rsid w:val="00FE4F2E"/>
    <w:rsid w:val="00FE51F6"/>
    <w:rsid w:val="00FE5629"/>
    <w:rsid w:val="00FE587A"/>
    <w:rsid w:val="00FE58FC"/>
    <w:rsid w:val="00FE5AA7"/>
    <w:rsid w:val="00FE5AED"/>
    <w:rsid w:val="00FE5B1F"/>
    <w:rsid w:val="00FE5C79"/>
    <w:rsid w:val="00FE5CFE"/>
    <w:rsid w:val="00FE5D3C"/>
    <w:rsid w:val="00FE5DE3"/>
    <w:rsid w:val="00FE5E94"/>
    <w:rsid w:val="00FE5F1C"/>
    <w:rsid w:val="00FE62FB"/>
    <w:rsid w:val="00FE639F"/>
    <w:rsid w:val="00FE65FC"/>
    <w:rsid w:val="00FE662D"/>
    <w:rsid w:val="00FE6834"/>
    <w:rsid w:val="00FE6C33"/>
    <w:rsid w:val="00FE6D2A"/>
    <w:rsid w:val="00FE6DAC"/>
    <w:rsid w:val="00FE6DBE"/>
    <w:rsid w:val="00FE6DBF"/>
    <w:rsid w:val="00FE6F74"/>
    <w:rsid w:val="00FE7028"/>
    <w:rsid w:val="00FE7230"/>
    <w:rsid w:val="00FE74D1"/>
    <w:rsid w:val="00FE76AB"/>
    <w:rsid w:val="00FE77DC"/>
    <w:rsid w:val="00FE780E"/>
    <w:rsid w:val="00FE7D28"/>
    <w:rsid w:val="00FE7F17"/>
    <w:rsid w:val="00FE7F58"/>
    <w:rsid w:val="00FF0A24"/>
    <w:rsid w:val="00FF0A91"/>
    <w:rsid w:val="00FF0C51"/>
    <w:rsid w:val="00FF100D"/>
    <w:rsid w:val="00FF1075"/>
    <w:rsid w:val="00FF136F"/>
    <w:rsid w:val="00FF174C"/>
    <w:rsid w:val="00FF1A6E"/>
    <w:rsid w:val="00FF1A9F"/>
    <w:rsid w:val="00FF2123"/>
    <w:rsid w:val="00FF21AC"/>
    <w:rsid w:val="00FF2470"/>
    <w:rsid w:val="00FF2599"/>
    <w:rsid w:val="00FF26B2"/>
    <w:rsid w:val="00FF26BE"/>
    <w:rsid w:val="00FF272A"/>
    <w:rsid w:val="00FF2817"/>
    <w:rsid w:val="00FF28F6"/>
    <w:rsid w:val="00FF2A01"/>
    <w:rsid w:val="00FF2BB9"/>
    <w:rsid w:val="00FF2BDA"/>
    <w:rsid w:val="00FF2D1D"/>
    <w:rsid w:val="00FF32FF"/>
    <w:rsid w:val="00FF37DA"/>
    <w:rsid w:val="00FF3A2F"/>
    <w:rsid w:val="00FF3B41"/>
    <w:rsid w:val="00FF426B"/>
    <w:rsid w:val="00FF45D1"/>
    <w:rsid w:val="00FF4AEF"/>
    <w:rsid w:val="00FF4B0A"/>
    <w:rsid w:val="00FF4CC2"/>
    <w:rsid w:val="00FF4E35"/>
    <w:rsid w:val="00FF5370"/>
    <w:rsid w:val="00FF53D6"/>
    <w:rsid w:val="00FF55A3"/>
    <w:rsid w:val="00FF5694"/>
    <w:rsid w:val="00FF57D3"/>
    <w:rsid w:val="00FF5BC0"/>
    <w:rsid w:val="00FF5C14"/>
    <w:rsid w:val="00FF5DE2"/>
    <w:rsid w:val="00FF5FD9"/>
    <w:rsid w:val="00FF6173"/>
    <w:rsid w:val="00FF619E"/>
    <w:rsid w:val="00FF6477"/>
    <w:rsid w:val="00FF67F8"/>
    <w:rsid w:val="00FF6892"/>
    <w:rsid w:val="00FF6B8B"/>
    <w:rsid w:val="00FF6BB3"/>
    <w:rsid w:val="00FF70CF"/>
    <w:rsid w:val="00FF743F"/>
    <w:rsid w:val="00FF74BF"/>
    <w:rsid w:val="00FF75B9"/>
    <w:rsid w:val="00FF79FA"/>
    <w:rsid w:val="00FF7D01"/>
    <w:rsid w:val="0103009C"/>
    <w:rsid w:val="010914E1"/>
    <w:rsid w:val="0127B2A2"/>
    <w:rsid w:val="01401833"/>
    <w:rsid w:val="01523355"/>
    <w:rsid w:val="015BB105"/>
    <w:rsid w:val="015D3264"/>
    <w:rsid w:val="01767B2F"/>
    <w:rsid w:val="018183B5"/>
    <w:rsid w:val="01853856"/>
    <w:rsid w:val="018CD248"/>
    <w:rsid w:val="019B5924"/>
    <w:rsid w:val="019ED92C"/>
    <w:rsid w:val="01A7EA90"/>
    <w:rsid w:val="01A7EEC2"/>
    <w:rsid w:val="01A7FA78"/>
    <w:rsid w:val="01B36235"/>
    <w:rsid w:val="01D9CA92"/>
    <w:rsid w:val="01DB6139"/>
    <w:rsid w:val="01DBEA97"/>
    <w:rsid w:val="01DD5849"/>
    <w:rsid w:val="01DE16AB"/>
    <w:rsid w:val="01DF4DCB"/>
    <w:rsid w:val="01E0FF02"/>
    <w:rsid w:val="01E72B1E"/>
    <w:rsid w:val="01ED4BE2"/>
    <w:rsid w:val="01F8CBD9"/>
    <w:rsid w:val="01FA8A3E"/>
    <w:rsid w:val="01FDC10A"/>
    <w:rsid w:val="01FDCA82"/>
    <w:rsid w:val="01FE2D51"/>
    <w:rsid w:val="021309CB"/>
    <w:rsid w:val="021FA7C0"/>
    <w:rsid w:val="022A1250"/>
    <w:rsid w:val="022CD2DA"/>
    <w:rsid w:val="02404D66"/>
    <w:rsid w:val="02451886"/>
    <w:rsid w:val="0263D2C4"/>
    <w:rsid w:val="026E2D01"/>
    <w:rsid w:val="026EDDDE"/>
    <w:rsid w:val="027584C5"/>
    <w:rsid w:val="02759D38"/>
    <w:rsid w:val="02844CCB"/>
    <w:rsid w:val="0294A218"/>
    <w:rsid w:val="0297A5F6"/>
    <w:rsid w:val="029AEA26"/>
    <w:rsid w:val="029B9772"/>
    <w:rsid w:val="02A9CF00"/>
    <w:rsid w:val="02C31CC3"/>
    <w:rsid w:val="02CB5E1B"/>
    <w:rsid w:val="02D288B5"/>
    <w:rsid w:val="02D42892"/>
    <w:rsid w:val="02D5508A"/>
    <w:rsid w:val="02E1E59C"/>
    <w:rsid w:val="02EAD1BB"/>
    <w:rsid w:val="030DD6DF"/>
    <w:rsid w:val="0322B149"/>
    <w:rsid w:val="03324D8F"/>
    <w:rsid w:val="03359CA7"/>
    <w:rsid w:val="0338981C"/>
    <w:rsid w:val="033A4C43"/>
    <w:rsid w:val="033B64D9"/>
    <w:rsid w:val="033ED0A7"/>
    <w:rsid w:val="0340F2D5"/>
    <w:rsid w:val="03485E42"/>
    <w:rsid w:val="034EEF12"/>
    <w:rsid w:val="03610914"/>
    <w:rsid w:val="0365C019"/>
    <w:rsid w:val="0369B900"/>
    <w:rsid w:val="036A14C8"/>
    <w:rsid w:val="036B23F6"/>
    <w:rsid w:val="036E3848"/>
    <w:rsid w:val="037EA72A"/>
    <w:rsid w:val="0385FA7B"/>
    <w:rsid w:val="03A0E386"/>
    <w:rsid w:val="03AEFB22"/>
    <w:rsid w:val="03CE0629"/>
    <w:rsid w:val="03E139EC"/>
    <w:rsid w:val="03E7B457"/>
    <w:rsid w:val="03F7378B"/>
    <w:rsid w:val="040195F2"/>
    <w:rsid w:val="04021529"/>
    <w:rsid w:val="0403A2F2"/>
    <w:rsid w:val="040E81E8"/>
    <w:rsid w:val="0413C6FE"/>
    <w:rsid w:val="0417392E"/>
    <w:rsid w:val="04180B4D"/>
    <w:rsid w:val="04371A02"/>
    <w:rsid w:val="0438E034"/>
    <w:rsid w:val="043C00E9"/>
    <w:rsid w:val="043DE657"/>
    <w:rsid w:val="044D9B5C"/>
    <w:rsid w:val="045034D9"/>
    <w:rsid w:val="04533B91"/>
    <w:rsid w:val="04596B88"/>
    <w:rsid w:val="045D604B"/>
    <w:rsid w:val="045E34A5"/>
    <w:rsid w:val="0463D094"/>
    <w:rsid w:val="04646FD4"/>
    <w:rsid w:val="04738FBC"/>
    <w:rsid w:val="04746173"/>
    <w:rsid w:val="047949AE"/>
    <w:rsid w:val="0482E255"/>
    <w:rsid w:val="0496606C"/>
    <w:rsid w:val="04B2C380"/>
    <w:rsid w:val="04B63286"/>
    <w:rsid w:val="04BFC566"/>
    <w:rsid w:val="04CF8364"/>
    <w:rsid w:val="04DD819F"/>
    <w:rsid w:val="04DFC995"/>
    <w:rsid w:val="04E3D199"/>
    <w:rsid w:val="04E52A11"/>
    <w:rsid w:val="04E921CA"/>
    <w:rsid w:val="04EAD03C"/>
    <w:rsid w:val="04EF5D2C"/>
    <w:rsid w:val="050BCB3F"/>
    <w:rsid w:val="05158FA1"/>
    <w:rsid w:val="05203349"/>
    <w:rsid w:val="052643BC"/>
    <w:rsid w:val="052A05C1"/>
    <w:rsid w:val="052A69F3"/>
    <w:rsid w:val="052BCB2B"/>
    <w:rsid w:val="052D09E4"/>
    <w:rsid w:val="05548927"/>
    <w:rsid w:val="055676B2"/>
    <w:rsid w:val="056DB897"/>
    <w:rsid w:val="056EF221"/>
    <w:rsid w:val="05795D7F"/>
    <w:rsid w:val="057D63FB"/>
    <w:rsid w:val="0583C5DA"/>
    <w:rsid w:val="0588C065"/>
    <w:rsid w:val="058E2539"/>
    <w:rsid w:val="058FD9D1"/>
    <w:rsid w:val="05A57D1F"/>
    <w:rsid w:val="05A891E0"/>
    <w:rsid w:val="05BAD278"/>
    <w:rsid w:val="05CA156D"/>
    <w:rsid w:val="05DB8D04"/>
    <w:rsid w:val="05FBA4E4"/>
    <w:rsid w:val="0602C276"/>
    <w:rsid w:val="061882AF"/>
    <w:rsid w:val="062346C8"/>
    <w:rsid w:val="063A864E"/>
    <w:rsid w:val="063A8E79"/>
    <w:rsid w:val="0643584B"/>
    <w:rsid w:val="065AADFB"/>
    <w:rsid w:val="066A6532"/>
    <w:rsid w:val="066E458D"/>
    <w:rsid w:val="0671ED1D"/>
    <w:rsid w:val="06990176"/>
    <w:rsid w:val="06995FFB"/>
    <w:rsid w:val="069F4864"/>
    <w:rsid w:val="069FE203"/>
    <w:rsid w:val="06AA2322"/>
    <w:rsid w:val="06AF2057"/>
    <w:rsid w:val="06BE7A2D"/>
    <w:rsid w:val="06C6DBB6"/>
    <w:rsid w:val="06EB75F0"/>
    <w:rsid w:val="06F17B15"/>
    <w:rsid w:val="070F65B9"/>
    <w:rsid w:val="071D2BE2"/>
    <w:rsid w:val="07200416"/>
    <w:rsid w:val="07236A08"/>
    <w:rsid w:val="0726A68F"/>
    <w:rsid w:val="07339811"/>
    <w:rsid w:val="07388557"/>
    <w:rsid w:val="073D11B8"/>
    <w:rsid w:val="0745B685"/>
    <w:rsid w:val="074B22A7"/>
    <w:rsid w:val="0760E04E"/>
    <w:rsid w:val="0768C84E"/>
    <w:rsid w:val="07751295"/>
    <w:rsid w:val="077D9C34"/>
    <w:rsid w:val="0788390F"/>
    <w:rsid w:val="078D3FFE"/>
    <w:rsid w:val="0791D38E"/>
    <w:rsid w:val="079264A4"/>
    <w:rsid w:val="079380BB"/>
    <w:rsid w:val="079390B0"/>
    <w:rsid w:val="07967FCD"/>
    <w:rsid w:val="079B6C8B"/>
    <w:rsid w:val="079F1FAB"/>
    <w:rsid w:val="07C000E0"/>
    <w:rsid w:val="07C2F71A"/>
    <w:rsid w:val="07CF0E3B"/>
    <w:rsid w:val="07D9A772"/>
    <w:rsid w:val="07EBE9BF"/>
    <w:rsid w:val="07EEB845"/>
    <w:rsid w:val="07EEF2B9"/>
    <w:rsid w:val="07F4E5FA"/>
    <w:rsid w:val="080157D6"/>
    <w:rsid w:val="08017E1E"/>
    <w:rsid w:val="081A79F7"/>
    <w:rsid w:val="083BBD80"/>
    <w:rsid w:val="083BC55C"/>
    <w:rsid w:val="083E9410"/>
    <w:rsid w:val="084087CB"/>
    <w:rsid w:val="084366F8"/>
    <w:rsid w:val="08531126"/>
    <w:rsid w:val="085C29A9"/>
    <w:rsid w:val="085CE86A"/>
    <w:rsid w:val="087BE14E"/>
    <w:rsid w:val="088037BE"/>
    <w:rsid w:val="0884385C"/>
    <w:rsid w:val="088B21B2"/>
    <w:rsid w:val="088BB6E1"/>
    <w:rsid w:val="089516F3"/>
    <w:rsid w:val="0898BBF0"/>
    <w:rsid w:val="089CA7A9"/>
    <w:rsid w:val="08ADCD3E"/>
    <w:rsid w:val="08B3CEF4"/>
    <w:rsid w:val="08B78932"/>
    <w:rsid w:val="08DFFABE"/>
    <w:rsid w:val="08E0E5AF"/>
    <w:rsid w:val="08E9B7A3"/>
    <w:rsid w:val="091BA448"/>
    <w:rsid w:val="093345A6"/>
    <w:rsid w:val="093B8F92"/>
    <w:rsid w:val="0942D29E"/>
    <w:rsid w:val="09447811"/>
    <w:rsid w:val="09543939"/>
    <w:rsid w:val="09564AA3"/>
    <w:rsid w:val="095DFDD1"/>
    <w:rsid w:val="095E6F6E"/>
    <w:rsid w:val="097CAFE7"/>
    <w:rsid w:val="097D7E74"/>
    <w:rsid w:val="0982DA42"/>
    <w:rsid w:val="0998D3C4"/>
    <w:rsid w:val="09B7B818"/>
    <w:rsid w:val="09CFCA9E"/>
    <w:rsid w:val="09D09F15"/>
    <w:rsid w:val="09D4D336"/>
    <w:rsid w:val="09D628A8"/>
    <w:rsid w:val="09EBFA63"/>
    <w:rsid w:val="09F43150"/>
    <w:rsid w:val="09FA9A23"/>
    <w:rsid w:val="0A0222DC"/>
    <w:rsid w:val="0A0EA9DE"/>
    <w:rsid w:val="0A17CA56"/>
    <w:rsid w:val="0A19E602"/>
    <w:rsid w:val="0A1EBAD0"/>
    <w:rsid w:val="0A242916"/>
    <w:rsid w:val="0A438030"/>
    <w:rsid w:val="0A465CE4"/>
    <w:rsid w:val="0A5EB0CA"/>
    <w:rsid w:val="0A666168"/>
    <w:rsid w:val="0A746E6C"/>
    <w:rsid w:val="0A8EC10E"/>
    <w:rsid w:val="0A980837"/>
    <w:rsid w:val="0A989FBC"/>
    <w:rsid w:val="0AA6A0E2"/>
    <w:rsid w:val="0AA93DC4"/>
    <w:rsid w:val="0AC9274D"/>
    <w:rsid w:val="0AD287D2"/>
    <w:rsid w:val="0AD992B1"/>
    <w:rsid w:val="0AE08E47"/>
    <w:rsid w:val="0AEBDCA7"/>
    <w:rsid w:val="0B010A03"/>
    <w:rsid w:val="0B083A61"/>
    <w:rsid w:val="0B172F26"/>
    <w:rsid w:val="0B3154BE"/>
    <w:rsid w:val="0B32091F"/>
    <w:rsid w:val="0B3522BA"/>
    <w:rsid w:val="0B389AF2"/>
    <w:rsid w:val="0B44504D"/>
    <w:rsid w:val="0B5D3CB9"/>
    <w:rsid w:val="0B6ACAA1"/>
    <w:rsid w:val="0B74BAC2"/>
    <w:rsid w:val="0B762472"/>
    <w:rsid w:val="0B7CEE73"/>
    <w:rsid w:val="0B84B1DE"/>
    <w:rsid w:val="0BAC92F4"/>
    <w:rsid w:val="0BAE1349"/>
    <w:rsid w:val="0BAE1B7B"/>
    <w:rsid w:val="0BBFEC8D"/>
    <w:rsid w:val="0BC8EEDF"/>
    <w:rsid w:val="0BD21212"/>
    <w:rsid w:val="0BD7D75D"/>
    <w:rsid w:val="0BEA31B7"/>
    <w:rsid w:val="0BF48852"/>
    <w:rsid w:val="0BFEB0CC"/>
    <w:rsid w:val="0C12B641"/>
    <w:rsid w:val="0C145C54"/>
    <w:rsid w:val="0C15B253"/>
    <w:rsid w:val="0C18BD90"/>
    <w:rsid w:val="0C2F1AA4"/>
    <w:rsid w:val="0C338823"/>
    <w:rsid w:val="0C415A23"/>
    <w:rsid w:val="0C50E2F2"/>
    <w:rsid w:val="0C538162"/>
    <w:rsid w:val="0C556269"/>
    <w:rsid w:val="0C58B333"/>
    <w:rsid w:val="0C6CB877"/>
    <w:rsid w:val="0C6F6F60"/>
    <w:rsid w:val="0C7BD9D0"/>
    <w:rsid w:val="0C944EF6"/>
    <w:rsid w:val="0C9AC030"/>
    <w:rsid w:val="0C9F78DF"/>
    <w:rsid w:val="0CB7E9D2"/>
    <w:rsid w:val="0CC012AD"/>
    <w:rsid w:val="0CC5FDA3"/>
    <w:rsid w:val="0CDA9339"/>
    <w:rsid w:val="0CE7C1A2"/>
    <w:rsid w:val="0CE9F5D6"/>
    <w:rsid w:val="0CEAFDEC"/>
    <w:rsid w:val="0CEB3613"/>
    <w:rsid w:val="0CEFE184"/>
    <w:rsid w:val="0D113796"/>
    <w:rsid w:val="0D19B653"/>
    <w:rsid w:val="0D1C33F9"/>
    <w:rsid w:val="0D2978B8"/>
    <w:rsid w:val="0D2B02FC"/>
    <w:rsid w:val="0D301D9B"/>
    <w:rsid w:val="0D33DD08"/>
    <w:rsid w:val="0D36E26F"/>
    <w:rsid w:val="0D3E5F53"/>
    <w:rsid w:val="0D4095DE"/>
    <w:rsid w:val="0D5C35AE"/>
    <w:rsid w:val="0D6B3E7A"/>
    <w:rsid w:val="0D6C0928"/>
    <w:rsid w:val="0D6DDB64"/>
    <w:rsid w:val="0D77D4A2"/>
    <w:rsid w:val="0D7F1CA7"/>
    <w:rsid w:val="0D7F7CC8"/>
    <w:rsid w:val="0D82FEA0"/>
    <w:rsid w:val="0D862D1C"/>
    <w:rsid w:val="0D883D81"/>
    <w:rsid w:val="0D95249D"/>
    <w:rsid w:val="0DA0C37A"/>
    <w:rsid w:val="0DB1B60F"/>
    <w:rsid w:val="0DBA84B5"/>
    <w:rsid w:val="0DD2812E"/>
    <w:rsid w:val="0DE4542D"/>
    <w:rsid w:val="0DF6F372"/>
    <w:rsid w:val="0E02A866"/>
    <w:rsid w:val="0E21E3FE"/>
    <w:rsid w:val="0E27028A"/>
    <w:rsid w:val="0E4263AE"/>
    <w:rsid w:val="0E429F80"/>
    <w:rsid w:val="0E4BEA41"/>
    <w:rsid w:val="0E4EB5BF"/>
    <w:rsid w:val="0E523054"/>
    <w:rsid w:val="0E66FC41"/>
    <w:rsid w:val="0E67097A"/>
    <w:rsid w:val="0E783D07"/>
    <w:rsid w:val="0E7906C2"/>
    <w:rsid w:val="0E8512D5"/>
    <w:rsid w:val="0E9546DD"/>
    <w:rsid w:val="0EBE9ED6"/>
    <w:rsid w:val="0EC7E428"/>
    <w:rsid w:val="0EC7EA89"/>
    <w:rsid w:val="0ECA5419"/>
    <w:rsid w:val="0ECA664D"/>
    <w:rsid w:val="0ED220F9"/>
    <w:rsid w:val="0ED6C784"/>
    <w:rsid w:val="0EF55DAF"/>
    <w:rsid w:val="0EF97383"/>
    <w:rsid w:val="0F085C96"/>
    <w:rsid w:val="0F192656"/>
    <w:rsid w:val="0F1B70BF"/>
    <w:rsid w:val="0F31BC2E"/>
    <w:rsid w:val="0F393DF7"/>
    <w:rsid w:val="0F41A0A0"/>
    <w:rsid w:val="0F4DEFED"/>
    <w:rsid w:val="0F54C2FB"/>
    <w:rsid w:val="0F568700"/>
    <w:rsid w:val="0F69DC2A"/>
    <w:rsid w:val="0F7AEA61"/>
    <w:rsid w:val="0F86821F"/>
    <w:rsid w:val="0F8995E3"/>
    <w:rsid w:val="0F98BF7A"/>
    <w:rsid w:val="0F9E5420"/>
    <w:rsid w:val="0F9FD920"/>
    <w:rsid w:val="0F9FE3A4"/>
    <w:rsid w:val="0FA0E04B"/>
    <w:rsid w:val="0FB3B995"/>
    <w:rsid w:val="0FB851A8"/>
    <w:rsid w:val="0FBA0523"/>
    <w:rsid w:val="0FC1959D"/>
    <w:rsid w:val="0FE4072E"/>
    <w:rsid w:val="0FE913EC"/>
    <w:rsid w:val="0FFC35D5"/>
    <w:rsid w:val="10046DD7"/>
    <w:rsid w:val="1008DED9"/>
    <w:rsid w:val="100D1A5F"/>
    <w:rsid w:val="101D21DE"/>
    <w:rsid w:val="102271C0"/>
    <w:rsid w:val="102D30D8"/>
    <w:rsid w:val="103D42D3"/>
    <w:rsid w:val="103FBA86"/>
    <w:rsid w:val="1057FF97"/>
    <w:rsid w:val="10586D09"/>
    <w:rsid w:val="105DEA88"/>
    <w:rsid w:val="107AE44E"/>
    <w:rsid w:val="1082A03A"/>
    <w:rsid w:val="108AA578"/>
    <w:rsid w:val="10912D63"/>
    <w:rsid w:val="109D7075"/>
    <w:rsid w:val="10ABD5A9"/>
    <w:rsid w:val="10AC035C"/>
    <w:rsid w:val="10B6D31B"/>
    <w:rsid w:val="10BE5C07"/>
    <w:rsid w:val="10C0517B"/>
    <w:rsid w:val="10C684B1"/>
    <w:rsid w:val="10E66747"/>
    <w:rsid w:val="10F1E469"/>
    <w:rsid w:val="10F8B0FD"/>
    <w:rsid w:val="11049508"/>
    <w:rsid w:val="11070490"/>
    <w:rsid w:val="110976AB"/>
    <w:rsid w:val="110BA8D9"/>
    <w:rsid w:val="110ED7E8"/>
    <w:rsid w:val="1123EEE2"/>
    <w:rsid w:val="11241128"/>
    <w:rsid w:val="113DAED1"/>
    <w:rsid w:val="1153B068"/>
    <w:rsid w:val="115B0DE9"/>
    <w:rsid w:val="1177FCE9"/>
    <w:rsid w:val="11821800"/>
    <w:rsid w:val="119E486E"/>
    <w:rsid w:val="11A93829"/>
    <w:rsid w:val="11B75676"/>
    <w:rsid w:val="11CF1446"/>
    <w:rsid w:val="11D37324"/>
    <w:rsid w:val="11D3F1D0"/>
    <w:rsid w:val="11D866A7"/>
    <w:rsid w:val="11DBFD78"/>
    <w:rsid w:val="11DE681F"/>
    <w:rsid w:val="11E85E1D"/>
    <w:rsid w:val="11EC1145"/>
    <w:rsid w:val="11F8AC0E"/>
    <w:rsid w:val="11FD15F2"/>
    <w:rsid w:val="11FF94F9"/>
    <w:rsid w:val="120860FA"/>
    <w:rsid w:val="120FECB6"/>
    <w:rsid w:val="121E0BF4"/>
    <w:rsid w:val="12208DCF"/>
    <w:rsid w:val="1221DCC8"/>
    <w:rsid w:val="1222275B"/>
    <w:rsid w:val="1227EB37"/>
    <w:rsid w:val="122B9B5C"/>
    <w:rsid w:val="123A6B2D"/>
    <w:rsid w:val="123A80D9"/>
    <w:rsid w:val="12508F63"/>
    <w:rsid w:val="1253EE6C"/>
    <w:rsid w:val="125945A0"/>
    <w:rsid w:val="125D3E67"/>
    <w:rsid w:val="12612A9A"/>
    <w:rsid w:val="1265AA1F"/>
    <w:rsid w:val="126E0A39"/>
    <w:rsid w:val="1274EE3C"/>
    <w:rsid w:val="1282C6C6"/>
    <w:rsid w:val="12906CB9"/>
    <w:rsid w:val="12911CC1"/>
    <w:rsid w:val="1294E201"/>
    <w:rsid w:val="12975C0C"/>
    <w:rsid w:val="12AFEEC3"/>
    <w:rsid w:val="12BCFAC9"/>
    <w:rsid w:val="12C9D458"/>
    <w:rsid w:val="12DBA27B"/>
    <w:rsid w:val="12E0E9EA"/>
    <w:rsid w:val="12E2C0D1"/>
    <w:rsid w:val="12E59A74"/>
    <w:rsid w:val="12EACA98"/>
    <w:rsid w:val="12ED1D6B"/>
    <w:rsid w:val="12EDA5E2"/>
    <w:rsid w:val="12EDC17F"/>
    <w:rsid w:val="12F4AC51"/>
    <w:rsid w:val="12FA9D6B"/>
    <w:rsid w:val="13029F60"/>
    <w:rsid w:val="130774C2"/>
    <w:rsid w:val="130DFE62"/>
    <w:rsid w:val="1312B739"/>
    <w:rsid w:val="131D73AE"/>
    <w:rsid w:val="1324479F"/>
    <w:rsid w:val="1341A15F"/>
    <w:rsid w:val="1342CF8A"/>
    <w:rsid w:val="1344A49D"/>
    <w:rsid w:val="134708D8"/>
    <w:rsid w:val="1348F463"/>
    <w:rsid w:val="1351C9F7"/>
    <w:rsid w:val="13542011"/>
    <w:rsid w:val="1358B93F"/>
    <w:rsid w:val="135C3B02"/>
    <w:rsid w:val="135D2447"/>
    <w:rsid w:val="13647899"/>
    <w:rsid w:val="136598D0"/>
    <w:rsid w:val="13675905"/>
    <w:rsid w:val="13846525"/>
    <w:rsid w:val="1391C078"/>
    <w:rsid w:val="13949ABE"/>
    <w:rsid w:val="139BC99A"/>
    <w:rsid w:val="139D7B15"/>
    <w:rsid w:val="13A8A4E7"/>
    <w:rsid w:val="13A9534F"/>
    <w:rsid w:val="13AAF1BA"/>
    <w:rsid w:val="13AE6F45"/>
    <w:rsid w:val="13AF87DB"/>
    <w:rsid w:val="13B94CEA"/>
    <w:rsid w:val="13BDC5E6"/>
    <w:rsid w:val="13BE1F13"/>
    <w:rsid w:val="13C53AA5"/>
    <w:rsid w:val="13C76DCF"/>
    <w:rsid w:val="13C8C3C6"/>
    <w:rsid w:val="13D00447"/>
    <w:rsid w:val="13F5A100"/>
    <w:rsid w:val="140622CE"/>
    <w:rsid w:val="1407497F"/>
    <w:rsid w:val="1407CA33"/>
    <w:rsid w:val="140BD6BB"/>
    <w:rsid w:val="14116714"/>
    <w:rsid w:val="141C6BA9"/>
    <w:rsid w:val="142E526A"/>
    <w:rsid w:val="142F576F"/>
    <w:rsid w:val="143479E9"/>
    <w:rsid w:val="1445A0A9"/>
    <w:rsid w:val="1454AECD"/>
    <w:rsid w:val="1456151F"/>
    <w:rsid w:val="1456A482"/>
    <w:rsid w:val="145B37F7"/>
    <w:rsid w:val="145B3C87"/>
    <w:rsid w:val="145B94DA"/>
    <w:rsid w:val="145CCB85"/>
    <w:rsid w:val="145D4EF5"/>
    <w:rsid w:val="1461821C"/>
    <w:rsid w:val="1463CF3A"/>
    <w:rsid w:val="1466BA1D"/>
    <w:rsid w:val="1468DA41"/>
    <w:rsid w:val="146CE8E3"/>
    <w:rsid w:val="146F43DF"/>
    <w:rsid w:val="1470CFA0"/>
    <w:rsid w:val="14724E67"/>
    <w:rsid w:val="147E573B"/>
    <w:rsid w:val="148B3F7A"/>
    <w:rsid w:val="148F183E"/>
    <w:rsid w:val="14955FC3"/>
    <w:rsid w:val="149C6B83"/>
    <w:rsid w:val="149CF5BE"/>
    <w:rsid w:val="14A4F1FD"/>
    <w:rsid w:val="14B63496"/>
    <w:rsid w:val="14CE03C6"/>
    <w:rsid w:val="14D6C6A7"/>
    <w:rsid w:val="14D76721"/>
    <w:rsid w:val="14F0B435"/>
    <w:rsid w:val="14F717D3"/>
    <w:rsid w:val="150699CE"/>
    <w:rsid w:val="151402B7"/>
    <w:rsid w:val="15216133"/>
    <w:rsid w:val="152B7C17"/>
    <w:rsid w:val="15436B3E"/>
    <w:rsid w:val="154B7D19"/>
    <w:rsid w:val="1553731C"/>
    <w:rsid w:val="155422A8"/>
    <w:rsid w:val="155873D9"/>
    <w:rsid w:val="155AADE3"/>
    <w:rsid w:val="155C641D"/>
    <w:rsid w:val="15621703"/>
    <w:rsid w:val="156747C5"/>
    <w:rsid w:val="15695E01"/>
    <w:rsid w:val="156BB864"/>
    <w:rsid w:val="15786D35"/>
    <w:rsid w:val="157E9179"/>
    <w:rsid w:val="15860DA7"/>
    <w:rsid w:val="158B010B"/>
    <w:rsid w:val="158D917D"/>
    <w:rsid w:val="159822AF"/>
    <w:rsid w:val="15A8680B"/>
    <w:rsid w:val="15B52D35"/>
    <w:rsid w:val="15BFEFFB"/>
    <w:rsid w:val="15C17BB8"/>
    <w:rsid w:val="15C379C3"/>
    <w:rsid w:val="15EC617F"/>
    <w:rsid w:val="15F908CE"/>
    <w:rsid w:val="15FA6415"/>
    <w:rsid w:val="15FAD7D8"/>
    <w:rsid w:val="16001411"/>
    <w:rsid w:val="160674A5"/>
    <w:rsid w:val="162BC640"/>
    <w:rsid w:val="16335C3F"/>
    <w:rsid w:val="1663DF11"/>
    <w:rsid w:val="16684222"/>
    <w:rsid w:val="1671AA80"/>
    <w:rsid w:val="167C035D"/>
    <w:rsid w:val="167F614F"/>
    <w:rsid w:val="167FB92A"/>
    <w:rsid w:val="16A66DD8"/>
    <w:rsid w:val="16AD1F76"/>
    <w:rsid w:val="16B4346B"/>
    <w:rsid w:val="16BBE870"/>
    <w:rsid w:val="16D10782"/>
    <w:rsid w:val="16D25D4D"/>
    <w:rsid w:val="16D4F71E"/>
    <w:rsid w:val="16DC3439"/>
    <w:rsid w:val="16DD1C70"/>
    <w:rsid w:val="16DED3F6"/>
    <w:rsid w:val="16E81CD6"/>
    <w:rsid w:val="16EAF1D8"/>
    <w:rsid w:val="16EC8A56"/>
    <w:rsid w:val="16F9CDFA"/>
    <w:rsid w:val="170938AC"/>
    <w:rsid w:val="170C6E8E"/>
    <w:rsid w:val="171262DB"/>
    <w:rsid w:val="1718B441"/>
    <w:rsid w:val="171E7257"/>
    <w:rsid w:val="171F3F6E"/>
    <w:rsid w:val="171F4794"/>
    <w:rsid w:val="1727CD4A"/>
    <w:rsid w:val="172F7EEF"/>
    <w:rsid w:val="1739968E"/>
    <w:rsid w:val="173B0BD1"/>
    <w:rsid w:val="174054F5"/>
    <w:rsid w:val="176641D5"/>
    <w:rsid w:val="176AE3C3"/>
    <w:rsid w:val="176D5AED"/>
    <w:rsid w:val="176F1D9A"/>
    <w:rsid w:val="1771B4EC"/>
    <w:rsid w:val="1777EA9E"/>
    <w:rsid w:val="177A892F"/>
    <w:rsid w:val="17866212"/>
    <w:rsid w:val="17890D7F"/>
    <w:rsid w:val="178CE823"/>
    <w:rsid w:val="17979AEC"/>
    <w:rsid w:val="17A61FCA"/>
    <w:rsid w:val="17A69A6C"/>
    <w:rsid w:val="17A98E5C"/>
    <w:rsid w:val="17AC44E1"/>
    <w:rsid w:val="17B2FBF2"/>
    <w:rsid w:val="17B54146"/>
    <w:rsid w:val="17B68B8F"/>
    <w:rsid w:val="17D0CA8C"/>
    <w:rsid w:val="17D2494A"/>
    <w:rsid w:val="17D42E6A"/>
    <w:rsid w:val="17E02DEF"/>
    <w:rsid w:val="17E99B9A"/>
    <w:rsid w:val="17F04A08"/>
    <w:rsid w:val="17F2B88E"/>
    <w:rsid w:val="17F634AE"/>
    <w:rsid w:val="17FDADA3"/>
    <w:rsid w:val="17FEE251"/>
    <w:rsid w:val="1802C39C"/>
    <w:rsid w:val="1806D24C"/>
    <w:rsid w:val="18076B04"/>
    <w:rsid w:val="180781E4"/>
    <w:rsid w:val="1808765A"/>
    <w:rsid w:val="180CC699"/>
    <w:rsid w:val="1814B9FF"/>
    <w:rsid w:val="1815F935"/>
    <w:rsid w:val="181A5E05"/>
    <w:rsid w:val="18324E56"/>
    <w:rsid w:val="18386215"/>
    <w:rsid w:val="183CCAC9"/>
    <w:rsid w:val="183E17D5"/>
    <w:rsid w:val="183E8F83"/>
    <w:rsid w:val="1840324A"/>
    <w:rsid w:val="1845DC1C"/>
    <w:rsid w:val="18518423"/>
    <w:rsid w:val="1851CE9B"/>
    <w:rsid w:val="18559A50"/>
    <w:rsid w:val="1865FCAF"/>
    <w:rsid w:val="18689D78"/>
    <w:rsid w:val="186A7210"/>
    <w:rsid w:val="186B226C"/>
    <w:rsid w:val="1878A542"/>
    <w:rsid w:val="188CC783"/>
    <w:rsid w:val="189F83FA"/>
    <w:rsid w:val="18AAB37B"/>
    <w:rsid w:val="18B1E972"/>
    <w:rsid w:val="18BBF1BF"/>
    <w:rsid w:val="18BCBBD9"/>
    <w:rsid w:val="18CB6A56"/>
    <w:rsid w:val="18CEB1E5"/>
    <w:rsid w:val="18D0BC9C"/>
    <w:rsid w:val="18DAB256"/>
    <w:rsid w:val="18DC0D59"/>
    <w:rsid w:val="18E17F5D"/>
    <w:rsid w:val="18E2C62A"/>
    <w:rsid w:val="18F109CE"/>
    <w:rsid w:val="191993F3"/>
    <w:rsid w:val="19264DD0"/>
    <w:rsid w:val="192E9876"/>
    <w:rsid w:val="19312BD9"/>
    <w:rsid w:val="19437D70"/>
    <w:rsid w:val="194DB798"/>
    <w:rsid w:val="194E17B0"/>
    <w:rsid w:val="194E2C9E"/>
    <w:rsid w:val="19570271"/>
    <w:rsid w:val="195AC6C9"/>
    <w:rsid w:val="1964A633"/>
    <w:rsid w:val="19653389"/>
    <w:rsid w:val="1973F5E4"/>
    <w:rsid w:val="1981FC76"/>
    <w:rsid w:val="1990B6D1"/>
    <w:rsid w:val="19AC87E5"/>
    <w:rsid w:val="19AFDE47"/>
    <w:rsid w:val="19C9447D"/>
    <w:rsid w:val="19CD0851"/>
    <w:rsid w:val="19D81ECD"/>
    <w:rsid w:val="19F07051"/>
    <w:rsid w:val="19F3AAAC"/>
    <w:rsid w:val="19F77AD8"/>
    <w:rsid w:val="1A0D5C0B"/>
    <w:rsid w:val="1A125B69"/>
    <w:rsid w:val="1A1F753D"/>
    <w:rsid w:val="1A20809B"/>
    <w:rsid w:val="1A288661"/>
    <w:rsid w:val="1A33FBB0"/>
    <w:rsid w:val="1A44F818"/>
    <w:rsid w:val="1A4F4A8A"/>
    <w:rsid w:val="1A5324A0"/>
    <w:rsid w:val="1A5608DD"/>
    <w:rsid w:val="1A5F2D1B"/>
    <w:rsid w:val="1A66C31A"/>
    <w:rsid w:val="1A6D10E8"/>
    <w:rsid w:val="1A74805C"/>
    <w:rsid w:val="1A8E9358"/>
    <w:rsid w:val="1A92C153"/>
    <w:rsid w:val="1A9751FA"/>
    <w:rsid w:val="1AA0ABA8"/>
    <w:rsid w:val="1AA3CC3F"/>
    <w:rsid w:val="1AB066B3"/>
    <w:rsid w:val="1AB14DE5"/>
    <w:rsid w:val="1AB4A9AD"/>
    <w:rsid w:val="1AB5260C"/>
    <w:rsid w:val="1AB9F38D"/>
    <w:rsid w:val="1ABB9AE0"/>
    <w:rsid w:val="1AC5249C"/>
    <w:rsid w:val="1ACF8532"/>
    <w:rsid w:val="1AD6EE87"/>
    <w:rsid w:val="1AEC5DF0"/>
    <w:rsid w:val="1AF88FC1"/>
    <w:rsid w:val="1AFEBB15"/>
    <w:rsid w:val="1B020B59"/>
    <w:rsid w:val="1B04342D"/>
    <w:rsid w:val="1B0C4B2C"/>
    <w:rsid w:val="1B115A16"/>
    <w:rsid w:val="1B118CCF"/>
    <w:rsid w:val="1B124DEB"/>
    <w:rsid w:val="1B284747"/>
    <w:rsid w:val="1B2C00B1"/>
    <w:rsid w:val="1B3B3F83"/>
    <w:rsid w:val="1B3C7014"/>
    <w:rsid w:val="1B47624D"/>
    <w:rsid w:val="1B5211B0"/>
    <w:rsid w:val="1B5F2D05"/>
    <w:rsid w:val="1B69666E"/>
    <w:rsid w:val="1B6B70D2"/>
    <w:rsid w:val="1B72F176"/>
    <w:rsid w:val="1B788F5A"/>
    <w:rsid w:val="1B79E43A"/>
    <w:rsid w:val="1B843771"/>
    <w:rsid w:val="1B8C5C8C"/>
    <w:rsid w:val="1B961E90"/>
    <w:rsid w:val="1BA19C97"/>
    <w:rsid w:val="1BAAFB3D"/>
    <w:rsid w:val="1BB96FBA"/>
    <w:rsid w:val="1BC05632"/>
    <w:rsid w:val="1BCB9FEB"/>
    <w:rsid w:val="1BCDB360"/>
    <w:rsid w:val="1BD6BFB4"/>
    <w:rsid w:val="1BDB7413"/>
    <w:rsid w:val="1C19EFE5"/>
    <w:rsid w:val="1C1A490D"/>
    <w:rsid w:val="1C3377D9"/>
    <w:rsid w:val="1C3436CF"/>
    <w:rsid w:val="1C36B4AD"/>
    <w:rsid w:val="1C376FA3"/>
    <w:rsid w:val="1C465130"/>
    <w:rsid w:val="1C4D2513"/>
    <w:rsid w:val="1C563AB4"/>
    <w:rsid w:val="1C5FD375"/>
    <w:rsid w:val="1C64A53F"/>
    <w:rsid w:val="1C67C489"/>
    <w:rsid w:val="1C6A1C4E"/>
    <w:rsid w:val="1C6CC6BC"/>
    <w:rsid w:val="1C7E2444"/>
    <w:rsid w:val="1C7EB1C1"/>
    <w:rsid w:val="1C8101C6"/>
    <w:rsid w:val="1C93F3FC"/>
    <w:rsid w:val="1C9FE35E"/>
    <w:rsid w:val="1CA071E2"/>
    <w:rsid w:val="1CA23BF9"/>
    <w:rsid w:val="1CA349B1"/>
    <w:rsid w:val="1CA59F34"/>
    <w:rsid w:val="1CB174D8"/>
    <w:rsid w:val="1CBCC484"/>
    <w:rsid w:val="1CCA32DD"/>
    <w:rsid w:val="1CD5F802"/>
    <w:rsid w:val="1CE8632C"/>
    <w:rsid w:val="1CEAF771"/>
    <w:rsid w:val="1CF5E0A3"/>
    <w:rsid w:val="1D103BEC"/>
    <w:rsid w:val="1D15B278"/>
    <w:rsid w:val="1D2B8183"/>
    <w:rsid w:val="1D2CE270"/>
    <w:rsid w:val="1D59F679"/>
    <w:rsid w:val="1D7ABC60"/>
    <w:rsid w:val="1D7D04AB"/>
    <w:rsid w:val="1D97FD6C"/>
    <w:rsid w:val="1D99E518"/>
    <w:rsid w:val="1DA11F5F"/>
    <w:rsid w:val="1DA29D2A"/>
    <w:rsid w:val="1DC3EFA1"/>
    <w:rsid w:val="1DEB1559"/>
    <w:rsid w:val="1DEC7939"/>
    <w:rsid w:val="1DEDB6E8"/>
    <w:rsid w:val="1E08AEEF"/>
    <w:rsid w:val="1E152CB5"/>
    <w:rsid w:val="1E2064A9"/>
    <w:rsid w:val="1E24FAF3"/>
    <w:rsid w:val="1E2BEF0D"/>
    <w:rsid w:val="1E33536F"/>
    <w:rsid w:val="1E3361EE"/>
    <w:rsid w:val="1E3C2AA5"/>
    <w:rsid w:val="1E3C67CB"/>
    <w:rsid w:val="1E45B617"/>
    <w:rsid w:val="1E4BD1E5"/>
    <w:rsid w:val="1E52B35E"/>
    <w:rsid w:val="1E5D38F1"/>
    <w:rsid w:val="1E6552D0"/>
    <w:rsid w:val="1E680358"/>
    <w:rsid w:val="1E6E3B93"/>
    <w:rsid w:val="1E755452"/>
    <w:rsid w:val="1E7E3F64"/>
    <w:rsid w:val="1E808D46"/>
    <w:rsid w:val="1E809163"/>
    <w:rsid w:val="1E8C6B5D"/>
    <w:rsid w:val="1E921D70"/>
    <w:rsid w:val="1E9BEA65"/>
    <w:rsid w:val="1EA10582"/>
    <w:rsid w:val="1EA3A1DA"/>
    <w:rsid w:val="1EA7CDC1"/>
    <w:rsid w:val="1EA95B1C"/>
    <w:rsid w:val="1EB1DDA3"/>
    <w:rsid w:val="1EBC7DB1"/>
    <w:rsid w:val="1EC0D4FF"/>
    <w:rsid w:val="1EC875D4"/>
    <w:rsid w:val="1EE05FAF"/>
    <w:rsid w:val="1EE43BEB"/>
    <w:rsid w:val="1EFA01F5"/>
    <w:rsid w:val="1EFA65D7"/>
    <w:rsid w:val="1EFBD1FE"/>
    <w:rsid w:val="1EFC8217"/>
    <w:rsid w:val="1F04DF88"/>
    <w:rsid w:val="1F2012DD"/>
    <w:rsid w:val="1F307BF2"/>
    <w:rsid w:val="1F3B147F"/>
    <w:rsid w:val="1F466319"/>
    <w:rsid w:val="1F4EAEF5"/>
    <w:rsid w:val="1F504617"/>
    <w:rsid w:val="1F67DFFE"/>
    <w:rsid w:val="1F69A8C9"/>
    <w:rsid w:val="1F714441"/>
    <w:rsid w:val="1F7EC3AE"/>
    <w:rsid w:val="1F8BB53C"/>
    <w:rsid w:val="1F9A9A65"/>
    <w:rsid w:val="1FAC85AE"/>
    <w:rsid w:val="1FAC90BF"/>
    <w:rsid w:val="1FB310AF"/>
    <w:rsid w:val="1FC4B40B"/>
    <w:rsid w:val="1FCB357B"/>
    <w:rsid w:val="1FCFC106"/>
    <w:rsid w:val="1FD95771"/>
    <w:rsid w:val="1FDEC487"/>
    <w:rsid w:val="1FE8D2FB"/>
    <w:rsid w:val="1FE90170"/>
    <w:rsid w:val="1FF58979"/>
    <w:rsid w:val="20050F8E"/>
    <w:rsid w:val="20106F83"/>
    <w:rsid w:val="2010D211"/>
    <w:rsid w:val="202861C4"/>
    <w:rsid w:val="20316C6A"/>
    <w:rsid w:val="203842A1"/>
    <w:rsid w:val="204A694E"/>
    <w:rsid w:val="2050FD0E"/>
    <w:rsid w:val="205CB572"/>
    <w:rsid w:val="20617059"/>
    <w:rsid w:val="20679D27"/>
    <w:rsid w:val="2069DE05"/>
    <w:rsid w:val="206EFFA4"/>
    <w:rsid w:val="207053E3"/>
    <w:rsid w:val="207E5816"/>
    <w:rsid w:val="208E655F"/>
    <w:rsid w:val="2097FB18"/>
    <w:rsid w:val="20B85356"/>
    <w:rsid w:val="20C5AF4B"/>
    <w:rsid w:val="20C8B050"/>
    <w:rsid w:val="20CA1D1E"/>
    <w:rsid w:val="20CC4C47"/>
    <w:rsid w:val="20D0C38D"/>
    <w:rsid w:val="20D10170"/>
    <w:rsid w:val="20D4D14A"/>
    <w:rsid w:val="20DB0B9A"/>
    <w:rsid w:val="20E7373B"/>
    <w:rsid w:val="20FC94EF"/>
    <w:rsid w:val="20FD58DA"/>
    <w:rsid w:val="21003437"/>
    <w:rsid w:val="2105A908"/>
    <w:rsid w:val="2114F112"/>
    <w:rsid w:val="211A90AE"/>
    <w:rsid w:val="2129B46D"/>
    <w:rsid w:val="212EC324"/>
    <w:rsid w:val="2132B5B9"/>
    <w:rsid w:val="21383028"/>
    <w:rsid w:val="213959C3"/>
    <w:rsid w:val="213CC36E"/>
    <w:rsid w:val="21412424"/>
    <w:rsid w:val="2144AD2B"/>
    <w:rsid w:val="2151ABE1"/>
    <w:rsid w:val="2165AF76"/>
    <w:rsid w:val="2171751E"/>
    <w:rsid w:val="2181A289"/>
    <w:rsid w:val="218E9517"/>
    <w:rsid w:val="2195B71A"/>
    <w:rsid w:val="2199B0F5"/>
    <w:rsid w:val="21A3CBCA"/>
    <w:rsid w:val="21A3F034"/>
    <w:rsid w:val="21A6230F"/>
    <w:rsid w:val="21AB7F42"/>
    <w:rsid w:val="21C600B1"/>
    <w:rsid w:val="21CA84B2"/>
    <w:rsid w:val="21D9329A"/>
    <w:rsid w:val="22071299"/>
    <w:rsid w:val="221CC0E4"/>
    <w:rsid w:val="22380027"/>
    <w:rsid w:val="22437564"/>
    <w:rsid w:val="22470192"/>
    <w:rsid w:val="22493DDE"/>
    <w:rsid w:val="225DC757"/>
    <w:rsid w:val="22733972"/>
    <w:rsid w:val="2290A363"/>
    <w:rsid w:val="2299C498"/>
    <w:rsid w:val="22A084F6"/>
    <w:rsid w:val="22AE8A53"/>
    <w:rsid w:val="22B67615"/>
    <w:rsid w:val="22BEAD3F"/>
    <w:rsid w:val="22CA6BBA"/>
    <w:rsid w:val="22D95D16"/>
    <w:rsid w:val="22E4E5B4"/>
    <w:rsid w:val="22E84C5F"/>
    <w:rsid w:val="22F1CB88"/>
    <w:rsid w:val="23038BAD"/>
    <w:rsid w:val="2309BAA9"/>
    <w:rsid w:val="231372DE"/>
    <w:rsid w:val="2326CA86"/>
    <w:rsid w:val="232C9E11"/>
    <w:rsid w:val="2339EEF5"/>
    <w:rsid w:val="23413AA9"/>
    <w:rsid w:val="2347092E"/>
    <w:rsid w:val="23483434"/>
    <w:rsid w:val="2348983C"/>
    <w:rsid w:val="2348EE70"/>
    <w:rsid w:val="234AB935"/>
    <w:rsid w:val="2350549C"/>
    <w:rsid w:val="235627B5"/>
    <w:rsid w:val="235D83F7"/>
    <w:rsid w:val="23621B37"/>
    <w:rsid w:val="236860A8"/>
    <w:rsid w:val="23720B7D"/>
    <w:rsid w:val="23732E41"/>
    <w:rsid w:val="23747C8D"/>
    <w:rsid w:val="2374F3A6"/>
    <w:rsid w:val="2376773F"/>
    <w:rsid w:val="2376F226"/>
    <w:rsid w:val="23791A29"/>
    <w:rsid w:val="237C0C94"/>
    <w:rsid w:val="23852E02"/>
    <w:rsid w:val="238FF77D"/>
    <w:rsid w:val="23910AD1"/>
    <w:rsid w:val="23914F67"/>
    <w:rsid w:val="2399F2F3"/>
    <w:rsid w:val="239A8DFF"/>
    <w:rsid w:val="239C42B8"/>
    <w:rsid w:val="23A06957"/>
    <w:rsid w:val="23A79E9D"/>
    <w:rsid w:val="23AD1B13"/>
    <w:rsid w:val="23B1A92C"/>
    <w:rsid w:val="23B5A370"/>
    <w:rsid w:val="23C87A48"/>
    <w:rsid w:val="23CDA8EE"/>
    <w:rsid w:val="23D82C9B"/>
    <w:rsid w:val="23F02BB7"/>
    <w:rsid w:val="23F100DE"/>
    <w:rsid w:val="23F46A5D"/>
    <w:rsid w:val="23F786F1"/>
    <w:rsid w:val="240121BA"/>
    <w:rsid w:val="240229D6"/>
    <w:rsid w:val="24163752"/>
    <w:rsid w:val="24182755"/>
    <w:rsid w:val="241AACA0"/>
    <w:rsid w:val="241D7F19"/>
    <w:rsid w:val="2427CE3C"/>
    <w:rsid w:val="24288405"/>
    <w:rsid w:val="242A1186"/>
    <w:rsid w:val="24322BC2"/>
    <w:rsid w:val="24475CDF"/>
    <w:rsid w:val="244C78F7"/>
    <w:rsid w:val="244FF4F5"/>
    <w:rsid w:val="2458CAC3"/>
    <w:rsid w:val="2471DF28"/>
    <w:rsid w:val="247833F2"/>
    <w:rsid w:val="247F487C"/>
    <w:rsid w:val="2481D668"/>
    <w:rsid w:val="2488FB24"/>
    <w:rsid w:val="248F2327"/>
    <w:rsid w:val="24916DEB"/>
    <w:rsid w:val="2498D108"/>
    <w:rsid w:val="24BA4F15"/>
    <w:rsid w:val="24C4ED45"/>
    <w:rsid w:val="24C79D03"/>
    <w:rsid w:val="24D55055"/>
    <w:rsid w:val="24EBBB80"/>
    <w:rsid w:val="24F82475"/>
    <w:rsid w:val="25134DD7"/>
    <w:rsid w:val="25196448"/>
    <w:rsid w:val="251BDADB"/>
    <w:rsid w:val="252F4930"/>
    <w:rsid w:val="253519E4"/>
    <w:rsid w:val="25388739"/>
    <w:rsid w:val="253A93E5"/>
    <w:rsid w:val="2541A651"/>
    <w:rsid w:val="255322C8"/>
    <w:rsid w:val="2556E02C"/>
    <w:rsid w:val="2570D18E"/>
    <w:rsid w:val="2572A247"/>
    <w:rsid w:val="2573E45F"/>
    <w:rsid w:val="2583B61F"/>
    <w:rsid w:val="258642FC"/>
    <w:rsid w:val="2589586B"/>
    <w:rsid w:val="258B77E7"/>
    <w:rsid w:val="25A610A6"/>
    <w:rsid w:val="25AAABCB"/>
    <w:rsid w:val="25BAF5AD"/>
    <w:rsid w:val="25DD2B88"/>
    <w:rsid w:val="25E3FD8F"/>
    <w:rsid w:val="25E9F90F"/>
    <w:rsid w:val="25F7AC5E"/>
    <w:rsid w:val="26162263"/>
    <w:rsid w:val="263C05DB"/>
    <w:rsid w:val="264993E1"/>
    <w:rsid w:val="265A7134"/>
    <w:rsid w:val="265C91AB"/>
    <w:rsid w:val="2666D18F"/>
    <w:rsid w:val="2669A6F2"/>
    <w:rsid w:val="268134AD"/>
    <w:rsid w:val="2684D468"/>
    <w:rsid w:val="268577C7"/>
    <w:rsid w:val="268A4C1E"/>
    <w:rsid w:val="268FD560"/>
    <w:rsid w:val="26A4628B"/>
    <w:rsid w:val="26B365B2"/>
    <w:rsid w:val="26B5D6DB"/>
    <w:rsid w:val="26BBC193"/>
    <w:rsid w:val="26CA1C00"/>
    <w:rsid w:val="26CE1F7E"/>
    <w:rsid w:val="26EAED31"/>
    <w:rsid w:val="26EB996B"/>
    <w:rsid w:val="26F78EC1"/>
    <w:rsid w:val="26FF130D"/>
    <w:rsid w:val="270952B2"/>
    <w:rsid w:val="270E5791"/>
    <w:rsid w:val="2719C5E2"/>
    <w:rsid w:val="271FFF62"/>
    <w:rsid w:val="27220D45"/>
    <w:rsid w:val="2731CAAD"/>
    <w:rsid w:val="2735762C"/>
    <w:rsid w:val="27444B3C"/>
    <w:rsid w:val="27541D10"/>
    <w:rsid w:val="277514C4"/>
    <w:rsid w:val="278347FF"/>
    <w:rsid w:val="27864B56"/>
    <w:rsid w:val="27B327E2"/>
    <w:rsid w:val="27BB39C9"/>
    <w:rsid w:val="27CBE1A1"/>
    <w:rsid w:val="27D7CD44"/>
    <w:rsid w:val="27E7216A"/>
    <w:rsid w:val="28091049"/>
    <w:rsid w:val="28160F91"/>
    <w:rsid w:val="28315A43"/>
    <w:rsid w:val="2832D4A5"/>
    <w:rsid w:val="284EF822"/>
    <w:rsid w:val="28583672"/>
    <w:rsid w:val="28601313"/>
    <w:rsid w:val="28709F0E"/>
    <w:rsid w:val="287D342D"/>
    <w:rsid w:val="288395EC"/>
    <w:rsid w:val="2886F269"/>
    <w:rsid w:val="2893FC55"/>
    <w:rsid w:val="28A584D4"/>
    <w:rsid w:val="28B00DF7"/>
    <w:rsid w:val="28C4271C"/>
    <w:rsid w:val="28CB8DED"/>
    <w:rsid w:val="28D30731"/>
    <w:rsid w:val="28D6C5F0"/>
    <w:rsid w:val="28E1DA94"/>
    <w:rsid w:val="28F40DC2"/>
    <w:rsid w:val="28F8E357"/>
    <w:rsid w:val="290BAB8D"/>
    <w:rsid w:val="290CF171"/>
    <w:rsid w:val="291A70ED"/>
    <w:rsid w:val="291AD172"/>
    <w:rsid w:val="291CA88B"/>
    <w:rsid w:val="2926DB89"/>
    <w:rsid w:val="292E8BC3"/>
    <w:rsid w:val="292ED90B"/>
    <w:rsid w:val="29377F0E"/>
    <w:rsid w:val="293B6F97"/>
    <w:rsid w:val="293C279F"/>
    <w:rsid w:val="29415024"/>
    <w:rsid w:val="2946A0E0"/>
    <w:rsid w:val="295F8079"/>
    <w:rsid w:val="2961675F"/>
    <w:rsid w:val="2964BAEC"/>
    <w:rsid w:val="2964E0F0"/>
    <w:rsid w:val="296F6C31"/>
    <w:rsid w:val="2982E3CA"/>
    <w:rsid w:val="298E0023"/>
    <w:rsid w:val="2990D260"/>
    <w:rsid w:val="29A43E87"/>
    <w:rsid w:val="29AD78FD"/>
    <w:rsid w:val="29B9AD08"/>
    <w:rsid w:val="29C188A5"/>
    <w:rsid w:val="29C3AF55"/>
    <w:rsid w:val="29C59BF0"/>
    <w:rsid w:val="29CBA223"/>
    <w:rsid w:val="29D776EB"/>
    <w:rsid w:val="29DE9A44"/>
    <w:rsid w:val="29DEDBAE"/>
    <w:rsid w:val="29EAB752"/>
    <w:rsid w:val="29EBEC08"/>
    <w:rsid w:val="29EDF2BE"/>
    <w:rsid w:val="29FF0451"/>
    <w:rsid w:val="2A05EF3A"/>
    <w:rsid w:val="2A1478B0"/>
    <w:rsid w:val="2A277C3D"/>
    <w:rsid w:val="2A342D1C"/>
    <w:rsid w:val="2A3741E2"/>
    <w:rsid w:val="2A4521DD"/>
    <w:rsid w:val="2A45BED7"/>
    <w:rsid w:val="2A4D6793"/>
    <w:rsid w:val="2A5C8A34"/>
    <w:rsid w:val="2A6804CF"/>
    <w:rsid w:val="2A718BBA"/>
    <w:rsid w:val="2A775D76"/>
    <w:rsid w:val="2A7CD5CE"/>
    <w:rsid w:val="2A81122F"/>
    <w:rsid w:val="2A9127B6"/>
    <w:rsid w:val="2A9F9A11"/>
    <w:rsid w:val="2AA48CE4"/>
    <w:rsid w:val="2AABC23E"/>
    <w:rsid w:val="2AB0D898"/>
    <w:rsid w:val="2AB4F2C9"/>
    <w:rsid w:val="2AB768EA"/>
    <w:rsid w:val="2AC97CBE"/>
    <w:rsid w:val="2AD2E687"/>
    <w:rsid w:val="2AD4342E"/>
    <w:rsid w:val="2AD7188D"/>
    <w:rsid w:val="2AD99E69"/>
    <w:rsid w:val="2ADA0757"/>
    <w:rsid w:val="2AEFC3A7"/>
    <w:rsid w:val="2AFA8DFC"/>
    <w:rsid w:val="2AFCE41E"/>
    <w:rsid w:val="2B08CF5E"/>
    <w:rsid w:val="2B0C19E9"/>
    <w:rsid w:val="2B2456E5"/>
    <w:rsid w:val="2B29D0BF"/>
    <w:rsid w:val="2B2CD3D3"/>
    <w:rsid w:val="2B2EF5BF"/>
    <w:rsid w:val="2B3093E0"/>
    <w:rsid w:val="2B342E0C"/>
    <w:rsid w:val="2B4EE19A"/>
    <w:rsid w:val="2B4EEDD5"/>
    <w:rsid w:val="2B5EE1AA"/>
    <w:rsid w:val="2B63E72E"/>
    <w:rsid w:val="2B686628"/>
    <w:rsid w:val="2B699A3A"/>
    <w:rsid w:val="2B6A1AD4"/>
    <w:rsid w:val="2B72676C"/>
    <w:rsid w:val="2B8ACAD0"/>
    <w:rsid w:val="2B8DB008"/>
    <w:rsid w:val="2BA0F555"/>
    <w:rsid w:val="2BA8BB2B"/>
    <w:rsid w:val="2BB120C9"/>
    <w:rsid w:val="2BB58E05"/>
    <w:rsid w:val="2BBCDEA6"/>
    <w:rsid w:val="2BC752D8"/>
    <w:rsid w:val="2BD0D64D"/>
    <w:rsid w:val="2BD95E89"/>
    <w:rsid w:val="2BE5BA5F"/>
    <w:rsid w:val="2BE71E02"/>
    <w:rsid w:val="2BEF5C8C"/>
    <w:rsid w:val="2BF43126"/>
    <w:rsid w:val="2C006B69"/>
    <w:rsid w:val="2C0FF526"/>
    <w:rsid w:val="2C11003D"/>
    <w:rsid w:val="2C1270B8"/>
    <w:rsid w:val="2C20EBA7"/>
    <w:rsid w:val="2C218A30"/>
    <w:rsid w:val="2C251624"/>
    <w:rsid w:val="2C278BD8"/>
    <w:rsid w:val="2C2D4B3E"/>
    <w:rsid w:val="2C2DD95F"/>
    <w:rsid w:val="2C44C02F"/>
    <w:rsid w:val="2C5569B1"/>
    <w:rsid w:val="2C56DF54"/>
    <w:rsid w:val="2C58DCD4"/>
    <w:rsid w:val="2C5CFE03"/>
    <w:rsid w:val="2C5E5153"/>
    <w:rsid w:val="2C6D8FB3"/>
    <w:rsid w:val="2C6FC5A9"/>
    <w:rsid w:val="2C754AA9"/>
    <w:rsid w:val="2C7B7D70"/>
    <w:rsid w:val="2CACF3AF"/>
    <w:rsid w:val="2CB07FB0"/>
    <w:rsid w:val="2CB24902"/>
    <w:rsid w:val="2CC155D4"/>
    <w:rsid w:val="2CCE54BB"/>
    <w:rsid w:val="2CD4C9D8"/>
    <w:rsid w:val="2CD94671"/>
    <w:rsid w:val="2CE1F466"/>
    <w:rsid w:val="2CE7D810"/>
    <w:rsid w:val="2CFB89F8"/>
    <w:rsid w:val="2D063E41"/>
    <w:rsid w:val="2D0A6597"/>
    <w:rsid w:val="2D0FC772"/>
    <w:rsid w:val="2D1AAA6F"/>
    <w:rsid w:val="2D1EBA90"/>
    <w:rsid w:val="2D357B7E"/>
    <w:rsid w:val="2D37F044"/>
    <w:rsid w:val="2D433D5A"/>
    <w:rsid w:val="2D49556E"/>
    <w:rsid w:val="2D55DA6D"/>
    <w:rsid w:val="2D7018DC"/>
    <w:rsid w:val="2D7A02D2"/>
    <w:rsid w:val="2D7B4C87"/>
    <w:rsid w:val="2D800FFF"/>
    <w:rsid w:val="2D845E66"/>
    <w:rsid w:val="2D87DB80"/>
    <w:rsid w:val="2D8E6C86"/>
    <w:rsid w:val="2D96E881"/>
    <w:rsid w:val="2D98618D"/>
    <w:rsid w:val="2D99F47C"/>
    <w:rsid w:val="2D9C94CB"/>
    <w:rsid w:val="2DA26DC0"/>
    <w:rsid w:val="2DA6BBFE"/>
    <w:rsid w:val="2DB1FB9D"/>
    <w:rsid w:val="2DB2D8DD"/>
    <w:rsid w:val="2DB5C115"/>
    <w:rsid w:val="2DB708EA"/>
    <w:rsid w:val="2DBCC198"/>
    <w:rsid w:val="2DBF6698"/>
    <w:rsid w:val="2DEEE54D"/>
    <w:rsid w:val="2DEFCD9C"/>
    <w:rsid w:val="2DF42FB1"/>
    <w:rsid w:val="2DF88B36"/>
    <w:rsid w:val="2DFB46A3"/>
    <w:rsid w:val="2E0D2555"/>
    <w:rsid w:val="2E1F157C"/>
    <w:rsid w:val="2E210FCA"/>
    <w:rsid w:val="2E247131"/>
    <w:rsid w:val="2E2CB801"/>
    <w:rsid w:val="2E32F5F1"/>
    <w:rsid w:val="2E3FB066"/>
    <w:rsid w:val="2E4AA1B2"/>
    <w:rsid w:val="2E4B8276"/>
    <w:rsid w:val="2E5D5CE4"/>
    <w:rsid w:val="2E6DFA35"/>
    <w:rsid w:val="2E6F9A70"/>
    <w:rsid w:val="2E7BDA08"/>
    <w:rsid w:val="2E918757"/>
    <w:rsid w:val="2EAE4459"/>
    <w:rsid w:val="2EAF3D52"/>
    <w:rsid w:val="2EBDA46B"/>
    <w:rsid w:val="2ECD9847"/>
    <w:rsid w:val="2ECEFDCD"/>
    <w:rsid w:val="2EE2BD80"/>
    <w:rsid w:val="2EE50444"/>
    <w:rsid w:val="2EE83A69"/>
    <w:rsid w:val="2EE9B378"/>
    <w:rsid w:val="2EEBA1AB"/>
    <w:rsid w:val="2EF47096"/>
    <w:rsid w:val="2EF57C1F"/>
    <w:rsid w:val="2F04058A"/>
    <w:rsid w:val="2F066769"/>
    <w:rsid w:val="2F177321"/>
    <w:rsid w:val="2F1BFD1F"/>
    <w:rsid w:val="2F1F0814"/>
    <w:rsid w:val="2F1F750E"/>
    <w:rsid w:val="2F230667"/>
    <w:rsid w:val="2F26F2B6"/>
    <w:rsid w:val="2F4398F7"/>
    <w:rsid w:val="2F4D1240"/>
    <w:rsid w:val="2F51554F"/>
    <w:rsid w:val="2F5835B0"/>
    <w:rsid w:val="2F618B2F"/>
    <w:rsid w:val="2F661A1F"/>
    <w:rsid w:val="2F67CFCC"/>
    <w:rsid w:val="2F73419C"/>
    <w:rsid w:val="2F7A5CCD"/>
    <w:rsid w:val="2F7F4B3F"/>
    <w:rsid w:val="2F92FF07"/>
    <w:rsid w:val="2FAD2744"/>
    <w:rsid w:val="2FD27495"/>
    <w:rsid w:val="2FD508A9"/>
    <w:rsid w:val="2FD541B4"/>
    <w:rsid w:val="2FEB8EAA"/>
    <w:rsid w:val="2FF6318C"/>
    <w:rsid w:val="3010206A"/>
    <w:rsid w:val="301725CA"/>
    <w:rsid w:val="301A6444"/>
    <w:rsid w:val="3022C017"/>
    <w:rsid w:val="302DAEAA"/>
    <w:rsid w:val="30332E22"/>
    <w:rsid w:val="30373AA1"/>
    <w:rsid w:val="30437D48"/>
    <w:rsid w:val="3045FFF3"/>
    <w:rsid w:val="304CB369"/>
    <w:rsid w:val="305023CA"/>
    <w:rsid w:val="305B84B4"/>
    <w:rsid w:val="306517CA"/>
    <w:rsid w:val="3065D1E1"/>
    <w:rsid w:val="307462BC"/>
    <w:rsid w:val="307AE3A1"/>
    <w:rsid w:val="308A24FC"/>
    <w:rsid w:val="30959C8E"/>
    <w:rsid w:val="309E4A96"/>
    <w:rsid w:val="30B7DC0B"/>
    <w:rsid w:val="30BE4735"/>
    <w:rsid w:val="30C5138C"/>
    <w:rsid w:val="30C9490C"/>
    <w:rsid w:val="30D9F7E6"/>
    <w:rsid w:val="30DE9E2F"/>
    <w:rsid w:val="30F35542"/>
    <w:rsid w:val="30FB264C"/>
    <w:rsid w:val="31138E63"/>
    <w:rsid w:val="31213D0C"/>
    <w:rsid w:val="31516021"/>
    <w:rsid w:val="315981AA"/>
    <w:rsid w:val="315FC8D2"/>
    <w:rsid w:val="3163B558"/>
    <w:rsid w:val="316B4B48"/>
    <w:rsid w:val="319E1235"/>
    <w:rsid w:val="319E5AAB"/>
    <w:rsid w:val="31B5BBC4"/>
    <w:rsid w:val="31B9FD49"/>
    <w:rsid w:val="31BC74E2"/>
    <w:rsid w:val="31CA6B97"/>
    <w:rsid w:val="31CC4F83"/>
    <w:rsid w:val="31D7D817"/>
    <w:rsid w:val="31D84CDC"/>
    <w:rsid w:val="31D8F143"/>
    <w:rsid w:val="31E8C689"/>
    <w:rsid w:val="31F46100"/>
    <w:rsid w:val="31F4FEBE"/>
    <w:rsid w:val="32084D1C"/>
    <w:rsid w:val="32091C37"/>
    <w:rsid w:val="32096010"/>
    <w:rsid w:val="32154477"/>
    <w:rsid w:val="3222C608"/>
    <w:rsid w:val="3229975D"/>
    <w:rsid w:val="3232F9A0"/>
    <w:rsid w:val="3238D21D"/>
    <w:rsid w:val="324057BC"/>
    <w:rsid w:val="325222E4"/>
    <w:rsid w:val="3254B18B"/>
    <w:rsid w:val="32648A1E"/>
    <w:rsid w:val="327A515F"/>
    <w:rsid w:val="328E6034"/>
    <w:rsid w:val="329B592F"/>
    <w:rsid w:val="329C32A2"/>
    <w:rsid w:val="329C3F0A"/>
    <w:rsid w:val="32ABF794"/>
    <w:rsid w:val="32B9EF90"/>
    <w:rsid w:val="32BCC0AD"/>
    <w:rsid w:val="32DC5C0E"/>
    <w:rsid w:val="32E61F56"/>
    <w:rsid w:val="32F5C1AC"/>
    <w:rsid w:val="32FBB237"/>
    <w:rsid w:val="33075699"/>
    <w:rsid w:val="3308C537"/>
    <w:rsid w:val="33103A07"/>
    <w:rsid w:val="33123CB8"/>
    <w:rsid w:val="33194A74"/>
    <w:rsid w:val="331AD886"/>
    <w:rsid w:val="331DA82D"/>
    <w:rsid w:val="3321D9EF"/>
    <w:rsid w:val="33221FD5"/>
    <w:rsid w:val="333DC28B"/>
    <w:rsid w:val="3349421B"/>
    <w:rsid w:val="334CC44E"/>
    <w:rsid w:val="335A3776"/>
    <w:rsid w:val="335DC294"/>
    <w:rsid w:val="336AC440"/>
    <w:rsid w:val="337093D0"/>
    <w:rsid w:val="33886028"/>
    <w:rsid w:val="33897187"/>
    <w:rsid w:val="33984676"/>
    <w:rsid w:val="33BA6CD5"/>
    <w:rsid w:val="33BDD946"/>
    <w:rsid w:val="33BE3D4A"/>
    <w:rsid w:val="33CBC8D4"/>
    <w:rsid w:val="3400F7D4"/>
    <w:rsid w:val="3411DEC9"/>
    <w:rsid w:val="34184FE1"/>
    <w:rsid w:val="3423FE1C"/>
    <w:rsid w:val="3425C8D3"/>
    <w:rsid w:val="34281E23"/>
    <w:rsid w:val="342A9A8E"/>
    <w:rsid w:val="34333E96"/>
    <w:rsid w:val="343DFD9E"/>
    <w:rsid w:val="3445640F"/>
    <w:rsid w:val="344B6723"/>
    <w:rsid w:val="344F8A6F"/>
    <w:rsid w:val="344FA8ED"/>
    <w:rsid w:val="3451ED49"/>
    <w:rsid w:val="346A157E"/>
    <w:rsid w:val="346C0277"/>
    <w:rsid w:val="3474A69A"/>
    <w:rsid w:val="347CAB40"/>
    <w:rsid w:val="3495E092"/>
    <w:rsid w:val="349E9373"/>
    <w:rsid w:val="34AFE069"/>
    <w:rsid w:val="34C84F48"/>
    <w:rsid w:val="34CB9852"/>
    <w:rsid w:val="34D8EBDD"/>
    <w:rsid w:val="34E83044"/>
    <w:rsid w:val="34E8A387"/>
    <w:rsid w:val="34EEE27C"/>
    <w:rsid w:val="34F425AE"/>
    <w:rsid w:val="34F99DB0"/>
    <w:rsid w:val="34FA8A38"/>
    <w:rsid w:val="3507E103"/>
    <w:rsid w:val="350A7A8B"/>
    <w:rsid w:val="351425AE"/>
    <w:rsid w:val="351585D8"/>
    <w:rsid w:val="3525A684"/>
    <w:rsid w:val="35311A50"/>
    <w:rsid w:val="353A76A9"/>
    <w:rsid w:val="3549065D"/>
    <w:rsid w:val="356CE522"/>
    <w:rsid w:val="35755425"/>
    <w:rsid w:val="357928D4"/>
    <w:rsid w:val="35814CF5"/>
    <w:rsid w:val="35816867"/>
    <w:rsid w:val="3583BA07"/>
    <w:rsid w:val="35883AC4"/>
    <w:rsid w:val="358A68E0"/>
    <w:rsid w:val="358DCE9C"/>
    <w:rsid w:val="359895C1"/>
    <w:rsid w:val="35A0093B"/>
    <w:rsid w:val="35A3913D"/>
    <w:rsid w:val="35B6FB8A"/>
    <w:rsid w:val="35C96223"/>
    <w:rsid w:val="35CB6F9A"/>
    <w:rsid w:val="35D6EC68"/>
    <w:rsid w:val="35D717B6"/>
    <w:rsid w:val="35DFF5F9"/>
    <w:rsid w:val="35E31638"/>
    <w:rsid w:val="35E9A50B"/>
    <w:rsid w:val="35EBD414"/>
    <w:rsid w:val="35F4DCCA"/>
    <w:rsid w:val="35FEF8C4"/>
    <w:rsid w:val="3603F87C"/>
    <w:rsid w:val="36095190"/>
    <w:rsid w:val="360E4962"/>
    <w:rsid w:val="362BB0A3"/>
    <w:rsid w:val="362DB90C"/>
    <w:rsid w:val="3634CB59"/>
    <w:rsid w:val="366E8F01"/>
    <w:rsid w:val="3683B7C9"/>
    <w:rsid w:val="3689558D"/>
    <w:rsid w:val="368B8099"/>
    <w:rsid w:val="368C916D"/>
    <w:rsid w:val="3692580F"/>
    <w:rsid w:val="36961A9C"/>
    <w:rsid w:val="3696F4D5"/>
    <w:rsid w:val="36A15384"/>
    <w:rsid w:val="36A5B129"/>
    <w:rsid w:val="36A64789"/>
    <w:rsid w:val="36AF6D3B"/>
    <w:rsid w:val="36B9C47F"/>
    <w:rsid w:val="36BB6C0E"/>
    <w:rsid w:val="36C5E43A"/>
    <w:rsid w:val="36DC19C4"/>
    <w:rsid w:val="36DC2B4F"/>
    <w:rsid w:val="36DDD5C9"/>
    <w:rsid w:val="36EB0102"/>
    <w:rsid w:val="36ED44A7"/>
    <w:rsid w:val="36F8761D"/>
    <w:rsid w:val="36F8CFDA"/>
    <w:rsid w:val="36FAFBD6"/>
    <w:rsid w:val="36FC10DA"/>
    <w:rsid w:val="370737AD"/>
    <w:rsid w:val="370C15C0"/>
    <w:rsid w:val="37164D47"/>
    <w:rsid w:val="372ACF50"/>
    <w:rsid w:val="3731A31C"/>
    <w:rsid w:val="37417031"/>
    <w:rsid w:val="3754A5CB"/>
    <w:rsid w:val="3754D1FA"/>
    <w:rsid w:val="375D71F3"/>
    <w:rsid w:val="3761D733"/>
    <w:rsid w:val="376FAEC5"/>
    <w:rsid w:val="37762D4E"/>
    <w:rsid w:val="377EE699"/>
    <w:rsid w:val="3784AC8E"/>
    <w:rsid w:val="37970DE9"/>
    <w:rsid w:val="37A99F9F"/>
    <w:rsid w:val="37AA27C7"/>
    <w:rsid w:val="37AC4576"/>
    <w:rsid w:val="37BFAEA8"/>
    <w:rsid w:val="37C37A5D"/>
    <w:rsid w:val="37C9BC73"/>
    <w:rsid w:val="37CC4C13"/>
    <w:rsid w:val="37D0D204"/>
    <w:rsid w:val="37DCC2DB"/>
    <w:rsid w:val="37DCF75E"/>
    <w:rsid w:val="37E5B087"/>
    <w:rsid w:val="380CB48E"/>
    <w:rsid w:val="38143009"/>
    <w:rsid w:val="381D939C"/>
    <w:rsid w:val="381F264F"/>
    <w:rsid w:val="3822F7F8"/>
    <w:rsid w:val="383EE83C"/>
    <w:rsid w:val="384C3293"/>
    <w:rsid w:val="385CD73B"/>
    <w:rsid w:val="385E17B8"/>
    <w:rsid w:val="3867CB27"/>
    <w:rsid w:val="386832F8"/>
    <w:rsid w:val="38711973"/>
    <w:rsid w:val="387A2D7E"/>
    <w:rsid w:val="38813EE4"/>
    <w:rsid w:val="3889679A"/>
    <w:rsid w:val="38991CC5"/>
    <w:rsid w:val="389E4D90"/>
    <w:rsid w:val="38A971EB"/>
    <w:rsid w:val="38AF155B"/>
    <w:rsid w:val="38B0EAEA"/>
    <w:rsid w:val="38BC6290"/>
    <w:rsid w:val="38C51378"/>
    <w:rsid w:val="38DE03AF"/>
    <w:rsid w:val="38E401F6"/>
    <w:rsid w:val="38F37AB4"/>
    <w:rsid w:val="39125BE8"/>
    <w:rsid w:val="39292C9C"/>
    <w:rsid w:val="392F4C8F"/>
    <w:rsid w:val="39357E07"/>
    <w:rsid w:val="3939030A"/>
    <w:rsid w:val="394C0449"/>
    <w:rsid w:val="394C32AC"/>
    <w:rsid w:val="39566BB1"/>
    <w:rsid w:val="39615D4F"/>
    <w:rsid w:val="396BC320"/>
    <w:rsid w:val="397B4320"/>
    <w:rsid w:val="39859F87"/>
    <w:rsid w:val="398618E2"/>
    <w:rsid w:val="398F15CF"/>
    <w:rsid w:val="39A835C0"/>
    <w:rsid w:val="39B4CB90"/>
    <w:rsid w:val="39B664AF"/>
    <w:rsid w:val="39DA78BC"/>
    <w:rsid w:val="39DC089B"/>
    <w:rsid w:val="39E50CA0"/>
    <w:rsid w:val="39EF80A7"/>
    <w:rsid w:val="39F66202"/>
    <w:rsid w:val="39FF6EC6"/>
    <w:rsid w:val="3A067B22"/>
    <w:rsid w:val="3A115E3F"/>
    <w:rsid w:val="3A26ACFD"/>
    <w:rsid w:val="3A4C7A76"/>
    <w:rsid w:val="3A50FCA0"/>
    <w:rsid w:val="3A519932"/>
    <w:rsid w:val="3A54FA9F"/>
    <w:rsid w:val="3A56FC93"/>
    <w:rsid w:val="3A60FEA9"/>
    <w:rsid w:val="3A65E363"/>
    <w:rsid w:val="3A70A62C"/>
    <w:rsid w:val="3A71D886"/>
    <w:rsid w:val="3A896F4E"/>
    <w:rsid w:val="3A964B71"/>
    <w:rsid w:val="3A97C0E6"/>
    <w:rsid w:val="3AA48C77"/>
    <w:rsid w:val="3AB343B6"/>
    <w:rsid w:val="3AB48E66"/>
    <w:rsid w:val="3ABA4AEC"/>
    <w:rsid w:val="3AC2D8C9"/>
    <w:rsid w:val="3AC49F64"/>
    <w:rsid w:val="3AD5D117"/>
    <w:rsid w:val="3ADA6D71"/>
    <w:rsid w:val="3AE4228A"/>
    <w:rsid w:val="3AFEDC44"/>
    <w:rsid w:val="3B105269"/>
    <w:rsid w:val="3B18D9D6"/>
    <w:rsid w:val="3B58863A"/>
    <w:rsid w:val="3B58C0A3"/>
    <w:rsid w:val="3B62D7CD"/>
    <w:rsid w:val="3B679C6A"/>
    <w:rsid w:val="3B7ED7E1"/>
    <w:rsid w:val="3B81D5C6"/>
    <w:rsid w:val="3B8713D8"/>
    <w:rsid w:val="3B878555"/>
    <w:rsid w:val="3B90C517"/>
    <w:rsid w:val="3B94A7D7"/>
    <w:rsid w:val="3B96708C"/>
    <w:rsid w:val="3B97CC7D"/>
    <w:rsid w:val="3B9D805E"/>
    <w:rsid w:val="3BA4EFCD"/>
    <w:rsid w:val="3BB85405"/>
    <w:rsid w:val="3BD65207"/>
    <w:rsid w:val="3BF4DCF7"/>
    <w:rsid w:val="3BF8BD5A"/>
    <w:rsid w:val="3BF9AA64"/>
    <w:rsid w:val="3BFAFD81"/>
    <w:rsid w:val="3BFBDC5C"/>
    <w:rsid w:val="3C09A629"/>
    <w:rsid w:val="3C1203A4"/>
    <w:rsid w:val="3C17EC21"/>
    <w:rsid w:val="3C239F08"/>
    <w:rsid w:val="3C29D60F"/>
    <w:rsid w:val="3C2F0005"/>
    <w:rsid w:val="3C3049F0"/>
    <w:rsid w:val="3C316B4E"/>
    <w:rsid w:val="3C3E1E27"/>
    <w:rsid w:val="3C3E5B05"/>
    <w:rsid w:val="3C49E7AE"/>
    <w:rsid w:val="3C4C5935"/>
    <w:rsid w:val="3C54BF96"/>
    <w:rsid w:val="3C5BFE05"/>
    <w:rsid w:val="3C621C89"/>
    <w:rsid w:val="3C64822A"/>
    <w:rsid w:val="3C6C28FB"/>
    <w:rsid w:val="3C7366FD"/>
    <w:rsid w:val="3C927BE3"/>
    <w:rsid w:val="3C9307A8"/>
    <w:rsid w:val="3C938301"/>
    <w:rsid w:val="3C98EFCF"/>
    <w:rsid w:val="3C9DD0C7"/>
    <w:rsid w:val="3CA2F255"/>
    <w:rsid w:val="3CB0864C"/>
    <w:rsid w:val="3CB7FF4A"/>
    <w:rsid w:val="3CB827FC"/>
    <w:rsid w:val="3CB95E39"/>
    <w:rsid w:val="3CBAC375"/>
    <w:rsid w:val="3CBC0911"/>
    <w:rsid w:val="3CC671B7"/>
    <w:rsid w:val="3CC8FF95"/>
    <w:rsid w:val="3CDBA576"/>
    <w:rsid w:val="3CE04F7C"/>
    <w:rsid w:val="3CE17D24"/>
    <w:rsid w:val="3CE5434A"/>
    <w:rsid w:val="3CE7A821"/>
    <w:rsid w:val="3CFF3A37"/>
    <w:rsid w:val="3D04105D"/>
    <w:rsid w:val="3D12204C"/>
    <w:rsid w:val="3D22F27B"/>
    <w:rsid w:val="3D246033"/>
    <w:rsid w:val="3D27D7FD"/>
    <w:rsid w:val="3D316247"/>
    <w:rsid w:val="3D3397DB"/>
    <w:rsid w:val="3D33AD24"/>
    <w:rsid w:val="3D3651F4"/>
    <w:rsid w:val="3D365D06"/>
    <w:rsid w:val="3D392214"/>
    <w:rsid w:val="3D53429E"/>
    <w:rsid w:val="3D56DE0A"/>
    <w:rsid w:val="3D6CA413"/>
    <w:rsid w:val="3D955D8F"/>
    <w:rsid w:val="3D994950"/>
    <w:rsid w:val="3DC00EB8"/>
    <w:rsid w:val="3DD3A9FC"/>
    <w:rsid w:val="3DE9EF0D"/>
    <w:rsid w:val="3DEB486A"/>
    <w:rsid w:val="3DF31283"/>
    <w:rsid w:val="3DF88E76"/>
    <w:rsid w:val="3DFE0DCC"/>
    <w:rsid w:val="3E1ADF44"/>
    <w:rsid w:val="3E252751"/>
    <w:rsid w:val="3E515D69"/>
    <w:rsid w:val="3E595FE3"/>
    <w:rsid w:val="3E625A61"/>
    <w:rsid w:val="3E65F6DC"/>
    <w:rsid w:val="3E7AC49F"/>
    <w:rsid w:val="3E7BFF1A"/>
    <w:rsid w:val="3E7C5BB6"/>
    <w:rsid w:val="3E7D2747"/>
    <w:rsid w:val="3E839E7D"/>
    <w:rsid w:val="3E8FD7FE"/>
    <w:rsid w:val="3EA07463"/>
    <w:rsid w:val="3EAD418A"/>
    <w:rsid w:val="3EB0178D"/>
    <w:rsid w:val="3EB65FAA"/>
    <w:rsid w:val="3EC7190A"/>
    <w:rsid w:val="3ECC817E"/>
    <w:rsid w:val="3ECDFF08"/>
    <w:rsid w:val="3ED4665D"/>
    <w:rsid w:val="3ED7137E"/>
    <w:rsid w:val="3EEA3F02"/>
    <w:rsid w:val="3EF1B92B"/>
    <w:rsid w:val="3EFF6DBC"/>
    <w:rsid w:val="3F0B2831"/>
    <w:rsid w:val="3F0CE52E"/>
    <w:rsid w:val="3F1D7F98"/>
    <w:rsid w:val="3F1E183B"/>
    <w:rsid w:val="3F21E44F"/>
    <w:rsid w:val="3F22D523"/>
    <w:rsid w:val="3F30AE7F"/>
    <w:rsid w:val="3F4FDE14"/>
    <w:rsid w:val="3F5A5370"/>
    <w:rsid w:val="3F67B696"/>
    <w:rsid w:val="3F69FD03"/>
    <w:rsid w:val="3F86ABDD"/>
    <w:rsid w:val="3F891399"/>
    <w:rsid w:val="3F8C7CA1"/>
    <w:rsid w:val="3F98980C"/>
    <w:rsid w:val="3F9A5975"/>
    <w:rsid w:val="3FA32A4E"/>
    <w:rsid w:val="3FABBAA5"/>
    <w:rsid w:val="3FB75052"/>
    <w:rsid w:val="3FBC0F27"/>
    <w:rsid w:val="3FCF0714"/>
    <w:rsid w:val="3FCFE799"/>
    <w:rsid w:val="3FD242EE"/>
    <w:rsid w:val="3FD40963"/>
    <w:rsid w:val="3FE2EC5E"/>
    <w:rsid w:val="3FEA364B"/>
    <w:rsid w:val="3FEC8438"/>
    <w:rsid w:val="3FEF03D9"/>
    <w:rsid w:val="3FF340E0"/>
    <w:rsid w:val="3FF64C8D"/>
    <w:rsid w:val="3FF97091"/>
    <w:rsid w:val="3FFB14CE"/>
    <w:rsid w:val="400BCC8B"/>
    <w:rsid w:val="4019C89F"/>
    <w:rsid w:val="404A9075"/>
    <w:rsid w:val="40570359"/>
    <w:rsid w:val="406297E5"/>
    <w:rsid w:val="406BA8BA"/>
    <w:rsid w:val="407987CD"/>
    <w:rsid w:val="4084F55F"/>
    <w:rsid w:val="409266F3"/>
    <w:rsid w:val="409D1E8A"/>
    <w:rsid w:val="40A73BD4"/>
    <w:rsid w:val="40A7F858"/>
    <w:rsid w:val="40B4F526"/>
    <w:rsid w:val="40B5EEEB"/>
    <w:rsid w:val="40BA31F1"/>
    <w:rsid w:val="40BFE513"/>
    <w:rsid w:val="40C37201"/>
    <w:rsid w:val="40C3FD0C"/>
    <w:rsid w:val="40CBF4BE"/>
    <w:rsid w:val="40CDFC68"/>
    <w:rsid w:val="40CE2D0E"/>
    <w:rsid w:val="40CEABEA"/>
    <w:rsid w:val="40D26B01"/>
    <w:rsid w:val="40D46CD9"/>
    <w:rsid w:val="40EAADE0"/>
    <w:rsid w:val="40EAEE76"/>
    <w:rsid w:val="40FBE348"/>
    <w:rsid w:val="40FF02DD"/>
    <w:rsid w:val="410174C6"/>
    <w:rsid w:val="4107C53D"/>
    <w:rsid w:val="410D2BB9"/>
    <w:rsid w:val="411EEF1F"/>
    <w:rsid w:val="41276874"/>
    <w:rsid w:val="412EB9BE"/>
    <w:rsid w:val="41312FA3"/>
    <w:rsid w:val="413AB4E4"/>
    <w:rsid w:val="413C9647"/>
    <w:rsid w:val="413EFAAF"/>
    <w:rsid w:val="414DF7CF"/>
    <w:rsid w:val="414EBD89"/>
    <w:rsid w:val="41543D94"/>
    <w:rsid w:val="415D78D0"/>
    <w:rsid w:val="415F8B66"/>
    <w:rsid w:val="4176596F"/>
    <w:rsid w:val="418009B0"/>
    <w:rsid w:val="41849461"/>
    <w:rsid w:val="418592DE"/>
    <w:rsid w:val="41926776"/>
    <w:rsid w:val="41987F17"/>
    <w:rsid w:val="419C2BC9"/>
    <w:rsid w:val="419E59DE"/>
    <w:rsid w:val="41A1C16F"/>
    <w:rsid w:val="41AE07FC"/>
    <w:rsid w:val="41B14921"/>
    <w:rsid w:val="41B57839"/>
    <w:rsid w:val="41CF4216"/>
    <w:rsid w:val="41D2C5A6"/>
    <w:rsid w:val="41E83EF0"/>
    <w:rsid w:val="41FD21DB"/>
    <w:rsid w:val="41FFBBA1"/>
    <w:rsid w:val="4215A010"/>
    <w:rsid w:val="4232F232"/>
    <w:rsid w:val="4235FC60"/>
    <w:rsid w:val="423AD7A3"/>
    <w:rsid w:val="4248C34F"/>
    <w:rsid w:val="424A9E15"/>
    <w:rsid w:val="424FB792"/>
    <w:rsid w:val="4272D694"/>
    <w:rsid w:val="427E63A7"/>
    <w:rsid w:val="42814248"/>
    <w:rsid w:val="428D315D"/>
    <w:rsid w:val="42988348"/>
    <w:rsid w:val="42A06B6C"/>
    <w:rsid w:val="42A1FD08"/>
    <w:rsid w:val="42B5E995"/>
    <w:rsid w:val="42BA82F8"/>
    <w:rsid w:val="42BAEA72"/>
    <w:rsid w:val="42BB84DD"/>
    <w:rsid w:val="42BD2A2A"/>
    <w:rsid w:val="42BF486F"/>
    <w:rsid w:val="42C033A5"/>
    <w:rsid w:val="42C4DA85"/>
    <w:rsid w:val="42CFED16"/>
    <w:rsid w:val="42DFA963"/>
    <w:rsid w:val="42E7CB09"/>
    <w:rsid w:val="42E9A42D"/>
    <w:rsid w:val="42EC38E2"/>
    <w:rsid w:val="42F049DB"/>
    <w:rsid w:val="42F4227F"/>
    <w:rsid w:val="42F4FE84"/>
    <w:rsid w:val="42F70B9E"/>
    <w:rsid w:val="4302D831"/>
    <w:rsid w:val="4308E3B4"/>
    <w:rsid w:val="431DF800"/>
    <w:rsid w:val="4326C27F"/>
    <w:rsid w:val="4337D87F"/>
    <w:rsid w:val="434F6E71"/>
    <w:rsid w:val="43504DD8"/>
    <w:rsid w:val="4350BBF0"/>
    <w:rsid w:val="4351F7FC"/>
    <w:rsid w:val="4359D85D"/>
    <w:rsid w:val="43621E70"/>
    <w:rsid w:val="4387C63E"/>
    <w:rsid w:val="439A844C"/>
    <w:rsid w:val="439A863A"/>
    <w:rsid w:val="43A03BF9"/>
    <w:rsid w:val="43B0E43C"/>
    <w:rsid w:val="43B2E2D1"/>
    <w:rsid w:val="43B32D34"/>
    <w:rsid w:val="43B3DC24"/>
    <w:rsid w:val="43B3FBC5"/>
    <w:rsid w:val="43B5BBDB"/>
    <w:rsid w:val="43B5FFBF"/>
    <w:rsid w:val="43BB065E"/>
    <w:rsid w:val="43C29FE5"/>
    <w:rsid w:val="43C88454"/>
    <w:rsid w:val="43CC8FB7"/>
    <w:rsid w:val="43D1E82C"/>
    <w:rsid w:val="43EA6C88"/>
    <w:rsid w:val="43F43CD0"/>
    <w:rsid w:val="43FF12FA"/>
    <w:rsid w:val="440102E5"/>
    <w:rsid w:val="44045961"/>
    <w:rsid w:val="440CB64D"/>
    <w:rsid w:val="440F64B6"/>
    <w:rsid w:val="44102FBE"/>
    <w:rsid w:val="44130A4A"/>
    <w:rsid w:val="44214FDC"/>
    <w:rsid w:val="4423933E"/>
    <w:rsid w:val="442397DC"/>
    <w:rsid w:val="44254318"/>
    <w:rsid w:val="442FC415"/>
    <w:rsid w:val="442FD99B"/>
    <w:rsid w:val="443D7C38"/>
    <w:rsid w:val="444B9DCA"/>
    <w:rsid w:val="444FD59A"/>
    <w:rsid w:val="4450F599"/>
    <w:rsid w:val="4453DE9F"/>
    <w:rsid w:val="445B9057"/>
    <w:rsid w:val="446CF734"/>
    <w:rsid w:val="4477F1FA"/>
    <w:rsid w:val="447B3655"/>
    <w:rsid w:val="447DDA48"/>
    <w:rsid w:val="44873A7D"/>
    <w:rsid w:val="448F940E"/>
    <w:rsid w:val="449D1D8C"/>
    <w:rsid w:val="44A52695"/>
    <w:rsid w:val="44AC0332"/>
    <w:rsid w:val="44BF022E"/>
    <w:rsid w:val="44C85A6E"/>
    <w:rsid w:val="44DE76E0"/>
    <w:rsid w:val="44E18DAB"/>
    <w:rsid w:val="44F9BFC4"/>
    <w:rsid w:val="44FF32E6"/>
    <w:rsid w:val="450773E2"/>
    <w:rsid w:val="450DE754"/>
    <w:rsid w:val="452048BC"/>
    <w:rsid w:val="4529B325"/>
    <w:rsid w:val="4531A3A3"/>
    <w:rsid w:val="45347264"/>
    <w:rsid w:val="453E0A20"/>
    <w:rsid w:val="4545A97E"/>
    <w:rsid w:val="455C74C2"/>
    <w:rsid w:val="456E21A7"/>
    <w:rsid w:val="4572F61B"/>
    <w:rsid w:val="457F1560"/>
    <w:rsid w:val="4588E7F2"/>
    <w:rsid w:val="4591E3AD"/>
    <w:rsid w:val="4592F5D5"/>
    <w:rsid w:val="459927BA"/>
    <w:rsid w:val="45A43884"/>
    <w:rsid w:val="45AB683C"/>
    <w:rsid w:val="45BB9A75"/>
    <w:rsid w:val="45C4479D"/>
    <w:rsid w:val="45CBBCF2"/>
    <w:rsid w:val="45D04829"/>
    <w:rsid w:val="45D74E64"/>
    <w:rsid w:val="45DB1DD7"/>
    <w:rsid w:val="45DBFE33"/>
    <w:rsid w:val="461466B1"/>
    <w:rsid w:val="4622D819"/>
    <w:rsid w:val="4632EB15"/>
    <w:rsid w:val="46344F63"/>
    <w:rsid w:val="463A5A82"/>
    <w:rsid w:val="46492F81"/>
    <w:rsid w:val="46542C26"/>
    <w:rsid w:val="466091F8"/>
    <w:rsid w:val="4664C143"/>
    <w:rsid w:val="466D2C6C"/>
    <w:rsid w:val="467360B7"/>
    <w:rsid w:val="4686CB5C"/>
    <w:rsid w:val="4686E57B"/>
    <w:rsid w:val="4697F39F"/>
    <w:rsid w:val="4699F9A0"/>
    <w:rsid w:val="469E34DB"/>
    <w:rsid w:val="46A881FE"/>
    <w:rsid w:val="46AEF7A5"/>
    <w:rsid w:val="46AF8224"/>
    <w:rsid w:val="46B4990B"/>
    <w:rsid w:val="46BDABC0"/>
    <w:rsid w:val="46BEA630"/>
    <w:rsid w:val="46C35FC9"/>
    <w:rsid w:val="46CA4484"/>
    <w:rsid w:val="46CA7F55"/>
    <w:rsid w:val="46DBAF04"/>
    <w:rsid w:val="46EE6AAF"/>
    <w:rsid w:val="46FDB178"/>
    <w:rsid w:val="46FF1199"/>
    <w:rsid w:val="4702F85D"/>
    <w:rsid w:val="470DA1A3"/>
    <w:rsid w:val="471270DA"/>
    <w:rsid w:val="47143EEB"/>
    <w:rsid w:val="47168490"/>
    <w:rsid w:val="472E51A4"/>
    <w:rsid w:val="4736E4DE"/>
    <w:rsid w:val="473A1D95"/>
    <w:rsid w:val="475D8EF6"/>
    <w:rsid w:val="4768B43D"/>
    <w:rsid w:val="4769F8FB"/>
    <w:rsid w:val="47771509"/>
    <w:rsid w:val="47847DC5"/>
    <w:rsid w:val="4792EBD0"/>
    <w:rsid w:val="47944A73"/>
    <w:rsid w:val="4798ABF1"/>
    <w:rsid w:val="47A65B6B"/>
    <w:rsid w:val="47ABF8E3"/>
    <w:rsid w:val="47AD91D1"/>
    <w:rsid w:val="47AF7D9E"/>
    <w:rsid w:val="47BBFF43"/>
    <w:rsid w:val="47CC2A22"/>
    <w:rsid w:val="47DD2443"/>
    <w:rsid w:val="47E5D169"/>
    <w:rsid w:val="47E6803D"/>
    <w:rsid w:val="47E6998D"/>
    <w:rsid w:val="47EC77BF"/>
    <w:rsid w:val="47F2CA54"/>
    <w:rsid w:val="47FDA1F7"/>
    <w:rsid w:val="47FFC60A"/>
    <w:rsid w:val="480E1FD7"/>
    <w:rsid w:val="4813BA8B"/>
    <w:rsid w:val="48163B3F"/>
    <w:rsid w:val="481734B3"/>
    <w:rsid w:val="48179D5F"/>
    <w:rsid w:val="4825FC8C"/>
    <w:rsid w:val="482833F0"/>
    <w:rsid w:val="483BB720"/>
    <w:rsid w:val="4849E19F"/>
    <w:rsid w:val="484BAF52"/>
    <w:rsid w:val="484D32F8"/>
    <w:rsid w:val="484DF577"/>
    <w:rsid w:val="485E99DD"/>
    <w:rsid w:val="48620934"/>
    <w:rsid w:val="486468C4"/>
    <w:rsid w:val="486CBC18"/>
    <w:rsid w:val="486E3EAE"/>
    <w:rsid w:val="4875D2D1"/>
    <w:rsid w:val="4875F3D1"/>
    <w:rsid w:val="4876D539"/>
    <w:rsid w:val="487FAD46"/>
    <w:rsid w:val="48813CF0"/>
    <w:rsid w:val="488958DF"/>
    <w:rsid w:val="488C5B2B"/>
    <w:rsid w:val="489CEACB"/>
    <w:rsid w:val="48A95A02"/>
    <w:rsid w:val="48AD563A"/>
    <w:rsid w:val="48B04A43"/>
    <w:rsid w:val="48B29090"/>
    <w:rsid w:val="48B37A07"/>
    <w:rsid w:val="48B87589"/>
    <w:rsid w:val="48B96C59"/>
    <w:rsid w:val="48BEA2A1"/>
    <w:rsid w:val="48DF3584"/>
    <w:rsid w:val="48E7D41C"/>
    <w:rsid w:val="48F14E84"/>
    <w:rsid w:val="48F90A7C"/>
    <w:rsid w:val="4907E105"/>
    <w:rsid w:val="49160F39"/>
    <w:rsid w:val="4916B080"/>
    <w:rsid w:val="491D2AA0"/>
    <w:rsid w:val="491D4DCD"/>
    <w:rsid w:val="4924D637"/>
    <w:rsid w:val="49299076"/>
    <w:rsid w:val="49301101"/>
    <w:rsid w:val="493BFB8C"/>
    <w:rsid w:val="493F8AA8"/>
    <w:rsid w:val="4941B5E4"/>
    <w:rsid w:val="49480798"/>
    <w:rsid w:val="4954DAA3"/>
    <w:rsid w:val="49555FBA"/>
    <w:rsid w:val="495BDDB8"/>
    <w:rsid w:val="4963F45C"/>
    <w:rsid w:val="496A2587"/>
    <w:rsid w:val="4971453D"/>
    <w:rsid w:val="49753675"/>
    <w:rsid w:val="49819413"/>
    <w:rsid w:val="4982D31E"/>
    <w:rsid w:val="498E6D14"/>
    <w:rsid w:val="49910CEF"/>
    <w:rsid w:val="499B3B1F"/>
    <w:rsid w:val="49A0F0CD"/>
    <w:rsid w:val="49A63A7C"/>
    <w:rsid w:val="49A9E768"/>
    <w:rsid w:val="49B210D3"/>
    <w:rsid w:val="49CC234E"/>
    <w:rsid w:val="49CEDD20"/>
    <w:rsid w:val="49CFD276"/>
    <w:rsid w:val="49E24393"/>
    <w:rsid w:val="49E44514"/>
    <w:rsid w:val="49E84272"/>
    <w:rsid w:val="49F3FD7D"/>
    <w:rsid w:val="49F6B8E7"/>
    <w:rsid w:val="49F92DD2"/>
    <w:rsid w:val="49F98BAA"/>
    <w:rsid w:val="4A2C43D3"/>
    <w:rsid w:val="4A50139A"/>
    <w:rsid w:val="4A540B09"/>
    <w:rsid w:val="4A5BF8AA"/>
    <w:rsid w:val="4A5FE7E6"/>
    <w:rsid w:val="4A65D739"/>
    <w:rsid w:val="4A6E2A19"/>
    <w:rsid w:val="4A7FF972"/>
    <w:rsid w:val="4A863B86"/>
    <w:rsid w:val="4A86FB7C"/>
    <w:rsid w:val="4A8FFDE1"/>
    <w:rsid w:val="4A920195"/>
    <w:rsid w:val="4AA09DDE"/>
    <w:rsid w:val="4AC3FF72"/>
    <w:rsid w:val="4AF430A8"/>
    <w:rsid w:val="4AFB9716"/>
    <w:rsid w:val="4AFE727D"/>
    <w:rsid w:val="4B223259"/>
    <w:rsid w:val="4B279CC3"/>
    <w:rsid w:val="4B2B6FFF"/>
    <w:rsid w:val="4B2F8A49"/>
    <w:rsid w:val="4B380221"/>
    <w:rsid w:val="4B447F47"/>
    <w:rsid w:val="4B4F1DA4"/>
    <w:rsid w:val="4B613BB9"/>
    <w:rsid w:val="4B7212B2"/>
    <w:rsid w:val="4B7BD2F5"/>
    <w:rsid w:val="4B7FCC58"/>
    <w:rsid w:val="4B839161"/>
    <w:rsid w:val="4B8712C3"/>
    <w:rsid w:val="4B8CE53B"/>
    <w:rsid w:val="4B8E9F6C"/>
    <w:rsid w:val="4B90D675"/>
    <w:rsid w:val="4B936939"/>
    <w:rsid w:val="4B93E047"/>
    <w:rsid w:val="4B9ADD2B"/>
    <w:rsid w:val="4B9E0C08"/>
    <w:rsid w:val="4B9FC982"/>
    <w:rsid w:val="4BB544A4"/>
    <w:rsid w:val="4BC8ECA1"/>
    <w:rsid w:val="4BC98536"/>
    <w:rsid w:val="4BCDB01B"/>
    <w:rsid w:val="4BD0C7B1"/>
    <w:rsid w:val="4BE38353"/>
    <w:rsid w:val="4BECEBC9"/>
    <w:rsid w:val="4BED8E36"/>
    <w:rsid w:val="4BFFF14F"/>
    <w:rsid w:val="4C0D340A"/>
    <w:rsid w:val="4C1998BD"/>
    <w:rsid w:val="4C1A1E4B"/>
    <w:rsid w:val="4C1B5FB6"/>
    <w:rsid w:val="4C1B8FF4"/>
    <w:rsid w:val="4C2437FD"/>
    <w:rsid w:val="4C3D6F3E"/>
    <w:rsid w:val="4C559CE2"/>
    <w:rsid w:val="4C59D8C2"/>
    <w:rsid w:val="4C647DA2"/>
    <w:rsid w:val="4C74940A"/>
    <w:rsid w:val="4C7E2390"/>
    <w:rsid w:val="4C8374C3"/>
    <w:rsid w:val="4C8843A6"/>
    <w:rsid w:val="4C95FFEE"/>
    <w:rsid w:val="4CA8E34E"/>
    <w:rsid w:val="4CC65597"/>
    <w:rsid w:val="4CCBB136"/>
    <w:rsid w:val="4CCEEB65"/>
    <w:rsid w:val="4CD83551"/>
    <w:rsid w:val="4CE0110A"/>
    <w:rsid w:val="4CEB8FE6"/>
    <w:rsid w:val="4CED717C"/>
    <w:rsid w:val="4CEF538C"/>
    <w:rsid w:val="4CF25C70"/>
    <w:rsid w:val="4CFB5A94"/>
    <w:rsid w:val="4D06AA2C"/>
    <w:rsid w:val="4D11418C"/>
    <w:rsid w:val="4D186F1D"/>
    <w:rsid w:val="4D1F4A95"/>
    <w:rsid w:val="4D4B262F"/>
    <w:rsid w:val="4D4D6B62"/>
    <w:rsid w:val="4D4DFC90"/>
    <w:rsid w:val="4D4E4A55"/>
    <w:rsid w:val="4D4F22FC"/>
    <w:rsid w:val="4D54846C"/>
    <w:rsid w:val="4D5AFF53"/>
    <w:rsid w:val="4D6E60BC"/>
    <w:rsid w:val="4D709DC7"/>
    <w:rsid w:val="4D71333A"/>
    <w:rsid w:val="4D72F79F"/>
    <w:rsid w:val="4D74892B"/>
    <w:rsid w:val="4D7B68EC"/>
    <w:rsid w:val="4D81227B"/>
    <w:rsid w:val="4D85CB15"/>
    <w:rsid w:val="4D888133"/>
    <w:rsid w:val="4D8FFE02"/>
    <w:rsid w:val="4DAAB58A"/>
    <w:rsid w:val="4DAE966F"/>
    <w:rsid w:val="4DBE685A"/>
    <w:rsid w:val="4DC57178"/>
    <w:rsid w:val="4DE60E8C"/>
    <w:rsid w:val="4DE7AF5C"/>
    <w:rsid w:val="4DEFA6DB"/>
    <w:rsid w:val="4DF29641"/>
    <w:rsid w:val="4DF8D5E6"/>
    <w:rsid w:val="4DFD0199"/>
    <w:rsid w:val="4DFFACA3"/>
    <w:rsid w:val="4E094BE7"/>
    <w:rsid w:val="4E24D3D8"/>
    <w:rsid w:val="4E2B76A0"/>
    <w:rsid w:val="4E2F4DE7"/>
    <w:rsid w:val="4E3112A5"/>
    <w:rsid w:val="4E5039FA"/>
    <w:rsid w:val="4E6BBF05"/>
    <w:rsid w:val="4E7F9E25"/>
    <w:rsid w:val="4EA8731C"/>
    <w:rsid w:val="4EB10C84"/>
    <w:rsid w:val="4EB7325F"/>
    <w:rsid w:val="4EBC3477"/>
    <w:rsid w:val="4EBE188A"/>
    <w:rsid w:val="4EC60610"/>
    <w:rsid w:val="4EC96329"/>
    <w:rsid w:val="4ED356F7"/>
    <w:rsid w:val="4ED36E4A"/>
    <w:rsid w:val="4EE4DD0B"/>
    <w:rsid w:val="4EEC74FF"/>
    <w:rsid w:val="4EEE38FC"/>
    <w:rsid w:val="4EF82FF4"/>
    <w:rsid w:val="4EF91F07"/>
    <w:rsid w:val="4F0030D6"/>
    <w:rsid w:val="4F03CB61"/>
    <w:rsid w:val="4F06B433"/>
    <w:rsid w:val="4F0A4147"/>
    <w:rsid w:val="4F0AFE84"/>
    <w:rsid w:val="4F16CDAD"/>
    <w:rsid w:val="4F1D143E"/>
    <w:rsid w:val="4F1D89F6"/>
    <w:rsid w:val="4F24F328"/>
    <w:rsid w:val="4F27D0CF"/>
    <w:rsid w:val="4F294750"/>
    <w:rsid w:val="4F2AE6A4"/>
    <w:rsid w:val="4F3E2B03"/>
    <w:rsid w:val="4F3ECA75"/>
    <w:rsid w:val="4F4E29D6"/>
    <w:rsid w:val="4F5F99D2"/>
    <w:rsid w:val="4F622FF4"/>
    <w:rsid w:val="4F6B5646"/>
    <w:rsid w:val="4F70FFCB"/>
    <w:rsid w:val="4F802819"/>
    <w:rsid w:val="4F89878D"/>
    <w:rsid w:val="4F8CFFDF"/>
    <w:rsid w:val="4F8E02D2"/>
    <w:rsid w:val="4F8F7300"/>
    <w:rsid w:val="4F9A3FA2"/>
    <w:rsid w:val="4F9CB054"/>
    <w:rsid w:val="4F9D7492"/>
    <w:rsid w:val="4FA2FABD"/>
    <w:rsid w:val="4FA84CFA"/>
    <w:rsid w:val="4FAE8D11"/>
    <w:rsid w:val="4FAFE9E4"/>
    <w:rsid w:val="4FB57A6C"/>
    <w:rsid w:val="4FDD817F"/>
    <w:rsid w:val="4FDEB1DA"/>
    <w:rsid w:val="4FE42E1A"/>
    <w:rsid w:val="4FFB0DE6"/>
    <w:rsid w:val="5011F2EE"/>
    <w:rsid w:val="5013DBB6"/>
    <w:rsid w:val="5017B226"/>
    <w:rsid w:val="501F186B"/>
    <w:rsid w:val="50293C53"/>
    <w:rsid w:val="5029D362"/>
    <w:rsid w:val="502FC50C"/>
    <w:rsid w:val="5030FB8E"/>
    <w:rsid w:val="50353E1C"/>
    <w:rsid w:val="503AFAA2"/>
    <w:rsid w:val="504467E9"/>
    <w:rsid w:val="5044D4E0"/>
    <w:rsid w:val="5044F77E"/>
    <w:rsid w:val="505620F0"/>
    <w:rsid w:val="50603F90"/>
    <w:rsid w:val="50609AC6"/>
    <w:rsid w:val="5066F661"/>
    <w:rsid w:val="506C0EF8"/>
    <w:rsid w:val="508C731F"/>
    <w:rsid w:val="508D6D32"/>
    <w:rsid w:val="509B69C7"/>
    <w:rsid w:val="509ED997"/>
    <w:rsid w:val="50AA8747"/>
    <w:rsid w:val="50B57F19"/>
    <w:rsid w:val="50C00159"/>
    <w:rsid w:val="50CD4F04"/>
    <w:rsid w:val="50D96173"/>
    <w:rsid w:val="50DBEAD2"/>
    <w:rsid w:val="50E4468E"/>
    <w:rsid w:val="50F2E144"/>
    <w:rsid w:val="5104FA39"/>
    <w:rsid w:val="510CF18D"/>
    <w:rsid w:val="51277D3C"/>
    <w:rsid w:val="513AB2B4"/>
    <w:rsid w:val="513CD931"/>
    <w:rsid w:val="514A5D72"/>
    <w:rsid w:val="514B3AA6"/>
    <w:rsid w:val="514FBCCF"/>
    <w:rsid w:val="5151C343"/>
    <w:rsid w:val="51549BC1"/>
    <w:rsid w:val="515716B5"/>
    <w:rsid w:val="516CA850"/>
    <w:rsid w:val="51713108"/>
    <w:rsid w:val="5178E3F0"/>
    <w:rsid w:val="5184A155"/>
    <w:rsid w:val="51872283"/>
    <w:rsid w:val="519001D2"/>
    <w:rsid w:val="5192F7A7"/>
    <w:rsid w:val="5196CDE4"/>
    <w:rsid w:val="51A03678"/>
    <w:rsid w:val="51B17E7A"/>
    <w:rsid w:val="51B6EF6D"/>
    <w:rsid w:val="51BE45C1"/>
    <w:rsid w:val="51D40E0D"/>
    <w:rsid w:val="51DF0FA3"/>
    <w:rsid w:val="51E67679"/>
    <w:rsid w:val="51E9F2C4"/>
    <w:rsid w:val="51F69C36"/>
    <w:rsid w:val="51F9D8D5"/>
    <w:rsid w:val="51FE8E31"/>
    <w:rsid w:val="52052BE8"/>
    <w:rsid w:val="520C2768"/>
    <w:rsid w:val="520F7ED3"/>
    <w:rsid w:val="520F9887"/>
    <w:rsid w:val="5222667E"/>
    <w:rsid w:val="5227C8ED"/>
    <w:rsid w:val="522B2AFD"/>
    <w:rsid w:val="522B9FA7"/>
    <w:rsid w:val="523CA783"/>
    <w:rsid w:val="523DDAEC"/>
    <w:rsid w:val="52433FFD"/>
    <w:rsid w:val="52481E1D"/>
    <w:rsid w:val="52542083"/>
    <w:rsid w:val="52601C7A"/>
    <w:rsid w:val="526208CE"/>
    <w:rsid w:val="526B5277"/>
    <w:rsid w:val="52738829"/>
    <w:rsid w:val="52769FA1"/>
    <w:rsid w:val="52809262"/>
    <w:rsid w:val="528285E0"/>
    <w:rsid w:val="5282DE32"/>
    <w:rsid w:val="528D5377"/>
    <w:rsid w:val="52AA0C1D"/>
    <w:rsid w:val="52ADCD4B"/>
    <w:rsid w:val="52B79FE1"/>
    <w:rsid w:val="52C7F119"/>
    <w:rsid w:val="52D07EA3"/>
    <w:rsid w:val="52E28582"/>
    <w:rsid w:val="52ED1A11"/>
    <w:rsid w:val="5306F8BF"/>
    <w:rsid w:val="5314060D"/>
    <w:rsid w:val="531498DF"/>
    <w:rsid w:val="53164A73"/>
    <w:rsid w:val="532607A9"/>
    <w:rsid w:val="532E47E4"/>
    <w:rsid w:val="5353B75F"/>
    <w:rsid w:val="535A263F"/>
    <w:rsid w:val="536599CA"/>
    <w:rsid w:val="536BF534"/>
    <w:rsid w:val="53731038"/>
    <w:rsid w:val="537D3301"/>
    <w:rsid w:val="537EF797"/>
    <w:rsid w:val="53852C42"/>
    <w:rsid w:val="538A9769"/>
    <w:rsid w:val="538E5FA7"/>
    <w:rsid w:val="53925938"/>
    <w:rsid w:val="53ADDF87"/>
    <w:rsid w:val="53B08C55"/>
    <w:rsid w:val="53B66B56"/>
    <w:rsid w:val="53C2EB03"/>
    <w:rsid w:val="53C2ED6D"/>
    <w:rsid w:val="53CB2A21"/>
    <w:rsid w:val="53D13794"/>
    <w:rsid w:val="53D4BAC5"/>
    <w:rsid w:val="53E5A1BB"/>
    <w:rsid w:val="53E778F7"/>
    <w:rsid w:val="53EA7C94"/>
    <w:rsid w:val="53EFC8DE"/>
    <w:rsid w:val="5403AD70"/>
    <w:rsid w:val="540A128F"/>
    <w:rsid w:val="540D493E"/>
    <w:rsid w:val="54130C62"/>
    <w:rsid w:val="541DCB75"/>
    <w:rsid w:val="54257748"/>
    <w:rsid w:val="542665EF"/>
    <w:rsid w:val="54391E47"/>
    <w:rsid w:val="543B7DF2"/>
    <w:rsid w:val="5445FD5C"/>
    <w:rsid w:val="54474D50"/>
    <w:rsid w:val="544E42FE"/>
    <w:rsid w:val="5452D17B"/>
    <w:rsid w:val="545BDEB9"/>
    <w:rsid w:val="5466DADE"/>
    <w:rsid w:val="546A5B23"/>
    <w:rsid w:val="547DF2C0"/>
    <w:rsid w:val="54844DB3"/>
    <w:rsid w:val="549F06D7"/>
    <w:rsid w:val="54B22A6B"/>
    <w:rsid w:val="54B5AF1A"/>
    <w:rsid w:val="54C39A3A"/>
    <w:rsid w:val="54C3B25B"/>
    <w:rsid w:val="54C742CC"/>
    <w:rsid w:val="54CB89B3"/>
    <w:rsid w:val="54D885B2"/>
    <w:rsid w:val="54E39AD7"/>
    <w:rsid w:val="54E949E6"/>
    <w:rsid w:val="54E9DED8"/>
    <w:rsid w:val="54EFE3EE"/>
    <w:rsid w:val="54F6AD1C"/>
    <w:rsid w:val="54FFE95D"/>
    <w:rsid w:val="5508836F"/>
    <w:rsid w:val="550B5348"/>
    <w:rsid w:val="550E7232"/>
    <w:rsid w:val="5524F52F"/>
    <w:rsid w:val="55276844"/>
    <w:rsid w:val="5529D6BA"/>
    <w:rsid w:val="5533BD80"/>
    <w:rsid w:val="5533EAC7"/>
    <w:rsid w:val="5547B426"/>
    <w:rsid w:val="554B8CA9"/>
    <w:rsid w:val="5550A49D"/>
    <w:rsid w:val="5552CEC6"/>
    <w:rsid w:val="555A979D"/>
    <w:rsid w:val="5579797C"/>
    <w:rsid w:val="557A15B7"/>
    <w:rsid w:val="5582C50E"/>
    <w:rsid w:val="55841E37"/>
    <w:rsid w:val="558702BD"/>
    <w:rsid w:val="559912CB"/>
    <w:rsid w:val="559B3467"/>
    <w:rsid w:val="55A02B2B"/>
    <w:rsid w:val="55A26CD5"/>
    <w:rsid w:val="55ABAE67"/>
    <w:rsid w:val="55ABFDAD"/>
    <w:rsid w:val="55B35EF7"/>
    <w:rsid w:val="55B7297D"/>
    <w:rsid w:val="55F44B05"/>
    <w:rsid w:val="55F69B82"/>
    <w:rsid w:val="55F6B07A"/>
    <w:rsid w:val="5621875A"/>
    <w:rsid w:val="5630E410"/>
    <w:rsid w:val="563EFF02"/>
    <w:rsid w:val="5649FEBD"/>
    <w:rsid w:val="564CBDB0"/>
    <w:rsid w:val="565424B9"/>
    <w:rsid w:val="5660509C"/>
    <w:rsid w:val="56631491"/>
    <w:rsid w:val="56723CF0"/>
    <w:rsid w:val="567B8D81"/>
    <w:rsid w:val="56829786"/>
    <w:rsid w:val="56860DC8"/>
    <w:rsid w:val="5687C5CC"/>
    <w:rsid w:val="5690385B"/>
    <w:rsid w:val="56A1562E"/>
    <w:rsid w:val="56A1E626"/>
    <w:rsid w:val="56A42E51"/>
    <w:rsid w:val="56A5B7DF"/>
    <w:rsid w:val="56AA7367"/>
    <w:rsid w:val="56AA7D96"/>
    <w:rsid w:val="56C4C06C"/>
    <w:rsid w:val="56C94606"/>
    <w:rsid w:val="56C9F740"/>
    <w:rsid w:val="56D1D668"/>
    <w:rsid w:val="56D29FBC"/>
    <w:rsid w:val="56DA74C9"/>
    <w:rsid w:val="56DCB3BC"/>
    <w:rsid w:val="56E5F20A"/>
    <w:rsid w:val="56E78635"/>
    <w:rsid w:val="56FD0093"/>
    <w:rsid w:val="570CC5B0"/>
    <w:rsid w:val="570CE78E"/>
    <w:rsid w:val="57285278"/>
    <w:rsid w:val="57291BBE"/>
    <w:rsid w:val="5734E39E"/>
    <w:rsid w:val="573B593D"/>
    <w:rsid w:val="57447FD4"/>
    <w:rsid w:val="5748071C"/>
    <w:rsid w:val="574A34AF"/>
    <w:rsid w:val="574B5E1C"/>
    <w:rsid w:val="574F7640"/>
    <w:rsid w:val="574FDB58"/>
    <w:rsid w:val="57500D15"/>
    <w:rsid w:val="57548A6A"/>
    <w:rsid w:val="57554143"/>
    <w:rsid w:val="5757376D"/>
    <w:rsid w:val="575A984E"/>
    <w:rsid w:val="575B27C1"/>
    <w:rsid w:val="576051D9"/>
    <w:rsid w:val="5760F1AB"/>
    <w:rsid w:val="57651B95"/>
    <w:rsid w:val="5784243B"/>
    <w:rsid w:val="57A23BAF"/>
    <w:rsid w:val="57A6131A"/>
    <w:rsid w:val="57B11DD4"/>
    <w:rsid w:val="57BBA4C9"/>
    <w:rsid w:val="57BCFB7D"/>
    <w:rsid w:val="57BD523F"/>
    <w:rsid w:val="57C2378F"/>
    <w:rsid w:val="57C29E4E"/>
    <w:rsid w:val="57C960F8"/>
    <w:rsid w:val="57CFD94F"/>
    <w:rsid w:val="57D19457"/>
    <w:rsid w:val="57E1BE51"/>
    <w:rsid w:val="57F80A07"/>
    <w:rsid w:val="57F92177"/>
    <w:rsid w:val="57FB91E2"/>
    <w:rsid w:val="581150C6"/>
    <w:rsid w:val="58170DE5"/>
    <w:rsid w:val="581EEF2E"/>
    <w:rsid w:val="582C1011"/>
    <w:rsid w:val="582D8D09"/>
    <w:rsid w:val="5830DAA0"/>
    <w:rsid w:val="583D5213"/>
    <w:rsid w:val="583D888B"/>
    <w:rsid w:val="58447C4F"/>
    <w:rsid w:val="584BB7A7"/>
    <w:rsid w:val="58573EC4"/>
    <w:rsid w:val="585B9B61"/>
    <w:rsid w:val="5864EDF5"/>
    <w:rsid w:val="5867066B"/>
    <w:rsid w:val="586C46D7"/>
    <w:rsid w:val="5877C38C"/>
    <w:rsid w:val="5883D9A7"/>
    <w:rsid w:val="588B27CC"/>
    <w:rsid w:val="588D0634"/>
    <w:rsid w:val="588F9DF5"/>
    <w:rsid w:val="5895542E"/>
    <w:rsid w:val="5897DBC0"/>
    <w:rsid w:val="589A18C7"/>
    <w:rsid w:val="589A32A7"/>
    <w:rsid w:val="589CCC0C"/>
    <w:rsid w:val="58A7A69C"/>
    <w:rsid w:val="58ACF78D"/>
    <w:rsid w:val="58BD6A63"/>
    <w:rsid w:val="58C30B39"/>
    <w:rsid w:val="58D63921"/>
    <w:rsid w:val="58DA1B5E"/>
    <w:rsid w:val="58DB8919"/>
    <w:rsid w:val="58F29235"/>
    <w:rsid w:val="58FBE14D"/>
    <w:rsid w:val="58FEFF89"/>
    <w:rsid w:val="590567A7"/>
    <w:rsid w:val="5906EC5F"/>
    <w:rsid w:val="59095D94"/>
    <w:rsid w:val="590B4D69"/>
    <w:rsid w:val="590D1CD7"/>
    <w:rsid w:val="59252C10"/>
    <w:rsid w:val="592A50CB"/>
    <w:rsid w:val="5931825C"/>
    <w:rsid w:val="59477D0F"/>
    <w:rsid w:val="59498C6F"/>
    <w:rsid w:val="594ACC2C"/>
    <w:rsid w:val="5952A109"/>
    <w:rsid w:val="5953C18F"/>
    <w:rsid w:val="595A1958"/>
    <w:rsid w:val="595A7DDA"/>
    <w:rsid w:val="59601525"/>
    <w:rsid w:val="5964325F"/>
    <w:rsid w:val="5979EB5E"/>
    <w:rsid w:val="59851AF4"/>
    <w:rsid w:val="59873B0B"/>
    <w:rsid w:val="5987457D"/>
    <w:rsid w:val="5987B340"/>
    <w:rsid w:val="598C198E"/>
    <w:rsid w:val="598C48D7"/>
    <w:rsid w:val="598DE341"/>
    <w:rsid w:val="59993259"/>
    <w:rsid w:val="599A83BD"/>
    <w:rsid w:val="599C3825"/>
    <w:rsid w:val="59A052AD"/>
    <w:rsid w:val="59B5D79A"/>
    <w:rsid w:val="59BBEA43"/>
    <w:rsid w:val="59BFA3A0"/>
    <w:rsid w:val="59C3212A"/>
    <w:rsid w:val="59C3BDD5"/>
    <w:rsid w:val="59CE3205"/>
    <w:rsid w:val="59D26520"/>
    <w:rsid w:val="59E13C2E"/>
    <w:rsid w:val="59E2B8C1"/>
    <w:rsid w:val="59E49B56"/>
    <w:rsid w:val="59F4900F"/>
    <w:rsid w:val="5A085730"/>
    <w:rsid w:val="5A0EC4A1"/>
    <w:rsid w:val="5A2D5366"/>
    <w:rsid w:val="5A3188EB"/>
    <w:rsid w:val="5A38697D"/>
    <w:rsid w:val="5A4FF06C"/>
    <w:rsid w:val="5A67883F"/>
    <w:rsid w:val="5A72C9CA"/>
    <w:rsid w:val="5A81CE80"/>
    <w:rsid w:val="5A83CB28"/>
    <w:rsid w:val="5A8767D5"/>
    <w:rsid w:val="5A8B632F"/>
    <w:rsid w:val="5A935CDF"/>
    <w:rsid w:val="5A9A7969"/>
    <w:rsid w:val="5A9B2288"/>
    <w:rsid w:val="5AA7E02D"/>
    <w:rsid w:val="5AA83CC5"/>
    <w:rsid w:val="5AAFA730"/>
    <w:rsid w:val="5AB5CBFF"/>
    <w:rsid w:val="5AC032E5"/>
    <w:rsid w:val="5AD21F1B"/>
    <w:rsid w:val="5AD39B52"/>
    <w:rsid w:val="5AD3A961"/>
    <w:rsid w:val="5AD73C84"/>
    <w:rsid w:val="5ADD3D1A"/>
    <w:rsid w:val="5AE4DAE8"/>
    <w:rsid w:val="5AE583AE"/>
    <w:rsid w:val="5AF03630"/>
    <w:rsid w:val="5AF26775"/>
    <w:rsid w:val="5AFEAB1C"/>
    <w:rsid w:val="5B058D2B"/>
    <w:rsid w:val="5B08FB0F"/>
    <w:rsid w:val="5B1AD0A8"/>
    <w:rsid w:val="5B1B935A"/>
    <w:rsid w:val="5B2BC7FC"/>
    <w:rsid w:val="5B535E7F"/>
    <w:rsid w:val="5B53D833"/>
    <w:rsid w:val="5B574C58"/>
    <w:rsid w:val="5B6AE110"/>
    <w:rsid w:val="5B844F4E"/>
    <w:rsid w:val="5B85B203"/>
    <w:rsid w:val="5B9EA515"/>
    <w:rsid w:val="5BA0A172"/>
    <w:rsid w:val="5BB2922B"/>
    <w:rsid w:val="5BB37566"/>
    <w:rsid w:val="5BBB197C"/>
    <w:rsid w:val="5BC15F19"/>
    <w:rsid w:val="5BC214DD"/>
    <w:rsid w:val="5BE3035F"/>
    <w:rsid w:val="5BED6AAC"/>
    <w:rsid w:val="5BEE4D04"/>
    <w:rsid w:val="5BEE5C15"/>
    <w:rsid w:val="5BF3C77E"/>
    <w:rsid w:val="5C04A089"/>
    <w:rsid w:val="5C071B1C"/>
    <w:rsid w:val="5C0B0C25"/>
    <w:rsid w:val="5C19D3F5"/>
    <w:rsid w:val="5C1E3328"/>
    <w:rsid w:val="5C2924B9"/>
    <w:rsid w:val="5C2EC536"/>
    <w:rsid w:val="5C2F2712"/>
    <w:rsid w:val="5C2FEFEE"/>
    <w:rsid w:val="5C30ADB1"/>
    <w:rsid w:val="5C31B202"/>
    <w:rsid w:val="5C339101"/>
    <w:rsid w:val="5C3612E9"/>
    <w:rsid w:val="5C52A3FB"/>
    <w:rsid w:val="5C6B0AAB"/>
    <w:rsid w:val="5C74E2D7"/>
    <w:rsid w:val="5C7F7658"/>
    <w:rsid w:val="5C882866"/>
    <w:rsid w:val="5C8CA333"/>
    <w:rsid w:val="5C8F1816"/>
    <w:rsid w:val="5C921CDD"/>
    <w:rsid w:val="5C94E554"/>
    <w:rsid w:val="5C97D4B2"/>
    <w:rsid w:val="5CC74453"/>
    <w:rsid w:val="5CCC3DFD"/>
    <w:rsid w:val="5CE24C65"/>
    <w:rsid w:val="5CEA3C4D"/>
    <w:rsid w:val="5CEBF380"/>
    <w:rsid w:val="5CFBB077"/>
    <w:rsid w:val="5D005843"/>
    <w:rsid w:val="5D0EF300"/>
    <w:rsid w:val="5D21CD97"/>
    <w:rsid w:val="5D290558"/>
    <w:rsid w:val="5D29A81F"/>
    <w:rsid w:val="5D392C7E"/>
    <w:rsid w:val="5D39883B"/>
    <w:rsid w:val="5D39BB7C"/>
    <w:rsid w:val="5D471C30"/>
    <w:rsid w:val="5D610E61"/>
    <w:rsid w:val="5D62179C"/>
    <w:rsid w:val="5D6635C0"/>
    <w:rsid w:val="5D6E9171"/>
    <w:rsid w:val="5D7F71D6"/>
    <w:rsid w:val="5D843397"/>
    <w:rsid w:val="5D8E0B07"/>
    <w:rsid w:val="5D9FB234"/>
    <w:rsid w:val="5DAAF168"/>
    <w:rsid w:val="5DABAB34"/>
    <w:rsid w:val="5DACDCF8"/>
    <w:rsid w:val="5DAE18D1"/>
    <w:rsid w:val="5DC25E78"/>
    <w:rsid w:val="5DCD8716"/>
    <w:rsid w:val="5DE68E47"/>
    <w:rsid w:val="5DEC4E98"/>
    <w:rsid w:val="5E0E9B21"/>
    <w:rsid w:val="5E183A65"/>
    <w:rsid w:val="5E18E917"/>
    <w:rsid w:val="5E1FAA42"/>
    <w:rsid w:val="5E326E31"/>
    <w:rsid w:val="5E469595"/>
    <w:rsid w:val="5E58C66F"/>
    <w:rsid w:val="5E5C3F54"/>
    <w:rsid w:val="5E5C9EF7"/>
    <w:rsid w:val="5E63E03D"/>
    <w:rsid w:val="5E6979D5"/>
    <w:rsid w:val="5E72D066"/>
    <w:rsid w:val="5E77C622"/>
    <w:rsid w:val="5E784644"/>
    <w:rsid w:val="5E951511"/>
    <w:rsid w:val="5E96B3A0"/>
    <w:rsid w:val="5E97A22A"/>
    <w:rsid w:val="5E9C0732"/>
    <w:rsid w:val="5EA8E8A9"/>
    <w:rsid w:val="5EC8AC2F"/>
    <w:rsid w:val="5ECFF6C1"/>
    <w:rsid w:val="5EE131E2"/>
    <w:rsid w:val="5EEC504C"/>
    <w:rsid w:val="5F01EDD2"/>
    <w:rsid w:val="5F02FDB6"/>
    <w:rsid w:val="5F0436E2"/>
    <w:rsid w:val="5F07F668"/>
    <w:rsid w:val="5F0A94AF"/>
    <w:rsid w:val="5F1708BA"/>
    <w:rsid w:val="5F1B84EC"/>
    <w:rsid w:val="5F232CC1"/>
    <w:rsid w:val="5F24A7EF"/>
    <w:rsid w:val="5F27A5D6"/>
    <w:rsid w:val="5F2C7C83"/>
    <w:rsid w:val="5F2D90A5"/>
    <w:rsid w:val="5F319B7F"/>
    <w:rsid w:val="5F3B70E0"/>
    <w:rsid w:val="5F41C842"/>
    <w:rsid w:val="5F5131DC"/>
    <w:rsid w:val="5F644C9E"/>
    <w:rsid w:val="5F68A8CC"/>
    <w:rsid w:val="5F707D2C"/>
    <w:rsid w:val="5F761B8F"/>
    <w:rsid w:val="5F7AB889"/>
    <w:rsid w:val="5F821D63"/>
    <w:rsid w:val="5F8B93E8"/>
    <w:rsid w:val="5F8FD05C"/>
    <w:rsid w:val="5FA0932A"/>
    <w:rsid w:val="5FA15E3C"/>
    <w:rsid w:val="5FBD258A"/>
    <w:rsid w:val="5FBE4444"/>
    <w:rsid w:val="5FC23610"/>
    <w:rsid w:val="5FE5DDFE"/>
    <w:rsid w:val="5FF15BD5"/>
    <w:rsid w:val="5FF83F87"/>
    <w:rsid w:val="600D7903"/>
    <w:rsid w:val="6011C3B9"/>
    <w:rsid w:val="60242C73"/>
    <w:rsid w:val="602B12F8"/>
    <w:rsid w:val="604348C2"/>
    <w:rsid w:val="604521A6"/>
    <w:rsid w:val="60467EF6"/>
    <w:rsid w:val="6056EA13"/>
    <w:rsid w:val="606254F5"/>
    <w:rsid w:val="606343A7"/>
    <w:rsid w:val="6065E6D7"/>
    <w:rsid w:val="607C235F"/>
    <w:rsid w:val="608DF63A"/>
    <w:rsid w:val="60B4DC66"/>
    <w:rsid w:val="60CDAF14"/>
    <w:rsid w:val="60DE977C"/>
    <w:rsid w:val="60DF79D2"/>
    <w:rsid w:val="60E09A0F"/>
    <w:rsid w:val="60E1388C"/>
    <w:rsid w:val="60FAF0D8"/>
    <w:rsid w:val="6111E483"/>
    <w:rsid w:val="61162335"/>
    <w:rsid w:val="61289376"/>
    <w:rsid w:val="612ED73A"/>
    <w:rsid w:val="61357EEF"/>
    <w:rsid w:val="6141414D"/>
    <w:rsid w:val="614A4811"/>
    <w:rsid w:val="614D081B"/>
    <w:rsid w:val="614F0F5E"/>
    <w:rsid w:val="6151E738"/>
    <w:rsid w:val="6157F970"/>
    <w:rsid w:val="6161416E"/>
    <w:rsid w:val="61616242"/>
    <w:rsid w:val="6176E883"/>
    <w:rsid w:val="6177A9C8"/>
    <w:rsid w:val="6187C8E6"/>
    <w:rsid w:val="61894D03"/>
    <w:rsid w:val="61A3C63F"/>
    <w:rsid w:val="61AE73C5"/>
    <w:rsid w:val="61B93DD2"/>
    <w:rsid w:val="61BC0AF1"/>
    <w:rsid w:val="61BCAEAC"/>
    <w:rsid w:val="61BFA34B"/>
    <w:rsid w:val="61D41127"/>
    <w:rsid w:val="61D7646B"/>
    <w:rsid w:val="61E2C04C"/>
    <w:rsid w:val="61F6D0F1"/>
    <w:rsid w:val="61FBB7BA"/>
    <w:rsid w:val="620DF500"/>
    <w:rsid w:val="622B2CB8"/>
    <w:rsid w:val="622E32E3"/>
    <w:rsid w:val="62321A46"/>
    <w:rsid w:val="6249DD59"/>
    <w:rsid w:val="624ED0B0"/>
    <w:rsid w:val="62584AF6"/>
    <w:rsid w:val="625A24D9"/>
    <w:rsid w:val="626B2C0A"/>
    <w:rsid w:val="626D9355"/>
    <w:rsid w:val="62735571"/>
    <w:rsid w:val="6279E777"/>
    <w:rsid w:val="6284989D"/>
    <w:rsid w:val="6284A22E"/>
    <w:rsid w:val="628A0429"/>
    <w:rsid w:val="62947BEF"/>
    <w:rsid w:val="62AB3E2D"/>
    <w:rsid w:val="62B1C692"/>
    <w:rsid w:val="62B43516"/>
    <w:rsid w:val="62CEF051"/>
    <w:rsid w:val="62D3C818"/>
    <w:rsid w:val="62DBDB4D"/>
    <w:rsid w:val="62E0E9F2"/>
    <w:rsid w:val="62E34969"/>
    <w:rsid w:val="62E80E69"/>
    <w:rsid w:val="62ECB6F7"/>
    <w:rsid w:val="62F2043C"/>
    <w:rsid w:val="62F25E25"/>
    <w:rsid w:val="62F3D9F7"/>
    <w:rsid w:val="630D2C6A"/>
    <w:rsid w:val="631B6575"/>
    <w:rsid w:val="632E5D56"/>
    <w:rsid w:val="63390C75"/>
    <w:rsid w:val="6358E34B"/>
    <w:rsid w:val="637827CF"/>
    <w:rsid w:val="63889820"/>
    <w:rsid w:val="638C2AEC"/>
    <w:rsid w:val="63928F01"/>
    <w:rsid w:val="63A29879"/>
    <w:rsid w:val="63B1A385"/>
    <w:rsid w:val="63C21726"/>
    <w:rsid w:val="63E0EBB9"/>
    <w:rsid w:val="63E94DEA"/>
    <w:rsid w:val="63EFD6E3"/>
    <w:rsid w:val="6402D7D9"/>
    <w:rsid w:val="6417CE13"/>
    <w:rsid w:val="641EEAE5"/>
    <w:rsid w:val="64228D44"/>
    <w:rsid w:val="6422EB75"/>
    <w:rsid w:val="6429D72F"/>
    <w:rsid w:val="642A0602"/>
    <w:rsid w:val="642B7F78"/>
    <w:rsid w:val="6436FBAD"/>
    <w:rsid w:val="643FEB66"/>
    <w:rsid w:val="6440AFEF"/>
    <w:rsid w:val="6446E972"/>
    <w:rsid w:val="644FFEFB"/>
    <w:rsid w:val="645D8385"/>
    <w:rsid w:val="6462635C"/>
    <w:rsid w:val="6467EA5D"/>
    <w:rsid w:val="64711859"/>
    <w:rsid w:val="6471F8F5"/>
    <w:rsid w:val="6474A560"/>
    <w:rsid w:val="649B4CD0"/>
    <w:rsid w:val="64A64B10"/>
    <w:rsid w:val="64B74A4C"/>
    <w:rsid w:val="64BB13CD"/>
    <w:rsid w:val="64BEF987"/>
    <w:rsid w:val="64C194B7"/>
    <w:rsid w:val="64C2C1A0"/>
    <w:rsid w:val="64D11FAF"/>
    <w:rsid w:val="64D999AD"/>
    <w:rsid w:val="64D9B687"/>
    <w:rsid w:val="64E3F50E"/>
    <w:rsid w:val="64ECDCBA"/>
    <w:rsid w:val="64ED8774"/>
    <w:rsid w:val="64F1B0BB"/>
    <w:rsid w:val="64F42014"/>
    <w:rsid w:val="64FF9F89"/>
    <w:rsid w:val="6505F524"/>
    <w:rsid w:val="652A5DFD"/>
    <w:rsid w:val="652AAA76"/>
    <w:rsid w:val="652F6D3B"/>
    <w:rsid w:val="653A921B"/>
    <w:rsid w:val="654F440A"/>
    <w:rsid w:val="655A191F"/>
    <w:rsid w:val="655AEB60"/>
    <w:rsid w:val="6567380E"/>
    <w:rsid w:val="65708122"/>
    <w:rsid w:val="6570AEAF"/>
    <w:rsid w:val="6573509F"/>
    <w:rsid w:val="65742057"/>
    <w:rsid w:val="65866A2D"/>
    <w:rsid w:val="659578F0"/>
    <w:rsid w:val="65974187"/>
    <w:rsid w:val="65A00CEF"/>
    <w:rsid w:val="65A46E90"/>
    <w:rsid w:val="65A4FF48"/>
    <w:rsid w:val="65BB0D69"/>
    <w:rsid w:val="65CFBC4F"/>
    <w:rsid w:val="65D1D829"/>
    <w:rsid w:val="65DB8DA4"/>
    <w:rsid w:val="65EDEF69"/>
    <w:rsid w:val="65F64467"/>
    <w:rsid w:val="660A446A"/>
    <w:rsid w:val="66178E70"/>
    <w:rsid w:val="661D008D"/>
    <w:rsid w:val="66282705"/>
    <w:rsid w:val="664D2F9D"/>
    <w:rsid w:val="665A5069"/>
    <w:rsid w:val="6664B4A6"/>
    <w:rsid w:val="66697290"/>
    <w:rsid w:val="6677E923"/>
    <w:rsid w:val="667F3FFA"/>
    <w:rsid w:val="667F4553"/>
    <w:rsid w:val="6684C6C6"/>
    <w:rsid w:val="6695452F"/>
    <w:rsid w:val="669A1B76"/>
    <w:rsid w:val="669F45C2"/>
    <w:rsid w:val="66A8B581"/>
    <w:rsid w:val="66ACB2FF"/>
    <w:rsid w:val="66C2621C"/>
    <w:rsid w:val="66C71A1D"/>
    <w:rsid w:val="66D0C30C"/>
    <w:rsid w:val="66DB3AA5"/>
    <w:rsid w:val="66DF992C"/>
    <w:rsid w:val="66E8FC65"/>
    <w:rsid w:val="66F5370C"/>
    <w:rsid w:val="67060F79"/>
    <w:rsid w:val="671810C4"/>
    <w:rsid w:val="671962A8"/>
    <w:rsid w:val="6720D030"/>
    <w:rsid w:val="67364488"/>
    <w:rsid w:val="6738AF3D"/>
    <w:rsid w:val="673C1B04"/>
    <w:rsid w:val="673D8A12"/>
    <w:rsid w:val="67498E83"/>
    <w:rsid w:val="6753CEBE"/>
    <w:rsid w:val="675B3D2A"/>
    <w:rsid w:val="675E92B4"/>
    <w:rsid w:val="675FB39D"/>
    <w:rsid w:val="6766E128"/>
    <w:rsid w:val="677747B0"/>
    <w:rsid w:val="677D8826"/>
    <w:rsid w:val="6782CE98"/>
    <w:rsid w:val="6785DA05"/>
    <w:rsid w:val="6788C42F"/>
    <w:rsid w:val="6789D346"/>
    <w:rsid w:val="678A3307"/>
    <w:rsid w:val="6794F393"/>
    <w:rsid w:val="67B23507"/>
    <w:rsid w:val="67B731DB"/>
    <w:rsid w:val="67C73EDF"/>
    <w:rsid w:val="67DB9439"/>
    <w:rsid w:val="67DCFFCB"/>
    <w:rsid w:val="67F55E63"/>
    <w:rsid w:val="68048F6F"/>
    <w:rsid w:val="680DE189"/>
    <w:rsid w:val="6815C92C"/>
    <w:rsid w:val="68187E07"/>
    <w:rsid w:val="6822A614"/>
    <w:rsid w:val="68272F24"/>
    <w:rsid w:val="6847858F"/>
    <w:rsid w:val="685D2290"/>
    <w:rsid w:val="685F63BA"/>
    <w:rsid w:val="686140B0"/>
    <w:rsid w:val="6868CEB3"/>
    <w:rsid w:val="686957C9"/>
    <w:rsid w:val="68723156"/>
    <w:rsid w:val="68795F1F"/>
    <w:rsid w:val="687EBC14"/>
    <w:rsid w:val="689B8E5D"/>
    <w:rsid w:val="68ABDCAC"/>
    <w:rsid w:val="68AD1333"/>
    <w:rsid w:val="68B282BD"/>
    <w:rsid w:val="68C643A8"/>
    <w:rsid w:val="68D27BFB"/>
    <w:rsid w:val="68D28B1C"/>
    <w:rsid w:val="68E58224"/>
    <w:rsid w:val="68EF68B3"/>
    <w:rsid w:val="68F276C0"/>
    <w:rsid w:val="6908F374"/>
    <w:rsid w:val="690E02D3"/>
    <w:rsid w:val="69111D7D"/>
    <w:rsid w:val="69127C52"/>
    <w:rsid w:val="691C3D66"/>
    <w:rsid w:val="691FD0B4"/>
    <w:rsid w:val="692BDD6E"/>
    <w:rsid w:val="693158D9"/>
    <w:rsid w:val="6935EF70"/>
    <w:rsid w:val="693FEE69"/>
    <w:rsid w:val="6940674C"/>
    <w:rsid w:val="6945D769"/>
    <w:rsid w:val="694A095D"/>
    <w:rsid w:val="6959E48F"/>
    <w:rsid w:val="695BB51D"/>
    <w:rsid w:val="695E74AB"/>
    <w:rsid w:val="695ED868"/>
    <w:rsid w:val="69636E3D"/>
    <w:rsid w:val="69656B70"/>
    <w:rsid w:val="6969AFE9"/>
    <w:rsid w:val="6971E92E"/>
    <w:rsid w:val="697BA0C6"/>
    <w:rsid w:val="698300FD"/>
    <w:rsid w:val="698C3908"/>
    <w:rsid w:val="6992B133"/>
    <w:rsid w:val="699B5212"/>
    <w:rsid w:val="699B69C2"/>
    <w:rsid w:val="69AF0561"/>
    <w:rsid w:val="69AF7F90"/>
    <w:rsid w:val="69B1B2DC"/>
    <w:rsid w:val="69C5D24E"/>
    <w:rsid w:val="69D2C2F5"/>
    <w:rsid w:val="69D4F64D"/>
    <w:rsid w:val="69E72ACE"/>
    <w:rsid w:val="69F2835C"/>
    <w:rsid w:val="6A0FE565"/>
    <w:rsid w:val="6A148DA1"/>
    <w:rsid w:val="6A15210A"/>
    <w:rsid w:val="6A1CC678"/>
    <w:rsid w:val="6A210D3F"/>
    <w:rsid w:val="6A233A69"/>
    <w:rsid w:val="6A3598DD"/>
    <w:rsid w:val="6A383930"/>
    <w:rsid w:val="6A3B44E9"/>
    <w:rsid w:val="6A4B45F0"/>
    <w:rsid w:val="6A4BA8EC"/>
    <w:rsid w:val="6A52D4F3"/>
    <w:rsid w:val="6A58C9AB"/>
    <w:rsid w:val="6A62727B"/>
    <w:rsid w:val="6A84BAD9"/>
    <w:rsid w:val="6A864664"/>
    <w:rsid w:val="6A8DBB35"/>
    <w:rsid w:val="6A9471A0"/>
    <w:rsid w:val="6A9518A7"/>
    <w:rsid w:val="6A996D65"/>
    <w:rsid w:val="6A9A7967"/>
    <w:rsid w:val="6AA06667"/>
    <w:rsid w:val="6AA71FE7"/>
    <w:rsid w:val="6AD478F9"/>
    <w:rsid w:val="6ADC2EF0"/>
    <w:rsid w:val="6ADF38CC"/>
    <w:rsid w:val="6AF52B3A"/>
    <w:rsid w:val="6AF63F56"/>
    <w:rsid w:val="6B14B564"/>
    <w:rsid w:val="6B265506"/>
    <w:rsid w:val="6B2B6271"/>
    <w:rsid w:val="6B2CB636"/>
    <w:rsid w:val="6B2F8165"/>
    <w:rsid w:val="6B3038D1"/>
    <w:rsid w:val="6B342313"/>
    <w:rsid w:val="6B3F9C81"/>
    <w:rsid w:val="6B4925B0"/>
    <w:rsid w:val="6B4E4221"/>
    <w:rsid w:val="6B4F819F"/>
    <w:rsid w:val="6B52679B"/>
    <w:rsid w:val="6B598393"/>
    <w:rsid w:val="6B6C91C9"/>
    <w:rsid w:val="6B760ECD"/>
    <w:rsid w:val="6B81E1A8"/>
    <w:rsid w:val="6B87B1B1"/>
    <w:rsid w:val="6B8C2F7B"/>
    <w:rsid w:val="6B99D54A"/>
    <w:rsid w:val="6BA18560"/>
    <w:rsid w:val="6BA2E3D4"/>
    <w:rsid w:val="6BB30A73"/>
    <w:rsid w:val="6BB43456"/>
    <w:rsid w:val="6BB877D5"/>
    <w:rsid w:val="6BBB1394"/>
    <w:rsid w:val="6BC6BB29"/>
    <w:rsid w:val="6BCCF9EA"/>
    <w:rsid w:val="6BE1E641"/>
    <w:rsid w:val="6C18F80F"/>
    <w:rsid w:val="6C1E4DA8"/>
    <w:rsid w:val="6C26BFAB"/>
    <w:rsid w:val="6C29BF75"/>
    <w:rsid w:val="6C2E748F"/>
    <w:rsid w:val="6C2FF144"/>
    <w:rsid w:val="6C32ABCB"/>
    <w:rsid w:val="6C3F8D35"/>
    <w:rsid w:val="6C5010FA"/>
    <w:rsid w:val="6C58548E"/>
    <w:rsid w:val="6C5A8389"/>
    <w:rsid w:val="6C5B6A83"/>
    <w:rsid w:val="6C613058"/>
    <w:rsid w:val="6C64A953"/>
    <w:rsid w:val="6C677632"/>
    <w:rsid w:val="6C692248"/>
    <w:rsid w:val="6C71C4DC"/>
    <w:rsid w:val="6C746F93"/>
    <w:rsid w:val="6C920E12"/>
    <w:rsid w:val="6C9B4606"/>
    <w:rsid w:val="6CA070D6"/>
    <w:rsid w:val="6CA2351B"/>
    <w:rsid w:val="6CAEE387"/>
    <w:rsid w:val="6CB06DE3"/>
    <w:rsid w:val="6CB43D7D"/>
    <w:rsid w:val="6CC7AD8C"/>
    <w:rsid w:val="6CD0B81E"/>
    <w:rsid w:val="6CD3FFDA"/>
    <w:rsid w:val="6CD55683"/>
    <w:rsid w:val="6CE4327E"/>
    <w:rsid w:val="6CE94F11"/>
    <w:rsid w:val="6CE994E6"/>
    <w:rsid w:val="6CEF95D4"/>
    <w:rsid w:val="6CFBB528"/>
    <w:rsid w:val="6D11C1E6"/>
    <w:rsid w:val="6D224372"/>
    <w:rsid w:val="6D228012"/>
    <w:rsid w:val="6D28DFBA"/>
    <w:rsid w:val="6D543EDB"/>
    <w:rsid w:val="6D5E1DCD"/>
    <w:rsid w:val="6D63271B"/>
    <w:rsid w:val="6D6E3320"/>
    <w:rsid w:val="6D6ED1F8"/>
    <w:rsid w:val="6D874010"/>
    <w:rsid w:val="6D8C5B4D"/>
    <w:rsid w:val="6D917A53"/>
    <w:rsid w:val="6D93BF25"/>
    <w:rsid w:val="6DA1C856"/>
    <w:rsid w:val="6DC40AD7"/>
    <w:rsid w:val="6DC4DC0B"/>
    <w:rsid w:val="6DD95991"/>
    <w:rsid w:val="6DE53C3B"/>
    <w:rsid w:val="6DEFB30C"/>
    <w:rsid w:val="6DF21822"/>
    <w:rsid w:val="6DF46A81"/>
    <w:rsid w:val="6DFD8140"/>
    <w:rsid w:val="6E109A69"/>
    <w:rsid w:val="6E130C60"/>
    <w:rsid w:val="6E15B27F"/>
    <w:rsid w:val="6E222C30"/>
    <w:rsid w:val="6E2DEE44"/>
    <w:rsid w:val="6E2F742F"/>
    <w:rsid w:val="6E385AE1"/>
    <w:rsid w:val="6E3EC358"/>
    <w:rsid w:val="6E5FA3E6"/>
    <w:rsid w:val="6E640B80"/>
    <w:rsid w:val="6E6D6A29"/>
    <w:rsid w:val="6E70E0AD"/>
    <w:rsid w:val="6E82B175"/>
    <w:rsid w:val="6E8F3A43"/>
    <w:rsid w:val="6E93AB3C"/>
    <w:rsid w:val="6E93B316"/>
    <w:rsid w:val="6E973D72"/>
    <w:rsid w:val="6E9B81EA"/>
    <w:rsid w:val="6E9D4705"/>
    <w:rsid w:val="6EA368E1"/>
    <w:rsid w:val="6EACA15E"/>
    <w:rsid w:val="6EB14C48"/>
    <w:rsid w:val="6EB75057"/>
    <w:rsid w:val="6EBA63BE"/>
    <w:rsid w:val="6EC03A1B"/>
    <w:rsid w:val="6EC25E4D"/>
    <w:rsid w:val="6EC2944D"/>
    <w:rsid w:val="6EC4E287"/>
    <w:rsid w:val="6EC6213A"/>
    <w:rsid w:val="6EC7B4D1"/>
    <w:rsid w:val="6ED7D622"/>
    <w:rsid w:val="6EDE0F2E"/>
    <w:rsid w:val="6EE21FB9"/>
    <w:rsid w:val="6EFAA27C"/>
    <w:rsid w:val="6F0CA739"/>
    <w:rsid w:val="6F129D62"/>
    <w:rsid w:val="6F2D2012"/>
    <w:rsid w:val="6F2EA0B0"/>
    <w:rsid w:val="6F54FCD2"/>
    <w:rsid w:val="6F59B913"/>
    <w:rsid w:val="6F5F9DCF"/>
    <w:rsid w:val="6F60264F"/>
    <w:rsid w:val="6F66F634"/>
    <w:rsid w:val="6F8570BC"/>
    <w:rsid w:val="6F85B574"/>
    <w:rsid w:val="6F95E152"/>
    <w:rsid w:val="6F9797E9"/>
    <w:rsid w:val="6FB495A0"/>
    <w:rsid w:val="6FC39DDE"/>
    <w:rsid w:val="6FD4EE71"/>
    <w:rsid w:val="6FE1C37A"/>
    <w:rsid w:val="6FE4D0E8"/>
    <w:rsid w:val="6FECB709"/>
    <w:rsid w:val="6FFBD5EA"/>
    <w:rsid w:val="6FFE253F"/>
    <w:rsid w:val="6FFF15CB"/>
    <w:rsid w:val="7000120E"/>
    <w:rsid w:val="70005055"/>
    <w:rsid w:val="70042DE6"/>
    <w:rsid w:val="701070DE"/>
    <w:rsid w:val="702284F4"/>
    <w:rsid w:val="7026C8F7"/>
    <w:rsid w:val="702C7014"/>
    <w:rsid w:val="70305709"/>
    <w:rsid w:val="703CB966"/>
    <w:rsid w:val="70456274"/>
    <w:rsid w:val="70484A25"/>
    <w:rsid w:val="704F85FC"/>
    <w:rsid w:val="7068841E"/>
    <w:rsid w:val="70AEE62A"/>
    <w:rsid w:val="70C8B464"/>
    <w:rsid w:val="70CAD1F8"/>
    <w:rsid w:val="70CE32C6"/>
    <w:rsid w:val="70D9A13F"/>
    <w:rsid w:val="70E41546"/>
    <w:rsid w:val="70E93FE9"/>
    <w:rsid w:val="710940CE"/>
    <w:rsid w:val="71166AFA"/>
    <w:rsid w:val="7126AE34"/>
    <w:rsid w:val="71294FC3"/>
    <w:rsid w:val="712B49B3"/>
    <w:rsid w:val="712B9649"/>
    <w:rsid w:val="71348577"/>
    <w:rsid w:val="713F0026"/>
    <w:rsid w:val="7144705B"/>
    <w:rsid w:val="714565FC"/>
    <w:rsid w:val="714EE062"/>
    <w:rsid w:val="71518F26"/>
    <w:rsid w:val="71530C68"/>
    <w:rsid w:val="71587FD5"/>
    <w:rsid w:val="715F1BD9"/>
    <w:rsid w:val="7162BC3E"/>
    <w:rsid w:val="7169C1FA"/>
    <w:rsid w:val="718E2960"/>
    <w:rsid w:val="718EB4F2"/>
    <w:rsid w:val="71940719"/>
    <w:rsid w:val="719DFF84"/>
    <w:rsid w:val="71BB351A"/>
    <w:rsid w:val="71CFC3C8"/>
    <w:rsid w:val="71D4EC83"/>
    <w:rsid w:val="71D6FC81"/>
    <w:rsid w:val="71D87951"/>
    <w:rsid w:val="71E2DF51"/>
    <w:rsid w:val="71E3B93D"/>
    <w:rsid w:val="71E5EA34"/>
    <w:rsid w:val="71F3EF85"/>
    <w:rsid w:val="720185CE"/>
    <w:rsid w:val="720552B9"/>
    <w:rsid w:val="720BF35A"/>
    <w:rsid w:val="72127C97"/>
    <w:rsid w:val="721A690E"/>
    <w:rsid w:val="721EBC3F"/>
    <w:rsid w:val="721F3753"/>
    <w:rsid w:val="721FF8DD"/>
    <w:rsid w:val="7220B75B"/>
    <w:rsid w:val="723BB817"/>
    <w:rsid w:val="723BEB96"/>
    <w:rsid w:val="724D1A7A"/>
    <w:rsid w:val="72503F8A"/>
    <w:rsid w:val="7251F996"/>
    <w:rsid w:val="726F1846"/>
    <w:rsid w:val="7289F20A"/>
    <w:rsid w:val="729C241F"/>
    <w:rsid w:val="72A0438D"/>
    <w:rsid w:val="72A5ADF7"/>
    <w:rsid w:val="72A999A0"/>
    <w:rsid w:val="72AA81CD"/>
    <w:rsid w:val="72CA8695"/>
    <w:rsid w:val="72CB7D1B"/>
    <w:rsid w:val="72CCB7E6"/>
    <w:rsid w:val="72CE0762"/>
    <w:rsid w:val="72EC2A64"/>
    <w:rsid w:val="72ECA327"/>
    <w:rsid w:val="72ECF6F0"/>
    <w:rsid w:val="72F1CCAD"/>
    <w:rsid w:val="72FD943C"/>
    <w:rsid w:val="73097C58"/>
    <w:rsid w:val="731BAF1D"/>
    <w:rsid w:val="7320F126"/>
    <w:rsid w:val="7325753B"/>
    <w:rsid w:val="733550C8"/>
    <w:rsid w:val="733ABC20"/>
    <w:rsid w:val="734C8790"/>
    <w:rsid w:val="7361D0AD"/>
    <w:rsid w:val="736689B1"/>
    <w:rsid w:val="7372026A"/>
    <w:rsid w:val="738A4E48"/>
    <w:rsid w:val="73B4E871"/>
    <w:rsid w:val="73CF2239"/>
    <w:rsid w:val="73E8D4A2"/>
    <w:rsid w:val="73ECAD5A"/>
    <w:rsid w:val="73EFE8BF"/>
    <w:rsid w:val="73F05EAD"/>
    <w:rsid w:val="7404B807"/>
    <w:rsid w:val="740864FB"/>
    <w:rsid w:val="741C6184"/>
    <w:rsid w:val="7425A53F"/>
    <w:rsid w:val="7429078F"/>
    <w:rsid w:val="74369506"/>
    <w:rsid w:val="74443D26"/>
    <w:rsid w:val="746DBC88"/>
    <w:rsid w:val="74783F8C"/>
    <w:rsid w:val="747A6758"/>
    <w:rsid w:val="748FF484"/>
    <w:rsid w:val="74943C55"/>
    <w:rsid w:val="7494BE1B"/>
    <w:rsid w:val="749F0ED3"/>
    <w:rsid w:val="74A5A38A"/>
    <w:rsid w:val="74AC7F36"/>
    <w:rsid w:val="74B6F48C"/>
    <w:rsid w:val="74CD5606"/>
    <w:rsid w:val="74E60FAF"/>
    <w:rsid w:val="74F2C6E0"/>
    <w:rsid w:val="74FB5FBA"/>
    <w:rsid w:val="750B1BC6"/>
    <w:rsid w:val="750CF8C3"/>
    <w:rsid w:val="750DF70A"/>
    <w:rsid w:val="7512FC70"/>
    <w:rsid w:val="7522BFF1"/>
    <w:rsid w:val="7523614E"/>
    <w:rsid w:val="75317A21"/>
    <w:rsid w:val="754DF72A"/>
    <w:rsid w:val="755DC16F"/>
    <w:rsid w:val="755E45FD"/>
    <w:rsid w:val="756FC1FF"/>
    <w:rsid w:val="7579DAD5"/>
    <w:rsid w:val="7586A851"/>
    <w:rsid w:val="758EA709"/>
    <w:rsid w:val="75991BA9"/>
    <w:rsid w:val="759C71B7"/>
    <w:rsid w:val="75A310CE"/>
    <w:rsid w:val="75A3C957"/>
    <w:rsid w:val="75AC1A4A"/>
    <w:rsid w:val="75AC9724"/>
    <w:rsid w:val="75BF03CC"/>
    <w:rsid w:val="75C4CED2"/>
    <w:rsid w:val="75CBB89F"/>
    <w:rsid w:val="75D1F905"/>
    <w:rsid w:val="75DCCC0D"/>
    <w:rsid w:val="75E27943"/>
    <w:rsid w:val="760FF1B4"/>
    <w:rsid w:val="76130554"/>
    <w:rsid w:val="76131340"/>
    <w:rsid w:val="7617F030"/>
    <w:rsid w:val="761B2E65"/>
    <w:rsid w:val="761EDDA4"/>
    <w:rsid w:val="762132A8"/>
    <w:rsid w:val="76345537"/>
    <w:rsid w:val="764FB370"/>
    <w:rsid w:val="76535CF3"/>
    <w:rsid w:val="76594892"/>
    <w:rsid w:val="765CB2EB"/>
    <w:rsid w:val="765E31D3"/>
    <w:rsid w:val="76766EB2"/>
    <w:rsid w:val="767C6720"/>
    <w:rsid w:val="767EED8E"/>
    <w:rsid w:val="76812E42"/>
    <w:rsid w:val="76863A0B"/>
    <w:rsid w:val="7686B060"/>
    <w:rsid w:val="7689940A"/>
    <w:rsid w:val="769CB4B3"/>
    <w:rsid w:val="769CF1B8"/>
    <w:rsid w:val="769EE29D"/>
    <w:rsid w:val="769F0A3F"/>
    <w:rsid w:val="769FF715"/>
    <w:rsid w:val="76AB5D32"/>
    <w:rsid w:val="76B0E6A8"/>
    <w:rsid w:val="76B7072C"/>
    <w:rsid w:val="76CFB373"/>
    <w:rsid w:val="76DBD8A8"/>
    <w:rsid w:val="76DC959F"/>
    <w:rsid w:val="76FA0DA8"/>
    <w:rsid w:val="77043791"/>
    <w:rsid w:val="7725CF69"/>
    <w:rsid w:val="77327331"/>
    <w:rsid w:val="773CA6F5"/>
    <w:rsid w:val="774676AE"/>
    <w:rsid w:val="7758B89E"/>
    <w:rsid w:val="775B7C02"/>
    <w:rsid w:val="77714B02"/>
    <w:rsid w:val="77791F1A"/>
    <w:rsid w:val="777EBA21"/>
    <w:rsid w:val="779ECB69"/>
    <w:rsid w:val="77A2D5A1"/>
    <w:rsid w:val="77AAC900"/>
    <w:rsid w:val="77B10675"/>
    <w:rsid w:val="77B75344"/>
    <w:rsid w:val="77B9B00F"/>
    <w:rsid w:val="77C3B9AF"/>
    <w:rsid w:val="77CB679F"/>
    <w:rsid w:val="77D0CF6A"/>
    <w:rsid w:val="77E7431A"/>
    <w:rsid w:val="77F1C507"/>
    <w:rsid w:val="78004788"/>
    <w:rsid w:val="780EC2F6"/>
    <w:rsid w:val="781050FA"/>
    <w:rsid w:val="7815555D"/>
    <w:rsid w:val="78175023"/>
    <w:rsid w:val="781C0FAB"/>
    <w:rsid w:val="781D0D21"/>
    <w:rsid w:val="781D3A76"/>
    <w:rsid w:val="782832F5"/>
    <w:rsid w:val="782A61EF"/>
    <w:rsid w:val="78368D94"/>
    <w:rsid w:val="783C68BC"/>
    <w:rsid w:val="78423988"/>
    <w:rsid w:val="78462A38"/>
    <w:rsid w:val="78473024"/>
    <w:rsid w:val="784C048F"/>
    <w:rsid w:val="7853B9B0"/>
    <w:rsid w:val="78566A1A"/>
    <w:rsid w:val="78675A9B"/>
    <w:rsid w:val="786D09F6"/>
    <w:rsid w:val="7877519C"/>
    <w:rsid w:val="787995CC"/>
    <w:rsid w:val="787F1357"/>
    <w:rsid w:val="78833CD6"/>
    <w:rsid w:val="78837976"/>
    <w:rsid w:val="788F824D"/>
    <w:rsid w:val="78A19525"/>
    <w:rsid w:val="78A26409"/>
    <w:rsid w:val="78AE91B4"/>
    <w:rsid w:val="78AFB2F3"/>
    <w:rsid w:val="78B34B5B"/>
    <w:rsid w:val="78B58097"/>
    <w:rsid w:val="78FDCF4F"/>
    <w:rsid w:val="79023A1A"/>
    <w:rsid w:val="79207C71"/>
    <w:rsid w:val="7925F852"/>
    <w:rsid w:val="7943846E"/>
    <w:rsid w:val="79463DE7"/>
    <w:rsid w:val="794946AC"/>
    <w:rsid w:val="794EAEDF"/>
    <w:rsid w:val="79605196"/>
    <w:rsid w:val="7967D127"/>
    <w:rsid w:val="7969F972"/>
    <w:rsid w:val="796D682D"/>
    <w:rsid w:val="79789803"/>
    <w:rsid w:val="7979C66D"/>
    <w:rsid w:val="798859F0"/>
    <w:rsid w:val="79888579"/>
    <w:rsid w:val="7995048B"/>
    <w:rsid w:val="799A11E3"/>
    <w:rsid w:val="799FA48C"/>
    <w:rsid w:val="79A1AD00"/>
    <w:rsid w:val="79BDF399"/>
    <w:rsid w:val="79D6798A"/>
    <w:rsid w:val="79DD9243"/>
    <w:rsid w:val="79DF1205"/>
    <w:rsid w:val="79E308BB"/>
    <w:rsid w:val="79F64629"/>
    <w:rsid w:val="79F78D8D"/>
    <w:rsid w:val="7A02F445"/>
    <w:rsid w:val="7A0BACD6"/>
    <w:rsid w:val="7A0C3835"/>
    <w:rsid w:val="7A118691"/>
    <w:rsid w:val="7A15A17C"/>
    <w:rsid w:val="7A1EB087"/>
    <w:rsid w:val="7A253C8F"/>
    <w:rsid w:val="7A2BDF26"/>
    <w:rsid w:val="7A344303"/>
    <w:rsid w:val="7A3BB080"/>
    <w:rsid w:val="7A49127F"/>
    <w:rsid w:val="7A4BFB16"/>
    <w:rsid w:val="7A5F488A"/>
    <w:rsid w:val="7A6C66CB"/>
    <w:rsid w:val="7A6CDECE"/>
    <w:rsid w:val="7A70A73F"/>
    <w:rsid w:val="7A712648"/>
    <w:rsid w:val="7A759450"/>
    <w:rsid w:val="7A7A1F05"/>
    <w:rsid w:val="7A7D3F2B"/>
    <w:rsid w:val="7A88BF12"/>
    <w:rsid w:val="7A964C18"/>
    <w:rsid w:val="7A9688C1"/>
    <w:rsid w:val="7AAA46E3"/>
    <w:rsid w:val="7AABCC55"/>
    <w:rsid w:val="7AB37902"/>
    <w:rsid w:val="7AB6AB01"/>
    <w:rsid w:val="7AC22A87"/>
    <w:rsid w:val="7AC22BB5"/>
    <w:rsid w:val="7ACA6C73"/>
    <w:rsid w:val="7ACDF853"/>
    <w:rsid w:val="7AD6DAF3"/>
    <w:rsid w:val="7AE4808D"/>
    <w:rsid w:val="7B002DA9"/>
    <w:rsid w:val="7B02985D"/>
    <w:rsid w:val="7B0E9966"/>
    <w:rsid w:val="7B0F77C9"/>
    <w:rsid w:val="7B16D823"/>
    <w:rsid w:val="7B2482AC"/>
    <w:rsid w:val="7B3063B2"/>
    <w:rsid w:val="7B34545A"/>
    <w:rsid w:val="7B3AC82C"/>
    <w:rsid w:val="7B53821B"/>
    <w:rsid w:val="7B5EBE70"/>
    <w:rsid w:val="7B61B04E"/>
    <w:rsid w:val="7B6837A7"/>
    <w:rsid w:val="7B6A9987"/>
    <w:rsid w:val="7B75EE48"/>
    <w:rsid w:val="7B7E3938"/>
    <w:rsid w:val="7B84D3CE"/>
    <w:rsid w:val="7B866745"/>
    <w:rsid w:val="7B968AF2"/>
    <w:rsid w:val="7B992E66"/>
    <w:rsid w:val="7BC62376"/>
    <w:rsid w:val="7BC7B5B7"/>
    <w:rsid w:val="7BCF67EF"/>
    <w:rsid w:val="7BE83DC2"/>
    <w:rsid w:val="7BEB2CD7"/>
    <w:rsid w:val="7BF45C2F"/>
    <w:rsid w:val="7BFDCFCC"/>
    <w:rsid w:val="7C003F3E"/>
    <w:rsid w:val="7C09DB18"/>
    <w:rsid w:val="7C29C5C3"/>
    <w:rsid w:val="7C2FBCFA"/>
    <w:rsid w:val="7C39ADD6"/>
    <w:rsid w:val="7C40634A"/>
    <w:rsid w:val="7C4FC1C0"/>
    <w:rsid w:val="7C4FD24B"/>
    <w:rsid w:val="7C628C9D"/>
    <w:rsid w:val="7C62D557"/>
    <w:rsid w:val="7C81ACD8"/>
    <w:rsid w:val="7C8EF6AE"/>
    <w:rsid w:val="7C9770FD"/>
    <w:rsid w:val="7CA0AB60"/>
    <w:rsid w:val="7CA2ACFD"/>
    <w:rsid w:val="7CA854CE"/>
    <w:rsid w:val="7CAA67D1"/>
    <w:rsid w:val="7CAFE12B"/>
    <w:rsid w:val="7CB44B86"/>
    <w:rsid w:val="7CB65A02"/>
    <w:rsid w:val="7CBD0161"/>
    <w:rsid w:val="7CC1FB3E"/>
    <w:rsid w:val="7CD4242B"/>
    <w:rsid w:val="7CD9FB8A"/>
    <w:rsid w:val="7CDBBA57"/>
    <w:rsid w:val="7CE5CE5A"/>
    <w:rsid w:val="7CE6799F"/>
    <w:rsid w:val="7CFC0231"/>
    <w:rsid w:val="7D11BDC8"/>
    <w:rsid w:val="7D14891A"/>
    <w:rsid w:val="7D3900FC"/>
    <w:rsid w:val="7D39AC5A"/>
    <w:rsid w:val="7D3DD2FB"/>
    <w:rsid w:val="7D4A610C"/>
    <w:rsid w:val="7D71912B"/>
    <w:rsid w:val="7D71B5EA"/>
    <w:rsid w:val="7D7672E5"/>
    <w:rsid w:val="7D91E98C"/>
    <w:rsid w:val="7D9D7FFA"/>
    <w:rsid w:val="7DA2337B"/>
    <w:rsid w:val="7DA8D45A"/>
    <w:rsid w:val="7DABB8DF"/>
    <w:rsid w:val="7DB2D94E"/>
    <w:rsid w:val="7DB6F17F"/>
    <w:rsid w:val="7DEA7635"/>
    <w:rsid w:val="7E081C31"/>
    <w:rsid w:val="7E084148"/>
    <w:rsid w:val="7E08A93B"/>
    <w:rsid w:val="7E09F8A2"/>
    <w:rsid w:val="7E1FE637"/>
    <w:rsid w:val="7E2E5A1F"/>
    <w:rsid w:val="7E2E728F"/>
    <w:rsid w:val="7E3DE187"/>
    <w:rsid w:val="7E626408"/>
    <w:rsid w:val="7E627462"/>
    <w:rsid w:val="7E671058"/>
    <w:rsid w:val="7E6BD2F9"/>
    <w:rsid w:val="7E7D1844"/>
    <w:rsid w:val="7E9011D0"/>
    <w:rsid w:val="7E9732DA"/>
    <w:rsid w:val="7EA0D715"/>
    <w:rsid w:val="7EAE7316"/>
    <w:rsid w:val="7EB06779"/>
    <w:rsid w:val="7EBC2FEB"/>
    <w:rsid w:val="7EC903D4"/>
    <w:rsid w:val="7ECC555C"/>
    <w:rsid w:val="7ED09209"/>
    <w:rsid w:val="7EF83C15"/>
    <w:rsid w:val="7EFFB28A"/>
    <w:rsid w:val="7F19F518"/>
    <w:rsid w:val="7F33C310"/>
    <w:rsid w:val="7F3418C2"/>
    <w:rsid w:val="7F397A3A"/>
    <w:rsid w:val="7F406351"/>
    <w:rsid w:val="7F545D37"/>
    <w:rsid w:val="7F559006"/>
    <w:rsid w:val="7F57249A"/>
    <w:rsid w:val="7F58EDCB"/>
    <w:rsid w:val="7F6074AF"/>
    <w:rsid w:val="7F6CB23A"/>
    <w:rsid w:val="7F7139EE"/>
    <w:rsid w:val="7F744149"/>
    <w:rsid w:val="7F74C3F7"/>
    <w:rsid w:val="7F754E3D"/>
    <w:rsid w:val="7F79D51B"/>
    <w:rsid w:val="7F959BAA"/>
    <w:rsid w:val="7F9F31CD"/>
    <w:rsid w:val="7FA5F0FA"/>
    <w:rsid w:val="7FB343EB"/>
    <w:rsid w:val="7FCD7EBC"/>
    <w:rsid w:val="7FE88C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3AFA5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sk"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3F36"/>
  </w:style>
  <w:style w:type="paragraph" w:styleId="Heading1">
    <w:name w:val="heading 1"/>
    <w:basedOn w:val="Normal"/>
    <w:next w:val="Text1"/>
    <w:link w:val="Heading1Char"/>
    <w:uiPriority w:val="9"/>
    <w:qFormat/>
    <w:rsid w:val="14F0B435"/>
    <w:pPr>
      <w:keepNext/>
      <w:tabs>
        <w:tab w:val="num" w:pos="850"/>
      </w:tabs>
      <w:spacing w:before="360" w:after="0"/>
      <w:ind w:left="850" w:hanging="850"/>
      <w:jc w:val="both"/>
      <w:outlineLvl w:val="0"/>
    </w:pPr>
    <w:rPr>
      <w:rFonts w:ascii="Times New Roman" w:eastAsiaTheme="majorEastAsia" w:hAnsi="Times New Roman" w:cs="Times New Roman"/>
      <w:b/>
      <w:smallCaps/>
      <w:sz w:val="24"/>
    </w:rPr>
  </w:style>
  <w:style w:type="paragraph" w:styleId="Heading2">
    <w:name w:val="heading 2"/>
    <w:basedOn w:val="Normal"/>
    <w:next w:val="Text1"/>
    <w:link w:val="Heading2Char"/>
    <w:uiPriority w:val="9"/>
    <w:unhideWhenUsed/>
    <w:qFormat/>
    <w:rsid w:val="14F0B435"/>
    <w:pPr>
      <w:keepNext/>
      <w:spacing w:before="40" w:after="0"/>
      <w:ind w:left="130" w:firstLine="720"/>
      <w:jc w:val="both"/>
      <w:outlineLvl w:val="1"/>
    </w:pPr>
    <w:rPr>
      <w:rFonts w:ascii="Times New Roman" w:eastAsiaTheme="minorEastAsia" w:hAnsi="Times New Roman" w:cs="Times New Roman"/>
      <w:b/>
      <w:sz w:val="24"/>
      <w:u w:val="single"/>
    </w:rPr>
  </w:style>
  <w:style w:type="paragraph" w:styleId="Heading3">
    <w:name w:val="heading 3"/>
    <w:basedOn w:val="Normal"/>
    <w:next w:val="Text1"/>
    <w:link w:val="Heading3Char"/>
    <w:uiPriority w:val="9"/>
    <w:unhideWhenUsed/>
    <w:qFormat/>
    <w:rsid w:val="14F0B435"/>
    <w:pPr>
      <w:keepNext/>
      <w:spacing w:before="240" w:after="0"/>
      <w:ind w:left="851"/>
      <w:jc w:val="both"/>
      <w:outlineLvl w:val="2"/>
    </w:pPr>
    <w:rPr>
      <w:rFonts w:ascii="Times New Roman" w:eastAsiaTheme="minorEastAsia" w:hAnsi="Times New Roman" w:cs="Times New Roman"/>
      <w:sz w:val="24"/>
      <w:u w:val="single"/>
    </w:rPr>
  </w:style>
  <w:style w:type="paragraph" w:styleId="Heading4">
    <w:name w:val="heading 4"/>
    <w:basedOn w:val="Normal"/>
    <w:next w:val="Text1"/>
    <w:link w:val="Heading4Char"/>
    <w:uiPriority w:val="9"/>
    <w:unhideWhenUsed/>
    <w:qFormat/>
    <w:rsid w:val="29DEDBAE"/>
    <w:pPr>
      <w:keepNext/>
      <w:numPr>
        <w:ilvl w:val="3"/>
        <w:numId w:val="7"/>
      </w:numPr>
      <w:spacing w:before="40" w:after="0"/>
      <w:jc w:val="both"/>
      <w:outlineLvl w:val="3"/>
    </w:pPr>
    <w:rPr>
      <w:rFonts w:ascii="Times New Roman" w:eastAsiaTheme="majorEastAsia" w:hAnsi="Times New Roman" w:cs="Times New Roman"/>
      <w:sz w:val="24"/>
    </w:rPr>
  </w:style>
  <w:style w:type="paragraph" w:styleId="Heading5">
    <w:name w:val="heading 5"/>
    <w:basedOn w:val="Normal"/>
    <w:next w:val="Normal"/>
    <w:link w:val="Heading5Char"/>
    <w:uiPriority w:val="9"/>
    <w:unhideWhenUsed/>
    <w:qFormat/>
    <w:rsid w:val="00510B5B"/>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510B5B"/>
    <w:pPr>
      <w:keepNext/>
      <w:keepLines/>
      <w:spacing w:before="40" w:after="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00510B5B"/>
    <w:pPr>
      <w:keepNext/>
      <w:keepLines/>
      <w:spacing w:before="40" w:after="0"/>
      <w:outlineLvl w:val="6"/>
    </w:pPr>
    <w:rPr>
      <w:rFonts w:asciiTheme="majorHAnsi" w:eastAsiaTheme="majorEastAsia" w:hAnsiTheme="majorHAnsi" w:cstheme="majorBidi"/>
      <w:i/>
      <w:color w:val="243F60"/>
    </w:rPr>
  </w:style>
  <w:style w:type="paragraph" w:styleId="Heading8">
    <w:name w:val="heading 8"/>
    <w:basedOn w:val="Normal"/>
    <w:next w:val="Normal"/>
    <w:link w:val="Heading8Char"/>
    <w:uiPriority w:val="9"/>
    <w:unhideWhenUsed/>
    <w:qFormat/>
    <w:rsid w:val="00510B5B"/>
    <w:pPr>
      <w:keepNext/>
      <w:keepLines/>
      <w:spacing w:before="40" w:after="0"/>
      <w:outlineLvl w:val="7"/>
    </w:pPr>
    <w:rPr>
      <w:rFonts w:asciiTheme="majorHAnsi" w:eastAsiaTheme="majorEastAsia" w:hAnsiTheme="majorHAnsi" w:cstheme="majorBidi"/>
      <w:color w:val="272727"/>
      <w:sz w:val="21"/>
    </w:rPr>
  </w:style>
  <w:style w:type="paragraph" w:styleId="Heading9">
    <w:name w:val="heading 9"/>
    <w:basedOn w:val="Normal"/>
    <w:next w:val="Normal"/>
    <w:link w:val="Heading9Char"/>
    <w:uiPriority w:val="9"/>
    <w:unhideWhenUsed/>
    <w:qFormat/>
    <w:rsid w:val="00510B5B"/>
    <w:pPr>
      <w:keepNext/>
      <w:keepLines/>
      <w:spacing w:before="40" w:after="0"/>
      <w:outlineLvl w:val="8"/>
    </w:pPr>
    <w:rPr>
      <w:rFonts w:asciiTheme="majorHAnsi" w:eastAsiaTheme="majorEastAsia" w:hAnsiTheme="majorHAnsi" w:cstheme="majorBidi"/>
      <w:i/>
      <w:color w:val="272727"/>
      <w:sz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80D"/>
    <w:rPr>
      <w:rFonts w:ascii="Times New Roman" w:eastAsiaTheme="majorEastAsia" w:hAnsi="Times New Roman" w:cs="Times New Roman"/>
      <w:b/>
      <w:smallCaps/>
      <w:sz w:val="24"/>
    </w:rPr>
  </w:style>
  <w:style w:type="character" w:customStyle="1" w:styleId="Heading2Char">
    <w:name w:val="Heading 2 Char"/>
    <w:basedOn w:val="DefaultParagraphFont"/>
    <w:link w:val="Heading2"/>
    <w:uiPriority w:val="9"/>
    <w:rsid w:val="00B4580D"/>
    <w:rPr>
      <w:rFonts w:ascii="Times New Roman" w:eastAsiaTheme="minorEastAsia" w:hAnsi="Times New Roman" w:cs="Times New Roman"/>
      <w:b/>
      <w:sz w:val="24"/>
      <w:u w:val="single"/>
    </w:rPr>
  </w:style>
  <w:style w:type="character" w:customStyle="1" w:styleId="Heading3Char">
    <w:name w:val="Heading 3 Char"/>
    <w:basedOn w:val="DefaultParagraphFont"/>
    <w:link w:val="Heading3"/>
    <w:uiPriority w:val="9"/>
    <w:rsid w:val="00B4580D"/>
    <w:rPr>
      <w:rFonts w:ascii="Times New Roman" w:eastAsiaTheme="minorEastAsia" w:hAnsi="Times New Roman" w:cs="Times New Roman"/>
      <w:sz w:val="24"/>
      <w:u w:val="single"/>
    </w:rPr>
  </w:style>
  <w:style w:type="character" w:customStyle="1" w:styleId="Heading4Char">
    <w:name w:val="Heading 4 Char"/>
    <w:basedOn w:val="DefaultParagraphFont"/>
    <w:link w:val="Heading4"/>
    <w:uiPriority w:val="9"/>
    <w:rsid w:val="00B4580D"/>
    <w:rPr>
      <w:rFonts w:ascii="Times New Roman" w:eastAsiaTheme="majorEastAsia" w:hAnsi="Times New Roman" w:cs="Times New Roman"/>
      <w:sz w:val="24"/>
    </w:rPr>
  </w:style>
  <w:style w:type="paragraph" w:styleId="Header">
    <w:name w:val="header"/>
    <w:basedOn w:val="Normal"/>
    <w:link w:val="HeaderChar"/>
    <w:uiPriority w:val="99"/>
    <w:unhideWhenUsed/>
    <w:rsid w:val="14F0B435"/>
    <w:pPr>
      <w:tabs>
        <w:tab w:val="center" w:pos="4535"/>
        <w:tab w:val="right" w:pos="9071"/>
      </w:tabs>
      <w:spacing w:after="120"/>
      <w:jc w:val="both"/>
    </w:pPr>
    <w:rPr>
      <w:rFonts w:ascii="Times New Roman" w:eastAsiaTheme="minorEastAsia" w:hAnsi="Times New Roman" w:cs="Times New Roman"/>
      <w:sz w:val="24"/>
    </w:rPr>
  </w:style>
  <w:style w:type="character" w:customStyle="1" w:styleId="HeaderChar">
    <w:name w:val="Header Char"/>
    <w:basedOn w:val="DefaultParagraphFont"/>
    <w:link w:val="Header"/>
    <w:uiPriority w:val="99"/>
    <w:rsid w:val="00B4580D"/>
    <w:rPr>
      <w:rFonts w:ascii="Times New Roman" w:eastAsiaTheme="minorEastAsia" w:hAnsi="Times New Roman" w:cs="Times New Roman"/>
      <w:sz w:val="24"/>
    </w:rPr>
  </w:style>
  <w:style w:type="paragraph" w:styleId="Footer">
    <w:name w:val="footer"/>
    <w:basedOn w:val="Normal"/>
    <w:link w:val="FooterChar"/>
    <w:uiPriority w:val="99"/>
    <w:unhideWhenUsed/>
    <w:rsid w:val="14F0B435"/>
    <w:pPr>
      <w:tabs>
        <w:tab w:val="center" w:pos="4535"/>
        <w:tab w:val="right" w:pos="9071"/>
        <w:tab w:val="right" w:pos="9921"/>
      </w:tabs>
      <w:spacing w:before="360" w:after="0"/>
      <w:ind w:left="-850" w:right="-850"/>
    </w:pPr>
    <w:rPr>
      <w:rFonts w:ascii="Times New Roman" w:eastAsiaTheme="minorEastAsia" w:hAnsi="Times New Roman" w:cs="Times New Roman"/>
      <w:sz w:val="24"/>
    </w:rPr>
  </w:style>
  <w:style w:type="character" w:customStyle="1" w:styleId="FooterChar">
    <w:name w:val="Footer Char"/>
    <w:basedOn w:val="DefaultParagraphFont"/>
    <w:link w:val="Footer"/>
    <w:uiPriority w:val="99"/>
    <w:rsid w:val="00B4580D"/>
    <w:rPr>
      <w:rFonts w:ascii="Times New Roman" w:eastAsiaTheme="minorEastAsia" w:hAnsi="Times New Roman" w:cs="Times New Roman"/>
      <w:sz w:val="24"/>
    </w:rPr>
  </w:style>
  <w:style w:type="paragraph" w:styleId="FootnoteText">
    <w:name w:val="footnote text"/>
    <w:basedOn w:val="Normal"/>
    <w:link w:val="FootnoteTextChar"/>
    <w:uiPriority w:val="99"/>
    <w:unhideWhenUsed/>
    <w:rsid w:val="14F0B435"/>
    <w:pPr>
      <w:keepNext/>
      <w:spacing w:after="0"/>
      <w:ind w:left="720" w:hanging="720"/>
      <w:jc w:val="both"/>
    </w:pPr>
    <w:rPr>
      <w:rFonts w:ascii="Times New Roman" w:eastAsiaTheme="minorEastAsia" w:hAnsi="Times New Roman" w:cs="Times New Roman"/>
      <w:sz w:val="20"/>
    </w:rPr>
  </w:style>
  <w:style w:type="character" w:customStyle="1" w:styleId="FootnoteTextChar">
    <w:name w:val="Footnote Text Char"/>
    <w:basedOn w:val="DefaultParagraphFont"/>
    <w:link w:val="FootnoteText"/>
    <w:uiPriority w:val="99"/>
    <w:rsid w:val="00B4580D"/>
    <w:rPr>
      <w:rFonts w:ascii="Times New Roman" w:eastAsiaTheme="minorEastAsia" w:hAnsi="Times New Roman" w:cs="Times New Roman"/>
      <w:sz w:val="20"/>
    </w:rPr>
  </w:style>
  <w:style w:type="paragraph" w:styleId="TOCHeading">
    <w:name w:val="TOC Heading"/>
    <w:basedOn w:val="Normal"/>
    <w:next w:val="Normal"/>
    <w:uiPriority w:val="39"/>
    <w:unhideWhenUsed/>
    <w:qFormat/>
    <w:rsid w:val="14F0B435"/>
    <w:pPr>
      <w:keepNext/>
      <w:spacing w:before="40" w:after="0"/>
      <w:jc w:val="center"/>
    </w:pPr>
    <w:rPr>
      <w:rFonts w:ascii="Times New Roman" w:eastAsiaTheme="minorEastAsia" w:hAnsi="Times New Roman" w:cs="Times New Roman"/>
      <w:b/>
      <w:sz w:val="28"/>
    </w:rPr>
  </w:style>
  <w:style w:type="paragraph" w:styleId="TOC1">
    <w:name w:val="toc 1"/>
    <w:basedOn w:val="Normal"/>
    <w:next w:val="Normal"/>
    <w:uiPriority w:val="39"/>
    <w:unhideWhenUsed/>
    <w:rsid w:val="14F0B435"/>
    <w:pPr>
      <w:keepNext/>
      <w:tabs>
        <w:tab w:val="right" w:leader="dot" w:pos="9071"/>
      </w:tabs>
      <w:spacing w:before="60" w:after="0"/>
      <w:ind w:hanging="850"/>
      <w:jc w:val="both"/>
    </w:pPr>
    <w:rPr>
      <w:rFonts w:ascii="Times New Roman" w:eastAsiaTheme="minorEastAsia" w:hAnsi="Times New Roman" w:cs="Times New Roman"/>
      <w:sz w:val="24"/>
    </w:rPr>
  </w:style>
  <w:style w:type="paragraph" w:styleId="TOC2">
    <w:name w:val="toc 2"/>
    <w:basedOn w:val="Normal"/>
    <w:next w:val="Normal"/>
    <w:uiPriority w:val="39"/>
    <w:unhideWhenUsed/>
    <w:rsid w:val="14F0B435"/>
    <w:pPr>
      <w:keepNext/>
      <w:tabs>
        <w:tab w:val="right" w:leader="dot" w:pos="9071"/>
      </w:tabs>
      <w:spacing w:before="60" w:after="0"/>
      <w:ind w:hanging="850"/>
      <w:jc w:val="both"/>
    </w:pPr>
    <w:rPr>
      <w:rFonts w:ascii="Times New Roman" w:eastAsiaTheme="minorEastAsia" w:hAnsi="Times New Roman" w:cs="Times New Roman"/>
      <w:sz w:val="24"/>
    </w:rPr>
  </w:style>
  <w:style w:type="paragraph" w:styleId="TOC3">
    <w:name w:val="toc 3"/>
    <w:basedOn w:val="Normal"/>
    <w:next w:val="Normal"/>
    <w:uiPriority w:val="39"/>
    <w:unhideWhenUsed/>
    <w:rsid w:val="14F0B435"/>
    <w:pPr>
      <w:keepNext/>
      <w:tabs>
        <w:tab w:val="right" w:leader="dot" w:pos="9071"/>
      </w:tabs>
      <w:spacing w:before="60" w:after="0"/>
      <w:ind w:hanging="850"/>
      <w:jc w:val="both"/>
    </w:pPr>
    <w:rPr>
      <w:rFonts w:ascii="Times New Roman" w:eastAsiaTheme="minorEastAsia" w:hAnsi="Times New Roman" w:cs="Times New Roman"/>
      <w:sz w:val="24"/>
    </w:rPr>
  </w:style>
  <w:style w:type="paragraph" w:styleId="TOC4">
    <w:name w:val="toc 4"/>
    <w:basedOn w:val="Normal"/>
    <w:next w:val="Normal"/>
    <w:uiPriority w:val="39"/>
    <w:unhideWhenUsed/>
    <w:rsid w:val="14F0B435"/>
    <w:pPr>
      <w:keepNext/>
      <w:tabs>
        <w:tab w:val="right" w:leader="dot" w:pos="9071"/>
      </w:tabs>
      <w:spacing w:before="60" w:after="0"/>
      <w:ind w:hanging="850"/>
      <w:jc w:val="both"/>
    </w:pPr>
    <w:rPr>
      <w:rFonts w:ascii="Times New Roman" w:eastAsiaTheme="minorEastAsia" w:hAnsi="Times New Roman" w:cs="Times New Roman"/>
      <w:sz w:val="24"/>
    </w:rPr>
  </w:style>
  <w:style w:type="paragraph" w:styleId="TOC5">
    <w:name w:val="toc 5"/>
    <w:basedOn w:val="Normal"/>
    <w:next w:val="Normal"/>
    <w:uiPriority w:val="39"/>
    <w:unhideWhenUsed/>
    <w:rsid w:val="14F0B435"/>
    <w:pPr>
      <w:keepNext/>
      <w:tabs>
        <w:tab w:val="right" w:leader="dot" w:pos="9071"/>
      </w:tabs>
      <w:spacing w:before="300" w:after="0"/>
      <w:jc w:val="both"/>
    </w:pPr>
    <w:rPr>
      <w:rFonts w:ascii="Times New Roman" w:eastAsiaTheme="minorEastAsia" w:hAnsi="Times New Roman" w:cs="Times New Roman"/>
      <w:sz w:val="24"/>
    </w:rPr>
  </w:style>
  <w:style w:type="paragraph" w:styleId="TOC6">
    <w:name w:val="toc 6"/>
    <w:basedOn w:val="Normal"/>
    <w:next w:val="Normal"/>
    <w:uiPriority w:val="39"/>
    <w:unhideWhenUsed/>
    <w:rsid w:val="14F0B435"/>
    <w:pPr>
      <w:keepNext/>
      <w:tabs>
        <w:tab w:val="right" w:leader="dot" w:pos="9071"/>
      </w:tabs>
      <w:spacing w:before="240" w:after="0"/>
      <w:jc w:val="both"/>
    </w:pPr>
    <w:rPr>
      <w:rFonts w:ascii="Times New Roman" w:eastAsiaTheme="minorEastAsia" w:hAnsi="Times New Roman" w:cs="Times New Roman"/>
      <w:sz w:val="24"/>
    </w:rPr>
  </w:style>
  <w:style w:type="paragraph" w:styleId="TOC7">
    <w:name w:val="toc 7"/>
    <w:basedOn w:val="Normal"/>
    <w:next w:val="Normal"/>
    <w:uiPriority w:val="39"/>
    <w:unhideWhenUsed/>
    <w:rsid w:val="14F0B435"/>
    <w:pPr>
      <w:keepNext/>
      <w:tabs>
        <w:tab w:val="right" w:leader="dot" w:pos="9071"/>
      </w:tabs>
      <w:spacing w:before="180" w:after="0"/>
      <w:jc w:val="both"/>
    </w:pPr>
    <w:rPr>
      <w:rFonts w:ascii="Times New Roman" w:eastAsiaTheme="minorEastAsia" w:hAnsi="Times New Roman" w:cs="Times New Roman"/>
      <w:sz w:val="24"/>
    </w:rPr>
  </w:style>
  <w:style w:type="paragraph" w:styleId="TOC8">
    <w:name w:val="toc 8"/>
    <w:basedOn w:val="Normal"/>
    <w:next w:val="Normal"/>
    <w:uiPriority w:val="39"/>
    <w:unhideWhenUsed/>
    <w:rsid w:val="14F0B435"/>
    <w:pPr>
      <w:keepNext/>
      <w:tabs>
        <w:tab w:val="right" w:leader="dot" w:pos="9071"/>
      </w:tabs>
      <w:spacing w:before="40" w:after="0"/>
      <w:jc w:val="both"/>
    </w:pPr>
    <w:rPr>
      <w:rFonts w:ascii="Times New Roman" w:eastAsiaTheme="minorEastAsia" w:hAnsi="Times New Roman" w:cs="Times New Roman"/>
      <w:sz w:val="24"/>
    </w:rPr>
  </w:style>
  <w:style w:type="paragraph" w:styleId="TOC9">
    <w:name w:val="toc 9"/>
    <w:basedOn w:val="Normal"/>
    <w:next w:val="Normal"/>
    <w:uiPriority w:val="39"/>
    <w:unhideWhenUsed/>
    <w:rsid w:val="14F0B435"/>
    <w:pPr>
      <w:keepNext/>
      <w:tabs>
        <w:tab w:val="right" w:leader="dot" w:pos="9071"/>
      </w:tabs>
      <w:spacing w:before="40" w:after="0"/>
      <w:jc w:val="both"/>
    </w:pPr>
    <w:rPr>
      <w:rFonts w:ascii="Times New Roman" w:eastAsiaTheme="minorEastAsia" w:hAnsi="Times New Roman" w:cs="Times New Roman"/>
      <w:sz w:val="24"/>
    </w:rPr>
  </w:style>
  <w:style w:type="paragraph" w:customStyle="1" w:styleId="HeaderLandscape">
    <w:name w:val="HeaderLandscape"/>
    <w:basedOn w:val="Normal"/>
    <w:uiPriority w:val="1"/>
    <w:rsid w:val="14F0B435"/>
    <w:pPr>
      <w:tabs>
        <w:tab w:val="center" w:pos="7285"/>
        <w:tab w:val="right" w:pos="14003"/>
      </w:tabs>
      <w:spacing w:after="120"/>
      <w:jc w:val="both"/>
    </w:pPr>
    <w:rPr>
      <w:rFonts w:ascii="Times New Roman" w:eastAsiaTheme="minorEastAsia" w:hAnsi="Times New Roman" w:cs="Times New Roman"/>
      <w:sz w:val="24"/>
    </w:rPr>
  </w:style>
  <w:style w:type="paragraph" w:customStyle="1" w:styleId="FooterLandscape">
    <w:name w:val="FooterLandscape"/>
    <w:basedOn w:val="Normal"/>
    <w:uiPriority w:val="1"/>
    <w:rsid w:val="14F0B435"/>
    <w:pPr>
      <w:tabs>
        <w:tab w:val="center" w:pos="7285"/>
        <w:tab w:val="center" w:pos="10913"/>
        <w:tab w:val="right" w:pos="15137"/>
      </w:tabs>
      <w:spacing w:before="360" w:after="0"/>
      <w:ind w:left="-567" w:right="-567"/>
    </w:pPr>
    <w:rPr>
      <w:rFonts w:ascii="Times New Roman" w:eastAsiaTheme="minorEastAsia" w:hAnsi="Times New Roman" w:cs="Times New Roman"/>
      <w:sz w:val="24"/>
    </w:rPr>
  </w:style>
  <w:style w:type="character" w:styleId="FootnoteReference">
    <w:name w:val="footnote reference"/>
    <w:basedOn w:val="DefaultParagraphFont"/>
    <w:uiPriority w:val="99"/>
    <w:semiHidden/>
    <w:unhideWhenUsed/>
    <w:rsid w:val="00B4580D"/>
    <w:rPr>
      <w:shd w:val="clear" w:color="auto" w:fill="auto"/>
      <w:vertAlign w:val="superscript"/>
    </w:rPr>
  </w:style>
  <w:style w:type="paragraph" w:customStyle="1" w:styleId="HeaderSensitivity">
    <w:name w:val="Header Sensitivity"/>
    <w:basedOn w:val="Normal"/>
    <w:uiPriority w:val="1"/>
    <w:rsid w:val="14F0B43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uiPriority w:val="1"/>
    <w:rsid w:val="14F0B435"/>
    <w:pPr>
      <w:spacing w:after="120" w:line="240" w:lineRule="auto"/>
      <w:jc w:val="right"/>
    </w:pPr>
    <w:rPr>
      <w:rFonts w:ascii="Times New Roman" w:hAnsi="Times New Roman" w:cs="Times New Roman"/>
      <w:sz w:val="28"/>
    </w:rPr>
  </w:style>
  <w:style w:type="paragraph" w:customStyle="1" w:styleId="FooterSensitivity">
    <w:name w:val="Footer Sensitivity"/>
    <w:basedOn w:val="Normal"/>
    <w:uiPriority w:val="1"/>
    <w:rsid w:val="14F0B43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Text1">
    <w:name w:val="Text 1"/>
    <w:basedOn w:val="Normal"/>
    <w:uiPriority w:val="1"/>
    <w:rsid w:val="14F0B435"/>
    <w:pPr>
      <w:keepNext/>
      <w:spacing w:before="40" w:after="0"/>
      <w:jc w:val="both"/>
    </w:pPr>
    <w:rPr>
      <w:rFonts w:ascii="Times New Roman" w:eastAsiaTheme="minorEastAsia" w:hAnsi="Times New Roman" w:cs="Times New Roman"/>
      <w:sz w:val="24"/>
    </w:rPr>
  </w:style>
  <w:style w:type="paragraph" w:customStyle="1" w:styleId="Text2">
    <w:name w:val="Text 2"/>
    <w:basedOn w:val="Normal"/>
    <w:uiPriority w:val="1"/>
    <w:rsid w:val="14F0B435"/>
    <w:pPr>
      <w:keepNext/>
      <w:spacing w:before="40" w:after="0"/>
      <w:ind w:left="1417"/>
      <w:jc w:val="both"/>
    </w:pPr>
    <w:rPr>
      <w:rFonts w:ascii="Times New Roman" w:eastAsiaTheme="minorEastAsia" w:hAnsi="Times New Roman" w:cs="Times New Roman"/>
      <w:sz w:val="24"/>
    </w:rPr>
  </w:style>
  <w:style w:type="paragraph" w:customStyle="1" w:styleId="Text3">
    <w:name w:val="Text 3"/>
    <w:basedOn w:val="Normal"/>
    <w:uiPriority w:val="1"/>
    <w:rsid w:val="14F0B435"/>
    <w:pPr>
      <w:keepNext/>
      <w:spacing w:before="40" w:after="0"/>
      <w:ind w:left="1984"/>
      <w:jc w:val="both"/>
    </w:pPr>
    <w:rPr>
      <w:rFonts w:ascii="Times New Roman" w:eastAsiaTheme="minorEastAsia" w:hAnsi="Times New Roman" w:cs="Times New Roman"/>
      <w:sz w:val="24"/>
    </w:rPr>
  </w:style>
  <w:style w:type="paragraph" w:customStyle="1" w:styleId="Text4">
    <w:name w:val="Text 4"/>
    <w:basedOn w:val="Normal"/>
    <w:uiPriority w:val="1"/>
    <w:rsid w:val="14F0B435"/>
    <w:pPr>
      <w:keepNext/>
      <w:spacing w:before="40" w:after="0"/>
      <w:ind w:left="2551"/>
      <w:jc w:val="both"/>
    </w:pPr>
    <w:rPr>
      <w:rFonts w:ascii="Times New Roman" w:eastAsiaTheme="minorEastAsia" w:hAnsi="Times New Roman" w:cs="Times New Roman"/>
      <w:sz w:val="24"/>
    </w:rPr>
  </w:style>
  <w:style w:type="paragraph" w:customStyle="1" w:styleId="NormalCentered">
    <w:name w:val="Normal Centered"/>
    <w:basedOn w:val="Normal"/>
    <w:uiPriority w:val="1"/>
    <w:rsid w:val="14F0B435"/>
    <w:pPr>
      <w:keepNext/>
      <w:spacing w:before="40" w:after="0"/>
      <w:jc w:val="center"/>
    </w:pPr>
    <w:rPr>
      <w:rFonts w:ascii="Times New Roman" w:eastAsiaTheme="minorEastAsia" w:hAnsi="Times New Roman" w:cs="Times New Roman"/>
      <w:sz w:val="24"/>
    </w:rPr>
  </w:style>
  <w:style w:type="paragraph" w:customStyle="1" w:styleId="NormalLeft">
    <w:name w:val="Normal Left"/>
    <w:basedOn w:val="Normal"/>
    <w:uiPriority w:val="1"/>
    <w:rsid w:val="14F0B435"/>
    <w:pPr>
      <w:keepNext/>
      <w:spacing w:before="40" w:after="0"/>
      <w:jc w:val="both"/>
    </w:pPr>
    <w:rPr>
      <w:rFonts w:ascii="Times New Roman" w:eastAsiaTheme="minorEastAsia" w:hAnsi="Times New Roman" w:cs="Times New Roman"/>
      <w:sz w:val="24"/>
    </w:rPr>
  </w:style>
  <w:style w:type="paragraph" w:customStyle="1" w:styleId="NormalRight">
    <w:name w:val="Normal Right"/>
    <w:basedOn w:val="Normal"/>
    <w:uiPriority w:val="1"/>
    <w:rsid w:val="14F0B435"/>
    <w:pPr>
      <w:keepNext/>
      <w:spacing w:before="40" w:after="0"/>
      <w:jc w:val="right"/>
    </w:pPr>
    <w:rPr>
      <w:rFonts w:ascii="Times New Roman" w:eastAsiaTheme="minorEastAsia" w:hAnsi="Times New Roman" w:cs="Times New Roman"/>
      <w:sz w:val="24"/>
    </w:rPr>
  </w:style>
  <w:style w:type="paragraph" w:customStyle="1" w:styleId="QuotedText">
    <w:name w:val="Quoted Text"/>
    <w:basedOn w:val="Normal"/>
    <w:uiPriority w:val="1"/>
    <w:rsid w:val="14F0B435"/>
    <w:pPr>
      <w:keepNext/>
      <w:spacing w:before="40" w:after="0"/>
      <w:ind w:left="1417"/>
      <w:jc w:val="both"/>
    </w:pPr>
    <w:rPr>
      <w:rFonts w:ascii="Times New Roman" w:eastAsiaTheme="minorEastAsia" w:hAnsi="Times New Roman" w:cs="Times New Roman"/>
      <w:sz w:val="24"/>
    </w:rPr>
  </w:style>
  <w:style w:type="paragraph" w:customStyle="1" w:styleId="Point0">
    <w:name w:val="Point 0"/>
    <w:basedOn w:val="Normal"/>
    <w:uiPriority w:val="1"/>
    <w:rsid w:val="14F0B435"/>
    <w:pPr>
      <w:keepNext/>
      <w:spacing w:before="40" w:after="0"/>
      <w:ind w:hanging="850"/>
      <w:jc w:val="both"/>
    </w:pPr>
    <w:rPr>
      <w:rFonts w:ascii="Times New Roman" w:eastAsiaTheme="minorEastAsia" w:hAnsi="Times New Roman" w:cs="Times New Roman"/>
      <w:sz w:val="24"/>
    </w:rPr>
  </w:style>
  <w:style w:type="paragraph" w:customStyle="1" w:styleId="Point1">
    <w:name w:val="Point 1"/>
    <w:basedOn w:val="Normal"/>
    <w:uiPriority w:val="1"/>
    <w:rsid w:val="14F0B435"/>
    <w:pPr>
      <w:keepNext/>
      <w:spacing w:before="40" w:after="0"/>
      <w:ind w:left="1417" w:hanging="567"/>
      <w:jc w:val="both"/>
    </w:pPr>
    <w:rPr>
      <w:rFonts w:ascii="Times New Roman" w:eastAsiaTheme="minorEastAsia" w:hAnsi="Times New Roman" w:cs="Times New Roman"/>
      <w:sz w:val="24"/>
    </w:rPr>
  </w:style>
  <w:style w:type="paragraph" w:customStyle="1" w:styleId="Point2">
    <w:name w:val="Point 2"/>
    <w:basedOn w:val="Normal"/>
    <w:uiPriority w:val="1"/>
    <w:rsid w:val="14F0B435"/>
    <w:pPr>
      <w:keepNext/>
      <w:spacing w:before="40" w:after="0"/>
      <w:ind w:left="1984" w:hanging="567"/>
      <w:jc w:val="both"/>
    </w:pPr>
    <w:rPr>
      <w:rFonts w:ascii="Times New Roman" w:eastAsiaTheme="minorEastAsia" w:hAnsi="Times New Roman" w:cs="Times New Roman"/>
      <w:sz w:val="24"/>
    </w:rPr>
  </w:style>
  <w:style w:type="paragraph" w:customStyle="1" w:styleId="Point3">
    <w:name w:val="Point 3"/>
    <w:basedOn w:val="Normal"/>
    <w:uiPriority w:val="1"/>
    <w:rsid w:val="14F0B435"/>
    <w:pPr>
      <w:keepNext/>
      <w:spacing w:before="40" w:after="0"/>
      <w:ind w:left="2551" w:hanging="567"/>
      <w:jc w:val="both"/>
    </w:pPr>
    <w:rPr>
      <w:rFonts w:ascii="Times New Roman" w:eastAsiaTheme="minorEastAsia" w:hAnsi="Times New Roman" w:cs="Times New Roman"/>
      <w:sz w:val="24"/>
    </w:rPr>
  </w:style>
  <w:style w:type="paragraph" w:customStyle="1" w:styleId="Point4">
    <w:name w:val="Point 4"/>
    <w:basedOn w:val="Normal"/>
    <w:uiPriority w:val="1"/>
    <w:rsid w:val="14F0B435"/>
    <w:pPr>
      <w:keepNext/>
      <w:spacing w:before="40" w:after="0"/>
      <w:ind w:left="3118" w:hanging="567"/>
      <w:jc w:val="both"/>
    </w:pPr>
    <w:rPr>
      <w:rFonts w:ascii="Times New Roman" w:eastAsiaTheme="minorEastAsia" w:hAnsi="Times New Roman" w:cs="Times New Roman"/>
      <w:sz w:val="24"/>
    </w:rPr>
  </w:style>
  <w:style w:type="paragraph" w:customStyle="1" w:styleId="Tiret0">
    <w:name w:val="Tiret 0"/>
    <w:basedOn w:val="Point0"/>
    <w:uiPriority w:val="1"/>
    <w:rsid w:val="00B4580D"/>
    <w:pPr>
      <w:numPr>
        <w:numId w:val="1"/>
      </w:numPr>
    </w:pPr>
  </w:style>
  <w:style w:type="paragraph" w:customStyle="1" w:styleId="Tiret1">
    <w:name w:val="Tiret 1"/>
    <w:basedOn w:val="Point1"/>
    <w:uiPriority w:val="1"/>
    <w:rsid w:val="00B4580D"/>
    <w:pPr>
      <w:numPr>
        <w:numId w:val="2"/>
      </w:numPr>
    </w:pPr>
  </w:style>
  <w:style w:type="paragraph" w:customStyle="1" w:styleId="Tiret2">
    <w:name w:val="Tiret 2"/>
    <w:basedOn w:val="Point2"/>
    <w:uiPriority w:val="1"/>
    <w:rsid w:val="00B4580D"/>
    <w:pPr>
      <w:numPr>
        <w:numId w:val="3"/>
      </w:numPr>
    </w:pPr>
  </w:style>
  <w:style w:type="paragraph" w:customStyle="1" w:styleId="Tiret3">
    <w:name w:val="Tiret 3"/>
    <w:basedOn w:val="Point3"/>
    <w:uiPriority w:val="1"/>
    <w:rsid w:val="00B4580D"/>
    <w:pPr>
      <w:numPr>
        <w:numId w:val="4"/>
      </w:numPr>
    </w:pPr>
  </w:style>
  <w:style w:type="paragraph" w:customStyle="1" w:styleId="Tiret4">
    <w:name w:val="Tiret 4"/>
    <w:basedOn w:val="Point4"/>
    <w:uiPriority w:val="1"/>
    <w:rsid w:val="00B4580D"/>
    <w:pPr>
      <w:numPr>
        <w:numId w:val="5"/>
      </w:numPr>
    </w:pPr>
  </w:style>
  <w:style w:type="paragraph" w:customStyle="1" w:styleId="PointDouble0">
    <w:name w:val="PointDouble 0"/>
    <w:basedOn w:val="Normal"/>
    <w:uiPriority w:val="1"/>
    <w:rsid w:val="14F0B435"/>
    <w:pPr>
      <w:keepNext/>
      <w:tabs>
        <w:tab w:val="left" w:pos="850"/>
      </w:tabs>
      <w:spacing w:before="40" w:after="0"/>
      <w:ind w:left="1417" w:hanging="1417"/>
      <w:jc w:val="both"/>
    </w:pPr>
    <w:rPr>
      <w:rFonts w:ascii="Times New Roman" w:eastAsiaTheme="minorEastAsia" w:hAnsi="Times New Roman" w:cs="Times New Roman"/>
      <w:sz w:val="24"/>
    </w:rPr>
  </w:style>
  <w:style w:type="paragraph" w:customStyle="1" w:styleId="PointDouble1">
    <w:name w:val="PointDouble 1"/>
    <w:basedOn w:val="Normal"/>
    <w:uiPriority w:val="1"/>
    <w:rsid w:val="14F0B435"/>
    <w:pPr>
      <w:keepNext/>
      <w:tabs>
        <w:tab w:val="left" w:pos="1417"/>
      </w:tabs>
      <w:spacing w:before="40" w:after="0"/>
      <w:ind w:left="1984" w:hanging="1134"/>
      <w:jc w:val="both"/>
    </w:pPr>
    <w:rPr>
      <w:rFonts w:ascii="Times New Roman" w:eastAsiaTheme="minorEastAsia" w:hAnsi="Times New Roman" w:cs="Times New Roman"/>
      <w:sz w:val="24"/>
    </w:rPr>
  </w:style>
  <w:style w:type="paragraph" w:customStyle="1" w:styleId="PointDouble2">
    <w:name w:val="PointDouble 2"/>
    <w:basedOn w:val="Normal"/>
    <w:uiPriority w:val="1"/>
    <w:rsid w:val="14F0B435"/>
    <w:pPr>
      <w:keepNext/>
      <w:tabs>
        <w:tab w:val="left" w:pos="1984"/>
      </w:tabs>
      <w:spacing w:before="40" w:after="0"/>
      <w:ind w:left="2551" w:hanging="1134"/>
      <w:jc w:val="both"/>
    </w:pPr>
    <w:rPr>
      <w:rFonts w:ascii="Times New Roman" w:eastAsiaTheme="minorEastAsia" w:hAnsi="Times New Roman" w:cs="Times New Roman"/>
      <w:sz w:val="24"/>
    </w:rPr>
  </w:style>
  <w:style w:type="paragraph" w:customStyle="1" w:styleId="PointDouble3">
    <w:name w:val="PointDouble 3"/>
    <w:basedOn w:val="Normal"/>
    <w:uiPriority w:val="1"/>
    <w:rsid w:val="14F0B435"/>
    <w:pPr>
      <w:keepNext/>
      <w:tabs>
        <w:tab w:val="left" w:pos="2551"/>
      </w:tabs>
      <w:spacing w:before="40" w:after="0"/>
      <w:ind w:left="3118" w:hanging="1134"/>
      <w:jc w:val="both"/>
    </w:pPr>
    <w:rPr>
      <w:rFonts w:ascii="Times New Roman" w:eastAsiaTheme="minorEastAsia" w:hAnsi="Times New Roman" w:cs="Times New Roman"/>
      <w:sz w:val="24"/>
    </w:rPr>
  </w:style>
  <w:style w:type="paragraph" w:customStyle="1" w:styleId="PointDouble4">
    <w:name w:val="PointDouble 4"/>
    <w:basedOn w:val="Normal"/>
    <w:uiPriority w:val="1"/>
    <w:rsid w:val="14F0B435"/>
    <w:pPr>
      <w:keepNext/>
      <w:tabs>
        <w:tab w:val="left" w:pos="3118"/>
      </w:tabs>
      <w:spacing w:before="40" w:after="0"/>
      <w:ind w:left="3685" w:hanging="1134"/>
      <w:jc w:val="both"/>
    </w:pPr>
    <w:rPr>
      <w:rFonts w:ascii="Times New Roman" w:eastAsiaTheme="minorEastAsia" w:hAnsi="Times New Roman" w:cs="Times New Roman"/>
      <w:sz w:val="24"/>
    </w:rPr>
  </w:style>
  <w:style w:type="paragraph" w:customStyle="1" w:styleId="PointTriple0">
    <w:name w:val="PointTriple 0"/>
    <w:basedOn w:val="Normal"/>
    <w:uiPriority w:val="1"/>
    <w:rsid w:val="14F0B435"/>
    <w:pPr>
      <w:keepNext/>
      <w:tabs>
        <w:tab w:val="left" w:pos="850"/>
        <w:tab w:val="left" w:pos="1417"/>
      </w:tabs>
      <w:spacing w:before="40" w:after="0"/>
      <w:ind w:left="1984" w:hanging="1984"/>
      <w:jc w:val="both"/>
    </w:pPr>
    <w:rPr>
      <w:rFonts w:ascii="Times New Roman" w:eastAsiaTheme="minorEastAsia" w:hAnsi="Times New Roman" w:cs="Times New Roman"/>
      <w:sz w:val="24"/>
    </w:rPr>
  </w:style>
  <w:style w:type="paragraph" w:customStyle="1" w:styleId="PointTriple1">
    <w:name w:val="PointTriple 1"/>
    <w:basedOn w:val="Normal"/>
    <w:uiPriority w:val="1"/>
    <w:rsid w:val="14F0B435"/>
    <w:pPr>
      <w:keepNext/>
      <w:tabs>
        <w:tab w:val="left" w:pos="1417"/>
        <w:tab w:val="left" w:pos="1984"/>
      </w:tabs>
      <w:spacing w:before="40" w:after="0"/>
      <w:ind w:left="2551" w:hanging="1701"/>
      <w:jc w:val="both"/>
    </w:pPr>
    <w:rPr>
      <w:rFonts w:ascii="Times New Roman" w:eastAsiaTheme="minorEastAsia" w:hAnsi="Times New Roman" w:cs="Times New Roman"/>
      <w:sz w:val="24"/>
    </w:rPr>
  </w:style>
  <w:style w:type="paragraph" w:customStyle="1" w:styleId="PointTriple2">
    <w:name w:val="PointTriple 2"/>
    <w:basedOn w:val="Normal"/>
    <w:uiPriority w:val="1"/>
    <w:rsid w:val="14F0B435"/>
    <w:pPr>
      <w:keepNext/>
      <w:tabs>
        <w:tab w:val="left" w:pos="1984"/>
        <w:tab w:val="left" w:pos="2551"/>
      </w:tabs>
      <w:spacing w:before="40" w:after="0"/>
      <w:ind w:left="3118" w:hanging="1701"/>
      <w:jc w:val="both"/>
    </w:pPr>
    <w:rPr>
      <w:rFonts w:ascii="Times New Roman" w:eastAsiaTheme="minorEastAsia" w:hAnsi="Times New Roman" w:cs="Times New Roman"/>
      <w:sz w:val="24"/>
    </w:rPr>
  </w:style>
  <w:style w:type="paragraph" w:customStyle="1" w:styleId="PointTriple3">
    <w:name w:val="PointTriple 3"/>
    <w:basedOn w:val="Normal"/>
    <w:uiPriority w:val="1"/>
    <w:rsid w:val="14F0B435"/>
    <w:pPr>
      <w:keepNext/>
      <w:tabs>
        <w:tab w:val="left" w:pos="2551"/>
        <w:tab w:val="left" w:pos="3118"/>
      </w:tabs>
      <w:spacing w:before="40" w:after="0"/>
      <w:ind w:left="3685" w:hanging="1701"/>
      <w:jc w:val="both"/>
    </w:pPr>
    <w:rPr>
      <w:rFonts w:ascii="Times New Roman" w:eastAsiaTheme="minorEastAsia" w:hAnsi="Times New Roman" w:cs="Times New Roman"/>
      <w:sz w:val="24"/>
    </w:rPr>
  </w:style>
  <w:style w:type="paragraph" w:customStyle="1" w:styleId="PointTriple4">
    <w:name w:val="PointTriple 4"/>
    <w:basedOn w:val="Normal"/>
    <w:uiPriority w:val="1"/>
    <w:rsid w:val="14F0B435"/>
    <w:pPr>
      <w:keepNext/>
      <w:tabs>
        <w:tab w:val="left" w:pos="3118"/>
        <w:tab w:val="left" w:pos="3685"/>
      </w:tabs>
      <w:spacing w:before="40" w:after="0"/>
      <w:ind w:left="4252" w:hanging="1701"/>
      <w:jc w:val="both"/>
    </w:pPr>
    <w:rPr>
      <w:rFonts w:ascii="Times New Roman" w:eastAsiaTheme="minorEastAsia" w:hAnsi="Times New Roman" w:cs="Times New Roman"/>
      <w:sz w:val="24"/>
    </w:rPr>
  </w:style>
  <w:style w:type="paragraph" w:customStyle="1" w:styleId="NumPar1">
    <w:name w:val="NumPar 1"/>
    <w:basedOn w:val="Normal"/>
    <w:next w:val="Text1"/>
    <w:uiPriority w:val="1"/>
    <w:rsid w:val="14F0B435"/>
    <w:pPr>
      <w:keepNext/>
      <w:tabs>
        <w:tab w:val="num" w:pos="850"/>
      </w:tabs>
      <w:spacing w:before="40" w:after="0"/>
      <w:ind w:left="850" w:hanging="850"/>
      <w:jc w:val="both"/>
    </w:pPr>
    <w:rPr>
      <w:rFonts w:ascii="Times New Roman" w:eastAsiaTheme="minorEastAsia" w:hAnsi="Times New Roman" w:cs="Times New Roman"/>
      <w:sz w:val="24"/>
    </w:rPr>
  </w:style>
  <w:style w:type="paragraph" w:customStyle="1" w:styleId="NumPar2">
    <w:name w:val="NumPar 2"/>
    <w:basedOn w:val="Normal"/>
    <w:next w:val="Text1"/>
    <w:uiPriority w:val="1"/>
    <w:rsid w:val="14F0B435"/>
    <w:pPr>
      <w:keepNext/>
      <w:tabs>
        <w:tab w:val="num" w:pos="850"/>
      </w:tabs>
      <w:spacing w:before="40" w:after="0"/>
      <w:ind w:left="850" w:hanging="850"/>
      <w:jc w:val="both"/>
    </w:pPr>
    <w:rPr>
      <w:rFonts w:ascii="Times New Roman" w:eastAsiaTheme="minorEastAsia" w:hAnsi="Times New Roman" w:cs="Times New Roman"/>
      <w:sz w:val="24"/>
    </w:rPr>
  </w:style>
  <w:style w:type="paragraph" w:customStyle="1" w:styleId="NumPar3">
    <w:name w:val="NumPar 3"/>
    <w:basedOn w:val="Normal"/>
    <w:next w:val="Text1"/>
    <w:uiPriority w:val="1"/>
    <w:rsid w:val="29DEDBAE"/>
    <w:pPr>
      <w:keepNext/>
      <w:numPr>
        <w:ilvl w:val="2"/>
        <w:numId w:val="6"/>
      </w:numPr>
      <w:spacing w:before="40" w:after="0"/>
      <w:jc w:val="both"/>
    </w:pPr>
    <w:rPr>
      <w:rFonts w:ascii="Times New Roman" w:eastAsiaTheme="minorEastAsia" w:hAnsi="Times New Roman" w:cs="Times New Roman"/>
      <w:sz w:val="24"/>
    </w:rPr>
  </w:style>
  <w:style w:type="paragraph" w:customStyle="1" w:styleId="NumPar4">
    <w:name w:val="NumPar 4"/>
    <w:basedOn w:val="Normal"/>
    <w:next w:val="Text1"/>
    <w:uiPriority w:val="1"/>
    <w:rsid w:val="29DEDBAE"/>
    <w:pPr>
      <w:keepNext/>
      <w:numPr>
        <w:ilvl w:val="3"/>
        <w:numId w:val="6"/>
      </w:numPr>
      <w:spacing w:before="40" w:after="0"/>
      <w:jc w:val="both"/>
    </w:pPr>
    <w:rPr>
      <w:rFonts w:ascii="Times New Roman" w:eastAsiaTheme="minorEastAsia" w:hAnsi="Times New Roman" w:cs="Times New Roman"/>
      <w:sz w:val="24"/>
    </w:rPr>
  </w:style>
  <w:style w:type="paragraph" w:customStyle="1" w:styleId="ManualNumPar1">
    <w:name w:val="Manual NumPar 1"/>
    <w:basedOn w:val="Normal"/>
    <w:next w:val="Text1"/>
    <w:uiPriority w:val="1"/>
    <w:rsid w:val="14F0B435"/>
    <w:pPr>
      <w:keepNext/>
      <w:spacing w:before="40" w:after="0"/>
      <w:ind w:hanging="850"/>
      <w:jc w:val="both"/>
    </w:pPr>
    <w:rPr>
      <w:rFonts w:ascii="Times New Roman" w:eastAsiaTheme="minorEastAsia" w:hAnsi="Times New Roman" w:cs="Times New Roman"/>
      <w:sz w:val="24"/>
    </w:rPr>
  </w:style>
  <w:style w:type="paragraph" w:customStyle="1" w:styleId="ManualNumPar2">
    <w:name w:val="Manual NumPar 2"/>
    <w:basedOn w:val="Normal"/>
    <w:next w:val="Text1"/>
    <w:uiPriority w:val="1"/>
    <w:rsid w:val="14F0B435"/>
    <w:pPr>
      <w:keepNext/>
      <w:spacing w:before="40" w:after="0"/>
      <w:ind w:hanging="850"/>
      <w:jc w:val="both"/>
    </w:pPr>
    <w:rPr>
      <w:rFonts w:ascii="Times New Roman" w:eastAsiaTheme="minorEastAsia" w:hAnsi="Times New Roman" w:cs="Times New Roman"/>
      <w:sz w:val="24"/>
    </w:rPr>
  </w:style>
  <w:style w:type="paragraph" w:customStyle="1" w:styleId="ManualNumPar3">
    <w:name w:val="Manual NumPar 3"/>
    <w:basedOn w:val="Normal"/>
    <w:next w:val="Text1"/>
    <w:uiPriority w:val="1"/>
    <w:rsid w:val="14F0B435"/>
    <w:pPr>
      <w:keepNext/>
      <w:spacing w:before="40" w:after="0"/>
      <w:ind w:hanging="850"/>
      <w:jc w:val="both"/>
    </w:pPr>
    <w:rPr>
      <w:rFonts w:ascii="Times New Roman" w:eastAsiaTheme="minorEastAsia" w:hAnsi="Times New Roman" w:cs="Times New Roman"/>
      <w:sz w:val="24"/>
    </w:rPr>
  </w:style>
  <w:style w:type="paragraph" w:customStyle="1" w:styleId="ManualNumPar4">
    <w:name w:val="Manual NumPar 4"/>
    <w:basedOn w:val="Normal"/>
    <w:next w:val="Text1"/>
    <w:uiPriority w:val="1"/>
    <w:rsid w:val="14F0B435"/>
    <w:pPr>
      <w:keepNext/>
      <w:spacing w:before="40" w:after="0"/>
      <w:ind w:hanging="850"/>
      <w:jc w:val="both"/>
    </w:pPr>
    <w:rPr>
      <w:rFonts w:ascii="Times New Roman" w:eastAsiaTheme="minorEastAsia" w:hAnsi="Times New Roman" w:cs="Times New Roman"/>
      <w:sz w:val="24"/>
    </w:rPr>
  </w:style>
  <w:style w:type="paragraph" w:customStyle="1" w:styleId="QuotedNumPar">
    <w:name w:val="Quoted NumPar"/>
    <w:basedOn w:val="Normal"/>
    <w:uiPriority w:val="1"/>
    <w:rsid w:val="14F0B435"/>
    <w:pPr>
      <w:keepNext/>
      <w:spacing w:before="40" w:after="0"/>
      <w:ind w:left="1417" w:hanging="567"/>
      <w:jc w:val="both"/>
    </w:pPr>
    <w:rPr>
      <w:rFonts w:ascii="Times New Roman" w:eastAsiaTheme="minorEastAsia" w:hAnsi="Times New Roman" w:cs="Times New Roman"/>
      <w:sz w:val="24"/>
    </w:rPr>
  </w:style>
  <w:style w:type="paragraph" w:customStyle="1" w:styleId="ManualHeading1">
    <w:name w:val="Manual Heading 1"/>
    <w:basedOn w:val="Normal"/>
    <w:next w:val="Text1"/>
    <w:uiPriority w:val="1"/>
    <w:rsid w:val="14F0B435"/>
    <w:pPr>
      <w:keepNext/>
      <w:tabs>
        <w:tab w:val="left" w:pos="850"/>
      </w:tabs>
      <w:spacing w:before="360" w:after="0"/>
      <w:ind w:hanging="850"/>
      <w:jc w:val="both"/>
      <w:outlineLvl w:val="0"/>
    </w:pPr>
    <w:rPr>
      <w:rFonts w:ascii="Times New Roman" w:eastAsiaTheme="minorEastAsia" w:hAnsi="Times New Roman" w:cs="Times New Roman"/>
      <w:b/>
      <w:smallCaps/>
      <w:sz w:val="24"/>
    </w:rPr>
  </w:style>
  <w:style w:type="paragraph" w:customStyle="1" w:styleId="ManualHeading2">
    <w:name w:val="Manual Heading 2"/>
    <w:basedOn w:val="Normal"/>
    <w:next w:val="Text1"/>
    <w:uiPriority w:val="1"/>
    <w:rsid w:val="14F0B435"/>
    <w:pPr>
      <w:keepNext/>
      <w:tabs>
        <w:tab w:val="left" w:pos="850"/>
      </w:tabs>
      <w:spacing w:before="40" w:after="0"/>
      <w:ind w:hanging="850"/>
      <w:jc w:val="both"/>
    </w:pPr>
    <w:rPr>
      <w:rFonts w:ascii="Times New Roman" w:eastAsiaTheme="minorEastAsia" w:hAnsi="Times New Roman" w:cs="Times New Roman"/>
      <w:b/>
      <w:sz w:val="24"/>
    </w:rPr>
  </w:style>
  <w:style w:type="paragraph" w:customStyle="1" w:styleId="ManualHeading3">
    <w:name w:val="Manual Heading 3"/>
    <w:basedOn w:val="Normal"/>
    <w:next w:val="Text1"/>
    <w:uiPriority w:val="1"/>
    <w:rsid w:val="14F0B435"/>
    <w:pPr>
      <w:keepNext/>
      <w:tabs>
        <w:tab w:val="left" w:pos="850"/>
      </w:tabs>
      <w:spacing w:before="40" w:after="0"/>
      <w:ind w:hanging="850"/>
      <w:jc w:val="both"/>
    </w:pPr>
    <w:rPr>
      <w:rFonts w:ascii="Times New Roman" w:eastAsiaTheme="minorEastAsia" w:hAnsi="Times New Roman" w:cs="Times New Roman"/>
      <w:i/>
      <w:sz w:val="24"/>
    </w:rPr>
  </w:style>
  <w:style w:type="paragraph" w:customStyle="1" w:styleId="ManualHeading4">
    <w:name w:val="Manual Heading 4"/>
    <w:basedOn w:val="Normal"/>
    <w:next w:val="Text1"/>
    <w:uiPriority w:val="1"/>
    <w:rsid w:val="14F0B435"/>
    <w:pPr>
      <w:keepNext/>
      <w:tabs>
        <w:tab w:val="left" w:pos="850"/>
      </w:tabs>
      <w:spacing w:before="40" w:after="0"/>
      <w:ind w:hanging="850"/>
      <w:jc w:val="both"/>
      <w:outlineLvl w:val="3"/>
    </w:pPr>
    <w:rPr>
      <w:rFonts w:ascii="Times New Roman" w:eastAsiaTheme="minorEastAsia" w:hAnsi="Times New Roman" w:cs="Times New Roman"/>
      <w:sz w:val="24"/>
    </w:rPr>
  </w:style>
  <w:style w:type="paragraph" w:customStyle="1" w:styleId="ChapterTitle">
    <w:name w:val="ChapterTitle"/>
    <w:basedOn w:val="Normal"/>
    <w:next w:val="Normal"/>
    <w:uiPriority w:val="1"/>
    <w:rsid w:val="14F0B435"/>
    <w:pPr>
      <w:keepNext/>
      <w:spacing w:before="40" w:after="360"/>
      <w:jc w:val="center"/>
    </w:pPr>
    <w:rPr>
      <w:rFonts w:ascii="Times New Roman" w:eastAsiaTheme="minorEastAsia" w:hAnsi="Times New Roman" w:cs="Times New Roman"/>
      <w:b/>
      <w:sz w:val="32"/>
    </w:rPr>
  </w:style>
  <w:style w:type="paragraph" w:customStyle="1" w:styleId="PartTitle">
    <w:name w:val="PartTitle"/>
    <w:basedOn w:val="Normal"/>
    <w:next w:val="ChapterTitle"/>
    <w:uiPriority w:val="1"/>
    <w:rsid w:val="14F0B435"/>
    <w:pPr>
      <w:keepNext/>
      <w:spacing w:before="40" w:after="360"/>
      <w:jc w:val="center"/>
    </w:pPr>
    <w:rPr>
      <w:rFonts w:ascii="Times New Roman" w:eastAsiaTheme="minorEastAsia" w:hAnsi="Times New Roman" w:cs="Times New Roman"/>
      <w:b/>
      <w:sz w:val="36"/>
    </w:rPr>
  </w:style>
  <w:style w:type="paragraph" w:customStyle="1" w:styleId="SectionTitle">
    <w:name w:val="SectionTitle"/>
    <w:basedOn w:val="Normal"/>
    <w:next w:val="Heading1"/>
    <w:uiPriority w:val="1"/>
    <w:rsid w:val="14F0B435"/>
    <w:pPr>
      <w:keepNext/>
      <w:spacing w:before="40" w:after="360"/>
      <w:jc w:val="center"/>
    </w:pPr>
    <w:rPr>
      <w:rFonts w:ascii="Times New Roman" w:eastAsiaTheme="minorEastAsia" w:hAnsi="Times New Roman" w:cs="Times New Roman"/>
      <w:b/>
      <w:smallCaps/>
      <w:sz w:val="28"/>
    </w:rPr>
  </w:style>
  <w:style w:type="paragraph" w:customStyle="1" w:styleId="TableTitle">
    <w:name w:val="Table Title"/>
    <w:basedOn w:val="Normal"/>
    <w:next w:val="Normal"/>
    <w:uiPriority w:val="1"/>
    <w:rsid w:val="14F0B435"/>
    <w:pPr>
      <w:keepNext/>
      <w:spacing w:before="40" w:after="0"/>
      <w:jc w:val="center"/>
    </w:pPr>
    <w:rPr>
      <w:rFonts w:ascii="Times New Roman" w:eastAsiaTheme="minorEastAsia" w:hAnsi="Times New Roman" w:cs="Times New Roman"/>
      <w:b/>
      <w:sz w:val="24"/>
    </w:rPr>
  </w:style>
  <w:style w:type="character" w:customStyle="1" w:styleId="Marker">
    <w:name w:val="Marker"/>
    <w:basedOn w:val="DefaultParagraphFont"/>
    <w:rsid w:val="00EE72C8"/>
    <w:rPr>
      <w:color w:val="0000FF"/>
      <w:shd w:val="clear" w:color="auto" w:fill="auto"/>
    </w:rPr>
  </w:style>
  <w:style w:type="character" w:customStyle="1" w:styleId="Marker1">
    <w:name w:val="Marker1"/>
    <w:basedOn w:val="DefaultParagraphFont"/>
    <w:rsid w:val="00B4580D"/>
    <w:rPr>
      <w:color w:val="008000"/>
      <w:shd w:val="clear" w:color="auto" w:fill="auto"/>
    </w:rPr>
  </w:style>
  <w:style w:type="character" w:customStyle="1" w:styleId="Marker2">
    <w:name w:val="Marker2"/>
    <w:basedOn w:val="DefaultParagraphFont"/>
    <w:rsid w:val="00B4580D"/>
    <w:rPr>
      <w:color w:val="FF0000"/>
      <w:shd w:val="clear" w:color="auto" w:fill="auto"/>
    </w:rPr>
  </w:style>
  <w:style w:type="paragraph" w:customStyle="1" w:styleId="Point0number">
    <w:name w:val="Point 0 (number)"/>
    <w:basedOn w:val="Normal"/>
    <w:uiPriority w:val="1"/>
    <w:rsid w:val="14F0B435"/>
    <w:pPr>
      <w:keepNext/>
      <w:tabs>
        <w:tab w:val="num" w:pos="850"/>
      </w:tabs>
      <w:spacing w:before="40" w:after="0"/>
      <w:ind w:left="850" w:hanging="850"/>
      <w:jc w:val="both"/>
    </w:pPr>
    <w:rPr>
      <w:rFonts w:ascii="Times New Roman" w:eastAsiaTheme="minorEastAsia" w:hAnsi="Times New Roman" w:cs="Times New Roman"/>
      <w:sz w:val="24"/>
    </w:rPr>
  </w:style>
  <w:style w:type="paragraph" w:customStyle="1" w:styleId="Point1number">
    <w:name w:val="Point 1 (number)"/>
    <w:basedOn w:val="Normal"/>
    <w:uiPriority w:val="1"/>
    <w:rsid w:val="29DEDBAE"/>
    <w:pPr>
      <w:keepNext/>
      <w:numPr>
        <w:ilvl w:val="2"/>
        <w:numId w:val="8"/>
      </w:numPr>
      <w:spacing w:before="40" w:after="0"/>
      <w:jc w:val="both"/>
    </w:pPr>
    <w:rPr>
      <w:rFonts w:ascii="Times New Roman" w:eastAsiaTheme="minorEastAsia" w:hAnsi="Times New Roman" w:cs="Times New Roman"/>
      <w:sz w:val="24"/>
    </w:rPr>
  </w:style>
  <w:style w:type="paragraph" w:customStyle="1" w:styleId="Point2number">
    <w:name w:val="Point 2 (number)"/>
    <w:basedOn w:val="Normal"/>
    <w:uiPriority w:val="1"/>
    <w:rsid w:val="29DEDBAE"/>
    <w:pPr>
      <w:keepNext/>
      <w:numPr>
        <w:ilvl w:val="4"/>
        <w:numId w:val="8"/>
      </w:numPr>
      <w:spacing w:before="40" w:after="0"/>
      <w:jc w:val="both"/>
    </w:pPr>
    <w:rPr>
      <w:rFonts w:ascii="Times New Roman" w:eastAsiaTheme="minorEastAsia" w:hAnsi="Times New Roman" w:cs="Times New Roman"/>
      <w:sz w:val="24"/>
    </w:rPr>
  </w:style>
  <w:style w:type="paragraph" w:customStyle="1" w:styleId="Point3number">
    <w:name w:val="Point 3 (number)"/>
    <w:basedOn w:val="Normal"/>
    <w:uiPriority w:val="1"/>
    <w:rsid w:val="29DEDBAE"/>
    <w:pPr>
      <w:keepNext/>
      <w:numPr>
        <w:ilvl w:val="6"/>
        <w:numId w:val="8"/>
      </w:numPr>
      <w:spacing w:before="40" w:after="0"/>
      <w:jc w:val="both"/>
    </w:pPr>
    <w:rPr>
      <w:rFonts w:ascii="Times New Roman" w:eastAsiaTheme="minorEastAsia" w:hAnsi="Times New Roman" w:cs="Times New Roman"/>
      <w:sz w:val="24"/>
    </w:rPr>
  </w:style>
  <w:style w:type="paragraph" w:customStyle="1" w:styleId="Point0letter">
    <w:name w:val="Point 0 (letter)"/>
    <w:basedOn w:val="Normal"/>
    <w:uiPriority w:val="1"/>
    <w:rsid w:val="14F0B435"/>
    <w:pPr>
      <w:keepNext/>
      <w:tabs>
        <w:tab w:val="num" w:pos="850"/>
      </w:tabs>
      <w:spacing w:before="40" w:after="0"/>
      <w:ind w:left="850" w:hanging="850"/>
      <w:jc w:val="both"/>
    </w:pPr>
    <w:rPr>
      <w:rFonts w:ascii="Times New Roman" w:eastAsiaTheme="minorEastAsia" w:hAnsi="Times New Roman" w:cs="Times New Roman"/>
      <w:sz w:val="24"/>
    </w:rPr>
  </w:style>
  <w:style w:type="paragraph" w:customStyle="1" w:styleId="Point1letter">
    <w:name w:val="Point 1 (letter)"/>
    <w:basedOn w:val="Normal"/>
    <w:uiPriority w:val="1"/>
    <w:rsid w:val="29DEDBAE"/>
    <w:pPr>
      <w:keepNext/>
      <w:numPr>
        <w:ilvl w:val="3"/>
        <w:numId w:val="8"/>
      </w:numPr>
      <w:spacing w:before="40" w:after="0"/>
      <w:jc w:val="both"/>
    </w:pPr>
    <w:rPr>
      <w:rFonts w:ascii="Times New Roman" w:eastAsiaTheme="minorEastAsia" w:hAnsi="Times New Roman" w:cs="Times New Roman"/>
      <w:sz w:val="24"/>
    </w:rPr>
  </w:style>
  <w:style w:type="paragraph" w:customStyle="1" w:styleId="Point2letter">
    <w:name w:val="Point 2 (letter)"/>
    <w:basedOn w:val="Normal"/>
    <w:uiPriority w:val="1"/>
    <w:rsid w:val="29DEDBAE"/>
    <w:pPr>
      <w:keepNext/>
      <w:numPr>
        <w:ilvl w:val="5"/>
        <w:numId w:val="8"/>
      </w:numPr>
      <w:spacing w:before="40" w:after="0"/>
      <w:jc w:val="both"/>
    </w:pPr>
    <w:rPr>
      <w:rFonts w:ascii="Times New Roman" w:eastAsiaTheme="minorEastAsia" w:hAnsi="Times New Roman" w:cs="Times New Roman"/>
      <w:sz w:val="24"/>
    </w:rPr>
  </w:style>
  <w:style w:type="paragraph" w:customStyle="1" w:styleId="Point3letter">
    <w:name w:val="Point 3 (letter)"/>
    <w:basedOn w:val="Normal"/>
    <w:uiPriority w:val="1"/>
    <w:rsid w:val="29DEDBAE"/>
    <w:pPr>
      <w:keepNext/>
      <w:numPr>
        <w:ilvl w:val="7"/>
        <w:numId w:val="8"/>
      </w:numPr>
      <w:spacing w:before="40" w:after="0"/>
      <w:jc w:val="both"/>
    </w:pPr>
    <w:rPr>
      <w:rFonts w:ascii="Times New Roman" w:eastAsiaTheme="minorEastAsia" w:hAnsi="Times New Roman" w:cs="Times New Roman"/>
      <w:sz w:val="24"/>
    </w:rPr>
  </w:style>
  <w:style w:type="paragraph" w:customStyle="1" w:styleId="Point4letter">
    <w:name w:val="Point 4 (letter)"/>
    <w:basedOn w:val="Normal"/>
    <w:uiPriority w:val="1"/>
    <w:rsid w:val="29DEDBAE"/>
    <w:pPr>
      <w:keepNext/>
      <w:numPr>
        <w:ilvl w:val="8"/>
        <w:numId w:val="8"/>
      </w:numPr>
      <w:spacing w:before="40" w:after="0"/>
      <w:jc w:val="both"/>
    </w:pPr>
    <w:rPr>
      <w:rFonts w:ascii="Times New Roman" w:eastAsiaTheme="minorEastAsia" w:hAnsi="Times New Roman" w:cs="Times New Roman"/>
      <w:sz w:val="24"/>
    </w:rPr>
  </w:style>
  <w:style w:type="paragraph" w:customStyle="1" w:styleId="Bullet0">
    <w:name w:val="Bullet 0"/>
    <w:basedOn w:val="Normal"/>
    <w:uiPriority w:val="1"/>
    <w:rsid w:val="29DEDBAE"/>
    <w:pPr>
      <w:keepNext/>
      <w:numPr>
        <w:numId w:val="9"/>
      </w:numPr>
      <w:spacing w:before="40" w:after="0"/>
      <w:jc w:val="both"/>
    </w:pPr>
    <w:rPr>
      <w:rFonts w:ascii="Times New Roman" w:eastAsiaTheme="minorEastAsia" w:hAnsi="Times New Roman" w:cs="Times New Roman"/>
      <w:sz w:val="24"/>
    </w:rPr>
  </w:style>
  <w:style w:type="paragraph" w:customStyle="1" w:styleId="Bullet1">
    <w:name w:val="Bullet 1"/>
    <w:basedOn w:val="Normal"/>
    <w:uiPriority w:val="1"/>
    <w:rsid w:val="29DEDBAE"/>
    <w:pPr>
      <w:keepNext/>
      <w:numPr>
        <w:numId w:val="10"/>
      </w:numPr>
      <w:spacing w:before="40" w:after="0"/>
      <w:jc w:val="both"/>
    </w:pPr>
    <w:rPr>
      <w:rFonts w:ascii="Times New Roman" w:eastAsiaTheme="minorEastAsia" w:hAnsi="Times New Roman" w:cs="Times New Roman"/>
      <w:sz w:val="24"/>
    </w:rPr>
  </w:style>
  <w:style w:type="paragraph" w:customStyle="1" w:styleId="Bullet2">
    <w:name w:val="Bullet 2"/>
    <w:basedOn w:val="Normal"/>
    <w:uiPriority w:val="1"/>
    <w:rsid w:val="29DEDBAE"/>
    <w:pPr>
      <w:keepNext/>
      <w:numPr>
        <w:numId w:val="11"/>
      </w:numPr>
      <w:spacing w:before="40" w:after="0"/>
      <w:jc w:val="both"/>
    </w:pPr>
    <w:rPr>
      <w:rFonts w:ascii="Times New Roman" w:eastAsiaTheme="minorEastAsia" w:hAnsi="Times New Roman" w:cs="Times New Roman"/>
      <w:sz w:val="24"/>
    </w:rPr>
  </w:style>
  <w:style w:type="paragraph" w:customStyle="1" w:styleId="Bullet3">
    <w:name w:val="Bullet 3"/>
    <w:basedOn w:val="Normal"/>
    <w:uiPriority w:val="1"/>
    <w:rsid w:val="29DEDBAE"/>
    <w:pPr>
      <w:keepNext/>
      <w:numPr>
        <w:numId w:val="12"/>
      </w:numPr>
      <w:spacing w:before="40" w:after="0"/>
      <w:jc w:val="both"/>
    </w:pPr>
    <w:rPr>
      <w:rFonts w:ascii="Times New Roman" w:eastAsiaTheme="minorEastAsia" w:hAnsi="Times New Roman" w:cs="Times New Roman"/>
      <w:sz w:val="24"/>
    </w:rPr>
  </w:style>
  <w:style w:type="paragraph" w:customStyle="1" w:styleId="Bullet4">
    <w:name w:val="Bullet 4"/>
    <w:basedOn w:val="Normal"/>
    <w:uiPriority w:val="1"/>
    <w:rsid w:val="29DEDBAE"/>
    <w:pPr>
      <w:keepNext/>
      <w:numPr>
        <w:numId w:val="13"/>
      </w:numPr>
      <w:spacing w:before="40" w:after="0"/>
      <w:jc w:val="both"/>
    </w:pPr>
    <w:rPr>
      <w:rFonts w:ascii="Times New Roman" w:eastAsiaTheme="minorEastAsia" w:hAnsi="Times New Roman" w:cs="Times New Roman"/>
      <w:sz w:val="24"/>
    </w:rPr>
  </w:style>
  <w:style w:type="paragraph" w:customStyle="1" w:styleId="Langue">
    <w:name w:val="Langue"/>
    <w:basedOn w:val="Normal"/>
    <w:next w:val="Rfrenceinterne"/>
    <w:uiPriority w:val="1"/>
    <w:rsid w:val="14F0B435"/>
    <w:pPr>
      <w:keepNext/>
      <w:spacing w:after="600"/>
      <w:jc w:val="center"/>
    </w:pPr>
    <w:rPr>
      <w:rFonts w:ascii="Times New Roman" w:eastAsiaTheme="minorEastAsia" w:hAnsi="Times New Roman" w:cs="Times New Roman"/>
      <w:b/>
      <w:caps/>
      <w:sz w:val="24"/>
    </w:rPr>
  </w:style>
  <w:style w:type="paragraph" w:customStyle="1" w:styleId="Nomdelinstitution">
    <w:name w:val="Nom de l'institution"/>
    <w:basedOn w:val="Normal"/>
    <w:next w:val="Emission"/>
    <w:uiPriority w:val="1"/>
    <w:rsid w:val="14F0B435"/>
    <w:pPr>
      <w:keepNext/>
      <w:spacing w:after="0"/>
      <w:jc w:val="both"/>
    </w:pPr>
    <w:rPr>
      <w:rFonts w:ascii="Arial" w:eastAsiaTheme="minorEastAsia" w:hAnsi="Arial" w:cs="Arial"/>
      <w:sz w:val="24"/>
    </w:rPr>
  </w:style>
  <w:style w:type="paragraph" w:customStyle="1" w:styleId="Emission">
    <w:name w:val="Emission"/>
    <w:basedOn w:val="Normal"/>
    <w:next w:val="Rfrenceinstitutionnelle"/>
    <w:uiPriority w:val="1"/>
    <w:rsid w:val="14F0B435"/>
    <w:pPr>
      <w:keepNext/>
      <w:spacing w:after="0"/>
      <w:ind w:left="5103"/>
      <w:jc w:val="both"/>
    </w:pPr>
    <w:rPr>
      <w:rFonts w:ascii="Times New Roman" w:eastAsiaTheme="minorEastAsia" w:hAnsi="Times New Roman" w:cs="Times New Roman"/>
      <w:sz w:val="24"/>
    </w:rPr>
  </w:style>
  <w:style w:type="paragraph" w:customStyle="1" w:styleId="Rfrenceinstitutionnelle">
    <w:name w:val="Référence institutionnelle"/>
    <w:basedOn w:val="Normal"/>
    <w:next w:val="Confidentialit"/>
    <w:uiPriority w:val="1"/>
    <w:rsid w:val="14F0B435"/>
    <w:pPr>
      <w:keepNext/>
      <w:spacing w:after="0"/>
      <w:ind w:left="5103"/>
      <w:jc w:val="both"/>
    </w:pPr>
    <w:rPr>
      <w:rFonts w:ascii="Times New Roman" w:eastAsiaTheme="minorEastAsia" w:hAnsi="Times New Roman" w:cs="Times New Roman"/>
      <w:sz w:val="24"/>
    </w:rPr>
  </w:style>
  <w:style w:type="paragraph" w:customStyle="1" w:styleId="Pagedecouverture">
    <w:name w:val="Page de couverture"/>
    <w:basedOn w:val="Normal"/>
    <w:next w:val="Normal"/>
    <w:link w:val="PagedecouvertureChar"/>
    <w:uiPriority w:val="1"/>
    <w:rsid w:val="14F0B435"/>
    <w:pPr>
      <w:keepNext/>
      <w:spacing w:after="0"/>
      <w:jc w:val="both"/>
    </w:pPr>
    <w:rPr>
      <w:rFonts w:ascii="Times New Roman" w:eastAsiaTheme="minorEastAsia" w:hAnsi="Times New Roman" w:cs="Times New Roman"/>
      <w:sz w:val="24"/>
    </w:rPr>
  </w:style>
  <w:style w:type="paragraph" w:customStyle="1" w:styleId="Declassification">
    <w:name w:val="Declassification"/>
    <w:basedOn w:val="Normal"/>
    <w:next w:val="Normal"/>
    <w:uiPriority w:val="1"/>
    <w:rsid w:val="14F0B435"/>
    <w:pPr>
      <w:keepNext/>
      <w:spacing w:after="0"/>
      <w:jc w:val="both"/>
    </w:pPr>
    <w:rPr>
      <w:rFonts w:ascii="Times New Roman" w:eastAsiaTheme="minorEastAsia" w:hAnsi="Times New Roman" w:cs="Times New Roman"/>
      <w:sz w:val="24"/>
    </w:rPr>
  </w:style>
  <w:style w:type="paragraph" w:customStyle="1" w:styleId="Disclaimer">
    <w:name w:val="Disclaimer"/>
    <w:basedOn w:val="Normal"/>
    <w:uiPriority w:val="1"/>
    <w:rsid w:val="14F0B435"/>
    <w:pPr>
      <w:keepNext/>
      <w:spacing w:before="40" w:after="0"/>
      <w:jc w:val="both"/>
    </w:pPr>
    <w:rPr>
      <w:rFonts w:ascii="Times New Roman" w:eastAsiaTheme="minorEastAsia" w:hAnsi="Times New Roman" w:cs="Times New Roman"/>
      <w:sz w:val="24"/>
    </w:rPr>
  </w:style>
  <w:style w:type="paragraph" w:customStyle="1" w:styleId="SecurityMarking">
    <w:name w:val="SecurityMarking"/>
    <w:basedOn w:val="Normal"/>
    <w:uiPriority w:val="1"/>
    <w:rsid w:val="00B4580D"/>
    <w:pPr>
      <w:spacing w:after="0"/>
      <w:ind w:left="5103"/>
    </w:pPr>
    <w:rPr>
      <w:rFonts w:ascii="Times New Roman" w:hAnsi="Times New Roman" w:cs="Times New Roman"/>
      <w:sz w:val="28"/>
    </w:rPr>
  </w:style>
  <w:style w:type="paragraph" w:customStyle="1" w:styleId="DateMarking">
    <w:name w:val="DateMarking"/>
    <w:basedOn w:val="Normal"/>
    <w:uiPriority w:val="1"/>
    <w:rsid w:val="00B4580D"/>
    <w:pPr>
      <w:spacing w:after="0"/>
      <w:ind w:left="5103"/>
    </w:pPr>
    <w:rPr>
      <w:rFonts w:ascii="Times New Roman" w:hAnsi="Times New Roman" w:cs="Times New Roman"/>
      <w:i/>
      <w:sz w:val="28"/>
    </w:rPr>
  </w:style>
  <w:style w:type="paragraph" w:customStyle="1" w:styleId="ReleasableTo">
    <w:name w:val="ReleasableTo"/>
    <w:basedOn w:val="Normal"/>
    <w:uiPriority w:val="1"/>
    <w:rsid w:val="00B4580D"/>
    <w:pPr>
      <w:spacing w:after="0"/>
      <w:ind w:left="5103"/>
    </w:pPr>
    <w:rPr>
      <w:rFonts w:ascii="Times New Roman" w:hAnsi="Times New Roman" w:cs="Times New Roman"/>
      <w:i/>
      <w:sz w:val="28"/>
    </w:rPr>
  </w:style>
  <w:style w:type="paragraph" w:customStyle="1" w:styleId="Annexetitreexpos">
    <w:name w:val="Annexe titre (exposé)"/>
    <w:basedOn w:val="Normal"/>
    <w:next w:val="Normal"/>
    <w:uiPriority w:val="1"/>
    <w:rsid w:val="14F0B435"/>
    <w:pPr>
      <w:keepNext/>
      <w:spacing w:before="40" w:after="0"/>
      <w:jc w:val="center"/>
    </w:pPr>
    <w:rPr>
      <w:rFonts w:ascii="Times New Roman" w:eastAsiaTheme="minorEastAsia" w:hAnsi="Times New Roman" w:cs="Times New Roman"/>
      <w:b/>
      <w:sz w:val="24"/>
      <w:u w:val="single"/>
    </w:rPr>
  </w:style>
  <w:style w:type="paragraph" w:customStyle="1" w:styleId="Annexetitre">
    <w:name w:val="Annexe titre"/>
    <w:basedOn w:val="Normal"/>
    <w:next w:val="Normal"/>
    <w:uiPriority w:val="1"/>
    <w:rsid w:val="14F0B435"/>
    <w:pPr>
      <w:keepNext/>
      <w:spacing w:before="40" w:after="0"/>
      <w:jc w:val="center"/>
    </w:pPr>
    <w:rPr>
      <w:rFonts w:ascii="Times New Roman" w:eastAsiaTheme="minorEastAsia" w:hAnsi="Times New Roman" w:cs="Times New Roman"/>
      <w:b/>
      <w:sz w:val="24"/>
      <w:u w:val="single"/>
    </w:rPr>
  </w:style>
  <w:style w:type="paragraph" w:customStyle="1" w:styleId="Annexetitrefichefinancire">
    <w:name w:val="Annexe titre (fiche financière)"/>
    <w:basedOn w:val="Normal"/>
    <w:next w:val="Normal"/>
    <w:uiPriority w:val="1"/>
    <w:rsid w:val="14F0B435"/>
    <w:pPr>
      <w:keepNext/>
      <w:spacing w:before="40" w:after="0"/>
      <w:jc w:val="center"/>
    </w:pPr>
    <w:rPr>
      <w:rFonts w:ascii="Times New Roman" w:eastAsiaTheme="minorEastAsia" w:hAnsi="Times New Roman" w:cs="Times New Roman"/>
      <w:b/>
      <w:sz w:val="24"/>
      <w:u w:val="single"/>
    </w:rPr>
  </w:style>
  <w:style w:type="paragraph" w:customStyle="1" w:styleId="Applicationdirecte">
    <w:name w:val="Application directe"/>
    <w:basedOn w:val="Normal"/>
    <w:next w:val="Fait"/>
    <w:uiPriority w:val="1"/>
    <w:rsid w:val="14F0B435"/>
    <w:pPr>
      <w:keepNext/>
      <w:spacing w:before="480" w:after="0"/>
      <w:jc w:val="both"/>
    </w:pPr>
    <w:rPr>
      <w:rFonts w:ascii="Times New Roman" w:eastAsiaTheme="minorEastAsia" w:hAnsi="Times New Roman" w:cs="Times New Roman"/>
      <w:sz w:val="24"/>
    </w:rPr>
  </w:style>
  <w:style w:type="paragraph" w:customStyle="1" w:styleId="Avertissementtitre">
    <w:name w:val="Avertissement titre"/>
    <w:basedOn w:val="Normal"/>
    <w:next w:val="Normal"/>
    <w:uiPriority w:val="1"/>
    <w:rsid w:val="14F0B435"/>
    <w:pPr>
      <w:keepNext/>
      <w:spacing w:before="480" w:after="0"/>
      <w:jc w:val="both"/>
    </w:pPr>
    <w:rPr>
      <w:rFonts w:ascii="Times New Roman" w:eastAsiaTheme="minorEastAsia" w:hAnsi="Times New Roman" w:cs="Times New Roman"/>
      <w:sz w:val="24"/>
      <w:u w:val="single"/>
    </w:rPr>
  </w:style>
  <w:style w:type="paragraph" w:customStyle="1" w:styleId="Confidence">
    <w:name w:val="Confidence"/>
    <w:basedOn w:val="Normal"/>
    <w:next w:val="Normal"/>
    <w:uiPriority w:val="1"/>
    <w:rsid w:val="14F0B435"/>
    <w:pPr>
      <w:keepNext/>
      <w:spacing w:before="360" w:after="0"/>
      <w:jc w:val="center"/>
    </w:pPr>
    <w:rPr>
      <w:rFonts w:ascii="Times New Roman" w:eastAsiaTheme="minorEastAsia" w:hAnsi="Times New Roman" w:cs="Times New Roman"/>
      <w:sz w:val="24"/>
    </w:rPr>
  </w:style>
  <w:style w:type="paragraph" w:customStyle="1" w:styleId="Confidentialit">
    <w:name w:val="Confidentialité"/>
    <w:basedOn w:val="Normal"/>
    <w:next w:val="TypedudocumentPagedecouverture"/>
    <w:uiPriority w:val="1"/>
    <w:rsid w:val="14F0B435"/>
    <w:pPr>
      <w:keepNext/>
      <w:spacing w:before="240" w:after="0"/>
      <w:ind w:left="5103"/>
      <w:jc w:val="both"/>
    </w:pPr>
    <w:rPr>
      <w:rFonts w:ascii="Times New Roman" w:eastAsiaTheme="minorEastAsia" w:hAnsi="Times New Roman" w:cs="Times New Roman"/>
      <w:i/>
      <w:sz w:val="32"/>
    </w:rPr>
  </w:style>
  <w:style w:type="paragraph" w:customStyle="1" w:styleId="Considrant">
    <w:name w:val="Considérant"/>
    <w:basedOn w:val="Normal"/>
    <w:uiPriority w:val="1"/>
    <w:rsid w:val="29DEDBAE"/>
    <w:pPr>
      <w:keepNext/>
      <w:numPr>
        <w:numId w:val="14"/>
      </w:numPr>
      <w:spacing w:before="40" w:after="0"/>
      <w:jc w:val="both"/>
    </w:pPr>
    <w:rPr>
      <w:rFonts w:ascii="Times New Roman" w:eastAsiaTheme="minorEastAsia" w:hAnsi="Times New Roman" w:cs="Times New Roman"/>
      <w:sz w:val="24"/>
    </w:rPr>
  </w:style>
  <w:style w:type="paragraph" w:customStyle="1" w:styleId="Corrigendum">
    <w:name w:val="Corrigendum"/>
    <w:basedOn w:val="Normal"/>
    <w:next w:val="Normal"/>
    <w:uiPriority w:val="1"/>
    <w:rsid w:val="14F0B435"/>
    <w:pPr>
      <w:keepNext/>
      <w:spacing w:after="0"/>
      <w:jc w:val="both"/>
    </w:pPr>
    <w:rPr>
      <w:rFonts w:ascii="Times New Roman" w:eastAsiaTheme="minorEastAsia" w:hAnsi="Times New Roman" w:cs="Times New Roman"/>
      <w:sz w:val="24"/>
    </w:rPr>
  </w:style>
  <w:style w:type="paragraph" w:customStyle="1" w:styleId="Datedadoption">
    <w:name w:val="Date d'adoption"/>
    <w:basedOn w:val="Normal"/>
    <w:next w:val="IntrtEEE"/>
    <w:uiPriority w:val="1"/>
    <w:rsid w:val="14F0B435"/>
    <w:pPr>
      <w:keepNext/>
      <w:spacing w:before="360" w:after="0"/>
      <w:jc w:val="center"/>
    </w:pPr>
    <w:rPr>
      <w:rFonts w:ascii="Times New Roman" w:eastAsiaTheme="minorEastAsia" w:hAnsi="Times New Roman" w:cs="Times New Roman"/>
      <w:b/>
      <w:sz w:val="24"/>
    </w:rPr>
  </w:style>
  <w:style w:type="paragraph" w:customStyle="1" w:styleId="Exposdesmotifstitre">
    <w:name w:val="Exposé des motifs titre"/>
    <w:basedOn w:val="Normal"/>
    <w:next w:val="Normal"/>
    <w:uiPriority w:val="1"/>
    <w:rsid w:val="14F0B435"/>
    <w:pPr>
      <w:keepNext/>
      <w:spacing w:before="40" w:after="0"/>
      <w:jc w:val="center"/>
    </w:pPr>
    <w:rPr>
      <w:rFonts w:ascii="Times New Roman" w:eastAsiaTheme="minorEastAsia" w:hAnsi="Times New Roman" w:cs="Times New Roman"/>
      <w:b/>
      <w:sz w:val="24"/>
      <w:u w:val="single"/>
    </w:rPr>
  </w:style>
  <w:style w:type="paragraph" w:customStyle="1" w:styleId="Fait">
    <w:name w:val="Fait à"/>
    <w:basedOn w:val="Normal"/>
    <w:next w:val="Institutionquisigne"/>
    <w:uiPriority w:val="1"/>
    <w:rsid w:val="14F0B435"/>
    <w:pPr>
      <w:keepNext/>
      <w:spacing w:before="40" w:after="0"/>
      <w:jc w:val="both"/>
    </w:pPr>
    <w:rPr>
      <w:rFonts w:ascii="Times New Roman" w:eastAsiaTheme="minorEastAsia" w:hAnsi="Times New Roman" w:cs="Times New Roman"/>
      <w:sz w:val="24"/>
    </w:rPr>
  </w:style>
  <w:style w:type="paragraph" w:customStyle="1" w:styleId="Formuledadoption">
    <w:name w:val="Formule d'adoption"/>
    <w:basedOn w:val="Normal"/>
    <w:next w:val="Titrearticle"/>
    <w:uiPriority w:val="1"/>
    <w:rsid w:val="14F0B435"/>
    <w:pPr>
      <w:keepNext/>
      <w:spacing w:before="40" w:after="0"/>
      <w:jc w:val="both"/>
    </w:pPr>
    <w:rPr>
      <w:rFonts w:ascii="Times New Roman" w:eastAsiaTheme="minorEastAsia" w:hAnsi="Times New Roman" w:cs="Times New Roman"/>
      <w:sz w:val="24"/>
    </w:rPr>
  </w:style>
  <w:style w:type="paragraph" w:customStyle="1" w:styleId="Institutionquiagit">
    <w:name w:val="Institution qui agit"/>
    <w:basedOn w:val="Normal"/>
    <w:next w:val="Normal"/>
    <w:uiPriority w:val="1"/>
    <w:rsid w:val="14F0B435"/>
    <w:pPr>
      <w:keepNext/>
      <w:spacing w:before="600" w:after="0"/>
      <w:jc w:val="both"/>
    </w:pPr>
    <w:rPr>
      <w:rFonts w:ascii="Times New Roman" w:eastAsiaTheme="minorEastAsia" w:hAnsi="Times New Roman" w:cs="Times New Roman"/>
      <w:sz w:val="24"/>
    </w:rPr>
  </w:style>
  <w:style w:type="paragraph" w:customStyle="1" w:styleId="Institutionquisigne">
    <w:name w:val="Institution qui signe"/>
    <w:basedOn w:val="Normal"/>
    <w:next w:val="Personnequisigne"/>
    <w:uiPriority w:val="1"/>
    <w:rsid w:val="14F0B435"/>
    <w:pPr>
      <w:keepNext/>
      <w:tabs>
        <w:tab w:val="left" w:pos="4252"/>
      </w:tabs>
      <w:spacing w:before="720" w:after="0"/>
      <w:jc w:val="both"/>
    </w:pPr>
    <w:rPr>
      <w:rFonts w:ascii="Times New Roman" w:eastAsiaTheme="minorEastAsia" w:hAnsi="Times New Roman" w:cs="Times New Roman"/>
      <w:i/>
      <w:sz w:val="24"/>
    </w:rPr>
  </w:style>
  <w:style w:type="paragraph" w:customStyle="1" w:styleId="ManualConsidrant">
    <w:name w:val="Manual Considérant"/>
    <w:basedOn w:val="Normal"/>
    <w:uiPriority w:val="1"/>
    <w:rsid w:val="14F0B435"/>
    <w:pPr>
      <w:keepNext/>
      <w:spacing w:before="40" w:after="0"/>
      <w:ind w:left="709" w:hanging="709"/>
      <w:jc w:val="both"/>
    </w:pPr>
    <w:rPr>
      <w:rFonts w:ascii="Times New Roman" w:eastAsiaTheme="minorEastAsia" w:hAnsi="Times New Roman" w:cs="Times New Roman"/>
      <w:sz w:val="24"/>
    </w:rPr>
  </w:style>
  <w:style w:type="paragraph" w:customStyle="1" w:styleId="Personnequisigne">
    <w:name w:val="Personne qui signe"/>
    <w:basedOn w:val="Normal"/>
    <w:next w:val="Institutionquisigne"/>
    <w:uiPriority w:val="1"/>
    <w:rsid w:val="14F0B435"/>
    <w:pPr>
      <w:keepNext/>
      <w:tabs>
        <w:tab w:val="left" w:pos="4252"/>
      </w:tabs>
      <w:spacing w:after="0"/>
      <w:jc w:val="both"/>
    </w:pPr>
    <w:rPr>
      <w:rFonts w:ascii="Times New Roman" w:eastAsiaTheme="minorEastAsia" w:hAnsi="Times New Roman" w:cs="Times New Roman"/>
      <w:i/>
      <w:sz w:val="24"/>
    </w:rPr>
  </w:style>
  <w:style w:type="paragraph" w:customStyle="1" w:styleId="Rfrenceinterinstitutionnelle">
    <w:name w:val="Référence interinstitutionnelle"/>
    <w:basedOn w:val="Normal"/>
    <w:next w:val="Statut"/>
    <w:uiPriority w:val="1"/>
    <w:rsid w:val="14F0B435"/>
    <w:pPr>
      <w:keepNext/>
      <w:spacing w:after="0"/>
      <w:ind w:left="5103"/>
      <w:jc w:val="both"/>
    </w:pPr>
    <w:rPr>
      <w:rFonts w:ascii="Times New Roman" w:eastAsiaTheme="minorEastAsia" w:hAnsi="Times New Roman" w:cs="Times New Roman"/>
      <w:sz w:val="24"/>
    </w:rPr>
  </w:style>
  <w:style w:type="paragraph" w:customStyle="1" w:styleId="Rfrenceinterne">
    <w:name w:val="Référence interne"/>
    <w:basedOn w:val="Normal"/>
    <w:next w:val="Rfrenceinterinstitutionnelle"/>
    <w:uiPriority w:val="1"/>
    <w:rsid w:val="14F0B435"/>
    <w:pPr>
      <w:keepNext/>
      <w:spacing w:after="0"/>
      <w:ind w:left="5103"/>
      <w:jc w:val="both"/>
    </w:pPr>
    <w:rPr>
      <w:rFonts w:ascii="Times New Roman" w:eastAsiaTheme="minorEastAsia" w:hAnsi="Times New Roman" w:cs="Times New Roman"/>
      <w:sz w:val="24"/>
    </w:rPr>
  </w:style>
  <w:style w:type="paragraph" w:customStyle="1" w:styleId="Statut">
    <w:name w:val="Statut"/>
    <w:basedOn w:val="Normal"/>
    <w:next w:val="Typedudocument"/>
    <w:uiPriority w:val="1"/>
    <w:rsid w:val="14F0B435"/>
    <w:pPr>
      <w:keepNext/>
      <w:spacing w:after="0"/>
      <w:jc w:val="center"/>
    </w:pPr>
    <w:rPr>
      <w:rFonts w:ascii="Times New Roman" w:eastAsiaTheme="minorEastAsia" w:hAnsi="Times New Roman" w:cs="Times New Roman"/>
      <w:sz w:val="24"/>
    </w:rPr>
  </w:style>
  <w:style w:type="paragraph" w:customStyle="1" w:styleId="Titrearticle">
    <w:name w:val="Titre article"/>
    <w:basedOn w:val="Normal"/>
    <w:next w:val="Normal"/>
    <w:uiPriority w:val="1"/>
    <w:rsid w:val="14F0B435"/>
    <w:pPr>
      <w:keepNext/>
      <w:spacing w:before="360" w:after="0"/>
      <w:jc w:val="center"/>
    </w:pPr>
    <w:rPr>
      <w:rFonts w:ascii="Times New Roman" w:eastAsiaTheme="minorEastAsia" w:hAnsi="Times New Roman" w:cs="Times New Roman"/>
      <w:i/>
      <w:sz w:val="24"/>
    </w:rPr>
  </w:style>
  <w:style w:type="paragraph" w:customStyle="1" w:styleId="Typedudocument">
    <w:name w:val="Type du document"/>
    <w:basedOn w:val="Normal"/>
    <w:next w:val="Accompagnant"/>
    <w:uiPriority w:val="1"/>
    <w:rsid w:val="14F0B435"/>
    <w:pPr>
      <w:keepNext/>
      <w:spacing w:before="360" w:after="180"/>
      <w:jc w:val="center"/>
    </w:pPr>
    <w:rPr>
      <w:rFonts w:ascii="Times New Roman" w:eastAsiaTheme="minorEastAsia" w:hAnsi="Times New Roman" w:cs="Times New Roman"/>
      <w:b/>
      <w:sz w:val="24"/>
    </w:rPr>
  </w:style>
  <w:style w:type="character" w:customStyle="1" w:styleId="Added">
    <w:name w:val="Added"/>
    <w:basedOn w:val="DefaultParagraphFont"/>
    <w:rsid w:val="00B4580D"/>
    <w:rPr>
      <w:b/>
      <w:u w:val="single"/>
      <w:shd w:val="clear" w:color="auto" w:fill="auto"/>
    </w:rPr>
  </w:style>
  <w:style w:type="character" w:customStyle="1" w:styleId="Deleted">
    <w:name w:val="Deleted"/>
    <w:basedOn w:val="DefaultParagraphFont"/>
    <w:rsid w:val="00B4580D"/>
    <w:rPr>
      <w:strike/>
      <w:dstrike w:val="0"/>
      <w:shd w:val="clear" w:color="auto" w:fill="auto"/>
    </w:rPr>
  </w:style>
  <w:style w:type="paragraph" w:customStyle="1" w:styleId="Address">
    <w:name w:val="Address"/>
    <w:basedOn w:val="Normal"/>
    <w:next w:val="Normal"/>
    <w:uiPriority w:val="1"/>
    <w:rsid w:val="14F0B435"/>
    <w:pPr>
      <w:keepNext/>
      <w:keepLines/>
      <w:spacing w:before="40" w:after="0"/>
      <w:ind w:left="3402"/>
      <w:jc w:val="both"/>
    </w:pPr>
    <w:rPr>
      <w:rFonts w:ascii="Times New Roman" w:eastAsiaTheme="minorEastAsia" w:hAnsi="Times New Roman" w:cs="Times New Roman"/>
      <w:sz w:val="24"/>
    </w:rPr>
  </w:style>
  <w:style w:type="paragraph" w:customStyle="1" w:styleId="Objetexterne">
    <w:name w:val="Objet externe"/>
    <w:basedOn w:val="Normal"/>
    <w:next w:val="Normal"/>
    <w:uiPriority w:val="1"/>
    <w:rsid w:val="14F0B435"/>
    <w:pPr>
      <w:keepNext/>
      <w:spacing w:before="40" w:after="0"/>
      <w:jc w:val="both"/>
    </w:pPr>
    <w:rPr>
      <w:rFonts w:ascii="Times New Roman" w:eastAsiaTheme="minorEastAsia" w:hAnsi="Times New Roman" w:cs="Times New Roman"/>
      <w:i/>
      <w:caps/>
      <w:sz w:val="24"/>
    </w:rPr>
  </w:style>
  <w:style w:type="paragraph" w:customStyle="1" w:styleId="Supertitre">
    <w:name w:val="Supertitre"/>
    <w:basedOn w:val="Normal"/>
    <w:next w:val="Normal"/>
    <w:uiPriority w:val="1"/>
    <w:rsid w:val="14F0B435"/>
    <w:pPr>
      <w:keepNext/>
      <w:spacing w:after="600"/>
      <w:jc w:val="center"/>
    </w:pPr>
    <w:rPr>
      <w:rFonts w:ascii="Times New Roman" w:eastAsiaTheme="minorEastAsia" w:hAnsi="Times New Roman" w:cs="Times New Roman"/>
      <w:b/>
      <w:sz w:val="24"/>
    </w:rPr>
  </w:style>
  <w:style w:type="paragraph" w:customStyle="1" w:styleId="Languesfaisantfoi">
    <w:name w:val="Langues faisant foi"/>
    <w:basedOn w:val="Normal"/>
    <w:next w:val="Normal"/>
    <w:uiPriority w:val="1"/>
    <w:rsid w:val="14F0B435"/>
    <w:pPr>
      <w:keepNext/>
      <w:spacing w:before="360" w:after="0"/>
      <w:jc w:val="center"/>
    </w:pPr>
    <w:rPr>
      <w:rFonts w:ascii="Times New Roman" w:eastAsiaTheme="minorEastAsia" w:hAnsi="Times New Roman" w:cs="Times New Roman"/>
      <w:sz w:val="24"/>
    </w:rPr>
  </w:style>
  <w:style w:type="paragraph" w:customStyle="1" w:styleId="Rfrencecroise">
    <w:name w:val="Référence croisée"/>
    <w:basedOn w:val="Normal"/>
    <w:uiPriority w:val="1"/>
    <w:rsid w:val="14F0B435"/>
    <w:pPr>
      <w:keepNext/>
      <w:spacing w:after="0"/>
      <w:jc w:val="center"/>
    </w:pPr>
    <w:rPr>
      <w:rFonts w:ascii="Times New Roman" w:eastAsiaTheme="minorEastAsia" w:hAnsi="Times New Roman" w:cs="Times New Roman"/>
      <w:sz w:val="24"/>
    </w:rPr>
  </w:style>
  <w:style w:type="paragraph" w:customStyle="1" w:styleId="Fichefinanciretitre">
    <w:name w:val="Fiche financière titre"/>
    <w:basedOn w:val="Normal"/>
    <w:next w:val="Normal"/>
    <w:uiPriority w:val="1"/>
    <w:rsid w:val="14F0B435"/>
    <w:pPr>
      <w:keepNext/>
      <w:spacing w:before="40" w:after="0"/>
      <w:jc w:val="center"/>
    </w:pPr>
    <w:rPr>
      <w:rFonts w:ascii="Times New Roman" w:eastAsiaTheme="minorEastAsia" w:hAnsi="Times New Roman" w:cs="Times New Roman"/>
      <w:b/>
      <w:sz w:val="24"/>
      <w:u w:val="single"/>
    </w:rPr>
  </w:style>
  <w:style w:type="paragraph" w:customStyle="1" w:styleId="DatedadoptionPagedecouverture">
    <w:name w:val="Date d'adoption (Page de couverture)"/>
    <w:basedOn w:val="Datedadoption"/>
    <w:next w:val="IntrtEEEPagedecouverture"/>
    <w:uiPriority w:val="1"/>
    <w:rsid w:val="00B4580D"/>
  </w:style>
  <w:style w:type="paragraph" w:customStyle="1" w:styleId="RfrenceinterinstitutionnellePagedecouverture">
    <w:name w:val="Référence interinstitutionnelle (Page de couverture)"/>
    <w:basedOn w:val="Rfrenceinterinstitutionnelle"/>
    <w:next w:val="Confidentialit"/>
    <w:uiPriority w:val="1"/>
    <w:rsid w:val="00B4580D"/>
  </w:style>
  <w:style w:type="paragraph" w:customStyle="1" w:styleId="StatutPagedecouverture">
    <w:name w:val="Statut (Page de couverture)"/>
    <w:basedOn w:val="Statut"/>
    <w:next w:val="TypedudocumentPagedecouverture"/>
    <w:uiPriority w:val="1"/>
    <w:rsid w:val="00B4580D"/>
  </w:style>
  <w:style w:type="paragraph" w:customStyle="1" w:styleId="TypedudocumentPagedecouverture">
    <w:name w:val="Type du document (Page de couverture)"/>
    <w:basedOn w:val="Typedudocument"/>
    <w:next w:val="AccompagnantPagedecouverture"/>
    <w:uiPriority w:val="1"/>
    <w:rsid w:val="00B4580D"/>
  </w:style>
  <w:style w:type="paragraph" w:customStyle="1" w:styleId="Volume">
    <w:name w:val="Volume"/>
    <w:basedOn w:val="Normal"/>
    <w:next w:val="Confidentialit"/>
    <w:uiPriority w:val="1"/>
    <w:rsid w:val="14F0B435"/>
    <w:pPr>
      <w:keepNext/>
      <w:spacing w:after="0"/>
      <w:ind w:left="5103"/>
      <w:jc w:val="both"/>
    </w:pPr>
    <w:rPr>
      <w:rFonts w:ascii="Times New Roman" w:eastAsiaTheme="minorEastAsia" w:hAnsi="Times New Roman" w:cs="Times New Roman"/>
      <w:sz w:val="24"/>
    </w:rPr>
  </w:style>
  <w:style w:type="paragraph" w:customStyle="1" w:styleId="IntrtEEE">
    <w:name w:val="Intérêt EEE"/>
    <w:basedOn w:val="Languesfaisantfoi"/>
    <w:next w:val="Normal"/>
    <w:uiPriority w:val="1"/>
    <w:rsid w:val="00B4580D"/>
  </w:style>
  <w:style w:type="paragraph" w:customStyle="1" w:styleId="Accompagnant">
    <w:name w:val="Accompagnant"/>
    <w:basedOn w:val="Normal"/>
    <w:next w:val="Typeacteprincipal"/>
    <w:uiPriority w:val="1"/>
    <w:rsid w:val="14F0B435"/>
    <w:pPr>
      <w:keepNext/>
      <w:spacing w:before="180" w:after="0"/>
      <w:jc w:val="center"/>
    </w:pPr>
    <w:rPr>
      <w:rFonts w:ascii="Times New Roman" w:eastAsiaTheme="minorEastAsia" w:hAnsi="Times New Roman" w:cs="Times New Roman"/>
      <w:b/>
      <w:sz w:val="24"/>
    </w:rPr>
  </w:style>
  <w:style w:type="paragraph" w:customStyle="1" w:styleId="Typeacteprincipal">
    <w:name w:val="Type acte principal"/>
    <w:basedOn w:val="Normal"/>
    <w:next w:val="Objetacteprincipal"/>
    <w:uiPriority w:val="1"/>
    <w:rsid w:val="14F0B435"/>
    <w:pPr>
      <w:keepNext/>
      <w:spacing w:after="0"/>
      <w:jc w:val="center"/>
    </w:pPr>
    <w:rPr>
      <w:rFonts w:ascii="Times New Roman" w:eastAsiaTheme="minorEastAsia" w:hAnsi="Times New Roman" w:cs="Times New Roman"/>
      <w:b/>
      <w:sz w:val="24"/>
    </w:rPr>
  </w:style>
  <w:style w:type="paragraph" w:customStyle="1" w:styleId="Objetacteprincipal">
    <w:name w:val="Objet acte principal"/>
    <w:basedOn w:val="Normal"/>
    <w:next w:val="Titrearticle"/>
    <w:uiPriority w:val="1"/>
    <w:rsid w:val="14F0B435"/>
    <w:pPr>
      <w:keepNext/>
      <w:spacing w:after="360"/>
      <w:jc w:val="center"/>
    </w:pPr>
    <w:rPr>
      <w:rFonts w:ascii="Times New Roman" w:eastAsiaTheme="minorEastAsia" w:hAnsi="Times New Roman" w:cs="Times New Roman"/>
      <w:b/>
      <w:sz w:val="24"/>
    </w:rPr>
  </w:style>
  <w:style w:type="paragraph" w:customStyle="1" w:styleId="IntrtEEEPagedecouverture">
    <w:name w:val="Intérêt EEE (Page de couverture)"/>
    <w:basedOn w:val="IntrtEEE"/>
    <w:next w:val="Rfrencecroise"/>
    <w:uiPriority w:val="1"/>
    <w:rsid w:val="00B4580D"/>
  </w:style>
  <w:style w:type="paragraph" w:customStyle="1" w:styleId="AccompagnantPagedecouverture">
    <w:name w:val="Accompagnant (Page de couverture)"/>
    <w:basedOn w:val="Accompagnant"/>
    <w:next w:val="TypeacteprincipalPagedecouverture"/>
    <w:uiPriority w:val="1"/>
    <w:rsid w:val="00B4580D"/>
  </w:style>
  <w:style w:type="paragraph" w:customStyle="1" w:styleId="TypeacteprincipalPagedecouverture">
    <w:name w:val="Type acte principal (Page de couverture)"/>
    <w:basedOn w:val="Typeacteprincipal"/>
    <w:next w:val="ObjetacteprincipalPagedecouverture"/>
    <w:uiPriority w:val="1"/>
    <w:rsid w:val="00B4580D"/>
  </w:style>
  <w:style w:type="paragraph" w:customStyle="1" w:styleId="ObjetacteprincipalPagedecouverture">
    <w:name w:val="Objet acte principal (Page de couverture)"/>
    <w:basedOn w:val="Objetacteprincipal"/>
    <w:next w:val="Rfrencecroise"/>
    <w:uiPriority w:val="1"/>
    <w:rsid w:val="00B4580D"/>
  </w:style>
  <w:style w:type="paragraph" w:customStyle="1" w:styleId="LanguesfaisantfoiPagedecouverture">
    <w:name w:val="Langues faisant foi (Page de couverture)"/>
    <w:basedOn w:val="Normal"/>
    <w:next w:val="Normal"/>
    <w:uiPriority w:val="1"/>
    <w:rsid w:val="14F0B435"/>
    <w:pPr>
      <w:keepNext/>
      <w:spacing w:before="360" w:after="0"/>
      <w:jc w:val="center"/>
    </w:pPr>
    <w:rPr>
      <w:rFonts w:ascii="Times New Roman" w:eastAsiaTheme="minorEastAsia" w:hAnsi="Times New Roman" w:cs="Times New Roman"/>
      <w:sz w:val="24"/>
    </w:rPr>
  </w:style>
  <w:style w:type="character" w:styleId="CommentReference">
    <w:name w:val="annotation reference"/>
    <w:basedOn w:val="DefaultParagraphFont"/>
    <w:uiPriority w:val="99"/>
    <w:unhideWhenUsed/>
    <w:rsid w:val="00B4580D"/>
    <w:rPr>
      <w:sz w:val="16"/>
    </w:rPr>
  </w:style>
  <w:style w:type="paragraph" w:styleId="CommentText">
    <w:name w:val="annotation text"/>
    <w:basedOn w:val="Normal"/>
    <w:link w:val="CommentTextChar"/>
    <w:uiPriority w:val="99"/>
    <w:unhideWhenUsed/>
    <w:rsid w:val="14F0B435"/>
    <w:pPr>
      <w:keepNext/>
      <w:spacing w:before="40" w:after="0"/>
      <w:jc w:val="both"/>
    </w:pPr>
    <w:rPr>
      <w:rFonts w:ascii="Times New Roman" w:eastAsiaTheme="minorEastAsia" w:hAnsi="Times New Roman" w:cs="Times New Roman"/>
      <w:sz w:val="20"/>
    </w:rPr>
  </w:style>
  <w:style w:type="character" w:customStyle="1" w:styleId="CommentTextChar">
    <w:name w:val="Comment Text Char"/>
    <w:basedOn w:val="DefaultParagraphFont"/>
    <w:link w:val="CommentText"/>
    <w:uiPriority w:val="99"/>
    <w:rsid w:val="00B4580D"/>
    <w:rPr>
      <w:rFonts w:ascii="Times New Roman" w:eastAsiaTheme="minorEastAsia" w:hAnsi="Times New Roman" w:cs="Times New Roman"/>
      <w:sz w:val="20"/>
    </w:rPr>
  </w:style>
  <w:style w:type="paragraph" w:styleId="ListParagraph">
    <w:name w:val="List Paragraph"/>
    <w:basedOn w:val="Normal"/>
    <w:link w:val="ListParagraphChar"/>
    <w:uiPriority w:val="34"/>
    <w:qFormat/>
    <w:rsid w:val="14F0B435"/>
    <w:pPr>
      <w:keepNext/>
      <w:spacing w:after="160"/>
      <w:ind w:left="1571" w:hanging="360"/>
      <w:contextualSpacing/>
      <w:jc w:val="both"/>
    </w:pPr>
    <w:rPr>
      <w:rFonts w:ascii="Times New Roman" w:eastAsiaTheme="minorEastAsia" w:hAnsi="Times New Roman" w:cs="Times New Roman"/>
      <w:sz w:val="24"/>
    </w:rPr>
  </w:style>
  <w:style w:type="character" w:customStyle="1" w:styleId="ListParagraphChar">
    <w:name w:val="List Paragraph Char"/>
    <w:basedOn w:val="DefaultParagraphFont"/>
    <w:link w:val="ListParagraph"/>
    <w:uiPriority w:val="1"/>
    <w:qFormat/>
    <w:rsid w:val="00B4580D"/>
    <w:rPr>
      <w:rFonts w:ascii="Times New Roman" w:eastAsiaTheme="minorEastAsia" w:hAnsi="Times New Roman" w:cs="Times New Roman"/>
      <w:sz w:val="24"/>
    </w:rPr>
  </w:style>
  <w:style w:type="character" w:styleId="IntenseEmphasis">
    <w:name w:val="Intense Emphasis"/>
    <w:basedOn w:val="DefaultParagraphFont"/>
    <w:uiPriority w:val="21"/>
    <w:qFormat/>
    <w:rsid w:val="00B4580D"/>
    <w:rPr>
      <w:i/>
      <w:color w:val="4F81BD" w:themeColor="accent1"/>
    </w:rPr>
  </w:style>
  <w:style w:type="paragraph" w:styleId="BalloonText">
    <w:name w:val="Balloon Text"/>
    <w:basedOn w:val="Normal"/>
    <w:link w:val="BalloonTextChar"/>
    <w:uiPriority w:val="99"/>
    <w:semiHidden/>
    <w:unhideWhenUsed/>
    <w:rsid w:val="14F0B435"/>
    <w:pPr>
      <w:keepNext/>
      <w:spacing w:after="0"/>
      <w:jc w:val="both"/>
    </w:pPr>
    <w:rPr>
      <w:rFonts w:ascii="Segoe UI" w:eastAsiaTheme="minorEastAsia" w:hAnsi="Segoe UI" w:cs="Segoe UI"/>
      <w:sz w:val="18"/>
    </w:rPr>
  </w:style>
  <w:style w:type="character" w:customStyle="1" w:styleId="BalloonTextChar">
    <w:name w:val="Balloon Text Char"/>
    <w:basedOn w:val="DefaultParagraphFont"/>
    <w:link w:val="BalloonText"/>
    <w:uiPriority w:val="99"/>
    <w:semiHidden/>
    <w:rsid w:val="00B4580D"/>
    <w:rPr>
      <w:rFonts w:ascii="Segoe UI" w:eastAsiaTheme="minorEastAsia" w:hAnsi="Segoe UI" w:cs="Segoe UI"/>
      <w:sz w:val="18"/>
    </w:rPr>
  </w:style>
  <w:style w:type="paragraph" w:styleId="ListBullet">
    <w:name w:val="List Bullet"/>
    <w:basedOn w:val="Normal"/>
    <w:uiPriority w:val="99"/>
    <w:semiHidden/>
    <w:unhideWhenUsed/>
    <w:rsid w:val="29DEDBAE"/>
    <w:pPr>
      <w:keepNext/>
      <w:numPr>
        <w:numId w:val="15"/>
      </w:numPr>
      <w:spacing w:before="40" w:after="0"/>
      <w:contextualSpacing/>
      <w:jc w:val="both"/>
    </w:pPr>
    <w:rPr>
      <w:rFonts w:ascii="Times New Roman" w:eastAsiaTheme="minorEastAsia" w:hAnsi="Times New Roman" w:cs="Times New Roman"/>
      <w:sz w:val="24"/>
    </w:rPr>
  </w:style>
  <w:style w:type="paragraph" w:styleId="ListBullet2">
    <w:name w:val="List Bullet 2"/>
    <w:basedOn w:val="Normal"/>
    <w:uiPriority w:val="99"/>
    <w:semiHidden/>
    <w:unhideWhenUsed/>
    <w:rsid w:val="29DEDBAE"/>
    <w:pPr>
      <w:keepNext/>
      <w:numPr>
        <w:numId w:val="16"/>
      </w:numPr>
      <w:spacing w:before="40" w:after="0"/>
      <w:contextualSpacing/>
      <w:jc w:val="both"/>
    </w:pPr>
    <w:rPr>
      <w:rFonts w:ascii="Times New Roman" w:eastAsiaTheme="minorEastAsia" w:hAnsi="Times New Roman" w:cs="Times New Roman"/>
      <w:sz w:val="24"/>
    </w:rPr>
  </w:style>
  <w:style w:type="paragraph" w:styleId="ListBullet3">
    <w:name w:val="List Bullet 3"/>
    <w:basedOn w:val="Normal"/>
    <w:uiPriority w:val="99"/>
    <w:semiHidden/>
    <w:unhideWhenUsed/>
    <w:rsid w:val="29DEDBAE"/>
    <w:pPr>
      <w:keepNext/>
      <w:numPr>
        <w:numId w:val="17"/>
      </w:numPr>
      <w:spacing w:before="40" w:after="0"/>
      <w:contextualSpacing/>
      <w:jc w:val="both"/>
    </w:pPr>
    <w:rPr>
      <w:rFonts w:ascii="Times New Roman" w:eastAsiaTheme="minorEastAsia" w:hAnsi="Times New Roman" w:cs="Times New Roman"/>
      <w:sz w:val="24"/>
    </w:rPr>
  </w:style>
  <w:style w:type="paragraph" w:styleId="ListBullet4">
    <w:name w:val="List Bullet 4"/>
    <w:basedOn w:val="Normal"/>
    <w:uiPriority w:val="99"/>
    <w:semiHidden/>
    <w:unhideWhenUsed/>
    <w:rsid w:val="29DEDBAE"/>
    <w:pPr>
      <w:keepNext/>
      <w:numPr>
        <w:numId w:val="18"/>
      </w:numPr>
      <w:spacing w:before="40" w:after="0"/>
      <w:contextualSpacing/>
      <w:jc w:val="both"/>
    </w:pPr>
    <w:rPr>
      <w:rFonts w:ascii="Times New Roman" w:eastAsiaTheme="minorEastAsia" w:hAnsi="Times New Roman" w:cs="Times New Roman"/>
      <w:sz w:val="24"/>
    </w:rPr>
  </w:style>
  <w:style w:type="paragraph" w:styleId="CommentSubject">
    <w:name w:val="annotation subject"/>
    <w:basedOn w:val="CommentText"/>
    <w:next w:val="CommentText"/>
    <w:link w:val="CommentSubjectChar"/>
    <w:uiPriority w:val="99"/>
    <w:semiHidden/>
    <w:unhideWhenUsed/>
    <w:rsid w:val="00B4580D"/>
    <w:rPr>
      <w:b/>
    </w:rPr>
  </w:style>
  <w:style w:type="character" w:customStyle="1" w:styleId="CommentSubjectChar">
    <w:name w:val="Comment Subject Char"/>
    <w:basedOn w:val="CommentTextChar"/>
    <w:link w:val="CommentSubject"/>
    <w:uiPriority w:val="99"/>
    <w:semiHidden/>
    <w:rsid w:val="00B4580D"/>
    <w:rPr>
      <w:rFonts w:ascii="Times New Roman" w:eastAsiaTheme="minorEastAsia" w:hAnsi="Times New Roman" w:cs="Times New Roman"/>
      <w:b/>
      <w:sz w:val="20"/>
    </w:rPr>
  </w:style>
  <w:style w:type="paragraph" w:styleId="Revision">
    <w:name w:val="Revision"/>
    <w:hidden/>
    <w:uiPriority w:val="99"/>
    <w:semiHidden/>
    <w:rsid w:val="00B4580D"/>
    <w:pPr>
      <w:spacing w:after="0" w:line="240" w:lineRule="auto"/>
    </w:pPr>
    <w:rPr>
      <w:rFonts w:ascii="Times New Roman" w:hAnsi="Times New Roman" w:cs="Times New Roman"/>
      <w:sz w:val="24"/>
    </w:rPr>
  </w:style>
  <w:style w:type="paragraph" w:customStyle="1" w:styleId="Default">
    <w:name w:val="Default"/>
    <w:rsid w:val="00B4580D"/>
    <w:pPr>
      <w:autoSpaceDE w:val="0"/>
      <w:autoSpaceDN w:val="0"/>
      <w:adjustRightInd w:val="0"/>
      <w:spacing w:after="0" w:line="240" w:lineRule="auto"/>
    </w:pPr>
    <w:rPr>
      <w:rFonts w:ascii="Times New Roman" w:hAnsi="Times New Roman" w:cs="Times New Roman"/>
      <w:color w:val="000000"/>
      <w:sz w:val="24"/>
    </w:rPr>
  </w:style>
  <w:style w:type="character" w:styleId="Hyperlink">
    <w:name w:val="Hyperlink"/>
    <w:basedOn w:val="DefaultParagraphFont"/>
    <w:uiPriority w:val="99"/>
    <w:unhideWhenUsed/>
    <w:rsid w:val="00B4580D"/>
    <w:rPr>
      <w:color w:val="0000FF" w:themeColor="hyperlink"/>
      <w:u w:val="single"/>
    </w:rPr>
  </w:style>
  <w:style w:type="paragraph" w:customStyle="1" w:styleId="paragraph">
    <w:name w:val="paragraph"/>
    <w:basedOn w:val="Normal"/>
    <w:rsid w:val="14F0B435"/>
    <w:pPr>
      <w:spacing w:beforeAutospacing="1" w:afterAutospacing="1"/>
      <w:ind w:left="851"/>
    </w:pPr>
    <w:rPr>
      <w:rFonts w:ascii="Times New Roman" w:eastAsia="Times New Roman" w:hAnsi="Times New Roman" w:cs="Times New Roman"/>
      <w:sz w:val="24"/>
    </w:rPr>
  </w:style>
  <w:style w:type="character" w:customStyle="1" w:styleId="normaltextrun">
    <w:name w:val="normaltextrun"/>
    <w:basedOn w:val="DefaultParagraphFont"/>
    <w:rsid w:val="00B4580D"/>
  </w:style>
  <w:style w:type="table" w:styleId="TableGrid">
    <w:name w:val="Table Grid"/>
    <w:basedOn w:val="TableNormal"/>
    <w:uiPriority w:val="59"/>
    <w:rsid w:val="00B4580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1">
    <w:name w:val="Grid Table 1 Light - Accent 11"/>
    <w:basedOn w:val="TableNormal"/>
    <w:uiPriority w:val="46"/>
    <w:rsid w:val="00B4580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Bodytext2">
    <w:name w:val="Body text|2_"/>
    <w:basedOn w:val="DefaultParagraphFont"/>
    <w:link w:val="Bodytext20"/>
    <w:rsid w:val="00B4580D"/>
    <w:rPr>
      <w:rFonts w:ascii="Calibri" w:eastAsia="Calibri" w:hAnsi="Calibri" w:cs="Calibri"/>
      <w:sz w:val="21"/>
      <w:shd w:val="clear" w:color="auto" w:fill="FFFFFF"/>
    </w:rPr>
  </w:style>
  <w:style w:type="character" w:customStyle="1" w:styleId="Bodytext2Italic">
    <w:name w:val="Body text|2 + Italic"/>
    <w:basedOn w:val="Bodytext2"/>
    <w:semiHidden/>
    <w:unhideWhenUsed/>
    <w:rsid w:val="00B4580D"/>
    <w:rPr>
      <w:rFonts w:ascii="Calibri" w:eastAsia="Calibri" w:hAnsi="Calibri" w:cs="Calibri"/>
      <w:i/>
      <w:color w:val="000000"/>
      <w:position w:val="0"/>
      <w:sz w:val="21"/>
      <w:shd w:val="clear" w:color="auto" w:fill="FFFFFF"/>
    </w:rPr>
  </w:style>
  <w:style w:type="character" w:customStyle="1" w:styleId="Heading81">
    <w:name w:val="Heading #8|1_"/>
    <w:basedOn w:val="DefaultParagraphFont"/>
    <w:link w:val="Heading810"/>
    <w:rsid w:val="00B4580D"/>
    <w:rPr>
      <w:rFonts w:ascii="Calibri" w:eastAsia="Calibri" w:hAnsi="Calibri" w:cs="Calibri"/>
      <w:b/>
      <w:sz w:val="21"/>
      <w:shd w:val="clear" w:color="auto" w:fill="FFFFFF"/>
    </w:rPr>
  </w:style>
  <w:style w:type="paragraph" w:customStyle="1" w:styleId="Bodytext20">
    <w:name w:val="Body text|2"/>
    <w:basedOn w:val="Normal"/>
    <w:link w:val="Bodytext2"/>
    <w:qFormat/>
    <w:rsid w:val="00B4580D"/>
    <w:pPr>
      <w:widowControl w:val="0"/>
      <w:shd w:val="clear" w:color="auto" w:fill="FFFFFF"/>
      <w:spacing w:before="140" w:after="140" w:line="226" w:lineRule="exact"/>
      <w:ind w:hanging="640"/>
    </w:pPr>
    <w:rPr>
      <w:rFonts w:ascii="Calibri" w:eastAsia="Calibri" w:hAnsi="Calibri" w:cs="Calibri"/>
      <w:sz w:val="21"/>
    </w:rPr>
  </w:style>
  <w:style w:type="paragraph" w:customStyle="1" w:styleId="Heading810">
    <w:name w:val="Heading #8|1"/>
    <w:basedOn w:val="Normal"/>
    <w:link w:val="Heading81"/>
    <w:qFormat/>
    <w:rsid w:val="00B4580D"/>
    <w:pPr>
      <w:widowControl w:val="0"/>
      <w:shd w:val="clear" w:color="auto" w:fill="FFFFFF"/>
      <w:spacing w:before="120" w:after="0" w:line="256" w:lineRule="exact"/>
      <w:ind w:hanging="580"/>
      <w:outlineLvl w:val="7"/>
    </w:pPr>
    <w:rPr>
      <w:rFonts w:ascii="Calibri" w:eastAsia="Calibri" w:hAnsi="Calibri" w:cs="Calibri"/>
      <w:b/>
      <w:sz w:val="21"/>
    </w:rPr>
  </w:style>
  <w:style w:type="character" w:customStyle="1" w:styleId="eop">
    <w:name w:val="eop"/>
    <w:basedOn w:val="DefaultParagraphFont"/>
    <w:rsid w:val="00B4580D"/>
  </w:style>
  <w:style w:type="character" w:customStyle="1" w:styleId="Heading81NotBold">
    <w:name w:val="Heading #8|1 + Not Bold"/>
    <w:basedOn w:val="Heading81"/>
    <w:semiHidden/>
    <w:unhideWhenUsed/>
    <w:rsid w:val="00B4580D"/>
    <w:rPr>
      <w:rFonts w:ascii="Calibri" w:eastAsia="Calibri" w:hAnsi="Calibri" w:cs="Calibri"/>
      <w:b/>
      <w:i w:val="0"/>
      <w:smallCaps w:val="0"/>
      <w:strike w:val="0"/>
      <w:color w:val="000000"/>
      <w:position w:val="0"/>
      <w:sz w:val="21"/>
      <w:u w:val="none"/>
      <w:shd w:val="clear" w:color="auto" w:fill="FFFFFF"/>
    </w:rPr>
  </w:style>
  <w:style w:type="character" w:customStyle="1" w:styleId="Bodytext2Bold">
    <w:name w:val="Body text|2 + Bold"/>
    <w:basedOn w:val="Bodytext2"/>
    <w:semiHidden/>
    <w:unhideWhenUsed/>
    <w:rsid w:val="00B4580D"/>
    <w:rPr>
      <w:rFonts w:ascii="Calibri" w:eastAsia="Calibri" w:hAnsi="Calibri" w:cs="Calibri"/>
      <w:b/>
      <w:i w:val="0"/>
      <w:smallCaps w:val="0"/>
      <w:strike w:val="0"/>
      <w:color w:val="000000"/>
      <w:position w:val="0"/>
      <w:sz w:val="21"/>
      <w:u w:val="none"/>
      <w:shd w:val="clear" w:color="auto" w:fill="FFFFFF"/>
    </w:rPr>
  </w:style>
  <w:style w:type="character" w:customStyle="1" w:styleId="Bodytext2Arial95ptBold">
    <w:name w:val="Body text|2 + Arial;9.5 pt;Bold"/>
    <w:basedOn w:val="Bodytext2"/>
    <w:semiHidden/>
    <w:unhideWhenUsed/>
    <w:rsid w:val="00B4580D"/>
    <w:rPr>
      <w:rFonts w:ascii="Arial" w:eastAsia="Arial" w:hAnsi="Arial" w:cs="Arial"/>
      <w:b/>
      <w:i w:val="0"/>
      <w:smallCaps w:val="0"/>
      <w:strike w:val="0"/>
      <w:color w:val="000000"/>
      <w:position w:val="0"/>
      <w:sz w:val="19"/>
      <w:u w:val="none"/>
      <w:shd w:val="clear" w:color="auto" w:fill="FFFFFF"/>
    </w:rPr>
  </w:style>
  <w:style w:type="character" w:customStyle="1" w:styleId="Tablecaption7">
    <w:name w:val="Table caption|7_"/>
    <w:basedOn w:val="DefaultParagraphFont"/>
    <w:link w:val="Tablecaption70"/>
    <w:rsid w:val="00B4580D"/>
    <w:rPr>
      <w:rFonts w:ascii="Calibri" w:eastAsia="Calibri" w:hAnsi="Calibri" w:cs="Calibri"/>
      <w:sz w:val="21"/>
      <w:shd w:val="clear" w:color="auto" w:fill="FFFFFF"/>
    </w:rPr>
  </w:style>
  <w:style w:type="character" w:customStyle="1" w:styleId="Heading71NotBold">
    <w:name w:val="Heading #7|1 + Not Bold"/>
    <w:basedOn w:val="DefaultParagraphFont"/>
    <w:semiHidden/>
    <w:unhideWhenUsed/>
    <w:rsid w:val="00B4580D"/>
    <w:rPr>
      <w:rFonts w:ascii="Calibri" w:eastAsia="Calibri" w:hAnsi="Calibri" w:cs="Calibri"/>
      <w:b/>
      <w:i w:val="0"/>
      <w:smallCaps w:val="0"/>
      <w:strike w:val="0"/>
      <w:color w:val="000000"/>
      <w:position w:val="0"/>
      <w:sz w:val="21"/>
      <w:u w:val="none"/>
    </w:rPr>
  </w:style>
  <w:style w:type="paragraph" w:customStyle="1" w:styleId="Tablecaption70">
    <w:name w:val="Table caption|7"/>
    <w:basedOn w:val="Normal"/>
    <w:link w:val="Tablecaption7"/>
    <w:rsid w:val="00B4580D"/>
    <w:pPr>
      <w:widowControl w:val="0"/>
      <w:shd w:val="clear" w:color="auto" w:fill="FFFFFF"/>
      <w:spacing w:after="0" w:line="256" w:lineRule="exact"/>
    </w:pPr>
    <w:rPr>
      <w:rFonts w:ascii="Calibri" w:eastAsia="Calibri" w:hAnsi="Calibri" w:cs="Calibri"/>
      <w:sz w:val="21"/>
    </w:rPr>
  </w:style>
  <w:style w:type="paragraph" w:customStyle="1" w:styleId="LegalNumPar">
    <w:name w:val="LegalNumPar"/>
    <w:basedOn w:val="Normal"/>
    <w:uiPriority w:val="1"/>
    <w:rsid w:val="14F0B435"/>
    <w:pPr>
      <w:keepNext/>
      <w:spacing w:before="40" w:after="0"/>
      <w:ind w:left="476" w:hanging="476"/>
      <w:jc w:val="both"/>
    </w:pPr>
    <w:rPr>
      <w:rFonts w:ascii="Times New Roman" w:eastAsiaTheme="minorEastAsia" w:hAnsi="Times New Roman" w:cs="Times New Roman"/>
      <w:sz w:val="24"/>
    </w:rPr>
  </w:style>
  <w:style w:type="paragraph" w:customStyle="1" w:styleId="LegalNumPar2">
    <w:name w:val="LegalNumPar2"/>
    <w:basedOn w:val="Normal"/>
    <w:uiPriority w:val="1"/>
    <w:rsid w:val="14F0B435"/>
    <w:pPr>
      <w:keepNext/>
      <w:spacing w:before="40" w:after="0"/>
      <w:ind w:left="953" w:hanging="477"/>
      <w:jc w:val="both"/>
    </w:pPr>
    <w:rPr>
      <w:rFonts w:ascii="Times New Roman" w:eastAsiaTheme="minorEastAsia" w:hAnsi="Times New Roman" w:cs="Times New Roman"/>
      <w:sz w:val="24"/>
    </w:rPr>
  </w:style>
  <w:style w:type="paragraph" w:customStyle="1" w:styleId="LegalNumPar3">
    <w:name w:val="LegalNumPar3"/>
    <w:basedOn w:val="Normal"/>
    <w:uiPriority w:val="1"/>
    <w:rsid w:val="14F0B435"/>
    <w:pPr>
      <w:keepNext/>
      <w:spacing w:before="40" w:after="0"/>
      <w:ind w:left="1429" w:hanging="476"/>
      <w:jc w:val="both"/>
    </w:pPr>
    <w:rPr>
      <w:rFonts w:ascii="Times New Roman" w:eastAsiaTheme="minorEastAsia" w:hAnsi="Times New Roman" w:cs="Times New Roman"/>
      <w:sz w:val="24"/>
    </w:rPr>
  </w:style>
  <w:style w:type="paragraph" w:styleId="NormalWeb">
    <w:name w:val="Normal (Web)"/>
    <w:basedOn w:val="Normal"/>
    <w:uiPriority w:val="99"/>
    <w:semiHidden/>
    <w:unhideWhenUsed/>
    <w:rsid w:val="14F0B435"/>
    <w:pPr>
      <w:spacing w:beforeAutospacing="1" w:afterAutospacing="1"/>
    </w:pPr>
    <w:rPr>
      <w:rFonts w:ascii="Times New Roman" w:eastAsia="Times New Roman" w:hAnsi="Times New Roman" w:cs="Times New Roman"/>
      <w:sz w:val="24"/>
    </w:rPr>
  </w:style>
  <w:style w:type="character" w:styleId="Strong">
    <w:name w:val="Strong"/>
    <w:basedOn w:val="DefaultParagraphFont"/>
    <w:uiPriority w:val="22"/>
    <w:qFormat/>
    <w:rsid w:val="00B4580D"/>
    <w:rPr>
      <w:b/>
    </w:rPr>
  </w:style>
  <w:style w:type="character" w:customStyle="1" w:styleId="h5">
    <w:name w:val="h5"/>
    <w:basedOn w:val="DefaultParagraphFont"/>
    <w:rsid w:val="00B4580D"/>
  </w:style>
  <w:style w:type="character" w:customStyle="1" w:styleId="viiyi">
    <w:name w:val="viiyi"/>
    <w:basedOn w:val="DefaultParagraphFont"/>
    <w:rsid w:val="00B4580D"/>
  </w:style>
  <w:style w:type="character" w:customStyle="1" w:styleId="jlqj4b">
    <w:name w:val="jlqj4b"/>
    <w:basedOn w:val="DefaultParagraphFont"/>
    <w:rsid w:val="00B4580D"/>
  </w:style>
  <w:style w:type="paragraph" w:customStyle="1" w:styleId="oj-doc-ti">
    <w:name w:val="oj-doc-ti"/>
    <w:basedOn w:val="Normal"/>
    <w:uiPriority w:val="1"/>
    <w:rsid w:val="14F0B435"/>
    <w:pPr>
      <w:spacing w:beforeAutospacing="1" w:afterAutospacing="1"/>
    </w:pPr>
    <w:rPr>
      <w:rFonts w:ascii="Times New Roman" w:eastAsia="Times New Roman" w:hAnsi="Times New Roman" w:cs="Times New Roman"/>
      <w:sz w:val="24"/>
    </w:rPr>
  </w:style>
  <w:style w:type="character" w:customStyle="1" w:styleId="acopre">
    <w:name w:val="acopre"/>
    <w:basedOn w:val="DefaultParagraphFont"/>
    <w:rsid w:val="00B4580D"/>
  </w:style>
  <w:style w:type="character" w:styleId="FollowedHyperlink">
    <w:name w:val="FollowedHyperlink"/>
    <w:basedOn w:val="DefaultParagraphFont"/>
    <w:uiPriority w:val="99"/>
    <w:semiHidden/>
    <w:unhideWhenUsed/>
    <w:rsid w:val="00B4580D"/>
    <w:rPr>
      <w:color w:val="800080" w:themeColor="followedHyperlink"/>
      <w:u w:val="single"/>
    </w:rPr>
  </w:style>
  <w:style w:type="character" w:styleId="PlaceholderText">
    <w:name w:val="Placeholder Text"/>
    <w:basedOn w:val="DefaultParagraphFont"/>
    <w:uiPriority w:val="99"/>
    <w:semiHidden/>
    <w:rsid w:val="00B4580D"/>
    <w:rPr>
      <w:color w:val="808080"/>
    </w:rPr>
  </w:style>
  <w:style w:type="paragraph" w:customStyle="1" w:styleId="FooterCoverPage">
    <w:name w:val="Footer Cover Page"/>
    <w:basedOn w:val="Normal"/>
    <w:link w:val="FooterCoverPageChar"/>
    <w:uiPriority w:val="1"/>
    <w:rsid w:val="14F0B435"/>
    <w:pPr>
      <w:keepNext/>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uiPriority w:val="1"/>
    <w:rsid w:val="00B4580D"/>
    <w:rPr>
      <w:rFonts w:ascii="Times New Roman" w:hAnsi="Times New Roman" w:cs="Times New Roman"/>
      <w:sz w:val="24"/>
    </w:rPr>
  </w:style>
  <w:style w:type="paragraph" w:customStyle="1" w:styleId="HeaderCoverPage">
    <w:name w:val="Header Cover Page"/>
    <w:basedOn w:val="Normal"/>
    <w:link w:val="HeaderCoverPageChar"/>
    <w:uiPriority w:val="1"/>
    <w:rsid w:val="14F0B435"/>
    <w:pPr>
      <w:keepNext/>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uiPriority w:val="1"/>
    <w:rsid w:val="00B4580D"/>
    <w:rPr>
      <w:rFonts w:ascii="Times New Roman" w:hAnsi="Times New Roman" w:cs="Times New Roman"/>
      <w:sz w:val="24"/>
    </w:rPr>
  </w:style>
  <w:style w:type="paragraph" w:styleId="NoSpacing">
    <w:name w:val="No Spacing"/>
    <w:uiPriority w:val="1"/>
    <w:qFormat/>
    <w:rsid w:val="00B4580D"/>
    <w:pPr>
      <w:spacing w:after="0" w:line="240" w:lineRule="auto"/>
    </w:pPr>
  </w:style>
  <w:style w:type="paragraph" w:customStyle="1" w:styleId="TechnicalBlock">
    <w:name w:val="Technical Block"/>
    <w:basedOn w:val="Pagedecouverture"/>
    <w:link w:val="TechnicalBlockChar"/>
    <w:uiPriority w:val="1"/>
    <w:rsid w:val="14F0B435"/>
    <w:pPr>
      <w:spacing w:after="240"/>
      <w:jc w:val="center"/>
    </w:pPr>
  </w:style>
  <w:style w:type="character" w:customStyle="1" w:styleId="PagedecouvertureChar">
    <w:name w:val="Page de couverture Char"/>
    <w:basedOn w:val="DefaultParagraphFont"/>
    <w:link w:val="Pagedecouverture"/>
    <w:uiPriority w:val="1"/>
    <w:rsid w:val="00B4580D"/>
    <w:rPr>
      <w:rFonts w:ascii="Times New Roman" w:eastAsiaTheme="minorEastAsia" w:hAnsi="Times New Roman" w:cs="Times New Roman"/>
      <w:sz w:val="24"/>
    </w:rPr>
  </w:style>
  <w:style w:type="character" w:customStyle="1" w:styleId="TechnicalBlockChar">
    <w:name w:val="Technical Block Char"/>
    <w:basedOn w:val="PagedecouvertureChar"/>
    <w:link w:val="TechnicalBlock"/>
    <w:uiPriority w:val="1"/>
    <w:rsid w:val="00B4580D"/>
    <w:rPr>
      <w:rFonts w:ascii="Times New Roman" w:eastAsiaTheme="minorEastAsia" w:hAnsi="Times New Roman" w:cs="Times New Roman"/>
      <w:sz w:val="24"/>
    </w:rPr>
  </w:style>
  <w:style w:type="paragraph" w:customStyle="1" w:styleId="EntText">
    <w:name w:val="EntText"/>
    <w:basedOn w:val="Normal"/>
    <w:uiPriority w:val="1"/>
    <w:rsid w:val="14F0B435"/>
    <w:pPr>
      <w:spacing w:before="120" w:after="120"/>
    </w:pPr>
    <w:rPr>
      <w:rFonts w:ascii="Times New Roman" w:eastAsiaTheme="minorEastAsia" w:hAnsi="Times New Roman" w:cs="Times New Roman"/>
      <w:sz w:val="24"/>
    </w:rPr>
  </w:style>
  <w:style w:type="paragraph" w:customStyle="1" w:styleId="Lignefinal">
    <w:name w:val="Ligne final"/>
    <w:basedOn w:val="Normal"/>
    <w:next w:val="Normal"/>
    <w:uiPriority w:val="1"/>
    <w:rsid w:val="14F0B435"/>
    <w:pPr>
      <w:spacing w:before="360" w:after="120"/>
      <w:ind w:left="3400" w:right="3400"/>
      <w:jc w:val="center"/>
    </w:pPr>
    <w:rPr>
      <w:rFonts w:ascii="Times New Roman" w:eastAsiaTheme="minorEastAsia" w:hAnsi="Times New Roman" w:cs="Times New Roman"/>
      <w:b/>
      <w:sz w:val="24"/>
    </w:rPr>
  </w:style>
  <w:style w:type="paragraph" w:customStyle="1" w:styleId="pj">
    <w:name w:val="p.j."/>
    <w:basedOn w:val="Normal"/>
    <w:link w:val="pjChar"/>
    <w:uiPriority w:val="1"/>
    <w:rsid w:val="14F0B435"/>
    <w:pPr>
      <w:spacing w:before="1200" w:after="120"/>
      <w:ind w:left="1440" w:hanging="1440"/>
    </w:pPr>
    <w:rPr>
      <w:rFonts w:ascii="Times New Roman" w:eastAsiaTheme="minorEastAsia" w:hAnsi="Times New Roman" w:cs="Times New Roman"/>
      <w:sz w:val="24"/>
    </w:rPr>
  </w:style>
  <w:style w:type="character" w:customStyle="1" w:styleId="pjChar">
    <w:name w:val="p.j. Char"/>
    <w:basedOn w:val="PagedecouvertureChar"/>
    <w:link w:val="pj"/>
    <w:uiPriority w:val="1"/>
    <w:rsid w:val="00B4580D"/>
    <w:rPr>
      <w:rFonts w:ascii="Times New Roman" w:eastAsiaTheme="minorEastAsia" w:hAnsi="Times New Roman" w:cs="Times New Roman"/>
      <w:sz w:val="24"/>
    </w:rPr>
  </w:style>
  <w:style w:type="paragraph" w:customStyle="1" w:styleId="nbbordered">
    <w:name w:val="nb bordered"/>
    <w:basedOn w:val="Normal"/>
    <w:link w:val="nbborderedChar"/>
    <w:uiPriority w:val="1"/>
    <w:rsid w:val="14F0B435"/>
    <w:pPr>
      <w:spacing w:after="160"/>
      <w:ind w:left="480" w:hanging="480"/>
    </w:pPr>
    <w:rPr>
      <w:rFonts w:ascii="Times New Roman" w:eastAsiaTheme="minorEastAsia" w:hAnsi="Times New Roman" w:cs="Times New Roman"/>
      <w:b/>
      <w:sz w:val="24"/>
    </w:rPr>
  </w:style>
  <w:style w:type="character" w:customStyle="1" w:styleId="nbborderedChar">
    <w:name w:val="nb bordered Char"/>
    <w:basedOn w:val="PagedecouvertureChar"/>
    <w:link w:val="nbbordered"/>
    <w:uiPriority w:val="1"/>
    <w:rsid w:val="00B4580D"/>
    <w:rPr>
      <w:rFonts w:ascii="Times New Roman" w:eastAsiaTheme="minorEastAsia" w:hAnsi="Times New Roman" w:cs="Times New Roman"/>
      <w:b/>
      <w:sz w:val="24"/>
    </w:rPr>
  </w:style>
  <w:style w:type="paragraph" w:customStyle="1" w:styleId="HeaderCouncil">
    <w:name w:val="Header Council"/>
    <w:basedOn w:val="Normal"/>
    <w:link w:val="HeaderCouncilChar"/>
    <w:uiPriority w:val="1"/>
    <w:rsid w:val="00B4580D"/>
    <w:pPr>
      <w:spacing w:after="0"/>
    </w:pPr>
    <w:rPr>
      <w:sz w:val="2"/>
    </w:rPr>
  </w:style>
  <w:style w:type="character" w:customStyle="1" w:styleId="HeaderCouncilChar">
    <w:name w:val="Header Council Char"/>
    <w:basedOn w:val="DefaultParagraphFont"/>
    <w:link w:val="HeaderCouncil"/>
    <w:rsid w:val="00B4580D"/>
    <w:rPr>
      <w:sz w:val="2"/>
    </w:rPr>
  </w:style>
  <w:style w:type="paragraph" w:customStyle="1" w:styleId="HeaderCouncilLarge">
    <w:name w:val="Header Council Large"/>
    <w:basedOn w:val="Normal"/>
    <w:link w:val="HeaderCouncilLargeChar"/>
    <w:uiPriority w:val="1"/>
    <w:rsid w:val="00B4580D"/>
    <w:pPr>
      <w:spacing w:after="440"/>
    </w:pPr>
    <w:rPr>
      <w:sz w:val="2"/>
    </w:rPr>
  </w:style>
  <w:style w:type="character" w:customStyle="1" w:styleId="HeaderCouncilLargeChar">
    <w:name w:val="Header Council Large Char"/>
    <w:basedOn w:val="DefaultParagraphFont"/>
    <w:link w:val="HeaderCouncilLarge"/>
    <w:rsid w:val="00B4580D"/>
    <w:rPr>
      <w:sz w:val="2"/>
    </w:rPr>
  </w:style>
  <w:style w:type="paragraph" w:customStyle="1" w:styleId="FooterCouncil">
    <w:name w:val="Footer Council"/>
    <w:basedOn w:val="Normal"/>
    <w:link w:val="FooterCouncilChar"/>
    <w:uiPriority w:val="1"/>
    <w:rsid w:val="00B4580D"/>
    <w:pPr>
      <w:spacing w:after="0"/>
    </w:pPr>
    <w:rPr>
      <w:sz w:val="2"/>
    </w:rPr>
  </w:style>
  <w:style w:type="character" w:customStyle="1" w:styleId="FooterCouncilChar">
    <w:name w:val="Footer Council Char"/>
    <w:basedOn w:val="DefaultParagraphFont"/>
    <w:link w:val="FooterCouncil"/>
    <w:rsid w:val="00B4580D"/>
    <w:rPr>
      <w:sz w:val="2"/>
    </w:rPr>
  </w:style>
  <w:style w:type="paragraph" w:customStyle="1" w:styleId="FooterText">
    <w:name w:val="Footer Text"/>
    <w:basedOn w:val="Normal"/>
    <w:uiPriority w:val="1"/>
    <w:rsid w:val="14F0B435"/>
    <w:pPr>
      <w:spacing w:after="0"/>
    </w:pPr>
    <w:rPr>
      <w:rFonts w:ascii="Times New Roman" w:eastAsia="Times New Roman" w:hAnsi="Times New Roman" w:cs="Times New Roman"/>
      <w:sz w:val="24"/>
    </w:rPr>
  </w:style>
  <w:style w:type="character" w:customStyle="1" w:styleId="Bodytext1">
    <w:name w:val="Body text|1_"/>
    <w:basedOn w:val="DefaultParagraphFont"/>
    <w:link w:val="Bodytext10"/>
    <w:rsid w:val="001707B2"/>
    <w:rPr>
      <w:rFonts w:ascii="Arial" w:eastAsia="Arial" w:hAnsi="Arial" w:cs="Arial"/>
      <w:sz w:val="20"/>
    </w:rPr>
  </w:style>
  <w:style w:type="paragraph" w:customStyle="1" w:styleId="Bodytext10">
    <w:name w:val="Body text|1"/>
    <w:basedOn w:val="Normal"/>
    <w:link w:val="Bodytext1"/>
    <w:rsid w:val="001707B2"/>
    <w:pPr>
      <w:widowControl w:val="0"/>
      <w:spacing w:after="260"/>
    </w:pPr>
    <w:rPr>
      <w:rFonts w:ascii="Arial" w:eastAsia="Arial" w:hAnsi="Arial" w:cs="Arial"/>
      <w:sz w:val="20"/>
    </w:rPr>
  </w:style>
  <w:style w:type="character" w:customStyle="1" w:styleId="Other1">
    <w:name w:val="Other|1_"/>
    <w:basedOn w:val="DefaultParagraphFont"/>
    <w:link w:val="Other10"/>
    <w:rsid w:val="00B24A83"/>
    <w:rPr>
      <w:rFonts w:ascii="Arial" w:eastAsia="Arial" w:hAnsi="Arial" w:cs="Arial"/>
      <w:sz w:val="20"/>
    </w:rPr>
  </w:style>
  <w:style w:type="paragraph" w:customStyle="1" w:styleId="Other10">
    <w:name w:val="Other|1"/>
    <w:basedOn w:val="Normal"/>
    <w:link w:val="Other1"/>
    <w:rsid w:val="00B24A83"/>
    <w:pPr>
      <w:widowControl w:val="0"/>
      <w:spacing w:after="0"/>
    </w:pPr>
    <w:rPr>
      <w:rFonts w:ascii="Arial" w:eastAsia="Arial" w:hAnsi="Arial" w:cs="Arial"/>
      <w:sz w:val="20"/>
    </w:rPr>
  </w:style>
  <w:style w:type="character" w:customStyle="1" w:styleId="Mention1">
    <w:name w:val="Mention1"/>
    <w:basedOn w:val="DefaultParagraphFont"/>
    <w:uiPriority w:val="99"/>
    <w:unhideWhenUsed/>
    <w:rsid w:val="005109BE"/>
    <w:rPr>
      <w:color w:val="2B579A"/>
      <w:shd w:val="clear" w:color="auto" w:fill="E6E6E6"/>
    </w:rPr>
  </w:style>
  <w:style w:type="character" w:customStyle="1" w:styleId="UnresolvedMention1">
    <w:name w:val="Unresolved Mention1"/>
    <w:basedOn w:val="DefaultParagraphFont"/>
    <w:uiPriority w:val="99"/>
    <w:unhideWhenUsed/>
    <w:rsid w:val="005109BE"/>
    <w:rPr>
      <w:color w:val="605E5C"/>
      <w:shd w:val="clear" w:color="auto" w:fill="E1DFDD"/>
    </w:rPr>
  </w:style>
  <w:style w:type="character" w:customStyle="1" w:styleId="UnresolvedMention2">
    <w:name w:val="Unresolved Mention2"/>
    <w:basedOn w:val="DefaultParagraphFont"/>
    <w:uiPriority w:val="99"/>
    <w:unhideWhenUsed/>
    <w:rsid w:val="00BE3CE5"/>
    <w:rPr>
      <w:color w:val="605E5C"/>
      <w:shd w:val="clear" w:color="auto" w:fill="E1DFDD"/>
    </w:rPr>
  </w:style>
  <w:style w:type="character" w:customStyle="1" w:styleId="Mention2">
    <w:name w:val="Mention2"/>
    <w:basedOn w:val="DefaultParagraphFont"/>
    <w:uiPriority w:val="99"/>
    <w:unhideWhenUsed/>
    <w:rsid w:val="00BE3CE5"/>
    <w:rPr>
      <w:color w:val="2B579A"/>
      <w:shd w:val="clear" w:color="auto" w:fill="E1DFDD"/>
    </w:rPr>
  </w:style>
  <w:style w:type="character" w:customStyle="1" w:styleId="Heading5Char">
    <w:name w:val="Heading 5 Char"/>
    <w:basedOn w:val="DefaultParagraphFont"/>
    <w:link w:val="Heading5"/>
    <w:uiPriority w:val="9"/>
    <w:rsid w:val="00510B5B"/>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510B5B"/>
    <w:rPr>
      <w:rFonts w:asciiTheme="majorHAnsi" w:eastAsiaTheme="majorEastAsia" w:hAnsiTheme="majorHAnsi" w:cstheme="majorBidi"/>
      <w:color w:val="243F60"/>
    </w:rPr>
  </w:style>
  <w:style w:type="character" w:customStyle="1" w:styleId="Heading7Char">
    <w:name w:val="Heading 7 Char"/>
    <w:basedOn w:val="DefaultParagraphFont"/>
    <w:link w:val="Heading7"/>
    <w:uiPriority w:val="9"/>
    <w:rsid w:val="00510B5B"/>
    <w:rPr>
      <w:rFonts w:asciiTheme="majorHAnsi" w:eastAsiaTheme="majorEastAsia" w:hAnsiTheme="majorHAnsi" w:cstheme="majorBidi"/>
      <w:i/>
      <w:color w:val="243F60"/>
    </w:rPr>
  </w:style>
  <w:style w:type="character" w:customStyle="1" w:styleId="Heading8Char">
    <w:name w:val="Heading 8 Char"/>
    <w:basedOn w:val="DefaultParagraphFont"/>
    <w:link w:val="Heading8"/>
    <w:uiPriority w:val="9"/>
    <w:rsid w:val="00510B5B"/>
    <w:rPr>
      <w:rFonts w:asciiTheme="majorHAnsi" w:eastAsiaTheme="majorEastAsia" w:hAnsiTheme="majorHAnsi" w:cstheme="majorBidi"/>
      <w:color w:val="272727"/>
      <w:sz w:val="21"/>
    </w:rPr>
  </w:style>
  <w:style w:type="character" w:customStyle="1" w:styleId="Heading9Char">
    <w:name w:val="Heading 9 Char"/>
    <w:basedOn w:val="DefaultParagraphFont"/>
    <w:link w:val="Heading9"/>
    <w:uiPriority w:val="9"/>
    <w:rsid w:val="00510B5B"/>
    <w:rPr>
      <w:rFonts w:asciiTheme="majorHAnsi" w:eastAsiaTheme="majorEastAsia" w:hAnsiTheme="majorHAnsi" w:cstheme="majorBidi"/>
      <w:i/>
      <w:color w:val="272727"/>
      <w:sz w:val="21"/>
    </w:rPr>
  </w:style>
  <w:style w:type="paragraph" w:styleId="Title">
    <w:name w:val="Title"/>
    <w:basedOn w:val="Normal"/>
    <w:next w:val="Normal"/>
    <w:link w:val="TitleChar"/>
    <w:uiPriority w:val="10"/>
    <w:qFormat/>
    <w:rsid w:val="00510B5B"/>
    <w:pPr>
      <w:spacing w:after="0"/>
      <w:contextualSpacing/>
    </w:pPr>
    <w:rPr>
      <w:rFonts w:asciiTheme="majorHAnsi" w:eastAsiaTheme="majorEastAsia" w:hAnsiTheme="majorHAnsi" w:cstheme="majorBidi"/>
      <w:sz w:val="56"/>
    </w:rPr>
  </w:style>
  <w:style w:type="character" w:customStyle="1" w:styleId="TitleChar">
    <w:name w:val="Title Char"/>
    <w:basedOn w:val="DefaultParagraphFont"/>
    <w:link w:val="Title"/>
    <w:uiPriority w:val="10"/>
    <w:rsid w:val="00510B5B"/>
    <w:rPr>
      <w:rFonts w:asciiTheme="majorHAnsi" w:eastAsiaTheme="majorEastAsia" w:hAnsiTheme="majorHAnsi" w:cstheme="majorBidi"/>
      <w:sz w:val="56"/>
    </w:rPr>
  </w:style>
  <w:style w:type="paragraph" w:styleId="Subtitle">
    <w:name w:val="Subtitle"/>
    <w:basedOn w:val="Normal"/>
    <w:next w:val="Normal"/>
    <w:link w:val="SubtitleChar"/>
    <w:uiPriority w:val="11"/>
    <w:qFormat/>
    <w:rsid w:val="00510B5B"/>
    <w:rPr>
      <w:rFonts w:eastAsiaTheme="minorEastAsia"/>
      <w:color w:val="5A5A5A"/>
    </w:rPr>
  </w:style>
  <w:style w:type="character" w:customStyle="1" w:styleId="SubtitleChar">
    <w:name w:val="Subtitle Char"/>
    <w:basedOn w:val="DefaultParagraphFont"/>
    <w:link w:val="Subtitle"/>
    <w:uiPriority w:val="11"/>
    <w:rsid w:val="00510B5B"/>
    <w:rPr>
      <w:rFonts w:eastAsiaTheme="minorEastAsia"/>
      <w:color w:val="5A5A5A"/>
    </w:rPr>
  </w:style>
  <w:style w:type="paragraph" w:styleId="Quote">
    <w:name w:val="Quote"/>
    <w:basedOn w:val="Normal"/>
    <w:next w:val="Normal"/>
    <w:link w:val="QuoteChar"/>
    <w:uiPriority w:val="29"/>
    <w:qFormat/>
    <w:rsid w:val="00510B5B"/>
    <w:pPr>
      <w:spacing w:before="200"/>
      <w:ind w:left="864" w:right="864"/>
      <w:jc w:val="center"/>
    </w:pPr>
    <w:rPr>
      <w:i/>
      <w:color w:val="404040" w:themeColor="text1" w:themeTint="BF"/>
    </w:rPr>
  </w:style>
  <w:style w:type="character" w:customStyle="1" w:styleId="QuoteChar">
    <w:name w:val="Quote Char"/>
    <w:basedOn w:val="DefaultParagraphFont"/>
    <w:link w:val="Quote"/>
    <w:uiPriority w:val="29"/>
    <w:rsid w:val="00510B5B"/>
    <w:rPr>
      <w:i/>
      <w:color w:val="404040" w:themeColor="text1" w:themeTint="BF"/>
    </w:rPr>
  </w:style>
  <w:style w:type="paragraph" w:styleId="IntenseQuote">
    <w:name w:val="Intense Quote"/>
    <w:basedOn w:val="Normal"/>
    <w:next w:val="Normal"/>
    <w:link w:val="IntenseQuoteChar"/>
    <w:uiPriority w:val="30"/>
    <w:qFormat/>
    <w:rsid w:val="00510B5B"/>
    <w:pPr>
      <w:spacing w:before="360" w:after="360"/>
      <w:ind w:left="864" w:right="864"/>
      <w:jc w:val="center"/>
    </w:pPr>
    <w:rPr>
      <w:i/>
      <w:color w:val="4F81BD" w:themeColor="accent1"/>
    </w:rPr>
  </w:style>
  <w:style w:type="character" w:customStyle="1" w:styleId="IntenseQuoteChar">
    <w:name w:val="Intense Quote Char"/>
    <w:basedOn w:val="DefaultParagraphFont"/>
    <w:link w:val="IntenseQuote"/>
    <w:uiPriority w:val="30"/>
    <w:rsid w:val="00510B5B"/>
    <w:rPr>
      <w:i/>
      <w:color w:val="4F81BD" w:themeColor="accent1"/>
    </w:rPr>
  </w:style>
  <w:style w:type="paragraph" w:styleId="EndnoteText">
    <w:name w:val="endnote text"/>
    <w:basedOn w:val="Normal"/>
    <w:link w:val="EndnoteTextChar"/>
    <w:uiPriority w:val="99"/>
    <w:semiHidden/>
    <w:unhideWhenUsed/>
    <w:rsid w:val="00510B5B"/>
    <w:pPr>
      <w:spacing w:after="0"/>
    </w:pPr>
    <w:rPr>
      <w:sz w:val="20"/>
    </w:rPr>
  </w:style>
  <w:style w:type="character" w:customStyle="1" w:styleId="EndnoteTextChar">
    <w:name w:val="Endnote Text Char"/>
    <w:basedOn w:val="DefaultParagraphFont"/>
    <w:link w:val="EndnoteText"/>
    <w:uiPriority w:val="99"/>
    <w:semiHidden/>
    <w:rsid w:val="00510B5B"/>
    <w:rPr>
      <w:sz w:val="20"/>
    </w:rPr>
  </w:style>
  <w:style w:type="character" w:customStyle="1" w:styleId="findhit">
    <w:name w:val="findhit"/>
    <w:basedOn w:val="DefaultParagraphFont"/>
    <w:rsid w:val="00510B5B"/>
  </w:style>
  <w:style w:type="character" w:customStyle="1" w:styleId="Mention3">
    <w:name w:val="Mention3"/>
    <w:basedOn w:val="DefaultParagraphFont"/>
    <w:uiPriority w:val="99"/>
    <w:unhideWhenUsed/>
    <w:rsid w:val="000776D0"/>
    <w:rPr>
      <w:color w:val="2B579A"/>
      <w:shd w:val="clear" w:color="auto" w:fill="E6E6E6"/>
    </w:rPr>
  </w:style>
  <w:style w:type="character" w:customStyle="1" w:styleId="UnresolvedMention3">
    <w:name w:val="Unresolved Mention3"/>
    <w:basedOn w:val="DefaultParagraphFont"/>
    <w:uiPriority w:val="99"/>
    <w:unhideWhenUsed/>
    <w:rsid w:val="000776D0"/>
    <w:rPr>
      <w:color w:val="605E5C"/>
      <w:shd w:val="clear" w:color="auto" w:fill="E1DFDD"/>
    </w:rPr>
  </w:style>
  <w:style w:type="character" w:customStyle="1" w:styleId="UnresolvedMention4">
    <w:name w:val="Unresolved Mention4"/>
    <w:basedOn w:val="DefaultParagraphFont"/>
    <w:uiPriority w:val="99"/>
    <w:unhideWhenUsed/>
    <w:rsid w:val="00234BD4"/>
    <w:rPr>
      <w:color w:val="605E5C"/>
      <w:shd w:val="clear" w:color="auto" w:fill="E1DFDD"/>
    </w:rPr>
  </w:style>
  <w:style w:type="character" w:customStyle="1" w:styleId="Mention4">
    <w:name w:val="Mention4"/>
    <w:basedOn w:val="DefaultParagraphFont"/>
    <w:uiPriority w:val="99"/>
    <w:unhideWhenUsed/>
    <w:rsid w:val="00234BD4"/>
    <w:rPr>
      <w:color w:val="2B579A"/>
      <w:shd w:val="clear" w:color="auto" w:fill="E1DFDD"/>
    </w:rPr>
  </w:style>
  <w:style w:type="paragraph" w:customStyle="1" w:styleId="commentcontentpara">
    <w:name w:val="commentcontentpara"/>
    <w:basedOn w:val="Normal"/>
    <w:rsid w:val="00AC7B48"/>
    <w:pPr>
      <w:spacing w:before="100" w:beforeAutospacing="1" w:after="100" w:afterAutospacing="1" w:line="240" w:lineRule="auto"/>
    </w:pPr>
    <w:rPr>
      <w:rFonts w:ascii="Times New Roman" w:eastAsia="Times New Roman" w:hAnsi="Times New Roman" w:cs="Times New Roman"/>
      <w:sz w:val="24"/>
    </w:rPr>
  </w:style>
  <w:style w:type="character" w:customStyle="1" w:styleId="Bodytext3">
    <w:name w:val="Body text|3_"/>
    <w:basedOn w:val="DefaultParagraphFont"/>
    <w:link w:val="Bodytext30"/>
    <w:rsid w:val="00D66508"/>
    <w:rPr>
      <w:rFonts w:ascii="@MS Mincho" w:eastAsia="@MS Mincho" w:hAnsi="@MS Mincho" w:cs="@MS Mincho"/>
      <w:sz w:val="20"/>
    </w:rPr>
  </w:style>
  <w:style w:type="paragraph" w:customStyle="1" w:styleId="Bodytext30">
    <w:name w:val="Body text|3"/>
    <w:basedOn w:val="Normal"/>
    <w:link w:val="Bodytext3"/>
    <w:rsid w:val="00D66508"/>
    <w:pPr>
      <w:widowControl w:val="0"/>
      <w:spacing w:after="140" w:line="293" w:lineRule="auto"/>
    </w:pPr>
    <w:rPr>
      <w:rFonts w:ascii="@MS Mincho" w:eastAsia="@MS Mincho" w:hAnsi="@MS Mincho" w:cs="@MS Mincho"/>
      <w:sz w:val="20"/>
    </w:rPr>
  </w:style>
  <w:style w:type="character" w:customStyle="1" w:styleId="Mention5">
    <w:name w:val="Mention5"/>
    <w:basedOn w:val="DefaultParagraphFont"/>
    <w:uiPriority w:val="99"/>
    <w:unhideWhenUsed/>
    <w:rsid w:val="002671B2"/>
    <w:rPr>
      <w:color w:val="2B579A"/>
      <w:shd w:val="clear" w:color="auto" w:fill="E1DFDD"/>
    </w:rPr>
  </w:style>
  <w:style w:type="character" w:customStyle="1" w:styleId="UnresolvedMention5">
    <w:name w:val="Unresolved Mention5"/>
    <w:basedOn w:val="DefaultParagraphFont"/>
    <w:uiPriority w:val="99"/>
    <w:unhideWhenUsed/>
    <w:rsid w:val="002671B2"/>
    <w:rPr>
      <w:color w:val="605E5C"/>
      <w:shd w:val="clear" w:color="auto" w:fill="E1DFDD"/>
    </w:rPr>
  </w:style>
  <w:style w:type="character" w:customStyle="1" w:styleId="Mention6">
    <w:name w:val="Mention6"/>
    <w:basedOn w:val="DefaultParagraphFont"/>
    <w:uiPriority w:val="99"/>
    <w:unhideWhenUsed/>
    <w:rsid w:val="002671B2"/>
    <w:rPr>
      <w:color w:val="2B579A"/>
      <w:shd w:val="clear" w:color="auto" w:fill="E1DFDD"/>
    </w:rPr>
  </w:style>
  <w:style w:type="character" w:customStyle="1" w:styleId="Mention7">
    <w:name w:val="Mention7"/>
    <w:basedOn w:val="DefaultParagraphFont"/>
    <w:uiPriority w:val="99"/>
    <w:unhideWhenUsed/>
    <w:rsid w:val="001349D8"/>
    <w:rPr>
      <w:color w:val="2B579A"/>
      <w:shd w:val="clear" w:color="auto" w:fill="E6E6E6"/>
    </w:rPr>
  </w:style>
  <w:style w:type="character" w:customStyle="1" w:styleId="Mention">
    <w:name w:val="Mention"/>
    <w:basedOn w:val="DefaultParagraphFont"/>
    <w:uiPriority w:val="99"/>
    <w:unhideWhenUsed/>
    <w:rsid w:val="00F94BC6"/>
    <w:rPr>
      <w:color w:val="2B579A"/>
      <w:shd w:val="clear" w:color="auto" w:fill="E1DFDD"/>
    </w:rPr>
  </w:style>
  <w:style w:type="paragraph" w:customStyle="1" w:styleId="NumPar5">
    <w:name w:val="NumPar 5"/>
    <w:basedOn w:val="Normal"/>
    <w:next w:val="Normal"/>
    <w:rsid w:val="00DC1162"/>
    <w:pPr>
      <w:tabs>
        <w:tab w:val="num" w:pos="1417"/>
      </w:tabs>
      <w:spacing w:before="120" w:after="120" w:line="240" w:lineRule="auto"/>
      <w:ind w:left="1417" w:hanging="1417"/>
      <w:jc w:val="both"/>
    </w:pPr>
    <w:rPr>
      <w:rFonts w:ascii="Times New Roman" w:hAnsi="Times New Roman" w:cs="Times New Roman"/>
      <w:sz w:val="24"/>
    </w:rPr>
  </w:style>
  <w:style w:type="paragraph" w:customStyle="1" w:styleId="NumPar6">
    <w:name w:val="NumPar 6"/>
    <w:basedOn w:val="Normal"/>
    <w:next w:val="Normal"/>
    <w:rsid w:val="00DC1162"/>
    <w:pPr>
      <w:tabs>
        <w:tab w:val="num" w:pos="1417"/>
      </w:tabs>
      <w:spacing w:before="120" w:after="120" w:line="240" w:lineRule="auto"/>
      <w:ind w:left="1417" w:hanging="1417"/>
      <w:jc w:val="both"/>
    </w:pPr>
    <w:rPr>
      <w:rFonts w:ascii="Times New Roman" w:hAnsi="Times New Roman" w:cs="Times New Roman"/>
      <w:sz w:val="24"/>
    </w:rPr>
  </w:style>
  <w:style w:type="paragraph" w:customStyle="1" w:styleId="NumPar7">
    <w:name w:val="NumPar 7"/>
    <w:basedOn w:val="Normal"/>
    <w:next w:val="Normal"/>
    <w:rsid w:val="00DC1162"/>
    <w:pPr>
      <w:tabs>
        <w:tab w:val="num" w:pos="1417"/>
      </w:tabs>
      <w:spacing w:before="120" w:after="120" w:line="240" w:lineRule="auto"/>
      <w:ind w:left="1417" w:hanging="1417"/>
      <w:jc w:val="both"/>
    </w:pPr>
    <w:rPr>
      <w:rFonts w:ascii="Times New Roman" w:hAnsi="Times New Roman" w:cs="Times New Roman"/>
      <w:sz w:val="24"/>
    </w:rPr>
  </w:style>
  <w:style w:type="character" w:customStyle="1" w:styleId="Mention8">
    <w:name w:val="Mention8"/>
    <w:basedOn w:val="DefaultParagraphFont"/>
    <w:uiPriority w:val="99"/>
    <w:unhideWhenUsed/>
    <w:rsid w:val="00DC1162"/>
    <w:rPr>
      <w:color w:val="2B579A"/>
      <w:shd w:val="clear" w:color="auto" w:fill="E1DFDD"/>
    </w:rPr>
  </w:style>
  <w:style w:type="paragraph" w:customStyle="1" w:styleId="P68B1DB1-Normal1">
    <w:name w:val="P68B1DB1-Normal1"/>
    <w:basedOn w:val="Normal"/>
    <w:rPr>
      <w:rFonts w:ascii="Times New Roman" w:hAnsi="Times New Roman"/>
      <w:b/>
      <w:sz w:val="24"/>
    </w:rPr>
  </w:style>
  <w:style w:type="paragraph" w:customStyle="1" w:styleId="P68B1DB1-Normal2">
    <w:name w:val="P68B1DB1-Normal2"/>
    <w:basedOn w:val="Normal"/>
    <w:rPr>
      <w:rFonts w:ascii="Times New Roman" w:hAnsi="Times New Roman"/>
      <w:b/>
      <w:smallCaps/>
      <w:sz w:val="24"/>
    </w:rPr>
  </w:style>
  <w:style w:type="paragraph" w:customStyle="1" w:styleId="P68B1DB1-Normal3">
    <w:name w:val="P68B1DB1-Normal3"/>
    <w:basedOn w:val="Normal"/>
    <w:rPr>
      <w:rFonts w:ascii="Times New Roman" w:hAnsi="Times New Roman"/>
      <w:b/>
      <w:sz w:val="24"/>
      <w:u w:val="single"/>
    </w:rPr>
  </w:style>
  <w:style w:type="paragraph" w:customStyle="1" w:styleId="P68B1DB1-Normal4">
    <w:name w:val="P68B1DB1-Normal4"/>
    <w:basedOn w:val="Normal"/>
    <w:rPr>
      <w:rFonts w:ascii="Times New Roman" w:hAnsi="Times New Roman"/>
      <w:sz w:val="24"/>
    </w:rPr>
  </w:style>
  <w:style w:type="paragraph" w:customStyle="1" w:styleId="P68B1DB1-Normal5">
    <w:name w:val="P68B1DB1-Normal5"/>
    <w:basedOn w:val="Normal"/>
    <w:rPr>
      <w:rFonts w:ascii="Times New Roman" w:hAnsi="Times New Roman"/>
      <w:sz w:val="24"/>
      <w:u w:val="single"/>
    </w:rPr>
  </w:style>
  <w:style w:type="paragraph" w:customStyle="1" w:styleId="P68B1DB1-Normal6">
    <w:name w:val="P68B1DB1-Normal6"/>
    <w:basedOn w:val="Normal"/>
    <w:rPr>
      <w:rFonts w:ascii="Times New Roman" w:hAnsi="Times New Roman"/>
      <w:b/>
      <w:sz w:val="18"/>
    </w:rPr>
  </w:style>
  <w:style w:type="paragraph" w:customStyle="1" w:styleId="P68B1DB1-Normal7">
    <w:name w:val="P68B1DB1-Normal7"/>
    <w:basedOn w:val="Normal"/>
    <w:rPr>
      <w:rFonts w:ascii="Calibri" w:hAnsi="Calibri"/>
      <w:b/>
      <w:sz w:val="16"/>
    </w:rPr>
  </w:style>
  <w:style w:type="paragraph" w:customStyle="1" w:styleId="P68B1DB1-Normal8">
    <w:name w:val="P68B1DB1-Normal8"/>
    <w:basedOn w:val="Normal"/>
    <w:rPr>
      <w:rFonts w:ascii="Calibri" w:hAnsi="Calibri"/>
      <w:sz w:val="16"/>
    </w:rPr>
  </w:style>
  <w:style w:type="paragraph" w:customStyle="1" w:styleId="P68B1DB1-Normal9">
    <w:name w:val="P68B1DB1-Normal9"/>
    <w:basedOn w:val="Normal"/>
    <w:rPr>
      <w:rFonts w:ascii="Calibri" w:hAnsi="Calibri"/>
    </w:rPr>
  </w:style>
  <w:style w:type="paragraph" w:customStyle="1" w:styleId="P68B1DB1-Normal10">
    <w:name w:val="P68B1DB1-Normal10"/>
    <w:basedOn w:val="Normal"/>
    <w:rPr>
      <w:rFonts w:ascii="Calibri" w:hAnsi="Calibri"/>
      <w:sz w:val="16"/>
      <w:shd w:val="clear" w:color="auto" w:fill="E6E6E6"/>
    </w:rPr>
  </w:style>
  <w:style w:type="paragraph" w:customStyle="1" w:styleId="P68B1DB1-Normal11">
    <w:name w:val="P68B1DB1-Normal11"/>
    <w:basedOn w:val="Normal"/>
    <w:rPr>
      <w:b/>
      <w:sz w:val="16"/>
    </w:rPr>
  </w:style>
  <w:style w:type="paragraph" w:customStyle="1" w:styleId="P68B1DB1-Normal12">
    <w:name w:val="P68B1DB1-Normal12"/>
    <w:basedOn w:val="Normal"/>
    <w:rPr>
      <w:sz w:val="16"/>
    </w:rPr>
  </w:style>
  <w:style w:type="paragraph" w:customStyle="1" w:styleId="P68B1DB1-Bodytext1013">
    <w:name w:val="P68B1DB1-Bodytext1013"/>
    <w:basedOn w:val="Bodytext10"/>
    <w:rPr>
      <w:rFonts w:asciiTheme="minorHAnsi" w:hAnsiTheme="minorHAnsi"/>
      <w:sz w:val="16"/>
    </w:rPr>
  </w:style>
  <w:style w:type="paragraph" w:customStyle="1" w:styleId="P68B1DB1-Heading214">
    <w:name w:val="P68B1DB1-Heading214"/>
    <w:basedOn w:val="Heading2"/>
    <w:rPr>
      <w:b w:val="0"/>
    </w:rPr>
  </w:style>
  <w:style w:type="paragraph" w:customStyle="1" w:styleId="P68B1DB1-Normal15">
    <w:name w:val="P68B1DB1-Normal15"/>
    <w:basedOn w:val="Normal"/>
    <w:rPr>
      <w:rFonts w:ascii="Calibri" w:hAnsi="Calibri"/>
      <w:sz w:val="2"/>
    </w:rPr>
  </w:style>
  <w:style w:type="paragraph" w:customStyle="1" w:styleId="P68B1DB1-Normal16">
    <w:name w:val="P68B1DB1-Normal16"/>
    <w:basedOn w:val="Normal"/>
    <w:rPr>
      <w:rFonts w:ascii="Times New Roman" w:hAnsi="Times New Roman"/>
      <w:sz w:val="18"/>
    </w:rPr>
  </w:style>
  <w:style w:type="paragraph" w:customStyle="1" w:styleId="P68B1DB1-Normal17">
    <w:name w:val="P68B1DB1-Normal17"/>
    <w:basedOn w:val="Normal"/>
    <w:rPr>
      <w:sz w:val="24"/>
    </w:rPr>
  </w:style>
  <w:style w:type="paragraph" w:customStyle="1" w:styleId="P68B1DB1-Bodytext1018">
    <w:name w:val="P68B1DB1-Bodytext1018"/>
    <w:basedOn w:val="Bodytext10"/>
    <w:rPr>
      <w:rFonts w:ascii="Calibri" w:hAnsi="Calibri"/>
      <w:sz w:val="16"/>
    </w:rPr>
  </w:style>
  <w:style w:type="paragraph" w:customStyle="1" w:styleId="P68B1DB1-Normal19">
    <w:name w:val="P68B1DB1-Normal19"/>
    <w:basedOn w:val="Normal"/>
    <w:rPr>
      <w:rFonts w:ascii="Times New Roman" w:hAnsi="Times New Roman"/>
    </w:rPr>
  </w:style>
  <w:style w:type="paragraph" w:customStyle="1" w:styleId="P68B1DB1-Bodytext2020">
    <w:name w:val="P68B1DB1-Bodytext2020"/>
    <w:basedOn w:val="Bodytext20"/>
    <w:rPr>
      <w:rFonts w:ascii="Times New Roman" w:hAnsi="Times New Roman"/>
      <w:sz w:val="24"/>
    </w:rPr>
  </w:style>
  <w:style w:type="paragraph" w:customStyle="1" w:styleId="P68B1DB1-CommentText21">
    <w:name w:val="P68B1DB1-CommentText21"/>
    <w:basedOn w:val="CommentText"/>
    <w:rPr>
      <w:rFonts w:asciiTheme="minorHAnsi" w:hAnsiTheme="minorHAnsi"/>
      <w:sz w:val="16"/>
    </w:rPr>
  </w:style>
  <w:style w:type="paragraph" w:customStyle="1" w:styleId="P68B1DB1-Normal22">
    <w:name w:val="P68B1DB1-Normal22"/>
    <w:basedOn w:val="Normal"/>
    <w:rPr>
      <w:rFonts w:ascii="Times New Roman" w:hAnsi="Times New Roman"/>
      <w:b/>
      <w:sz w:val="20"/>
    </w:rPr>
  </w:style>
  <w:style w:type="paragraph" w:customStyle="1" w:styleId="P68B1DB1-Normal23">
    <w:name w:val="P68B1DB1-Normal23"/>
    <w:basedOn w:val="Normal"/>
    <w:rPr>
      <w:rFonts w:ascii="Calibri" w:hAnsi="Calibri"/>
      <w:sz w:val="18"/>
    </w:rPr>
  </w:style>
  <w:style w:type="paragraph" w:customStyle="1" w:styleId="P68B1DB1-Normal24">
    <w:name w:val="P68B1DB1-Normal24"/>
    <w:basedOn w:val="Normal"/>
    <w:rPr>
      <w:rFonts w:ascii="Calibri" w:hAnsi="Calibri"/>
      <w:sz w:val="20"/>
    </w:rPr>
  </w:style>
  <w:style w:type="paragraph" w:customStyle="1" w:styleId="P68B1DB1-Normal25">
    <w:name w:val="P68B1DB1-Normal25"/>
    <w:basedOn w:val="Normal"/>
    <w:rPr>
      <w:rFonts w:ascii="Calibri" w:hAnsi="Calibri"/>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26115">
      <w:bodyDiv w:val="1"/>
      <w:marLeft w:val="0"/>
      <w:marRight w:val="0"/>
      <w:marTop w:val="0"/>
      <w:marBottom w:val="0"/>
      <w:divBdr>
        <w:top w:val="none" w:sz="0" w:space="0" w:color="auto"/>
        <w:left w:val="none" w:sz="0" w:space="0" w:color="auto"/>
        <w:bottom w:val="none" w:sz="0" w:space="0" w:color="auto"/>
        <w:right w:val="none" w:sz="0" w:space="0" w:color="auto"/>
      </w:divBdr>
    </w:div>
    <w:div w:id="160197138">
      <w:bodyDiv w:val="1"/>
      <w:marLeft w:val="0"/>
      <w:marRight w:val="0"/>
      <w:marTop w:val="0"/>
      <w:marBottom w:val="0"/>
      <w:divBdr>
        <w:top w:val="none" w:sz="0" w:space="0" w:color="auto"/>
        <w:left w:val="none" w:sz="0" w:space="0" w:color="auto"/>
        <w:bottom w:val="none" w:sz="0" w:space="0" w:color="auto"/>
        <w:right w:val="none" w:sz="0" w:space="0" w:color="auto"/>
      </w:divBdr>
    </w:div>
    <w:div w:id="173224192">
      <w:bodyDiv w:val="1"/>
      <w:marLeft w:val="0"/>
      <w:marRight w:val="0"/>
      <w:marTop w:val="0"/>
      <w:marBottom w:val="0"/>
      <w:divBdr>
        <w:top w:val="none" w:sz="0" w:space="0" w:color="auto"/>
        <w:left w:val="none" w:sz="0" w:space="0" w:color="auto"/>
        <w:bottom w:val="none" w:sz="0" w:space="0" w:color="auto"/>
        <w:right w:val="none" w:sz="0" w:space="0" w:color="auto"/>
      </w:divBdr>
    </w:div>
    <w:div w:id="195849102">
      <w:bodyDiv w:val="1"/>
      <w:marLeft w:val="0"/>
      <w:marRight w:val="0"/>
      <w:marTop w:val="0"/>
      <w:marBottom w:val="0"/>
      <w:divBdr>
        <w:top w:val="none" w:sz="0" w:space="0" w:color="auto"/>
        <w:left w:val="none" w:sz="0" w:space="0" w:color="auto"/>
        <w:bottom w:val="none" w:sz="0" w:space="0" w:color="auto"/>
        <w:right w:val="none" w:sz="0" w:space="0" w:color="auto"/>
      </w:divBdr>
    </w:div>
    <w:div w:id="361133139">
      <w:bodyDiv w:val="1"/>
      <w:marLeft w:val="0"/>
      <w:marRight w:val="0"/>
      <w:marTop w:val="0"/>
      <w:marBottom w:val="0"/>
      <w:divBdr>
        <w:top w:val="none" w:sz="0" w:space="0" w:color="auto"/>
        <w:left w:val="none" w:sz="0" w:space="0" w:color="auto"/>
        <w:bottom w:val="none" w:sz="0" w:space="0" w:color="auto"/>
        <w:right w:val="none" w:sz="0" w:space="0" w:color="auto"/>
      </w:divBdr>
    </w:div>
    <w:div w:id="399523781">
      <w:bodyDiv w:val="1"/>
      <w:marLeft w:val="0"/>
      <w:marRight w:val="0"/>
      <w:marTop w:val="0"/>
      <w:marBottom w:val="0"/>
      <w:divBdr>
        <w:top w:val="none" w:sz="0" w:space="0" w:color="auto"/>
        <w:left w:val="none" w:sz="0" w:space="0" w:color="auto"/>
        <w:bottom w:val="none" w:sz="0" w:space="0" w:color="auto"/>
        <w:right w:val="none" w:sz="0" w:space="0" w:color="auto"/>
      </w:divBdr>
    </w:div>
    <w:div w:id="401219657">
      <w:bodyDiv w:val="1"/>
      <w:marLeft w:val="0"/>
      <w:marRight w:val="0"/>
      <w:marTop w:val="0"/>
      <w:marBottom w:val="0"/>
      <w:divBdr>
        <w:top w:val="none" w:sz="0" w:space="0" w:color="auto"/>
        <w:left w:val="none" w:sz="0" w:space="0" w:color="auto"/>
        <w:bottom w:val="none" w:sz="0" w:space="0" w:color="auto"/>
        <w:right w:val="none" w:sz="0" w:space="0" w:color="auto"/>
      </w:divBdr>
    </w:div>
    <w:div w:id="441844892">
      <w:bodyDiv w:val="1"/>
      <w:marLeft w:val="0"/>
      <w:marRight w:val="0"/>
      <w:marTop w:val="0"/>
      <w:marBottom w:val="0"/>
      <w:divBdr>
        <w:top w:val="none" w:sz="0" w:space="0" w:color="auto"/>
        <w:left w:val="none" w:sz="0" w:space="0" w:color="auto"/>
        <w:bottom w:val="none" w:sz="0" w:space="0" w:color="auto"/>
        <w:right w:val="none" w:sz="0" w:space="0" w:color="auto"/>
      </w:divBdr>
    </w:div>
    <w:div w:id="535584251">
      <w:bodyDiv w:val="1"/>
      <w:marLeft w:val="0"/>
      <w:marRight w:val="0"/>
      <w:marTop w:val="0"/>
      <w:marBottom w:val="0"/>
      <w:divBdr>
        <w:top w:val="none" w:sz="0" w:space="0" w:color="auto"/>
        <w:left w:val="none" w:sz="0" w:space="0" w:color="auto"/>
        <w:bottom w:val="none" w:sz="0" w:space="0" w:color="auto"/>
        <w:right w:val="none" w:sz="0" w:space="0" w:color="auto"/>
      </w:divBdr>
      <w:divsChild>
        <w:div w:id="1283269662">
          <w:marLeft w:val="0"/>
          <w:marRight w:val="0"/>
          <w:marTop w:val="0"/>
          <w:marBottom w:val="0"/>
          <w:divBdr>
            <w:top w:val="none" w:sz="0" w:space="0" w:color="auto"/>
            <w:left w:val="none" w:sz="0" w:space="0" w:color="auto"/>
            <w:bottom w:val="none" w:sz="0" w:space="0" w:color="auto"/>
            <w:right w:val="none" w:sz="0" w:space="0" w:color="auto"/>
          </w:divBdr>
        </w:div>
      </w:divsChild>
    </w:div>
    <w:div w:id="572739600">
      <w:bodyDiv w:val="1"/>
      <w:marLeft w:val="0"/>
      <w:marRight w:val="0"/>
      <w:marTop w:val="0"/>
      <w:marBottom w:val="0"/>
      <w:divBdr>
        <w:top w:val="none" w:sz="0" w:space="0" w:color="auto"/>
        <w:left w:val="none" w:sz="0" w:space="0" w:color="auto"/>
        <w:bottom w:val="none" w:sz="0" w:space="0" w:color="auto"/>
        <w:right w:val="none" w:sz="0" w:space="0" w:color="auto"/>
      </w:divBdr>
    </w:div>
    <w:div w:id="598756477">
      <w:bodyDiv w:val="1"/>
      <w:marLeft w:val="0"/>
      <w:marRight w:val="0"/>
      <w:marTop w:val="0"/>
      <w:marBottom w:val="0"/>
      <w:divBdr>
        <w:top w:val="none" w:sz="0" w:space="0" w:color="auto"/>
        <w:left w:val="none" w:sz="0" w:space="0" w:color="auto"/>
        <w:bottom w:val="none" w:sz="0" w:space="0" w:color="auto"/>
        <w:right w:val="none" w:sz="0" w:space="0" w:color="auto"/>
      </w:divBdr>
    </w:div>
    <w:div w:id="621809595">
      <w:bodyDiv w:val="1"/>
      <w:marLeft w:val="0"/>
      <w:marRight w:val="0"/>
      <w:marTop w:val="0"/>
      <w:marBottom w:val="0"/>
      <w:divBdr>
        <w:top w:val="none" w:sz="0" w:space="0" w:color="auto"/>
        <w:left w:val="none" w:sz="0" w:space="0" w:color="auto"/>
        <w:bottom w:val="none" w:sz="0" w:space="0" w:color="auto"/>
        <w:right w:val="none" w:sz="0" w:space="0" w:color="auto"/>
      </w:divBdr>
    </w:div>
    <w:div w:id="809637549">
      <w:bodyDiv w:val="1"/>
      <w:marLeft w:val="0"/>
      <w:marRight w:val="0"/>
      <w:marTop w:val="0"/>
      <w:marBottom w:val="0"/>
      <w:divBdr>
        <w:top w:val="none" w:sz="0" w:space="0" w:color="auto"/>
        <w:left w:val="none" w:sz="0" w:space="0" w:color="auto"/>
        <w:bottom w:val="none" w:sz="0" w:space="0" w:color="auto"/>
        <w:right w:val="none" w:sz="0" w:space="0" w:color="auto"/>
      </w:divBdr>
    </w:div>
    <w:div w:id="815344484">
      <w:bodyDiv w:val="1"/>
      <w:marLeft w:val="0"/>
      <w:marRight w:val="0"/>
      <w:marTop w:val="0"/>
      <w:marBottom w:val="0"/>
      <w:divBdr>
        <w:top w:val="none" w:sz="0" w:space="0" w:color="auto"/>
        <w:left w:val="none" w:sz="0" w:space="0" w:color="auto"/>
        <w:bottom w:val="none" w:sz="0" w:space="0" w:color="auto"/>
        <w:right w:val="none" w:sz="0" w:space="0" w:color="auto"/>
      </w:divBdr>
    </w:div>
    <w:div w:id="816723792">
      <w:bodyDiv w:val="1"/>
      <w:marLeft w:val="0"/>
      <w:marRight w:val="0"/>
      <w:marTop w:val="0"/>
      <w:marBottom w:val="0"/>
      <w:divBdr>
        <w:top w:val="none" w:sz="0" w:space="0" w:color="auto"/>
        <w:left w:val="none" w:sz="0" w:space="0" w:color="auto"/>
        <w:bottom w:val="none" w:sz="0" w:space="0" w:color="auto"/>
        <w:right w:val="none" w:sz="0" w:space="0" w:color="auto"/>
      </w:divBdr>
      <w:divsChild>
        <w:div w:id="1773434833">
          <w:marLeft w:val="0"/>
          <w:marRight w:val="0"/>
          <w:marTop w:val="0"/>
          <w:marBottom w:val="0"/>
          <w:divBdr>
            <w:top w:val="none" w:sz="0" w:space="0" w:color="auto"/>
            <w:left w:val="none" w:sz="0" w:space="0" w:color="auto"/>
            <w:bottom w:val="none" w:sz="0" w:space="0" w:color="auto"/>
            <w:right w:val="none" w:sz="0" w:space="0" w:color="auto"/>
          </w:divBdr>
        </w:div>
      </w:divsChild>
    </w:div>
    <w:div w:id="850224950">
      <w:bodyDiv w:val="1"/>
      <w:marLeft w:val="0"/>
      <w:marRight w:val="0"/>
      <w:marTop w:val="0"/>
      <w:marBottom w:val="0"/>
      <w:divBdr>
        <w:top w:val="none" w:sz="0" w:space="0" w:color="auto"/>
        <w:left w:val="none" w:sz="0" w:space="0" w:color="auto"/>
        <w:bottom w:val="none" w:sz="0" w:space="0" w:color="auto"/>
        <w:right w:val="none" w:sz="0" w:space="0" w:color="auto"/>
      </w:divBdr>
      <w:divsChild>
        <w:div w:id="1094280320">
          <w:marLeft w:val="0"/>
          <w:marRight w:val="0"/>
          <w:marTop w:val="0"/>
          <w:marBottom w:val="0"/>
          <w:divBdr>
            <w:top w:val="none" w:sz="0" w:space="0" w:color="auto"/>
            <w:left w:val="none" w:sz="0" w:space="0" w:color="auto"/>
            <w:bottom w:val="none" w:sz="0" w:space="0" w:color="auto"/>
            <w:right w:val="none" w:sz="0" w:space="0" w:color="auto"/>
          </w:divBdr>
        </w:div>
      </w:divsChild>
    </w:div>
    <w:div w:id="876115162">
      <w:bodyDiv w:val="1"/>
      <w:marLeft w:val="0"/>
      <w:marRight w:val="0"/>
      <w:marTop w:val="0"/>
      <w:marBottom w:val="0"/>
      <w:divBdr>
        <w:top w:val="none" w:sz="0" w:space="0" w:color="auto"/>
        <w:left w:val="none" w:sz="0" w:space="0" w:color="auto"/>
        <w:bottom w:val="none" w:sz="0" w:space="0" w:color="auto"/>
        <w:right w:val="none" w:sz="0" w:space="0" w:color="auto"/>
      </w:divBdr>
    </w:div>
    <w:div w:id="905722726">
      <w:bodyDiv w:val="1"/>
      <w:marLeft w:val="0"/>
      <w:marRight w:val="0"/>
      <w:marTop w:val="0"/>
      <w:marBottom w:val="0"/>
      <w:divBdr>
        <w:top w:val="none" w:sz="0" w:space="0" w:color="auto"/>
        <w:left w:val="none" w:sz="0" w:space="0" w:color="auto"/>
        <w:bottom w:val="none" w:sz="0" w:space="0" w:color="auto"/>
        <w:right w:val="none" w:sz="0" w:space="0" w:color="auto"/>
      </w:divBdr>
    </w:div>
    <w:div w:id="925115020">
      <w:bodyDiv w:val="1"/>
      <w:marLeft w:val="0"/>
      <w:marRight w:val="0"/>
      <w:marTop w:val="0"/>
      <w:marBottom w:val="0"/>
      <w:divBdr>
        <w:top w:val="none" w:sz="0" w:space="0" w:color="auto"/>
        <w:left w:val="none" w:sz="0" w:space="0" w:color="auto"/>
        <w:bottom w:val="none" w:sz="0" w:space="0" w:color="auto"/>
        <w:right w:val="none" w:sz="0" w:space="0" w:color="auto"/>
      </w:divBdr>
    </w:div>
    <w:div w:id="959067621">
      <w:bodyDiv w:val="1"/>
      <w:marLeft w:val="0"/>
      <w:marRight w:val="0"/>
      <w:marTop w:val="0"/>
      <w:marBottom w:val="0"/>
      <w:divBdr>
        <w:top w:val="none" w:sz="0" w:space="0" w:color="auto"/>
        <w:left w:val="none" w:sz="0" w:space="0" w:color="auto"/>
        <w:bottom w:val="none" w:sz="0" w:space="0" w:color="auto"/>
        <w:right w:val="none" w:sz="0" w:space="0" w:color="auto"/>
      </w:divBdr>
      <w:divsChild>
        <w:div w:id="867137636">
          <w:marLeft w:val="0"/>
          <w:marRight w:val="0"/>
          <w:marTop w:val="0"/>
          <w:marBottom w:val="0"/>
          <w:divBdr>
            <w:top w:val="none" w:sz="0" w:space="0" w:color="auto"/>
            <w:left w:val="none" w:sz="0" w:space="0" w:color="auto"/>
            <w:bottom w:val="none" w:sz="0" w:space="0" w:color="auto"/>
            <w:right w:val="none" w:sz="0" w:space="0" w:color="auto"/>
          </w:divBdr>
        </w:div>
        <w:div w:id="959721263">
          <w:marLeft w:val="0"/>
          <w:marRight w:val="0"/>
          <w:marTop w:val="0"/>
          <w:marBottom w:val="0"/>
          <w:divBdr>
            <w:top w:val="none" w:sz="0" w:space="0" w:color="auto"/>
            <w:left w:val="none" w:sz="0" w:space="0" w:color="auto"/>
            <w:bottom w:val="none" w:sz="0" w:space="0" w:color="auto"/>
            <w:right w:val="none" w:sz="0" w:space="0" w:color="auto"/>
          </w:divBdr>
        </w:div>
      </w:divsChild>
    </w:div>
    <w:div w:id="1037973770">
      <w:bodyDiv w:val="1"/>
      <w:marLeft w:val="0"/>
      <w:marRight w:val="0"/>
      <w:marTop w:val="0"/>
      <w:marBottom w:val="0"/>
      <w:divBdr>
        <w:top w:val="none" w:sz="0" w:space="0" w:color="auto"/>
        <w:left w:val="none" w:sz="0" w:space="0" w:color="auto"/>
        <w:bottom w:val="none" w:sz="0" w:space="0" w:color="auto"/>
        <w:right w:val="none" w:sz="0" w:space="0" w:color="auto"/>
      </w:divBdr>
    </w:div>
    <w:div w:id="1077020176">
      <w:bodyDiv w:val="1"/>
      <w:marLeft w:val="0"/>
      <w:marRight w:val="0"/>
      <w:marTop w:val="0"/>
      <w:marBottom w:val="0"/>
      <w:divBdr>
        <w:top w:val="none" w:sz="0" w:space="0" w:color="auto"/>
        <w:left w:val="none" w:sz="0" w:space="0" w:color="auto"/>
        <w:bottom w:val="none" w:sz="0" w:space="0" w:color="auto"/>
        <w:right w:val="none" w:sz="0" w:space="0" w:color="auto"/>
      </w:divBdr>
    </w:div>
    <w:div w:id="1119762649">
      <w:bodyDiv w:val="1"/>
      <w:marLeft w:val="0"/>
      <w:marRight w:val="0"/>
      <w:marTop w:val="0"/>
      <w:marBottom w:val="0"/>
      <w:divBdr>
        <w:top w:val="none" w:sz="0" w:space="0" w:color="auto"/>
        <w:left w:val="none" w:sz="0" w:space="0" w:color="auto"/>
        <w:bottom w:val="none" w:sz="0" w:space="0" w:color="auto"/>
        <w:right w:val="none" w:sz="0" w:space="0" w:color="auto"/>
      </w:divBdr>
    </w:div>
    <w:div w:id="1126973197">
      <w:bodyDiv w:val="1"/>
      <w:marLeft w:val="0"/>
      <w:marRight w:val="0"/>
      <w:marTop w:val="0"/>
      <w:marBottom w:val="0"/>
      <w:divBdr>
        <w:top w:val="none" w:sz="0" w:space="0" w:color="auto"/>
        <w:left w:val="none" w:sz="0" w:space="0" w:color="auto"/>
        <w:bottom w:val="none" w:sz="0" w:space="0" w:color="auto"/>
        <w:right w:val="none" w:sz="0" w:space="0" w:color="auto"/>
      </w:divBdr>
    </w:div>
    <w:div w:id="1215317537">
      <w:bodyDiv w:val="1"/>
      <w:marLeft w:val="0"/>
      <w:marRight w:val="0"/>
      <w:marTop w:val="0"/>
      <w:marBottom w:val="0"/>
      <w:divBdr>
        <w:top w:val="none" w:sz="0" w:space="0" w:color="auto"/>
        <w:left w:val="none" w:sz="0" w:space="0" w:color="auto"/>
        <w:bottom w:val="none" w:sz="0" w:space="0" w:color="auto"/>
        <w:right w:val="none" w:sz="0" w:space="0" w:color="auto"/>
      </w:divBdr>
    </w:div>
    <w:div w:id="1233781754">
      <w:bodyDiv w:val="1"/>
      <w:marLeft w:val="0"/>
      <w:marRight w:val="0"/>
      <w:marTop w:val="0"/>
      <w:marBottom w:val="0"/>
      <w:divBdr>
        <w:top w:val="none" w:sz="0" w:space="0" w:color="auto"/>
        <w:left w:val="none" w:sz="0" w:space="0" w:color="auto"/>
        <w:bottom w:val="none" w:sz="0" w:space="0" w:color="auto"/>
        <w:right w:val="none" w:sz="0" w:space="0" w:color="auto"/>
      </w:divBdr>
    </w:div>
    <w:div w:id="1261256812">
      <w:bodyDiv w:val="1"/>
      <w:marLeft w:val="0"/>
      <w:marRight w:val="0"/>
      <w:marTop w:val="0"/>
      <w:marBottom w:val="0"/>
      <w:divBdr>
        <w:top w:val="none" w:sz="0" w:space="0" w:color="auto"/>
        <w:left w:val="none" w:sz="0" w:space="0" w:color="auto"/>
        <w:bottom w:val="none" w:sz="0" w:space="0" w:color="auto"/>
        <w:right w:val="none" w:sz="0" w:space="0" w:color="auto"/>
      </w:divBdr>
    </w:div>
    <w:div w:id="1351950884">
      <w:bodyDiv w:val="1"/>
      <w:marLeft w:val="0"/>
      <w:marRight w:val="0"/>
      <w:marTop w:val="0"/>
      <w:marBottom w:val="0"/>
      <w:divBdr>
        <w:top w:val="none" w:sz="0" w:space="0" w:color="auto"/>
        <w:left w:val="none" w:sz="0" w:space="0" w:color="auto"/>
        <w:bottom w:val="none" w:sz="0" w:space="0" w:color="auto"/>
        <w:right w:val="none" w:sz="0" w:space="0" w:color="auto"/>
      </w:divBdr>
    </w:div>
    <w:div w:id="1543901368">
      <w:bodyDiv w:val="1"/>
      <w:marLeft w:val="0"/>
      <w:marRight w:val="0"/>
      <w:marTop w:val="0"/>
      <w:marBottom w:val="0"/>
      <w:divBdr>
        <w:top w:val="none" w:sz="0" w:space="0" w:color="auto"/>
        <w:left w:val="none" w:sz="0" w:space="0" w:color="auto"/>
        <w:bottom w:val="none" w:sz="0" w:space="0" w:color="auto"/>
        <w:right w:val="none" w:sz="0" w:space="0" w:color="auto"/>
      </w:divBdr>
    </w:div>
    <w:div w:id="1571765828">
      <w:bodyDiv w:val="1"/>
      <w:marLeft w:val="0"/>
      <w:marRight w:val="0"/>
      <w:marTop w:val="0"/>
      <w:marBottom w:val="0"/>
      <w:divBdr>
        <w:top w:val="none" w:sz="0" w:space="0" w:color="auto"/>
        <w:left w:val="none" w:sz="0" w:space="0" w:color="auto"/>
        <w:bottom w:val="none" w:sz="0" w:space="0" w:color="auto"/>
        <w:right w:val="none" w:sz="0" w:space="0" w:color="auto"/>
      </w:divBdr>
    </w:div>
    <w:div w:id="1577670648">
      <w:bodyDiv w:val="1"/>
      <w:marLeft w:val="0"/>
      <w:marRight w:val="0"/>
      <w:marTop w:val="0"/>
      <w:marBottom w:val="0"/>
      <w:divBdr>
        <w:top w:val="none" w:sz="0" w:space="0" w:color="auto"/>
        <w:left w:val="none" w:sz="0" w:space="0" w:color="auto"/>
        <w:bottom w:val="none" w:sz="0" w:space="0" w:color="auto"/>
        <w:right w:val="none" w:sz="0" w:space="0" w:color="auto"/>
      </w:divBdr>
    </w:div>
    <w:div w:id="1586300771">
      <w:bodyDiv w:val="1"/>
      <w:marLeft w:val="0"/>
      <w:marRight w:val="0"/>
      <w:marTop w:val="0"/>
      <w:marBottom w:val="0"/>
      <w:divBdr>
        <w:top w:val="none" w:sz="0" w:space="0" w:color="auto"/>
        <w:left w:val="none" w:sz="0" w:space="0" w:color="auto"/>
        <w:bottom w:val="none" w:sz="0" w:space="0" w:color="auto"/>
        <w:right w:val="none" w:sz="0" w:space="0" w:color="auto"/>
      </w:divBdr>
    </w:div>
    <w:div w:id="1593275867">
      <w:bodyDiv w:val="1"/>
      <w:marLeft w:val="0"/>
      <w:marRight w:val="0"/>
      <w:marTop w:val="0"/>
      <w:marBottom w:val="0"/>
      <w:divBdr>
        <w:top w:val="none" w:sz="0" w:space="0" w:color="auto"/>
        <w:left w:val="none" w:sz="0" w:space="0" w:color="auto"/>
        <w:bottom w:val="none" w:sz="0" w:space="0" w:color="auto"/>
        <w:right w:val="none" w:sz="0" w:space="0" w:color="auto"/>
      </w:divBdr>
    </w:div>
    <w:div w:id="1667391532">
      <w:bodyDiv w:val="1"/>
      <w:marLeft w:val="0"/>
      <w:marRight w:val="0"/>
      <w:marTop w:val="0"/>
      <w:marBottom w:val="0"/>
      <w:divBdr>
        <w:top w:val="none" w:sz="0" w:space="0" w:color="auto"/>
        <w:left w:val="none" w:sz="0" w:space="0" w:color="auto"/>
        <w:bottom w:val="none" w:sz="0" w:space="0" w:color="auto"/>
        <w:right w:val="none" w:sz="0" w:space="0" w:color="auto"/>
      </w:divBdr>
    </w:div>
    <w:div w:id="1804539587">
      <w:bodyDiv w:val="1"/>
      <w:marLeft w:val="0"/>
      <w:marRight w:val="0"/>
      <w:marTop w:val="0"/>
      <w:marBottom w:val="0"/>
      <w:divBdr>
        <w:top w:val="none" w:sz="0" w:space="0" w:color="auto"/>
        <w:left w:val="none" w:sz="0" w:space="0" w:color="auto"/>
        <w:bottom w:val="none" w:sz="0" w:space="0" w:color="auto"/>
        <w:right w:val="none" w:sz="0" w:space="0" w:color="auto"/>
      </w:divBdr>
    </w:div>
    <w:div w:id="1851674397">
      <w:bodyDiv w:val="1"/>
      <w:marLeft w:val="0"/>
      <w:marRight w:val="0"/>
      <w:marTop w:val="0"/>
      <w:marBottom w:val="0"/>
      <w:divBdr>
        <w:top w:val="none" w:sz="0" w:space="0" w:color="auto"/>
        <w:left w:val="none" w:sz="0" w:space="0" w:color="auto"/>
        <w:bottom w:val="none" w:sz="0" w:space="0" w:color="auto"/>
        <w:right w:val="none" w:sz="0" w:space="0" w:color="auto"/>
      </w:divBdr>
    </w:div>
    <w:div w:id="1924340328">
      <w:bodyDiv w:val="1"/>
      <w:marLeft w:val="0"/>
      <w:marRight w:val="0"/>
      <w:marTop w:val="0"/>
      <w:marBottom w:val="0"/>
      <w:divBdr>
        <w:top w:val="none" w:sz="0" w:space="0" w:color="auto"/>
        <w:left w:val="none" w:sz="0" w:space="0" w:color="auto"/>
        <w:bottom w:val="none" w:sz="0" w:space="0" w:color="auto"/>
        <w:right w:val="none" w:sz="0" w:space="0" w:color="auto"/>
      </w:divBdr>
      <w:divsChild>
        <w:div w:id="1846702775">
          <w:marLeft w:val="0"/>
          <w:marRight w:val="0"/>
          <w:marTop w:val="0"/>
          <w:marBottom w:val="0"/>
          <w:divBdr>
            <w:top w:val="none" w:sz="0" w:space="0" w:color="auto"/>
            <w:left w:val="none" w:sz="0" w:space="0" w:color="auto"/>
            <w:bottom w:val="none" w:sz="0" w:space="0" w:color="auto"/>
            <w:right w:val="none" w:sz="0" w:space="0" w:color="auto"/>
          </w:divBdr>
        </w:div>
        <w:div w:id="1924676225">
          <w:marLeft w:val="0"/>
          <w:marRight w:val="0"/>
          <w:marTop w:val="0"/>
          <w:marBottom w:val="0"/>
          <w:divBdr>
            <w:top w:val="none" w:sz="0" w:space="0" w:color="auto"/>
            <w:left w:val="none" w:sz="0" w:space="0" w:color="auto"/>
            <w:bottom w:val="none" w:sz="0" w:space="0" w:color="auto"/>
            <w:right w:val="none" w:sz="0" w:space="0" w:color="auto"/>
          </w:divBdr>
        </w:div>
      </w:divsChild>
    </w:div>
    <w:div w:id="1927419320">
      <w:bodyDiv w:val="1"/>
      <w:marLeft w:val="0"/>
      <w:marRight w:val="0"/>
      <w:marTop w:val="0"/>
      <w:marBottom w:val="0"/>
      <w:divBdr>
        <w:top w:val="none" w:sz="0" w:space="0" w:color="auto"/>
        <w:left w:val="none" w:sz="0" w:space="0" w:color="auto"/>
        <w:bottom w:val="none" w:sz="0" w:space="0" w:color="auto"/>
        <w:right w:val="none" w:sz="0" w:space="0" w:color="auto"/>
      </w:divBdr>
    </w:div>
    <w:div w:id="203183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footer" Target="footer144.xml"/><Relationship Id="rId21" Type="http://schemas.openxmlformats.org/officeDocument/2006/relationships/footer" Target="footer5.xml"/><Relationship Id="rId63" Type="http://schemas.openxmlformats.org/officeDocument/2006/relationships/footer" Target="footer26.xml"/><Relationship Id="rId159" Type="http://schemas.openxmlformats.org/officeDocument/2006/relationships/footer" Target="footer74.xml"/><Relationship Id="rId324" Type="http://schemas.openxmlformats.org/officeDocument/2006/relationships/header" Target="header157.xml"/><Relationship Id="rId366" Type="http://schemas.openxmlformats.org/officeDocument/2006/relationships/header" Target="header177.xml"/><Relationship Id="rId170" Type="http://schemas.openxmlformats.org/officeDocument/2006/relationships/footer" Target="footer79.xml"/><Relationship Id="rId226" Type="http://schemas.openxmlformats.org/officeDocument/2006/relationships/header" Target="header108.xml"/><Relationship Id="rId107" Type="http://schemas.openxmlformats.org/officeDocument/2006/relationships/footer" Target="footer48.xml"/><Relationship Id="rId268" Type="http://schemas.openxmlformats.org/officeDocument/2006/relationships/header" Target="header129.xml"/><Relationship Id="rId289" Type="http://schemas.openxmlformats.org/officeDocument/2006/relationships/header" Target="header140.xml"/><Relationship Id="rId11" Type="http://schemas.openxmlformats.org/officeDocument/2006/relationships/image" Target="media/image1.emf"/><Relationship Id="rId32" Type="http://schemas.openxmlformats.org/officeDocument/2006/relationships/footer" Target="footer10.xml"/><Relationship Id="rId53" Type="http://schemas.openxmlformats.org/officeDocument/2006/relationships/footer" Target="footer21.xml"/><Relationship Id="rId74" Type="http://schemas.openxmlformats.org/officeDocument/2006/relationships/footer" Target="footer31.xml"/><Relationship Id="rId128" Type="http://schemas.openxmlformats.org/officeDocument/2006/relationships/footer" Target="footer58.xml"/><Relationship Id="rId149" Type="http://schemas.openxmlformats.org/officeDocument/2006/relationships/footer" Target="footer69.xml"/><Relationship Id="rId314" Type="http://schemas.openxmlformats.org/officeDocument/2006/relationships/footer" Target="footer151.xml"/><Relationship Id="rId335" Type="http://schemas.openxmlformats.org/officeDocument/2006/relationships/footer" Target="footer162.xml"/><Relationship Id="rId356" Type="http://schemas.openxmlformats.org/officeDocument/2006/relationships/header" Target="header172.xml"/><Relationship Id="rId377" Type="http://schemas.openxmlformats.org/officeDocument/2006/relationships/footer" Target="footer182.xml"/><Relationship Id="rId398"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footer" Target="footer42.xml"/><Relationship Id="rId160" Type="http://schemas.openxmlformats.org/officeDocument/2006/relationships/header" Target="header75.xml"/><Relationship Id="rId181" Type="http://schemas.openxmlformats.org/officeDocument/2006/relationships/header" Target="header86.xml"/><Relationship Id="rId216" Type="http://schemas.openxmlformats.org/officeDocument/2006/relationships/header" Target="header103.xml"/><Relationship Id="rId237" Type="http://schemas.openxmlformats.org/officeDocument/2006/relationships/footer" Target="footer113.xml"/><Relationship Id="rId258" Type="http://schemas.openxmlformats.org/officeDocument/2006/relationships/header" Target="header124.xml"/><Relationship Id="rId279" Type="http://schemas.openxmlformats.org/officeDocument/2006/relationships/footer" Target="footer134.xml"/><Relationship Id="rId22" Type="http://schemas.openxmlformats.org/officeDocument/2006/relationships/header" Target="header6.xml"/><Relationship Id="rId43" Type="http://schemas.openxmlformats.org/officeDocument/2006/relationships/header" Target="header17.xml"/><Relationship Id="rId64" Type="http://schemas.openxmlformats.org/officeDocument/2006/relationships/header" Target="header27.xml"/><Relationship Id="rId118" Type="http://schemas.openxmlformats.org/officeDocument/2006/relationships/header" Target="header54.xml"/><Relationship Id="rId139" Type="http://schemas.openxmlformats.org/officeDocument/2006/relationships/header" Target="header65.xml"/><Relationship Id="rId290" Type="http://schemas.openxmlformats.org/officeDocument/2006/relationships/footer" Target="footer139.xml"/><Relationship Id="rId304" Type="http://schemas.openxmlformats.org/officeDocument/2006/relationships/header" Target="header147.xml"/><Relationship Id="rId325" Type="http://schemas.openxmlformats.org/officeDocument/2006/relationships/header" Target="header158.xml"/><Relationship Id="rId346" Type="http://schemas.openxmlformats.org/officeDocument/2006/relationships/header" Target="header168.xml"/><Relationship Id="rId367" Type="http://schemas.openxmlformats.org/officeDocument/2006/relationships/footer" Target="footer177.xml"/><Relationship Id="rId388" Type="http://schemas.openxmlformats.org/officeDocument/2006/relationships/footer" Target="footer187.xml"/><Relationship Id="rId85" Type="http://schemas.openxmlformats.org/officeDocument/2006/relationships/header" Target="header38.xml"/><Relationship Id="rId150" Type="http://schemas.openxmlformats.org/officeDocument/2006/relationships/header" Target="header70.xml"/><Relationship Id="rId171" Type="http://schemas.openxmlformats.org/officeDocument/2006/relationships/footer" Target="footer80.xml"/><Relationship Id="rId192" Type="http://schemas.openxmlformats.org/officeDocument/2006/relationships/header" Target="header91.xml"/><Relationship Id="rId206" Type="http://schemas.openxmlformats.org/officeDocument/2006/relationships/footer" Target="footer97.xml"/><Relationship Id="rId227" Type="http://schemas.openxmlformats.org/officeDocument/2006/relationships/footer" Target="footer108.xml"/><Relationship Id="rId248" Type="http://schemas.openxmlformats.org/officeDocument/2006/relationships/footer" Target="footer118.xml"/><Relationship Id="rId269" Type="http://schemas.openxmlformats.org/officeDocument/2006/relationships/footer" Target="footer129.xml"/><Relationship Id="rId12" Type="http://schemas.openxmlformats.org/officeDocument/2006/relationships/header" Target="header1.xml"/><Relationship Id="rId33" Type="http://schemas.openxmlformats.org/officeDocument/2006/relationships/footer" Target="footer11.xml"/><Relationship Id="rId108" Type="http://schemas.openxmlformats.org/officeDocument/2006/relationships/header" Target="header49.xml"/><Relationship Id="rId129" Type="http://schemas.openxmlformats.org/officeDocument/2006/relationships/footer" Target="footer59.xml"/><Relationship Id="rId280" Type="http://schemas.openxmlformats.org/officeDocument/2006/relationships/header" Target="header135.xml"/><Relationship Id="rId315" Type="http://schemas.openxmlformats.org/officeDocument/2006/relationships/footer" Target="footer152.xml"/><Relationship Id="rId336" Type="http://schemas.openxmlformats.org/officeDocument/2006/relationships/header" Target="header163.xml"/><Relationship Id="rId357" Type="http://schemas.openxmlformats.org/officeDocument/2006/relationships/header" Target="header173.xml"/><Relationship Id="rId54" Type="http://schemas.openxmlformats.org/officeDocument/2006/relationships/header" Target="header22.xml"/><Relationship Id="rId75" Type="http://schemas.openxmlformats.org/officeDocument/2006/relationships/footer" Target="footer32.xml"/><Relationship Id="rId96" Type="http://schemas.openxmlformats.org/officeDocument/2006/relationships/header" Target="header43.xml"/><Relationship Id="rId140" Type="http://schemas.openxmlformats.org/officeDocument/2006/relationships/footer" Target="footer64.xml"/><Relationship Id="rId161" Type="http://schemas.openxmlformats.org/officeDocument/2006/relationships/footer" Target="footer75.xml"/><Relationship Id="rId182" Type="http://schemas.openxmlformats.org/officeDocument/2006/relationships/footer" Target="footer85.xml"/><Relationship Id="rId217" Type="http://schemas.openxmlformats.org/officeDocument/2006/relationships/header" Target="header104.xml"/><Relationship Id="rId378" Type="http://schemas.openxmlformats.org/officeDocument/2006/relationships/header" Target="header183.xml"/><Relationship Id="rId399" Type="http://schemas.openxmlformats.org/officeDocument/2006/relationships/theme" Target="theme/theme1.xml"/><Relationship Id="rId6" Type="http://schemas.openxmlformats.org/officeDocument/2006/relationships/styles" Target="styles.xml"/><Relationship Id="rId238" Type="http://schemas.openxmlformats.org/officeDocument/2006/relationships/header" Target="header114.xml"/><Relationship Id="rId259" Type="http://schemas.openxmlformats.org/officeDocument/2006/relationships/header" Target="header125.xml"/><Relationship Id="rId23" Type="http://schemas.openxmlformats.org/officeDocument/2006/relationships/footer" Target="footer6.xml"/><Relationship Id="rId119" Type="http://schemas.openxmlformats.org/officeDocument/2006/relationships/footer" Target="footer54.xml"/><Relationship Id="rId270" Type="http://schemas.openxmlformats.org/officeDocument/2006/relationships/header" Target="header130.xml"/><Relationship Id="rId291" Type="http://schemas.openxmlformats.org/officeDocument/2006/relationships/footer" Target="footer140.xml"/><Relationship Id="rId305" Type="http://schemas.openxmlformats.org/officeDocument/2006/relationships/footer" Target="footer147.xml"/><Relationship Id="rId326" Type="http://schemas.openxmlformats.org/officeDocument/2006/relationships/footer" Target="footer157.xml"/><Relationship Id="rId347" Type="http://schemas.openxmlformats.org/officeDocument/2006/relationships/footer" Target="footer168.xml"/><Relationship Id="rId44" Type="http://schemas.openxmlformats.org/officeDocument/2006/relationships/footer" Target="footer16.xml"/><Relationship Id="rId65" Type="http://schemas.openxmlformats.org/officeDocument/2006/relationships/footer" Target="footer27.xml"/><Relationship Id="rId86" Type="http://schemas.openxmlformats.org/officeDocument/2006/relationships/footer" Target="footer37.xml"/><Relationship Id="rId130" Type="http://schemas.openxmlformats.org/officeDocument/2006/relationships/header" Target="header60.xml"/><Relationship Id="rId151" Type="http://schemas.openxmlformats.org/officeDocument/2006/relationships/header" Target="header71.xml"/><Relationship Id="rId368" Type="http://schemas.openxmlformats.org/officeDocument/2006/relationships/header" Target="header178.xml"/><Relationship Id="rId389" Type="http://schemas.openxmlformats.org/officeDocument/2006/relationships/footer" Target="footer188.xml"/><Relationship Id="rId172" Type="http://schemas.openxmlformats.org/officeDocument/2006/relationships/header" Target="header81.xml"/><Relationship Id="rId193" Type="http://schemas.openxmlformats.org/officeDocument/2006/relationships/header" Target="header92.xml"/><Relationship Id="rId207" Type="http://schemas.openxmlformats.org/officeDocument/2006/relationships/footer" Target="footer98.xml"/><Relationship Id="rId228" Type="http://schemas.openxmlformats.org/officeDocument/2006/relationships/header" Target="header109.xml"/><Relationship Id="rId249" Type="http://schemas.openxmlformats.org/officeDocument/2006/relationships/footer" Target="footer119.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footer" Target="footer124.xml"/><Relationship Id="rId281" Type="http://schemas.openxmlformats.org/officeDocument/2006/relationships/footer" Target="footer135.xml"/><Relationship Id="rId316" Type="http://schemas.openxmlformats.org/officeDocument/2006/relationships/header" Target="header153.xml"/><Relationship Id="rId337" Type="http://schemas.openxmlformats.org/officeDocument/2006/relationships/header" Target="header164.xml"/><Relationship Id="rId34" Type="http://schemas.openxmlformats.org/officeDocument/2006/relationships/header" Target="header12.xml"/><Relationship Id="rId55" Type="http://schemas.openxmlformats.org/officeDocument/2006/relationships/header" Target="header23.xml"/><Relationship Id="rId76" Type="http://schemas.openxmlformats.org/officeDocument/2006/relationships/header" Target="header33.xml"/><Relationship Id="rId97" Type="http://schemas.openxmlformats.org/officeDocument/2006/relationships/header" Target="header44.xml"/><Relationship Id="rId120" Type="http://schemas.openxmlformats.org/officeDocument/2006/relationships/header" Target="header55.xml"/><Relationship Id="rId141" Type="http://schemas.openxmlformats.org/officeDocument/2006/relationships/footer" Target="footer65.xml"/><Relationship Id="rId358" Type="http://schemas.openxmlformats.org/officeDocument/2006/relationships/footer" Target="footer172.xml"/><Relationship Id="rId379" Type="http://schemas.openxmlformats.org/officeDocument/2006/relationships/footer" Target="footer183.xml"/><Relationship Id="rId7" Type="http://schemas.openxmlformats.org/officeDocument/2006/relationships/settings" Target="settings.xml"/><Relationship Id="rId162" Type="http://schemas.openxmlformats.org/officeDocument/2006/relationships/header" Target="header76.xml"/><Relationship Id="rId183" Type="http://schemas.openxmlformats.org/officeDocument/2006/relationships/footer" Target="footer86.xml"/><Relationship Id="rId218" Type="http://schemas.openxmlformats.org/officeDocument/2006/relationships/footer" Target="footer103.xml"/><Relationship Id="rId239" Type="http://schemas.openxmlformats.org/officeDocument/2006/relationships/footer" Target="footer114.xml"/><Relationship Id="rId390" Type="http://schemas.openxmlformats.org/officeDocument/2006/relationships/header" Target="header189.xml"/><Relationship Id="rId250" Type="http://schemas.openxmlformats.org/officeDocument/2006/relationships/header" Target="header120.xml"/><Relationship Id="rId271" Type="http://schemas.openxmlformats.org/officeDocument/2006/relationships/header" Target="header131.xml"/><Relationship Id="rId292" Type="http://schemas.openxmlformats.org/officeDocument/2006/relationships/header" Target="header141.xml"/><Relationship Id="rId306" Type="http://schemas.openxmlformats.org/officeDocument/2006/relationships/header" Target="header148.xml"/><Relationship Id="rId24" Type="http://schemas.openxmlformats.org/officeDocument/2006/relationships/header" Target="header7.xml"/><Relationship Id="rId45" Type="http://schemas.openxmlformats.org/officeDocument/2006/relationships/footer" Target="footer17.xml"/><Relationship Id="rId66" Type="http://schemas.openxmlformats.org/officeDocument/2006/relationships/header" Target="header28.xml"/><Relationship Id="rId87" Type="http://schemas.openxmlformats.org/officeDocument/2006/relationships/footer" Target="footer38.xml"/><Relationship Id="rId110" Type="http://schemas.openxmlformats.org/officeDocument/2006/relationships/footer" Target="footer49.xml"/><Relationship Id="rId131" Type="http://schemas.openxmlformats.org/officeDocument/2006/relationships/footer" Target="footer60.xml"/><Relationship Id="rId327" Type="http://schemas.openxmlformats.org/officeDocument/2006/relationships/footer" Target="footer158.xml"/><Relationship Id="rId348" Type="http://schemas.openxmlformats.org/officeDocument/2006/relationships/hyperlink" Target="http://www.dados.gov.pt/" TargetMode="External"/><Relationship Id="rId369" Type="http://schemas.openxmlformats.org/officeDocument/2006/relationships/header" Target="header179.xml"/><Relationship Id="rId152" Type="http://schemas.openxmlformats.org/officeDocument/2006/relationships/footer" Target="footer70.xml"/><Relationship Id="rId173" Type="http://schemas.openxmlformats.org/officeDocument/2006/relationships/footer" Target="footer81.xml"/><Relationship Id="rId194" Type="http://schemas.openxmlformats.org/officeDocument/2006/relationships/footer" Target="footer91.xml"/><Relationship Id="rId208" Type="http://schemas.openxmlformats.org/officeDocument/2006/relationships/header" Target="header99.xml"/><Relationship Id="rId229" Type="http://schemas.openxmlformats.org/officeDocument/2006/relationships/header" Target="header110.xml"/><Relationship Id="rId380" Type="http://schemas.openxmlformats.org/officeDocument/2006/relationships/header" Target="header184.xml"/><Relationship Id="rId240" Type="http://schemas.openxmlformats.org/officeDocument/2006/relationships/header" Target="header115.xml"/><Relationship Id="rId261" Type="http://schemas.openxmlformats.org/officeDocument/2006/relationships/footer" Target="footer125.xml"/><Relationship Id="rId14" Type="http://schemas.openxmlformats.org/officeDocument/2006/relationships/footer" Target="footer1.xml"/><Relationship Id="rId35" Type="http://schemas.openxmlformats.org/officeDocument/2006/relationships/footer" Target="footer12.xml"/><Relationship Id="rId56" Type="http://schemas.openxmlformats.org/officeDocument/2006/relationships/footer" Target="footer22.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header" Target="header136.xml"/><Relationship Id="rId317" Type="http://schemas.openxmlformats.org/officeDocument/2006/relationships/footer" Target="footer153.xml"/><Relationship Id="rId338" Type="http://schemas.openxmlformats.org/officeDocument/2006/relationships/footer" Target="footer163.xml"/><Relationship Id="rId359" Type="http://schemas.openxmlformats.org/officeDocument/2006/relationships/footer" Target="footer173.xml"/><Relationship Id="rId8" Type="http://schemas.openxmlformats.org/officeDocument/2006/relationships/webSettings" Target="webSettings.xml"/><Relationship Id="rId98" Type="http://schemas.openxmlformats.org/officeDocument/2006/relationships/footer" Target="footer43.xml"/><Relationship Id="rId121" Type="http://schemas.openxmlformats.org/officeDocument/2006/relationships/header" Target="header56.xml"/><Relationship Id="rId142" Type="http://schemas.openxmlformats.org/officeDocument/2006/relationships/header" Target="header66.xml"/><Relationship Id="rId163" Type="http://schemas.openxmlformats.org/officeDocument/2006/relationships/header" Target="header77.xml"/><Relationship Id="rId184" Type="http://schemas.openxmlformats.org/officeDocument/2006/relationships/header" Target="header87.xml"/><Relationship Id="rId219" Type="http://schemas.openxmlformats.org/officeDocument/2006/relationships/footer" Target="footer104.xml"/><Relationship Id="rId370" Type="http://schemas.openxmlformats.org/officeDocument/2006/relationships/footer" Target="footer178.xml"/><Relationship Id="rId391" Type="http://schemas.openxmlformats.org/officeDocument/2006/relationships/footer" Target="footer189.xml"/><Relationship Id="rId230" Type="http://schemas.openxmlformats.org/officeDocument/2006/relationships/footer" Target="footer109.xml"/><Relationship Id="rId251" Type="http://schemas.openxmlformats.org/officeDocument/2006/relationships/footer" Target="footer120.xml"/><Relationship Id="rId25" Type="http://schemas.openxmlformats.org/officeDocument/2006/relationships/header" Target="header8.xml"/><Relationship Id="rId46" Type="http://schemas.openxmlformats.org/officeDocument/2006/relationships/header" Target="header18.xml"/><Relationship Id="rId67" Type="http://schemas.openxmlformats.org/officeDocument/2006/relationships/header" Target="header29.xml"/><Relationship Id="rId272" Type="http://schemas.openxmlformats.org/officeDocument/2006/relationships/footer" Target="footer130.xml"/><Relationship Id="rId293" Type="http://schemas.openxmlformats.org/officeDocument/2006/relationships/footer" Target="footer141.xml"/><Relationship Id="rId307" Type="http://schemas.openxmlformats.org/officeDocument/2006/relationships/header" Target="header149.xml"/><Relationship Id="rId328" Type="http://schemas.openxmlformats.org/officeDocument/2006/relationships/header" Target="header159.xml"/><Relationship Id="rId349" Type="http://schemas.openxmlformats.org/officeDocument/2006/relationships/hyperlink" Target="http://www.dados.gov.pt/" TargetMode="External"/><Relationship Id="rId88" Type="http://schemas.openxmlformats.org/officeDocument/2006/relationships/header" Target="header39.xml"/><Relationship Id="rId111" Type="http://schemas.openxmlformats.org/officeDocument/2006/relationships/footer" Target="footer50.xml"/><Relationship Id="rId132" Type="http://schemas.openxmlformats.org/officeDocument/2006/relationships/header" Target="header61.xml"/><Relationship Id="rId153" Type="http://schemas.openxmlformats.org/officeDocument/2006/relationships/footer" Target="footer71.xml"/><Relationship Id="rId174" Type="http://schemas.openxmlformats.org/officeDocument/2006/relationships/header" Target="header82.xm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header" Target="header174.xml"/><Relationship Id="rId381" Type="http://schemas.openxmlformats.org/officeDocument/2006/relationships/header" Target="header185.xml"/><Relationship Id="rId220" Type="http://schemas.openxmlformats.org/officeDocument/2006/relationships/header" Target="header105.xml"/><Relationship Id="rId241" Type="http://schemas.openxmlformats.org/officeDocument/2006/relationships/header" Target="header116.xml"/><Relationship Id="rId15" Type="http://schemas.openxmlformats.org/officeDocument/2006/relationships/footer" Target="footer2.xml"/><Relationship Id="rId36" Type="http://schemas.openxmlformats.org/officeDocument/2006/relationships/header" Target="header13.xml"/><Relationship Id="rId57" Type="http://schemas.openxmlformats.org/officeDocument/2006/relationships/footer" Target="footer23.xml"/><Relationship Id="rId262" Type="http://schemas.openxmlformats.org/officeDocument/2006/relationships/header" Target="header126.xml"/><Relationship Id="rId283" Type="http://schemas.openxmlformats.org/officeDocument/2006/relationships/header" Target="header137.xml"/><Relationship Id="rId318" Type="http://schemas.openxmlformats.org/officeDocument/2006/relationships/header" Target="header154.xml"/><Relationship Id="rId339" Type="http://schemas.openxmlformats.org/officeDocument/2006/relationships/footer" Target="footer164.xml"/><Relationship Id="rId78" Type="http://schemas.openxmlformats.org/officeDocument/2006/relationships/header" Target="header34.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footer" Target="footer55.xml"/><Relationship Id="rId143" Type="http://schemas.openxmlformats.org/officeDocument/2006/relationships/footer" Target="footer66.xml"/><Relationship Id="rId164" Type="http://schemas.openxmlformats.org/officeDocument/2006/relationships/footer" Target="footer76.xml"/><Relationship Id="rId185" Type="http://schemas.openxmlformats.org/officeDocument/2006/relationships/footer" Target="footer87.xml"/><Relationship Id="rId350" Type="http://schemas.openxmlformats.org/officeDocument/2006/relationships/header" Target="header169.xml"/><Relationship Id="rId371" Type="http://schemas.openxmlformats.org/officeDocument/2006/relationships/footer" Target="footer179.xml"/><Relationship Id="rId9" Type="http://schemas.openxmlformats.org/officeDocument/2006/relationships/footnotes" Target="footnotes.xml"/><Relationship Id="rId210" Type="http://schemas.openxmlformats.org/officeDocument/2006/relationships/header" Target="header100.xml"/><Relationship Id="rId392" Type="http://schemas.openxmlformats.org/officeDocument/2006/relationships/header" Target="header190.xml"/><Relationship Id="rId26" Type="http://schemas.openxmlformats.org/officeDocument/2006/relationships/footer" Target="footer7.xml"/><Relationship Id="rId231" Type="http://schemas.openxmlformats.org/officeDocument/2006/relationships/footer" Target="footer110.xml"/><Relationship Id="rId252" Type="http://schemas.openxmlformats.org/officeDocument/2006/relationships/header" Target="header121.xml"/><Relationship Id="rId273" Type="http://schemas.openxmlformats.org/officeDocument/2006/relationships/footer" Target="footer131.xml"/><Relationship Id="rId294" Type="http://schemas.openxmlformats.org/officeDocument/2006/relationships/header" Target="header142.xml"/><Relationship Id="rId308" Type="http://schemas.openxmlformats.org/officeDocument/2006/relationships/footer" Target="footer148.xml"/><Relationship Id="rId329" Type="http://schemas.openxmlformats.org/officeDocument/2006/relationships/footer" Target="footer159.xml"/><Relationship Id="rId47" Type="http://schemas.openxmlformats.org/officeDocument/2006/relationships/footer" Target="footer18.xml"/><Relationship Id="rId68" Type="http://schemas.openxmlformats.org/officeDocument/2006/relationships/footer" Target="footer28.xml"/><Relationship Id="rId89" Type="http://schemas.openxmlformats.org/officeDocument/2006/relationships/footer" Target="footer39.xml"/><Relationship Id="rId112" Type="http://schemas.openxmlformats.org/officeDocument/2006/relationships/header" Target="header51.xml"/><Relationship Id="rId133" Type="http://schemas.openxmlformats.org/officeDocument/2006/relationships/header" Target="header62.xml"/><Relationship Id="rId154" Type="http://schemas.openxmlformats.org/officeDocument/2006/relationships/header" Target="header72.xml"/><Relationship Id="rId175" Type="http://schemas.openxmlformats.org/officeDocument/2006/relationships/header" Target="header83.xml"/><Relationship Id="rId340" Type="http://schemas.openxmlformats.org/officeDocument/2006/relationships/header" Target="header165.xml"/><Relationship Id="rId361" Type="http://schemas.openxmlformats.org/officeDocument/2006/relationships/footer" Target="footer174.xml"/><Relationship Id="rId196" Type="http://schemas.openxmlformats.org/officeDocument/2006/relationships/header" Target="header93.xml"/><Relationship Id="rId200" Type="http://schemas.openxmlformats.org/officeDocument/2006/relationships/footer" Target="footer94.xml"/><Relationship Id="rId382" Type="http://schemas.openxmlformats.org/officeDocument/2006/relationships/footer" Target="footer184.xml"/><Relationship Id="rId16" Type="http://schemas.openxmlformats.org/officeDocument/2006/relationships/header" Target="header3.xml"/><Relationship Id="rId221" Type="http://schemas.openxmlformats.org/officeDocument/2006/relationships/footer" Target="footer105.xml"/><Relationship Id="rId242" Type="http://schemas.openxmlformats.org/officeDocument/2006/relationships/footer" Target="footer115.xml"/><Relationship Id="rId263" Type="http://schemas.openxmlformats.org/officeDocument/2006/relationships/footer" Target="footer126.xml"/><Relationship Id="rId284" Type="http://schemas.openxmlformats.org/officeDocument/2006/relationships/footer" Target="footer136.xml"/><Relationship Id="rId319" Type="http://schemas.openxmlformats.org/officeDocument/2006/relationships/header" Target="header155.xml"/><Relationship Id="rId37" Type="http://schemas.openxmlformats.org/officeDocument/2006/relationships/header" Target="header14.xml"/><Relationship Id="rId58" Type="http://schemas.openxmlformats.org/officeDocument/2006/relationships/header" Target="header24.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footer" Target="footer56.xml"/><Relationship Id="rId144" Type="http://schemas.openxmlformats.org/officeDocument/2006/relationships/header" Target="header67.xml"/><Relationship Id="rId330" Type="http://schemas.openxmlformats.org/officeDocument/2006/relationships/header" Target="header160.xml"/><Relationship Id="rId90" Type="http://schemas.openxmlformats.org/officeDocument/2006/relationships/header" Target="header40.xml"/><Relationship Id="rId165" Type="http://schemas.openxmlformats.org/officeDocument/2006/relationships/footer" Target="footer77.xml"/><Relationship Id="rId186" Type="http://schemas.openxmlformats.org/officeDocument/2006/relationships/header" Target="header88.xml"/><Relationship Id="rId351" Type="http://schemas.openxmlformats.org/officeDocument/2006/relationships/header" Target="header170.xml"/><Relationship Id="rId372" Type="http://schemas.openxmlformats.org/officeDocument/2006/relationships/header" Target="header180.xml"/><Relationship Id="rId393" Type="http://schemas.openxmlformats.org/officeDocument/2006/relationships/header" Target="header191.xml"/><Relationship Id="rId211" Type="http://schemas.openxmlformats.org/officeDocument/2006/relationships/header" Target="header101.xml"/><Relationship Id="rId232" Type="http://schemas.openxmlformats.org/officeDocument/2006/relationships/header" Target="header111.xml"/><Relationship Id="rId253" Type="http://schemas.openxmlformats.org/officeDocument/2006/relationships/header" Target="header122.xml"/><Relationship Id="rId274" Type="http://schemas.openxmlformats.org/officeDocument/2006/relationships/header" Target="header132.xml"/><Relationship Id="rId295" Type="http://schemas.openxmlformats.org/officeDocument/2006/relationships/header" Target="header143.xml"/><Relationship Id="rId309" Type="http://schemas.openxmlformats.org/officeDocument/2006/relationships/footer" Target="footer149.xm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footer" Target="footer61.xml"/><Relationship Id="rId320" Type="http://schemas.openxmlformats.org/officeDocument/2006/relationships/footer" Target="footer154.xml"/><Relationship Id="rId80" Type="http://schemas.openxmlformats.org/officeDocument/2006/relationships/footer" Target="footer34.xml"/><Relationship Id="rId155" Type="http://schemas.openxmlformats.org/officeDocument/2006/relationships/footer" Target="footer72.xml"/><Relationship Id="rId176" Type="http://schemas.openxmlformats.org/officeDocument/2006/relationships/footer" Target="footer82.xml"/><Relationship Id="rId197" Type="http://schemas.openxmlformats.org/officeDocument/2006/relationships/footer" Target="footer93.xml"/><Relationship Id="rId341" Type="http://schemas.openxmlformats.org/officeDocument/2006/relationships/footer" Target="footer165.xml"/><Relationship Id="rId362" Type="http://schemas.openxmlformats.org/officeDocument/2006/relationships/header" Target="header175.xml"/><Relationship Id="rId383" Type="http://schemas.openxmlformats.org/officeDocument/2006/relationships/footer" Target="footer185.xml"/><Relationship Id="rId201" Type="http://schemas.openxmlformats.org/officeDocument/2006/relationships/footer" Target="footer95.xml"/><Relationship Id="rId222" Type="http://schemas.openxmlformats.org/officeDocument/2006/relationships/header" Target="header106.xml"/><Relationship Id="rId243" Type="http://schemas.openxmlformats.org/officeDocument/2006/relationships/footer" Target="footer116.xml"/><Relationship Id="rId264" Type="http://schemas.openxmlformats.org/officeDocument/2006/relationships/header" Target="header127.xml"/><Relationship Id="rId285" Type="http://schemas.openxmlformats.org/officeDocument/2006/relationships/footer" Target="footer137.xml"/><Relationship Id="rId17" Type="http://schemas.openxmlformats.org/officeDocument/2006/relationships/footer" Target="footer3.xml"/><Relationship Id="rId38" Type="http://schemas.openxmlformats.org/officeDocument/2006/relationships/footer" Target="footer13.xml"/><Relationship Id="rId59" Type="http://schemas.openxmlformats.org/officeDocument/2006/relationships/footer" Target="footer24.xml"/><Relationship Id="rId103" Type="http://schemas.openxmlformats.org/officeDocument/2006/relationships/header" Target="header47.xml"/><Relationship Id="rId124" Type="http://schemas.openxmlformats.org/officeDocument/2006/relationships/header" Target="header57.xml"/><Relationship Id="rId310" Type="http://schemas.openxmlformats.org/officeDocument/2006/relationships/header" Target="header150.xml"/><Relationship Id="rId70" Type="http://schemas.openxmlformats.org/officeDocument/2006/relationships/header" Target="header30.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header" Target="header78.xml"/><Relationship Id="rId187" Type="http://schemas.openxmlformats.org/officeDocument/2006/relationships/header" Target="header89.xml"/><Relationship Id="rId331" Type="http://schemas.openxmlformats.org/officeDocument/2006/relationships/header" Target="header161.xml"/><Relationship Id="rId352" Type="http://schemas.openxmlformats.org/officeDocument/2006/relationships/footer" Target="footer169.xml"/><Relationship Id="rId373" Type="http://schemas.openxmlformats.org/officeDocument/2006/relationships/footer" Target="footer180.xml"/><Relationship Id="rId394" Type="http://schemas.openxmlformats.org/officeDocument/2006/relationships/footer" Target="footer190.xml"/><Relationship Id="rId1" Type="http://schemas.openxmlformats.org/officeDocument/2006/relationships/customXml" Target="../customXml/item1.xml"/><Relationship Id="rId212" Type="http://schemas.openxmlformats.org/officeDocument/2006/relationships/footer" Target="footer100.xml"/><Relationship Id="rId233" Type="http://schemas.openxmlformats.org/officeDocument/2006/relationships/footer" Target="footer111.xml"/><Relationship Id="rId254" Type="http://schemas.openxmlformats.org/officeDocument/2006/relationships/footer" Target="footer121.xml"/><Relationship Id="rId28" Type="http://schemas.openxmlformats.org/officeDocument/2006/relationships/header" Target="header9.xml"/><Relationship Id="rId49" Type="http://schemas.openxmlformats.org/officeDocument/2006/relationships/header" Target="header20.xml"/><Relationship Id="rId114" Type="http://schemas.openxmlformats.org/officeDocument/2006/relationships/header" Target="header52.xml"/><Relationship Id="rId275" Type="http://schemas.openxmlformats.org/officeDocument/2006/relationships/footer" Target="footer132.xml"/><Relationship Id="rId296" Type="http://schemas.openxmlformats.org/officeDocument/2006/relationships/footer" Target="footer142.xml"/><Relationship Id="rId300" Type="http://schemas.openxmlformats.org/officeDocument/2006/relationships/header" Target="header145.xml"/><Relationship Id="rId60" Type="http://schemas.openxmlformats.org/officeDocument/2006/relationships/header" Target="header25.xml"/><Relationship Id="rId81" Type="http://schemas.openxmlformats.org/officeDocument/2006/relationships/footer" Target="footer35.xml"/><Relationship Id="rId135" Type="http://schemas.openxmlformats.org/officeDocument/2006/relationships/footer" Target="footer62.xml"/><Relationship Id="rId156" Type="http://schemas.openxmlformats.org/officeDocument/2006/relationships/header" Target="header73.xml"/><Relationship Id="rId177" Type="http://schemas.openxmlformats.org/officeDocument/2006/relationships/footer" Target="footer83.xml"/><Relationship Id="rId198" Type="http://schemas.openxmlformats.org/officeDocument/2006/relationships/header" Target="header94.xml"/><Relationship Id="rId321" Type="http://schemas.openxmlformats.org/officeDocument/2006/relationships/footer" Target="footer155.xml"/><Relationship Id="rId342" Type="http://schemas.openxmlformats.org/officeDocument/2006/relationships/header" Target="header166.xml"/><Relationship Id="rId363" Type="http://schemas.openxmlformats.org/officeDocument/2006/relationships/header" Target="header176.xml"/><Relationship Id="rId384" Type="http://schemas.openxmlformats.org/officeDocument/2006/relationships/header" Target="header186.xml"/><Relationship Id="rId202" Type="http://schemas.openxmlformats.org/officeDocument/2006/relationships/header" Target="header96.xml"/><Relationship Id="rId223" Type="http://schemas.openxmlformats.org/officeDocument/2006/relationships/header" Target="header107.xml"/><Relationship Id="rId244" Type="http://schemas.openxmlformats.org/officeDocument/2006/relationships/header" Target="header117.xml"/><Relationship Id="rId18" Type="http://schemas.openxmlformats.org/officeDocument/2006/relationships/header" Target="header4.xml"/><Relationship Id="rId39" Type="http://schemas.openxmlformats.org/officeDocument/2006/relationships/footer" Target="footer14.xml"/><Relationship Id="rId265" Type="http://schemas.openxmlformats.org/officeDocument/2006/relationships/header" Target="header128.xml"/><Relationship Id="rId286" Type="http://schemas.openxmlformats.org/officeDocument/2006/relationships/header" Target="header138.xml"/><Relationship Id="rId50" Type="http://schemas.openxmlformats.org/officeDocument/2006/relationships/footer" Target="footer19.xml"/><Relationship Id="rId104" Type="http://schemas.openxmlformats.org/officeDocument/2006/relationships/footer" Target="footer46.xml"/><Relationship Id="rId125" Type="http://schemas.openxmlformats.org/officeDocument/2006/relationships/footer" Target="footer57.xml"/><Relationship Id="rId146" Type="http://schemas.openxmlformats.org/officeDocument/2006/relationships/footer" Target="footer67.xml"/><Relationship Id="rId167" Type="http://schemas.openxmlformats.org/officeDocument/2006/relationships/footer" Target="footer78.xml"/><Relationship Id="rId188" Type="http://schemas.openxmlformats.org/officeDocument/2006/relationships/footer" Target="footer88.xml"/><Relationship Id="rId311" Type="http://schemas.openxmlformats.org/officeDocument/2006/relationships/footer" Target="footer150.xml"/><Relationship Id="rId332" Type="http://schemas.openxmlformats.org/officeDocument/2006/relationships/footer" Target="footer160.xml"/><Relationship Id="rId353" Type="http://schemas.openxmlformats.org/officeDocument/2006/relationships/footer" Target="footer170.xml"/><Relationship Id="rId374" Type="http://schemas.openxmlformats.org/officeDocument/2006/relationships/header" Target="header181.xml"/><Relationship Id="rId395" Type="http://schemas.openxmlformats.org/officeDocument/2006/relationships/footer" Target="footer191.xml"/><Relationship Id="rId71" Type="http://schemas.openxmlformats.org/officeDocument/2006/relationships/footer" Target="footer30.xml"/><Relationship Id="rId92" Type="http://schemas.openxmlformats.org/officeDocument/2006/relationships/footer" Target="footer40.xml"/><Relationship Id="rId213" Type="http://schemas.openxmlformats.org/officeDocument/2006/relationships/footer" Target="footer101.xml"/><Relationship Id="rId234" Type="http://schemas.openxmlformats.org/officeDocument/2006/relationships/header" Target="header112.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footer" Target="footer122.xml"/><Relationship Id="rId276" Type="http://schemas.openxmlformats.org/officeDocument/2006/relationships/header" Target="header133.xml"/><Relationship Id="rId297" Type="http://schemas.openxmlformats.org/officeDocument/2006/relationships/footer" Target="footer143.xml"/><Relationship Id="rId40" Type="http://schemas.openxmlformats.org/officeDocument/2006/relationships/header" Target="header15.xml"/><Relationship Id="rId115" Type="http://schemas.openxmlformats.org/officeDocument/2006/relationships/header" Target="header53.xml"/><Relationship Id="rId136" Type="http://schemas.openxmlformats.org/officeDocument/2006/relationships/header" Target="header63.xml"/><Relationship Id="rId157" Type="http://schemas.openxmlformats.org/officeDocument/2006/relationships/header" Target="header74.xml"/><Relationship Id="rId178" Type="http://schemas.openxmlformats.org/officeDocument/2006/relationships/header" Target="header84.xml"/><Relationship Id="rId301" Type="http://schemas.openxmlformats.org/officeDocument/2006/relationships/header" Target="header146.xml"/><Relationship Id="rId322" Type="http://schemas.openxmlformats.org/officeDocument/2006/relationships/header" Target="header156.xml"/><Relationship Id="rId343" Type="http://schemas.openxmlformats.org/officeDocument/2006/relationships/header" Target="header167.xml"/><Relationship Id="rId364" Type="http://schemas.openxmlformats.org/officeDocument/2006/relationships/footer" Target="footer175.xml"/><Relationship Id="rId61" Type="http://schemas.openxmlformats.org/officeDocument/2006/relationships/header" Target="header26.xml"/><Relationship Id="rId82" Type="http://schemas.openxmlformats.org/officeDocument/2006/relationships/header" Target="header36.xml"/><Relationship Id="rId199" Type="http://schemas.openxmlformats.org/officeDocument/2006/relationships/header" Target="header95.xml"/><Relationship Id="rId203" Type="http://schemas.openxmlformats.org/officeDocument/2006/relationships/footer" Target="footer96.xml"/><Relationship Id="rId385" Type="http://schemas.openxmlformats.org/officeDocument/2006/relationships/footer" Target="footer186.xml"/><Relationship Id="rId19" Type="http://schemas.openxmlformats.org/officeDocument/2006/relationships/header" Target="header5.xml"/><Relationship Id="rId224" Type="http://schemas.openxmlformats.org/officeDocument/2006/relationships/footer" Target="footer106.xml"/><Relationship Id="rId245" Type="http://schemas.openxmlformats.org/officeDocument/2006/relationships/footer" Target="footer117.xml"/><Relationship Id="rId266" Type="http://schemas.openxmlformats.org/officeDocument/2006/relationships/footer" Target="footer127.xml"/><Relationship Id="rId287" Type="http://schemas.openxmlformats.org/officeDocument/2006/relationships/footer" Target="footer138.xml"/><Relationship Id="rId30" Type="http://schemas.openxmlformats.org/officeDocument/2006/relationships/header" Target="header10.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312" Type="http://schemas.openxmlformats.org/officeDocument/2006/relationships/header" Target="header151.xml"/><Relationship Id="rId333" Type="http://schemas.openxmlformats.org/officeDocument/2006/relationships/footer" Target="footer161.xml"/><Relationship Id="rId354" Type="http://schemas.openxmlformats.org/officeDocument/2006/relationships/header" Target="header171.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189" Type="http://schemas.openxmlformats.org/officeDocument/2006/relationships/footer" Target="footer89.xml"/><Relationship Id="rId375" Type="http://schemas.openxmlformats.org/officeDocument/2006/relationships/header" Target="header182.xml"/><Relationship Id="rId396" Type="http://schemas.openxmlformats.org/officeDocument/2006/relationships/header" Target="header192.xml"/><Relationship Id="rId3" Type="http://schemas.openxmlformats.org/officeDocument/2006/relationships/customXml" Target="../customXml/item3.xml"/><Relationship Id="rId214" Type="http://schemas.openxmlformats.org/officeDocument/2006/relationships/header" Target="header102.xml"/><Relationship Id="rId235" Type="http://schemas.openxmlformats.org/officeDocument/2006/relationships/header" Target="header113.xml"/><Relationship Id="rId256" Type="http://schemas.openxmlformats.org/officeDocument/2006/relationships/header" Target="header123.xml"/><Relationship Id="rId277" Type="http://schemas.openxmlformats.org/officeDocument/2006/relationships/header" Target="header134.xml"/><Relationship Id="rId298" Type="http://schemas.openxmlformats.org/officeDocument/2006/relationships/header" Target="header144.xml"/><Relationship Id="rId116" Type="http://schemas.openxmlformats.org/officeDocument/2006/relationships/footer" Target="footer52.xml"/><Relationship Id="rId137" Type="http://schemas.openxmlformats.org/officeDocument/2006/relationships/footer" Target="footer63.xml"/><Relationship Id="rId158" Type="http://schemas.openxmlformats.org/officeDocument/2006/relationships/footer" Target="footer73.xml"/><Relationship Id="rId302" Type="http://schemas.openxmlformats.org/officeDocument/2006/relationships/footer" Target="footer145.xml"/><Relationship Id="rId323" Type="http://schemas.openxmlformats.org/officeDocument/2006/relationships/footer" Target="footer156.xml"/><Relationship Id="rId344" Type="http://schemas.openxmlformats.org/officeDocument/2006/relationships/footer" Target="footer166.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6.xml"/><Relationship Id="rId179" Type="http://schemas.openxmlformats.org/officeDocument/2006/relationships/footer" Target="footer84.xml"/><Relationship Id="rId365" Type="http://schemas.openxmlformats.org/officeDocument/2006/relationships/footer" Target="footer176.xml"/><Relationship Id="rId386" Type="http://schemas.openxmlformats.org/officeDocument/2006/relationships/header" Target="header187.xml"/><Relationship Id="rId190" Type="http://schemas.openxmlformats.org/officeDocument/2006/relationships/header" Target="header90.xml"/><Relationship Id="rId204" Type="http://schemas.openxmlformats.org/officeDocument/2006/relationships/header" Target="header97.xml"/><Relationship Id="rId225" Type="http://schemas.openxmlformats.org/officeDocument/2006/relationships/footer" Target="footer107.xml"/><Relationship Id="rId246" Type="http://schemas.openxmlformats.org/officeDocument/2006/relationships/header" Target="header118.xml"/><Relationship Id="rId267" Type="http://schemas.openxmlformats.org/officeDocument/2006/relationships/footer" Target="footer128.xml"/><Relationship Id="rId288" Type="http://schemas.openxmlformats.org/officeDocument/2006/relationships/header" Target="header139.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header" Target="header152.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header" Target="header32.xml"/><Relationship Id="rId94" Type="http://schemas.openxmlformats.org/officeDocument/2006/relationships/header" Target="header42.xml"/><Relationship Id="rId148" Type="http://schemas.openxmlformats.org/officeDocument/2006/relationships/header" Target="header69.xml"/><Relationship Id="rId169" Type="http://schemas.openxmlformats.org/officeDocument/2006/relationships/header" Target="header80.xml"/><Relationship Id="rId334" Type="http://schemas.openxmlformats.org/officeDocument/2006/relationships/header" Target="header162.xml"/><Relationship Id="rId355" Type="http://schemas.openxmlformats.org/officeDocument/2006/relationships/footer" Target="footer171.xml"/><Relationship Id="rId376" Type="http://schemas.openxmlformats.org/officeDocument/2006/relationships/footer" Target="footer181.xml"/><Relationship Id="rId397" Type="http://schemas.openxmlformats.org/officeDocument/2006/relationships/footer" Target="footer192.xml"/><Relationship Id="rId4" Type="http://schemas.openxmlformats.org/officeDocument/2006/relationships/customXml" Target="../customXml/item4.xml"/><Relationship Id="rId180" Type="http://schemas.openxmlformats.org/officeDocument/2006/relationships/header" Target="header85.xml"/><Relationship Id="rId215" Type="http://schemas.openxmlformats.org/officeDocument/2006/relationships/footer" Target="footer102.xml"/><Relationship Id="rId236" Type="http://schemas.openxmlformats.org/officeDocument/2006/relationships/footer" Target="footer112.xml"/><Relationship Id="rId257" Type="http://schemas.openxmlformats.org/officeDocument/2006/relationships/footer" Target="footer123.xml"/><Relationship Id="rId278" Type="http://schemas.openxmlformats.org/officeDocument/2006/relationships/footer" Target="footer133.xml"/><Relationship Id="rId303" Type="http://schemas.openxmlformats.org/officeDocument/2006/relationships/footer" Target="footer146.xml"/><Relationship Id="rId42" Type="http://schemas.openxmlformats.org/officeDocument/2006/relationships/header" Target="header16.xml"/><Relationship Id="rId84" Type="http://schemas.openxmlformats.org/officeDocument/2006/relationships/header" Target="header37.xml"/><Relationship Id="rId138" Type="http://schemas.openxmlformats.org/officeDocument/2006/relationships/header" Target="header64.xml"/><Relationship Id="rId345" Type="http://schemas.openxmlformats.org/officeDocument/2006/relationships/footer" Target="footer167.xml"/><Relationship Id="rId387" Type="http://schemas.openxmlformats.org/officeDocument/2006/relationships/header" Target="header188.xml"/><Relationship Id="rId191" Type="http://schemas.openxmlformats.org/officeDocument/2006/relationships/footer" Target="footer90.xml"/><Relationship Id="rId205" Type="http://schemas.openxmlformats.org/officeDocument/2006/relationships/header" Target="header98.xml"/><Relationship Id="rId247" Type="http://schemas.openxmlformats.org/officeDocument/2006/relationships/header" Target="header119.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sites/default/files/1_en_act_part1_v8_0.pdf" TargetMode="External"/><Relationship Id="rId2" Type="http://schemas.openxmlformats.org/officeDocument/2006/relationships/hyperlink" Target="https://ec.europa.eu/social/main.jsp?catId=738&amp;langId=en&amp;pubId=8376&amp;furtherPubs=yes" TargetMode="External"/><Relationship Id="rId1" Type="http://schemas.openxmlformats.org/officeDocument/2006/relationships/hyperlink" Target="https://www.un.org/development/desa/disabilities/convention-on-the-rights-of-persons-with-disabilities.html" TargetMode="External"/><Relationship Id="rId6" Type="http://schemas.openxmlformats.org/officeDocument/2006/relationships/hyperlink" Target="https://dre.pt/application/conteudo/114152782" TargetMode="External"/><Relationship Id="rId5" Type="http://schemas.openxmlformats.org/officeDocument/2006/relationships/hyperlink" Target="https://ec.europa.eu/social/main.jsp?catId=738&amp;langId=en&amp;pubId=8376&amp;furtherPubs=yes" TargetMode="External"/><Relationship Id="rId4" Type="http://schemas.openxmlformats.org/officeDocument/2006/relationships/hyperlink" Target="https://www.un.org/development/desa/disabilities/convention-on-the-rights-of-persons-with-disabiliti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6c3bc29-9e11-4027-900b-c73633d7928a"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14" ma:contentTypeDescription="Create a new document." ma:contentTypeScope="" ma:versionID="d5c93e900a119563f43978a987300fc7">
  <xsd:schema xmlns:xsd="http://www.w3.org/2001/XMLSchema" xmlns:xs="http://www.w3.org/2001/XMLSchema" xmlns:p="http://schemas.microsoft.com/office/2006/metadata/properties" xmlns:ns2="1700ab43-7395-48ff-866c-657c86ba7f4e" xmlns:ns3="e6c3bc29-9e11-4027-900b-c73633d7928a" targetNamespace="http://schemas.microsoft.com/office/2006/metadata/properties" ma:root="true" ma:fieldsID="85f4798ebd1fb622dfcd08e6552ffd30" ns2:_="" ns3:_="">
    <xsd:import namespace="1700ab43-7395-48ff-866c-657c86ba7f4e"/>
    <xsd:import namespace="e6c3bc29-9e11-4027-900b-c73633d792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090e2cb7-5117-486c-a80c-66d1b02d57f7}" ma:internalName="TaxCatchAll"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22E18-3AF3-486E-B96C-EC2FE3E7B271}">
  <ds:schemaRefs>
    <ds:schemaRef ds:uri="http://schemas.microsoft.com/office/2006/metadata/properties"/>
    <ds:schemaRef ds:uri="http://schemas.microsoft.com/office/infopath/2007/PartnerControls"/>
    <ds:schemaRef ds:uri="e6c3bc29-9e11-4027-900b-c73633d7928a"/>
    <ds:schemaRef ds:uri="1700ab43-7395-48ff-866c-657c86ba7f4e"/>
  </ds:schemaRefs>
</ds:datastoreItem>
</file>

<file path=customXml/itemProps2.xml><?xml version="1.0" encoding="utf-8"?>
<ds:datastoreItem xmlns:ds="http://schemas.openxmlformats.org/officeDocument/2006/customXml" ds:itemID="{617F86BA-8C30-4316-ABCD-3480C5FB9AD1}">
  <ds:schemaRefs>
    <ds:schemaRef ds:uri="http://schemas.microsoft.com/sharepoint/v3/contenttype/forms"/>
  </ds:schemaRefs>
</ds:datastoreItem>
</file>

<file path=customXml/itemProps3.xml><?xml version="1.0" encoding="utf-8"?>
<ds:datastoreItem xmlns:ds="http://schemas.openxmlformats.org/officeDocument/2006/customXml" ds:itemID="{3704B2E4-4F53-4AE7-B83B-C398AE08BE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AC877E-86D5-471F-90FF-9FE1DF58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92925</Words>
  <Characters>529676</Characters>
  <Application>Microsoft Office Word</Application>
  <DocSecurity>0</DocSecurity>
  <Lines>4413</Lines>
  <Paragraphs>1242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621359</CharactersWithSpaces>
  <SharedDoc>false</SharedDoc>
  <HLinks>
    <vt:vector size="48" baseType="variant">
      <vt:variant>
        <vt:i4>1441861</vt:i4>
      </vt:variant>
      <vt:variant>
        <vt:i4>3</vt:i4>
      </vt:variant>
      <vt:variant>
        <vt:i4>0</vt:i4>
      </vt:variant>
      <vt:variant>
        <vt:i4>5</vt:i4>
      </vt:variant>
      <vt:variant>
        <vt:lpwstr>http://www.dados.gov.pt/</vt:lpwstr>
      </vt:variant>
      <vt:variant>
        <vt:lpwstr/>
      </vt:variant>
      <vt:variant>
        <vt:i4>1441861</vt:i4>
      </vt:variant>
      <vt:variant>
        <vt:i4>0</vt:i4>
      </vt:variant>
      <vt:variant>
        <vt:i4>0</vt:i4>
      </vt:variant>
      <vt:variant>
        <vt:i4>5</vt:i4>
      </vt:variant>
      <vt:variant>
        <vt:lpwstr>http://www.dados.gov.pt/</vt:lpwstr>
      </vt:variant>
      <vt:variant>
        <vt:lpwstr/>
      </vt:variant>
      <vt:variant>
        <vt:i4>917587</vt:i4>
      </vt:variant>
      <vt:variant>
        <vt:i4>15</vt:i4>
      </vt:variant>
      <vt:variant>
        <vt:i4>0</vt:i4>
      </vt:variant>
      <vt:variant>
        <vt:i4>5</vt:i4>
      </vt:variant>
      <vt:variant>
        <vt:lpwstr>https://dre.pt/application/conteudo/114152782</vt:lpwstr>
      </vt:variant>
      <vt:variant>
        <vt:lpwstr/>
      </vt:variant>
      <vt:variant>
        <vt:i4>3145826</vt:i4>
      </vt:variant>
      <vt:variant>
        <vt:i4>12</vt:i4>
      </vt:variant>
      <vt:variant>
        <vt:i4>0</vt:i4>
      </vt:variant>
      <vt:variant>
        <vt:i4>5</vt:i4>
      </vt:variant>
      <vt:variant>
        <vt:lpwstr>https://ec.europa.eu/social/main.jsp?catId=738&amp;langId=en&amp;pubId=8376&amp;furtherPubs=yes</vt:lpwstr>
      </vt:variant>
      <vt:variant>
        <vt:lpwstr/>
      </vt:variant>
      <vt:variant>
        <vt:i4>3604583</vt:i4>
      </vt:variant>
      <vt:variant>
        <vt:i4>9</vt:i4>
      </vt:variant>
      <vt:variant>
        <vt:i4>0</vt:i4>
      </vt:variant>
      <vt:variant>
        <vt:i4>5</vt:i4>
      </vt:variant>
      <vt:variant>
        <vt:lpwstr>https://www.un.org/development/desa/disabilities/convention-on-the-rights-of-persons-with-disabilities.html</vt:lpwstr>
      </vt:variant>
      <vt:variant>
        <vt:lpwstr/>
      </vt:variant>
      <vt:variant>
        <vt:i4>6094896</vt:i4>
      </vt:variant>
      <vt:variant>
        <vt:i4>6</vt:i4>
      </vt:variant>
      <vt:variant>
        <vt:i4>0</vt:i4>
      </vt:variant>
      <vt:variant>
        <vt:i4>5</vt:i4>
      </vt:variant>
      <vt:variant>
        <vt:lpwstr>https://ec.europa.eu/info/sites/default/files/1_en_act_part1_v8_0.pdf</vt:lpwstr>
      </vt:variant>
      <vt:variant>
        <vt:lpwstr/>
      </vt:variant>
      <vt:variant>
        <vt:i4>3145826</vt:i4>
      </vt:variant>
      <vt:variant>
        <vt:i4>3</vt:i4>
      </vt:variant>
      <vt:variant>
        <vt:i4>0</vt:i4>
      </vt:variant>
      <vt:variant>
        <vt:i4>5</vt:i4>
      </vt:variant>
      <vt:variant>
        <vt:lpwstr>https://ec.europa.eu/social/main.jsp?catId=738&amp;langId=en&amp;pubId=8376&amp;furtherPubs=yes</vt:lpwstr>
      </vt:variant>
      <vt:variant>
        <vt:lpwstr/>
      </vt:variant>
      <vt:variant>
        <vt:i4>3604583</vt:i4>
      </vt:variant>
      <vt:variant>
        <vt:i4>0</vt:i4>
      </vt:variant>
      <vt:variant>
        <vt:i4>0</vt:i4>
      </vt:variant>
      <vt:variant>
        <vt:i4>5</vt:i4>
      </vt:variant>
      <vt:variant>
        <vt:lpwstr>https://www.un.org/development/desa/disabilities/convention-on-the-rights-of-persons-with-disabilities.html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2023-08-31T11:47:00Z</cp:lastPrinted>
  <dcterms:created xsi:type="dcterms:W3CDTF">2023-09-20T08:30:00Z</dcterms:created>
  <dcterms:modified xsi:type="dcterms:W3CDTF">2023-09-28T13:07:00Z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0x01010062094E9F29D6C04F85860C631ABC812A</vt:lpwstr>
  </property>
  <property fmtid="{D5CDD505-2E9C-101B-9397-08002B2CF9AE}" pid="4" name="MSIP_Label_6bd9ddd1-4d20-43f6-abfa-fc3c07406f94_Enabled">
    <vt:lpwstr>true</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ContentBits">
    <vt:lpwstr>0</vt:lpwstr>
  </property>
  <property fmtid="{D5CDD505-2E9C-101B-9397-08002B2CF9AE}" pid="9" name="MSIP_Label_6bd9ddd1-4d20-43f6-abfa-fc3c07406f94_SetDate">
    <vt:lpwstr>2023-08-31T13:23:57Z</vt:lpwstr>
  </property>
  <property fmtid="{D5CDD505-2E9C-101B-9397-08002B2CF9AE}" pid="10" name="MSIP_Label_6bd9ddd1-4d20-43f6-abfa-fc3c07406f94_ActionId">
    <vt:lpwstr>f5076d1a-b32f-4968-9989-8cc7bc3a3494</vt:lpwstr>
  </property>
  <property fmtid="{D5CDD505-2E9C-101B-9397-08002B2CF9AE}" pid="11" name="Level of sensitivity">
    <vt:lpwstr>Standard treatment</vt:lpwstr>
  </property>
  <property fmtid="{D5CDD505-2E9C-101B-9397-08002B2CF9AE}" pid="12" name="First annex">
    <vt:lpwstr>1</vt:lpwstr>
  </property>
  <property fmtid="{D5CDD505-2E9C-101B-9397-08002B2CF9AE}" pid="13" name="Last annex">
    <vt:lpwstr>1</vt:lpwstr>
  </property>
  <property fmtid="{D5CDD505-2E9C-101B-9397-08002B2CF9AE}" pid="14" name="Unique annex">
    <vt:lpwstr>1</vt:lpwstr>
  </property>
  <property fmtid="{D5CDD505-2E9C-101B-9397-08002B2CF9AE}" pid="15" name="Part">
    <vt:lpwstr>1</vt:lpwstr>
  </property>
  <property fmtid="{D5CDD505-2E9C-101B-9397-08002B2CF9AE}" pid="16" name="Total parts">
    <vt:lpwstr>1</vt:lpwstr>
  </property>
  <property fmtid="{D5CDD505-2E9C-101B-9397-08002B2CF9AE}" pid="17" name="DocStatus">
    <vt:lpwstr>Green</vt:lpwstr>
  </property>
  <property fmtid="{D5CDD505-2E9C-101B-9397-08002B2CF9AE}" pid="18" name="CPTemplateID">
    <vt:lpwstr>CP-036</vt:lpwstr>
  </property>
  <property fmtid="{D5CDD505-2E9C-101B-9397-08002B2CF9AE}" pid="19" name="Last edited using">
    <vt:lpwstr>LW 9.0, Build 20230317</vt:lpwstr>
  </property>
  <property fmtid="{D5CDD505-2E9C-101B-9397-08002B2CF9AE}" pid="20" name="Created using">
    <vt:lpwstr>LW 9.0, Build 20230317</vt:lpwstr>
  </property>
</Properties>
</file>